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39.xml" ContentType="application/vnd.openxmlformats-officedocument.wordprocessingml.header+xml"/>
  <Override PartName="/word/footer39.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42.xml" ContentType="application/vnd.openxmlformats-officedocument.wordprocessingml.header+xml"/>
  <Override PartName="/word/footer42.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45.xml" ContentType="application/vnd.openxmlformats-officedocument.wordprocessingml.header+xml"/>
  <Override PartName="/word/footer45.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header48.xml" ContentType="application/vnd.openxmlformats-officedocument.wordprocessingml.header+xml"/>
  <Override PartName="/word/footer48.xml" ContentType="application/vnd.openxmlformats-officedocument.wordprocessingml.footer+xml"/>
  <Override PartName="/word/header49.xml" ContentType="application/vnd.openxmlformats-officedocument.wordprocessingml.header+xml"/>
  <Override PartName="/word/footer49.xml" ContentType="application/vnd.openxmlformats-officedocument.wordprocessingml.footer+xml"/>
  <Override PartName="/word/header50.xml" ContentType="application/vnd.openxmlformats-officedocument.wordprocessingml.header+xml"/>
  <Override PartName="/word/header51.xml" ContentType="application/vnd.openxmlformats-officedocument.wordprocessingml.header+xml"/>
  <Override PartName="/word/footer50.xml" ContentType="application/vnd.openxmlformats-officedocument.wordprocessingml.footer+xml"/>
  <Override PartName="/word/footer51.xml" ContentType="application/vnd.openxmlformats-officedocument.wordprocessingml.footer+xml"/>
  <Override PartName="/word/header52.xml" ContentType="application/vnd.openxmlformats-officedocument.wordprocessingml.header+xml"/>
  <Override PartName="/word/footer52.xml" ContentType="application/vnd.openxmlformats-officedocument.wordprocessingml.footer+xml"/>
  <Override PartName="/word/header53.xml" ContentType="application/vnd.openxmlformats-officedocument.wordprocessingml.header+xml"/>
  <Override PartName="/word/header54.xml" ContentType="application/vnd.openxmlformats-officedocument.wordprocessingml.header+xml"/>
  <Override PartName="/word/footer53.xml" ContentType="application/vnd.openxmlformats-officedocument.wordprocessingml.footer+xml"/>
  <Override PartName="/word/footer54.xml" ContentType="application/vnd.openxmlformats-officedocument.wordprocessingml.footer+xml"/>
  <Override PartName="/word/header55.xml" ContentType="application/vnd.openxmlformats-officedocument.wordprocessingml.header+xml"/>
  <Override PartName="/word/footer55.xml" ContentType="application/vnd.openxmlformats-officedocument.wordprocessingml.footer+xml"/>
  <Override PartName="/word/header56.xml" ContentType="application/vnd.openxmlformats-officedocument.wordprocessingml.header+xml"/>
  <Override PartName="/word/header57.xml" ContentType="application/vnd.openxmlformats-officedocument.wordprocessingml.header+xml"/>
  <Override PartName="/word/footer56.xml" ContentType="application/vnd.openxmlformats-officedocument.wordprocessingml.footer+xml"/>
  <Override PartName="/word/footer57.xml" ContentType="application/vnd.openxmlformats-officedocument.wordprocessingml.footer+xml"/>
  <Override PartName="/word/header58.xml" ContentType="application/vnd.openxmlformats-officedocument.wordprocessingml.header+xml"/>
  <Override PartName="/word/footer58.xml" ContentType="application/vnd.openxmlformats-officedocument.wordprocessingml.footer+xml"/>
  <Override PartName="/word/header59.xml" ContentType="application/vnd.openxmlformats-officedocument.wordprocessingml.header+xml"/>
  <Override PartName="/word/header60.xml" ContentType="application/vnd.openxmlformats-officedocument.wordprocessingml.header+xml"/>
  <Override PartName="/word/footer59.xml" ContentType="application/vnd.openxmlformats-officedocument.wordprocessingml.footer+xml"/>
  <Override PartName="/word/footer60.xml" ContentType="application/vnd.openxmlformats-officedocument.wordprocessingml.footer+xml"/>
  <Override PartName="/word/header61.xml" ContentType="application/vnd.openxmlformats-officedocument.wordprocessingml.header+xml"/>
  <Override PartName="/word/footer61.xml" ContentType="application/vnd.openxmlformats-officedocument.wordprocessingml.footer+xml"/>
  <Override PartName="/word/header62.xml" ContentType="application/vnd.openxmlformats-officedocument.wordprocessingml.header+xml"/>
  <Override PartName="/word/header63.xml" ContentType="application/vnd.openxmlformats-officedocument.wordprocessingml.header+xml"/>
  <Override PartName="/word/footer62.xml" ContentType="application/vnd.openxmlformats-officedocument.wordprocessingml.footer+xml"/>
  <Override PartName="/word/footer63.xml" ContentType="application/vnd.openxmlformats-officedocument.wordprocessingml.footer+xml"/>
  <Override PartName="/word/header64.xml" ContentType="application/vnd.openxmlformats-officedocument.wordprocessingml.header+xml"/>
  <Override PartName="/word/footer64.xml" ContentType="application/vnd.openxmlformats-officedocument.wordprocessingml.footer+xml"/>
  <Override PartName="/word/header65.xml" ContentType="application/vnd.openxmlformats-officedocument.wordprocessingml.header+xml"/>
  <Override PartName="/word/header66.xml" ContentType="application/vnd.openxmlformats-officedocument.wordprocessingml.header+xml"/>
  <Override PartName="/word/footer65.xml" ContentType="application/vnd.openxmlformats-officedocument.wordprocessingml.footer+xml"/>
  <Override PartName="/word/footer66.xml" ContentType="application/vnd.openxmlformats-officedocument.wordprocessingml.footer+xml"/>
  <Override PartName="/word/header67.xml" ContentType="application/vnd.openxmlformats-officedocument.wordprocessingml.header+xml"/>
  <Override PartName="/word/footer67.xml" ContentType="application/vnd.openxmlformats-officedocument.wordprocessingml.footer+xml"/>
  <Override PartName="/word/header68.xml" ContentType="application/vnd.openxmlformats-officedocument.wordprocessingml.header+xml"/>
  <Override PartName="/word/header69.xml" ContentType="application/vnd.openxmlformats-officedocument.wordprocessingml.header+xml"/>
  <Override PartName="/word/footer68.xml" ContentType="application/vnd.openxmlformats-officedocument.wordprocessingml.footer+xml"/>
  <Override PartName="/word/footer69.xml" ContentType="application/vnd.openxmlformats-officedocument.wordprocessingml.footer+xml"/>
  <Override PartName="/word/header70.xml" ContentType="application/vnd.openxmlformats-officedocument.wordprocessingml.header+xml"/>
  <Override PartName="/word/footer70.xml" ContentType="application/vnd.openxmlformats-officedocument.wordprocessingml.footer+xml"/>
  <Override PartName="/word/header71.xml" ContentType="application/vnd.openxmlformats-officedocument.wordprocessingml.header+xml"/>
  <Override PartName="/word/header72.xml" ContentType="application/vnd.openxmlformats-officedocument.wordprocessingml.header+xml"/>
  <Override PartName="/word/footer71.xml" ContentType="application/vnd.openxmlformats-officedocument.wordprocessingml.footer+xml"/>
  <Override PartName="/word/footer72.xml" ContentType="application/vnd.openxmlformats-officedocument.wordprocessingml.footer+xml"/>
  <Override PartName="/word/header73.xml" ContentType="application/vnd.openxmlformats-officedocument.wordprocessingml.header+xml"/>
  <Override PartName="/word/footer73.xml" ContentType="application/vnd.openxmlformats-officedocument.wordprocessingml.footer+xml"/>
  <Override PartName="/word/header74.xml" ContentType="application/vnd.openxmlformats-officedocument.wordprocessingml.header+xml"/>
  <Override PartName="/word/header75.xml" ContentType="application/vnd.openxmlformats-officedocument.wordprocessingml.header+xml"/>
  <Override PartName="/word/footer74.xml" ContentType="application/vnd.openxmlformats-officedocument.wordprocessingml.footer+xml"/>
  <Override PartName="/word/footer75.xml" ContentType="application/vnd.openxmlformats-officedocument.wordprocessingml.footer+xml"/>
  <Override PartName="/word/header76.xml" ContentType="application/vnd.openxmlformats-officedocument.wordprocessingml.header+xml"/>
  <Override PartName="/word/footer76.xml" ContentType="application/vnd.openxmlformats-officedocument.wordprocessingml.footer+xml"/>
  <Override PartName="/word/header77.xml" ContentType="application/vnd.openxmlformats-officedocument.wordprocessingml.header+xml"/>
  <Override PartName="/word/header78.xml" ContentType="application/vnd.openxmlformats-officedocument.wordprocessingml.header+xml"/>
  <Override PartName="/word/footer77.xml" ContentType="application/vnd.openxmlformats-officedocument.wordprocessingml.footer+xml"/>
  <Override PartName="/word/footer78.xml" ContentType="application/vnd.openxmlformats-officedocument.wordprocessingml.footer+xml"/>
  <Override PartName="/word/header79.xml" ContentType="application/vnd.openxmlformats-officedocument.wordprocessingml.header+xml"/>
  <Override PartName="/word/footer79.xml" ContentType="application/vnd.openxmlformats-officedocument.wordprocessingml.footer+xml"/>
  <Override PartName="/word/header80.xml" ContentType="application/vnd.openxmlformats-officedocument.wordprocessingml.header+xml"/>
  <Override PartName="/word/header81.xml" ContentType="application/vnd.openxmlformats-officedocument.wordprocessingml.header+xml"/>
  <Override PartName="/word/footer80.xml" ContentType="application/vnd.openxmlformats-officedocument.wordprocessingml.footer+xml"/>
  <Override PartName="/word/footer81.xml" ContentType="application/vnd.openxmlformats-officedocument.wordprocessingml.footer+xml"/>
  <Override PartName="/word/header82.xml" ContentType="application/vnd.openxmlformats-officedocument.wordprocessingml.header+xml"/>
  <Override PartName="/word/footer8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6FC7E37" w14:textId="1A2A5AFC" w:rsidR="000B0AC7" w:rsidRPr="000B0AC7" w:rsidRDefault="000B0AC7" w:rsidP="006258ED">
      <w:pPr>
        <w:pStyle w:val="CpReportDate"/>
      </w:pPr>
      <w:r w:rsidRPr="000B0AC7">
        <w:t>24 April 2023</w:t>
      </w:r>
    </w:p>
    <w:p w14:paraId="7F82FCE9" w14:textId="5A4F2088" w:rsidR="000B0AC7" w:rsidRPr="000B0AC7" w:rsidRDefault="000B0AC7" w:rsidP="006258ED">
      <w:pPr>
        <w:pStyle w:val="CpReportTo"/>
      </w:pPr>
      <w:r w:rsidRPr="000B0AC7">
        <w:t>Report to</w:t>
      </w:r>
    </w:p>
    <w:p w14:paraId="5F2D7D4A" w14:textId="77777777" w:rsidR="000B0AC7" w:rsidRPr="000B0AC7" w:rsidRDefault="000B0AC7" w:rsidP="006258ED">
      <w:pPr>
        <w:pStyle w:val="CpClientName"/>
      </w:pPr>
      <w:r w:rsidRPr="000B0AC7">
        <w:t>Australian Research Council</w:t>
      </w:r>
    </w:p>
    <w:p w14:paraId="6F2C6974" w14:textId="6644552F" w:rsidR="000B0AC7" w:rsidRPr="000B0AC7" w:rsidRDefault="000B0AC7" w:rsidP="006258ED">
      <w:pPr>
        <w:pStyle w:val="CpTitle"/>
      </w:pPr>
      <w:r w:rsidRPr="000B0AC7">
        <w:t xml:space="preserve">Impact assessment of </w:t>
      </w:r>
      <w:r w:rsidR="005723FF">
        <w:br/>
      </w:r>
      <w:r w:rsidRPr="000B0AC7">
        <w:t>ARC-funded research</w:t>
      </w:r>
    </w:p>
    <w:p w14:paraId="15D684B9" w14:textId="77777777" w:rsidR="000B0AC7" w:rsidRPr="000B0AC7" w:rsidRDefault="000B0AC7" w:rsidP="006258ED">
      <w:pPr>
        <w:pStyle w:val="CpSubTitle"/>
      </w:pPr>
      <w:r w:rsidRPr="000B0AC7">
        <w:t>Final report</w:t>
      </w:r>
    </w:p>
    <w:p w14:paraId="496B58E1" w14:textId="77777777" w:rsidR="002B32A0" w:rsidRPr="000B0AC7" w:rsidRDefault="002B32A0" w:rsidP="002B32A0">
      <w:pPr>
        <w:pStyle w:val="BodyText"/>
        <w:sectPr w:rsidR="002B32A0" w:rsidRPr="000B0AC7" w:rsidSect="00026E9C">
          <w:headerReference w:type="even" r:id="rId12"/>
          <w:headerReference w:type="default" r:id="rId13"/>
          <w:footerReference w:type="even" r:id="rId14"/>
          <w:footerReference w:type="default" r:id="rId15"/>
          <w:headerReference w:type="first" r:id="rId16"/>
          <w:footerReference w:type="first" r:id="rId17"/>
          <w:pgSz w:w="11906" w:h="16838" w:code="9"/>
          <w:pgMar w:top="2557" w:right="1111" w:bottom="1134" w:left="1134" w:header="454" w:footer="164" w:gutter="0"/>
          <w:cols w:space="708"/>
          <w:titlePg/>
          <w:docGrid w:linePitch="360"/>
        </w:sectPr>
      </w:pPr>
    </w:p>
    <w:p w14:paraId="28C3CA22" w14:textId="7A2E3F82" w:rsidR="000B0AC7" w:rsidRPr="000B0AC7" w:rsidRDefault="000B0AC7" w:rsidP="000B0AC7">
      <w:pPr>
        <w:pStyle w:val="TOCHeading"/>
        <w:rPr>
          <w:color w:val="000000"/>
        </w:rPr>
      </w:pPr>
      <w:bookmarkStart w:id="0" w:name="_Hlk129705436"/>
      <w:r>
        <w:rPr>
          <w:noProof/>
        </w:rPr>
        <w:lastRenderedPageBreak/>
        <w:t>Contents</w:t>
      </w:r>
    </w:p>
    <w:p w14:paraId="7DC6A00B" w14:textId="77060703" w:rsidR="000B0AC7" w:rsidRDefault="002B32A0">
      <w:pPr>
        <w:pStyle w:val="TOC1"/>
        <w:rPr>
          <w:rFonts w:asciiTheme="minorHAnsi" w:eastAsiaTheme="minorEastAsia" w:hAnsiTheme="minorHAnsi" w:cstheme="minorBidi"/>
          <w:b w:val="0"/>
          <w:color w:val="auto"/>
          <w:kern w:val="2"/>
          <w:sz w:val="22"/>
          <w:lang w:eastAsia="en-AU"/>
          <w14:ligatures w14:val="standardContextual"/>
        </w:rPr>
      </w:pPr>
      <w:r w:rsidRPr="00CE1D7F">
        <w:rPr>
          <w:color w:val="000100"/>
        </w:rPr>
        <w:fldChar w:fldCharType="begin"/>
      </w:r>
      <w:r w:rsidR="000B0AC7">
        <w:rPr>
          <w:color w:val="000100"/>
        </w:rPr>
        <w:instrText xml:space="preserve"> TOC \o "2-2" \h \z \t "Heading 1,2,Heading 2,3,Part xx,1,Heading 1 (ES),1,App - Divider (Heading),1,Heading 9,2,Heading 2 (AP),3,Heading (glossary),1" </w:instrText>
      </w:r>
      <w:r w:rsidRPr="00CE1D7F">
        <w:rPr>
          <w:color w:val="000100"/>
        </w:rPr>
        <w:fldChar w:fldCharType="separate"/>
      </w:r>
      <w:hyperlink w:anchor="_Toc135323672" w:history="1">
        <w:r w:rsidR="000B0AC7" w:rsidRPr="007A19AD">
          <w:rPr>
            <w:rStyle w:val="Hyperlink"/>
          </w:rPr>
          <w:t>Glossary</w:t>
        </w:r>
        <w:r w:rsidR="000B0AC7">
          <w:rPr>
            <w:webHidden/>
          </w:rPr>
          <w:tab/>
        </w:r>
        <w:r w:rsidR="000B0AC7">
          <w:rPr>
            <w:webHidden/>
          </w:rPr>
          <w:fldChar w:fldCharType="begin"/>
        </w:r>
        <w:r w:rsidR="000B0AC7">
          <w:rPr>
            <w:webHidden/>
          </w:rPr>
          <w:instrText xml:space="preserve"> PAGEREF _Toc135323672 \h </w:instrText>
        </w:r>
        <w:r w:rsidR="000B0AC7">
          <w:rPr>
            <w:webHidden/>
          </w:rPr>
        </w:r>
        <w:r w:rsidR="000B0AC7">
          <w:rPr>
            <w:webHidden/>
          </w:rPr>
          <w:fldChar w:fldCharType="separate"/>
        </w:r>
        <w:r w:rsidR="000B0AC7">
          <w:rPr>
            <w:webHidden/>
          </w:rPr>
          <w:t>i</w:t>
        </w:r>
        <w:r w:rsidR="000B0AC7">
          <w:rPr>
            <w:webHidden/>
          </w:rPr>
          <w:fldChar w:fldCharType="end"/>
        </w:r>
      </w:hyperlink>
    </w:p>
    <w:p w14:paraId="47F6CA18" w14:textId="19925D54" w:rsidR="000B0AC7" w:rsidRDefault="00096035">
      <w:pPr>
        <w:pStyle w:val="TOC1"/>
        <w:rPr>
          <w:rFonts w:asciiTheme="minorHAnsi" w:eastAsiaTheme="minorEastAsia" w:hAnsiTheme="minorHAnsi" w:cstheme="minorBidi"/>
          <w:b w:val="0"/>
          <w:color w:val="auto"/>
          <w:kern w:val="2"/>
          <w:sz w:val="22"/>
          <w:lang w:eastAsia="en-AU"/>
          <w14:ligatures w14:val="standardContextual"/>
        </w:rPr>
      </w:pPr>
      <w:hyperlink w:anchor="_Toc135323673" w:history="1">
        <w:r w:rsidR="000B0AC7" w:rsidRPr="007A19AD">
          <w:rPr>
            <w:rStyle w:val="Hyperlink"/>
          </w:rPr>
          <w:t>Executive summary</w:t>
        </w:r>
        <w:r w:rsidR="000B0AC7">
          <w:rPr>
            <w:webHidden/>
          </w:rPr>
          <w:tab/>
        </w:r>
        <w:r w:rsidR="000B0AC7">
          <w:rPr>
            <w:webHidden/>
          </w:rPr>
          <w:fldChar w:fldCharType="begin"/>
        </w:r>
        <w:r w:rsidR="000B0AC7">
          <w:rPr>
            <w:webHidden/>
          </w:rPr>
          <w:instrText xml:space="preserve"> PAGEREF _Toc135323673 \h </w:instrText>
        </w:r>
        <w:r w:rsidR="000B0AC7">
          <w:rPr>
            <w:webHidden/>
          </w:rPr>
        </w:r>
        <w:r w:rsidR="000B0AC7">
          <w:rPr>
            <w:webHidden/>
          </w:rPr>
          <w:fldChar w:fldCharType="separate"/>
        </w:r>
        <w:r w:rsidR="000B0AC7">
          <w:rPr>
            <w:webHidden/>
          </w:rPr>
          <w:t>iv</w:t>
        </w:r>
        <w:r w:rsidR="000B0AC7">
          <w:rPr>
            <w:webHidden/>
          </w:rPr>
          <w:fldChar w:fldCharType="end"/>
        </w:r>
      </w:hyperlink>
    </w:p>
    <w:p w14:paraId="61B3DD8C" w14:textId="7848E2B5" w:rsidR="000B0AC7" w:rsidRDefault="00096035">
      <w:pPr>
        <w:pStyle w:val="TOC2"/>
        <w:rPr>
          <w:rFonts w:asciiTheme="minorHAnsi" w:eastAsiaTheme="minorEastAsia" w:hAnsiTheme="minorHAnsi" w:cstheme="minorBidi"/>
          <w:b w:val="0"/>
          <w:color w:val="auto"/>
          <w:kern w:val="2"/>
          <w:sz w:val="22"/>
          <w:lang w:eastAsia="en-AU"/>
          <w14:ligatures w14:val="standardContextual"/>
        </w:rPr>
      </w:pPr>
      <w:hyperlink w:anchor="_Toc135323674" w:history="1">
        <w:r w:rsidR="000B0AC7" w:rsidRPr="007A19AD">
          <w:rPr>
            <w:rStyle w:val="Hyperlink"/>
          </w:rPr>
          <w:t>1</w:t>
        </w:r>
        <w:r w:rsidR="000B0AC7">
          <w:rPr>
            <w:rFonts w:asciiTheme="minorHAnsi" w:eastAsiaTheme="minorEastAsia" w:hAnsiTheme="minorHAnsi" w:cstheme="minorBidi"/>
            <w:b w:val="0"/>
            <w:color w:val="auto"/>
            <w:kern w:val="2"/>
            <w:sz w:val="22"/>
            <w:lang w:eastAsia="en-AU"/>
            <w14:ligatures w14:val="standardContextual"/>
          </w:rPr>
          <w:tab/>
        </w:r>
        <w:r w:rsidR="000B0AC7" w:rsidRPr="007A19AD">
          <w:rPr>
            <w:rStyle w:val="Hyperlink"/>
          </w:rPr>
          <w:t>Introduction</w:t>
        </w:r>
        <w:r w:rsidR="000B0AC7">
          <w:rPr>
            <w:webHidden/>
          </w:rPr>
          <w:tab/>
        </w:r>
        <w:r w:rsidR="000B0AC7">
          <w:rPr>
            <w:webHidden/>
          </w:rPr>
          <w:fldChar w:fldCharType="begin"/>
        </w:r>
        <w:r w:rsidR="000B0AC7">
          <w:rPr>
            <w:webHidden/>
          </w:rPr>
          <w:instrText xml:space="preserve"> PAGEREF _Toc135323674 \h </w:instrText>
        </w:r>
        <w:r w:rsidR="000B0AC7">
          <w:rPr>
            <w:webHidden/>
          </w:rPr>
        </w:r>
        <w:r w:rsidR="000B0AC7">
          <w:rPr>
            <w:webHidden/>
          </w:rPr>
          <w:fldChar w:fldCharType="separate"/>
        </w:r>
        <w:r w:rsidR="000B0AC7">
          <w:rPr>
            <w:webHidden/>
          </w:rPr>
          <w:t>1</w:t>
        </w:r>
        <w:r w:rsidR="000B0AC7">
          <w:rPr>
            <w:webHidden/>
          </w:rPr>
          <w:fldChar w:fldCharType="end"/>
        </w:r>
      </w:hyperlink>
    </w:p>
    <w:p w14:paraId="4C47341A" w14:textId="51D711F4" w:rsidR="000B0AC7" w:rsidRDefault="00096035">
      <w:pPr>
        <w:pStyle w:val="TOC3"/>
        <w:tabs>
          <w:tab w:val="left" w:pos="1122"/>
        </w:tabs>
        <w:rPr>
          <w:rFonts w:asciiTheme="minorHAnsi" w:eastAsiaTheme="minorEastAsia" w:hAnsiTheme="minorHAnsi"/>
          <w:color w:val="auto"/>
          <w:kern w:val="2"/>
          <w:position w:val="0"/>
          <w:lang w:eastAsia="en-AU"/>
          <w14:ligatures w14:val="standardContextual"/>
        </w:rPr>
      </w:pPr>
      <w:hyperlink w:anchor="_Toc135323675" w:history="1">
        <w:r w:rsidR="000B0AC7" w:rsidRPr="007A19AD">
          <w:rPr>
            <w:rStyle w:val="Hyperlink"/>
          </w:rPr>
          <w:t>1.1</w:t>
        </w:r>
        <w:r w:rsidR="000B0AC7">
          <w:rPr>
            <w:rFonts w:asciiTheme="minorHAnsi" w:eastAsiaTheme="minorEastAsia" w:hAnsiTheme="minorHAnsi"/>
            <w:color w:val="auto"/>
            <w:kern w:val="2"/>
            <w:position w:val="0"/>
            <w:lang w:eastAsia="en-AU"/>
            <w14:ligatures w14:val="standardContextual"/>
          </w:rPr>
          <w:tab/>
        </w:r>
        <w:r w:rsidR="000B0AC7" w:rsidRPr="007A19AD">
          <w:rPr>
            <w:rStyle w:val="Hyperlink"/>
          </w:rPr>
          <w:t>The Australian Research Council</w:t>
        </w:r>
        <w:r w:rsidR="000B0AC7">
          <w:rPr>
            <w:webHidden/>
          </w:rPr>
          <w:tab/>
        </w:r>
        <w:r w:rsidR="000B0AC7">
          <w:rPr>
            <w:webHidden/>
          </w:rPr>
          <w:fldChar w:fldCharType="begin"/>
        </w:r>
        <w:r w:rsidR="000B0AC7">
          <w:rPr>
            <w:webHidden/>
          </w:rPr>
          <w:instrText xml:space="preserve"> PAGEREF _Toc135323675 \h </w:instrText>
        </w:r>
        <w:r w:rsidR="000B0AC7">
          <w:rPr>
            <w:webHidden/>
          </w:rPr>
        </w:r>
        <w:r w:rsidR="000B0AC7">
          <w:rPr>
            <w:webHidden/>
          </w:rPr>
          <w:fldChar w:fldCharType="separate"/>
        </w:r>
        <w:r w:rsidR="000B0AC7">
          <w:rPr>
            <w:webHidden/>
          </w:rPr>
          <w:t>1</w:t>
        </w:r>
        <w:r w:rsidR="000B0AC7">
          <w:rPr>
            <w:webHidden/>
          </w:rPr>
          <w:fldChar w:fldCharType="end"/>
        </w:r>
      </w:hyperlink>
    </w:p>
    <w:p w14:paraId="62A6A707" w14:textId="62A3F55A" w:rsidR="000B0AC7" w:rsidRDefault="00096035">
      <w:pPr>
        <w:pStyle w:val="TOC3"/>
        <w:tabs>
          <w:tab w:val="left" w:pos="1122"/>
        </w:tabs>
        <w:rPr>
          <w:rFonts w:asciiTheme="minorHAnsi" w:eastAsiaTheme="minorEastAsia" w:hAnsiTheme="minorHAnsi"/>
          <w:color w:val="auto"/>
          <w:kern w:val="2"/>
          <w:position w:val="0"/>
          <w:lang w:eastAsia="en-AU"/>
          <w14:ligatures w14:val="standardContextual"/>
        </w:rPr>
      </w:pPr>
      <w:hyperlink w:anchor="_Toc135323676" w:history="1">
        <w:r w:rsidR="000B0AC7" w:rsidRPr="007A19AD">
          <w:rPr>
            <w:rStyle w:val="Hyperlink"/>
          </w:rPr>
          <w:t>1.2</w:t>
        </w:r>
        <w:r w:rsidR="000B0AC7">
          <w:rPr>
            <w:rFonts w:asciiTheme="minorHAnsi" w:eastAsiaTheme="minorEastAsia" w:hAnsiTheme="minorHAnsi"/>
            <w:color w:val="auto"/>
            <w:kern w:val="2"/>
            <w:position w:val="0"/>
            <w:lang w:eastAsia="en-AU"/>
            <w14:ligatures w14:val="standardContextual"/>
          </w:rPr>
          <w:tab/>
        </w:r>
        <w:r w:rsidR="000B0AC7" w:rsidRPr="007A19AD">
          <w:rPr>
            <w:rStyle w:val="Hyperlink"/>
          </w:rPr>
          <w:t>Australian Government research funding</w:t>
        </w:r>
        <w:r w:rsidR="000B0AC7">
          <w:rPr>
            <w:webHidden/>
          </w:rPr>
          <w:tab/>
        </w:r>
        <w:r w:rsidR="000B0AC7">
          <w:rPr>
            <w:webHidden/>
          </w:rPr>
          <w:fldChar w:fldCharType="begin"/>
        </w:r>
        <w:r w:rsidR="000B0AC7">
          <w:rPr>
            <w:webHidden/>
          </w:rPr>
          <w:instrText xml:space="preserve"> PAGEREF _Toc135323676 \h </w:instrText>
        </w:r>
        <w:r w:rsidR="000B0AC7">
          <w:rPr>
            <w:webHidden/>
          </w:rPr>
        </w:r>
        <w:r w:rsidR="000B0AC7">
          <w:rPr>
            <w:webHidden/>
          </w:rPr>
          <w:fldChar w:fldCharType="separate"/>
        </w:r>
        <w:r w:rsidR="000B0AC7">
          <w:rPr>
            <w:webHidden/>
          </w:rPr>
          <w:t>3</w:t>
        </w:r>
        <w:r w:rsidR="000B0AC7">
          <w:rPr>
            <w:webHidden/>
          </w:rPr>
          <w:fldChar w:fldCharType="end"/>
        </w:r>
      </w:hyperlink>
    </w:p>
    <w:p w14:paraId="2E62B2BA" w14:textId="3A2668EE" w:rsidR="000B0AC7" w:rsidRDefault="00096035">
      <w:pPr>
        <w:pStyle w:val="TOC3"/>
        <w:tabs>
          <w:tab w:val="left" w:pos="1122"/>
        </w:tabs>
        <w:rPr>
          <w:rFonts w:asciiTheme="minorHAnsi" w:eastAsiaTheme="minorEastAsia" w:hAnsiTheme="minorHAnsi"/>
          <w:color w:val="auto"/>
          <w:kern w:val="2"/>
          <w:position w:val="0"/>
          <w:lang w:eastAsia="en-AU"/>
          <w14:ligatures w14:val="standardContextual"/>
        </w:rPr>
      </w:pPr>
      <w:hyperlink w:anchor="_Toc135323677" w:history="1">
        <w:r w:rsidR="000B0AC7" w:rsidRPr="007A19AD">
          <w:rPr>
            <w:rStyle w:val="Hyperlink"/>
          </w:rPr>
          <w:t>1.3</w:t>
        </w:r>
        <w:r w:rsidR="000B0AC7">
          <w:rPr>
            <w:rFonts w:asciiTheme="minorHAnsi" w:eastAsiaTheme="minorEastAsia" w:hAnsiTheme="minorHAnsi"/>
            <w:color w:val="auto"/>
            <w:kern w:val="2"/>
            <w:position w:val="0"/>
            <w:lang w:eastAsia="en-AU"/>
            <w14:ligatures w14:val="standardContextual"/>
          </w:rPr>
          <w:tab/>
        </w:r>
        <w:r w:rsidR="000B0AC7" w:rsidRPr="007A19AD">
          <w:rPr>
            <w:rStyle w:val="Hyperlink"/>
          </w:rPr>
          <w:t>This evaluation</w:t>
        </w:r>
        <w:r w:rsidR="000B0AC7">
          <w:rPr>
            <w:webHidden/>
          </w:rPr>
          <w:tab/>
        </w:r>
        <w:r w:rsidR="000B0AC7">
          <w:rPr>
            <w:webHidden/>
          </w:rPr>
          <w:fldChar w:fldCharType="begin"/>
        </w:r>
        <w:r w:rsidR="000B0AC7">
          <w:rPr>
            <w:webHidden/>
          </w:rPr>
          <w:instrText xml:space="preserve"> PAGEREF _Toc135323677 \h </w:instrText>
        </w:r>
        <w:r w:rsidR="000B0AC7">
          <w:rPr>
            <w:webHidden/>
          </w:rPr>
        </w:r>
        <w:r w:rsidR="000B0AC7">
          <w:rPr>
            <w:webHidden/>
          </w:rPr>
          <w:fldChar w:fldCharType="separate"/>
        </w:r>
        <w:r w:rsidR="000B0AC7">
          <w:rPr>
            <w:webHidden/>
          </w:rPr>
          <w:t>4</w:t>
        </w:r>
        <w:r w:rsidR="000B0AC7">
          <w:rPr>
            <w:webHidden/>
          </w:rPr>
          <w:fldChar w:fldCharType="end"/>
        </w:r>
      </w:hyperlink>
    </w:p>
    <w:p w14:paraId="1B6F54BA" w14:textId="233C57D9" w:rsidR="000B0AC7" w:rsidRDefault="00096035">
      <w:pPr>
        <w:pStyle w:val="TOC3"/>
        <w:tabs>
          <w:tab w:val="left" w:pos="1122"/>
        </w:tabs>
        <w:rPr>
          <w:rFonts w:asciiTheme="minorHAnsi" w:eastAsiaTheme="minorEastAsia" w:hAnsiTheme="minorHAnsi"/>
          <w:color w:val="auto"/>
          <w:kern w:val="2"/>
          <w:position w:val="0"/>
          <w:lang w:eastAsia="en-AU"/>
          <w14:ligatures w14:val="standardContextual"/>
        </w:rPr>
      </w:pPr>
      <w:hyperlink w:anchor="_Toc135323678" w:history="1">
        <w:r w:rsidR="000B0AC7" w:rsidRPr="007A19AD">
          <w:rPr>
            <w:rStyle w:val="Hyperlink"/>
          </w:rPr>
          <w:t>1.4</w:t>
        </w:r>
        <w:r w:rsidR="000B0AC7">
          <w:rPr>
            <w:rFonts w:asciiTheme="minorHAnsi" w:eastAsiaTheme="minorEastAsia" w:hAnsiTheme="minorHAnsi"/>
            <w:color w:val="auto"/>
            <w:kern w:val="2"/>
            <w:position w:val="0"/>
            <w:lang w:eastAsia="en-AU"/>
            <w14:ligatures w14:val="standardContextual"/>
          </w:rPr>
          <w:tab/>
        </w:r>
        <w:r w:rsidR="000B0AC7" w:rsidRPr="007A19AD">
          <w:rPr>
            <w:rStyle w:val="Hyperlink"/>
          </w:rPr>
          <w:t>How to read and use this report</w:t>
        </w:r>
        <w:r w:rsidR="000B0AC7">
          <w:rPr>
            <w:webHidden/>
          </w:rPr>
          <w:tab/>
        </w:r>
        <w:r w:rsidR="000B0AC7">
          <w:rPr>
            <w:webHidden/>
          </w:rPr>
          <w:fldChar w:fldCharType="begin"/>
        </w:r>
        <w:r w:rsidR="000B0AC7">
          <w:rPr>
            <w:webHidden/>
          </w:rPr>
          <w:instrText xml:space="preserve"> PAGEREF _Toc135323678 \h </w:instrText>
        </w:r>
        <w:r w:rsidR="000B0AC7">
          <w:rPr>
            <w:webHidden/>
          </w:rPr>
        </w:r>
        <w:r w:rsidR="000B0AC7">
          <w:rPr>
            <w:webHidden/>
          </w:rPr>
          <w:fldChar w:fldCharType="separate"/>
        </w:r>
        <w:r w:rsidR="000B0AC7">
          <w:rPr>
            <w:webHidden/>
          </w:rPr>
          <w:t>7</w:t>
        </w:r>
        <w:r w:rsidR="000B0AC7">
          <w:rPr>
            <w:webHidden/>
          </w:rPr>
          <w:fldChar w:fldCharType="end"/>
        </w:r>
      </w:hyperlink>
    </w:p>
    <w:p w14:paraId="19121E2B" w14:textId="77F12266" w:rsidR="000B0AC7" w:rsidRDefault="00096035">
      <w:pPr>
        <w:pStyle w:val="TOC3"/>
        <w:tabs>
          <w:tab w:val="left" w:pos="1122"/>
        </w:tabs>
        <w:rPr>
          <w:rFonts w:asciiTheme="minorHAnsi" w:eastAsiaTheme="minorEastAsia" w:hAnsiTheme="minorHAnsi"/>
          <w:color w:val="auto"/>
          <w:kern w:val="2"/>
          <w:position w:val="0"/>
          <w:lang w:eastAsia="en-AU"/>
          <w14:ligatures w14:val="standardContextual"/>
        </w:rPr>
      </w:pPr>
      <w:hyperlink w:anchor="_Toc135323679" w:history="1">
        <w:r w:rsidR="000B0AC7" w:rsidRPr="007A19AD">
          <w:rPr>
            <w:rStyle w:val="Hyperlink"/>
          </w:rPr>
          <w:t>1.5</w:t>
        </w:r>
        <w:r w:rsidR="000B0AC7">
          <w:rPr>
            <w:rFonts w:asciiTheme="minorHAnsi" w:eastAsiaTheme="minorEastAsia" w:hAnsiTheme="minorHAnsi"/>
            <w:color w:val="auto"/>
            <w:kern w:val="2"/>
            <w:position w:val="0"/>
            <w:lang w:eastAsia="en-AU"/>
            <w14:ligatures w14:val="standardContextual"/>
          </w:rPr>
          <w:tab/>
        </w:r>
        <w:r w:rsidR="000B0AC7" w:rsidRPr="007A19AD">
          <w:rPr>
            <w:rStyle w:val="Hyperlink"/>
          </w:rPr>
          <w:t>Report structure</w:t>
        </w:r>
        <w:r w:rsidR="000B0AC7">
          <w:rPr>
            <w:webHidden/>
          </w:rPr>
          <w:tab/>
        </w:r>
        <w:r w:rsidR="000B0AC7">
          <w:rPr>
            <w:webHidden/>
          </w:rPr>
          <w:fldChar w:fldCharType="begin"/>
        </w:r>
        <w:r w:rsidR="000B0AC7">
          <w:rPr>
            <w:webHidden/>
          </w:rPr>
          <w:instrText xml:space="preserve"> PAGEREF _Toc135323679 \h </w:instrText>
        </w:r>
        <w:r w:rsidR="000B0AC7">
          <w:rPr>
            <w:webHidden/>
          </w:rPr>
        </w:r>
        <w:r w:rsidR="000B0AC7">
          <w:rPr>
            <w:webHidden/>
          </w:rPr>
          <w:fldChar w:fldCharType="separate"/>
        </w:r>
        <w:r w:rsidR="000B0AC7">
          <w:rPr>
            <w:webHidden/>
          </w:rPr>
          <w:t>8</w:t>
        </w:r>
        <w:r w:rsidR="000B0AC7">
          <w:rPr>
            <w:webHidden/>
          </w:rPr>
          <w:fldChar w:fldCharType="end"/>
        </w:r>
      </w:hyperlink>
    </w:p>
    <w:p w14:paraId="671C0CBE" w14:textId="5570D802" w:rsidR="000B0AC7" w:rsidRDefault="00096035">
      <w:pPr>
        <w:pStyle w:val="TOC1"/>
        <w:rPr>
          <w:rFonts w:asciiTheme="minorHAnsi" w:eastAsiaTheme="minorEastAsia" w:hAnsiTheme="minorHAnsi" w:cstheme="minorBidi"/>
          <w:b w:val="0"/>
          <w:color w:val="auto"/>
          <w:kern w:val="2"/>
          <w:sz w:val="22"/>
          <w:lang w:eastAsia="en-AU"/>
          <w14:ligatures w14:val="standardContextual"/>
        </w:rPr>
      </w:pPr>
      <w:hyperlink w:anchor="_Toc135323680" w:history="1">
        <w:r w:rsidR="000B0AC7" w:rsidRPr="007A19AD">
          <w:rPr>
            <w:rStyle w:val="Hyperlink"/>
          </w:rPr>
          <w:t>Impact report</w:t>
        </w:r>
        <w:r w:rsidR="000B0AC7">
          <w:rPr>
            <w:webHidden/>
          </w:rPr>
          <w:tab/>
        </w:r>
        <w:r w:rsidR="000B0AC7">
          <w:rPr>
            <w:webHidden/>
          </w:rPr>
          <w:fldChar w:fldCharType="begin"/>
        </w:r>
        <w:r w:rsidR="000B0AC7">
          <w:rPr>
            <w:webHidden/>
          </w:rPr>
          <w:instrText xml:space="preserve"> PAGEREF _Toc135323680 \h </w:instrText>
        </w:r>
        <w:r w:rsidR="000B0AC7">
          <w:rPr>
            <w:webHidden/>
          </w:rPr>
        </w:r>
        <w:r w:rsidR="000B0AC7">
          <w:rPr>
            <w:webHidden/>
          </w:rPr>
          <w:fldChar w:fldCharType="separate"/>
        </w:r>
        <w:r w:rsidR="000B0AC7">
          <w:rPr>
            <w:webHidden/>
          </w:rPr>
          <w:t>10</w:t>
        </w:r>
        <w:r w:rsidR="000B0AC7">
          <w:rPr>
            <w:webHidden/>
          </w:rPr>
          <w:fldChar w:fldCharType="end"/>
        </w:r>
      </w:hyperlink>
    </w:p>
    <w:p w14:paraId="3A21CCE9" w14:textId="1C31D066" w:rsidR="000B0AC7" w:rsidRDefault="00096035">
      <w:pPr>
        <w:pStyle w:val="TOC2"/>
        <w:rPr>
          <w:rFonts w:asciiTheme="minorHAnsi" w:eastAsiaTheme="minorEastAsia" w:hAnsiTheme="minorHAnsi" w:cstheme="minorBidi"/>
          <w:b w:val="0"/>
          <w:color w:val="auto"/>
          <w:kern w:val="2"/>
          <w:sz w:val="22"/>
          <w:lang w:eastAsia="en-AU"/>
          <w14:ligatures w14:val="standardContextual"/>
        </w:rPr>
      </w:pPr>
      <w:hyperlink w:anchor="_Toc135323681" w:history="1">
        <w:r w:rsidR="000B0AC7" w:rsidRPr="007A19AD">
          <w:rPr>
            <w:rStyle w:val="Hyperlink"/>
          </w:rPr>
          <w:t>2</w:t>
        </w:r>
        <w:r w:rsidR="000B0AC7">
          <w:rPr>
            <w:rFonts w:asciiTheme="minorHAnsi" w:eastAsiaTheme="minorEastAsia" w:hAnsiTheme="minorHAnsi" w:cstheme="minorBidi"/>
            <w:b w:val="0"/>
            <w:color w:val="auto"/>
            <w:kern w:val="2"/>
            <w:sz w:val="22"/>
            <w:lang w:eastAsia="en-AU"/>
            <w14:ligatures w14:val="standardContextual"/>
          </w:rPr>
          <w:tab/>
        </w:r>
        <w:r w:rsidR="000B0AC7" w:rsidRPr="007A19AD">
          <w:rPr>
            <w:rStyle w:val="Hyperlink"/>
          </w:rPr>
          <w:t>Economic impacts of NCGP-funded research</w:t>
        </w:r>
        <w:r w:rsidR="000B0AC7">
          <w:rPr>
            <w:webHidden/>
          </w:rPr>
          <w:tab/>
        </w:r>
        <w:r w:rsidR="000B0AC7">
          <w:rPr>
            <w:webHidden/>
          </w:rPr>
          <w:fldChar w:fldCharType="begin"/>
        </w:r>
        <w:r w:rsidR="000B0AC7">
          <w:rPr>
            <w:webHidden/>
          </w:rPr>
          <w:instrText xml:space="preserve"> PAGEREF _Toc135323681 \h </w:instrText>
        </w:r>
        <w:r w:rsidR="000B0AC7">
          <w:rPr>
            <w:webHidden/>
          </w:rPr>
        </w:r>
        <w:r w:rsidR="000B0AC7">
          <w:rPr>
            <w:webHidden/>
          </w:rPr>
          <w:fldChar w:fldCharType="separate"/>
        </w:r>
        <w:r w:rsidR="000B0AC7">
          <w:rPr>
            <w:webHidden/>
          </w:rPr>
          <w:t>11</w:t>
        </w:r>
        <w:r w:rsidR="000B0AC7">
          <w:rPr>
            <w:webHidden/>
          </w:rPr>
          <w:fldChar w:fldCharType="end"/>
        </w:r>
      </w:hyperlink>
    </w:p>
    <w:p w14:paraId="3DBED219" w14:textId="4AB1BFF9" w:rsidR="000B0AC7" w:rsidRDefault="00096035">
      <w:pPr>
        <w:pStyle w:val="TOC3"/>
        <w:tabs>
          <w:tab w:val="left" w:pos="1122"/>
        </w:tabs>
        <w:rPr>
          <w:rFonts w:asciiTheme="minorHAnsi" w:eastAsiaTheme="minorEastAsia" w:hAnsiTheme="minorHAnsi"/>
          <w:color w:val="auto"/>
          <w:kern w:val="2"/>
          <w:position w:val="0"/>
          <w:lang w:eastAsia="en-AU"/>
          <w14:ligatures w14:val="standardContextual"/>
        </w:rPr>
      </w:pPr>
      <w:hyperlink w:anchor="_Toc135323682" w:history="1">
        <w:r w:rsidR="000B0AC7" w:rsidRPr="007A19AD">
          <w:rPr>
            <w:rStyle w:val="Hyperlink"/>
          </w:rPr>
          <w:t>2.1</w:t>
        </w:r>
        <w:r w:rsidR="000B0AC7">
          <w:rPr>
            <w:rFonts w:asciiTheme="minorHAnsi" w:eastAsiaTheme="minorEastAsia" w:hAnsiTheme="minorHAnsi"/>
            <w:color w:val="auto"/>
            <w:kern w:val="2"/>
            <w:position w:val="0"/>
            <w:lang w:eastAsia="en-AU"/>
            <w14:ligatures w14:val="standardContextual"/>
          </w:rPr>
          <w:tab/>
        </w:r>
        <w:r w:rsidR="000B0AC7" w:rsidRPr="007A19AD">
          <w:rPr>
            <w:rStyle w:val="Hyperlink"/>
          </w:rPr>
          <w:t>NCGP’s return on investment: modelled impacts</w:t>
        </w:r>
        <w:r w:rsidR="000B0AC7">
          <w:rPr>
            <w:webHidden/>
          </w:rPr>
          <w:tab/>
        </w:r>
        <w:r w:rsidR="000B0AC7">
          <w:rPr>
            <w:webHidden/>
          </w:rPr>
          <w:fldChar w:fldCharType="begin"/>
        </w:r>
        <w:r w:rsidR="000B0AC7">
          <w:rPr>
            <w:webHidden/>
          </w:rPr>
          <w:instrText xml:space="preserve"> PAGEREF _Toc135323682 \h </w:instrText>
        </w:r>
        <w:r w:rsidR="000B0AC7">
          <w:rPr>
            <w:webHidden/>
          </w:rPr>
        </w:r>
        <w:r w:rsidR="000B0AC7">
          <w:rPr>
            <w:webHidden/>
          </w:rPr>
          <w:fldChar w:fldCharType="separate"/>
        </w:r>
        <w:r w:rsidR="000B0AC7">
          <w:rPr>
            <w:webHidden/>
          </w:rPr>
          <w:t>11</w:t>
        </w:r>
        <w:r w:rsidR="000B0AC7">
          <w:rPr>
            <w:webHidden/>
          </w:rPr>
          <w:fldChar w:fldCharType="end"/>
        </w:r>
      </w:hyperlink>
    </w:p>
    <w:p w14:paraId="5C8EDF8C" w14:textId="61ECFA12" w:rsidR="000B0AC7" w:rsidRDefault="00096035">
      <w:pPr>
        <w:pStyle w:val="TOC3"/>
        <w:tabs>
          <w:tab w:val="left" w:pos="1122"/>
        </w:tabs>
        <w:rPr>
          <w:rFonts w:asciiTheme="minorHAnsi" w:eastAsiaTheme="minorEastAsia" w:hAnsiTheme="minorHAnsi"/>
          <w:color w:val="auto"/>
          <w:kern w:val="2"/>
          <w:position w:val="0"/>
          <w:lang w:eastAsia="en-AU"/>
          <w14:ligatures w14:val="standardContextual"/>
        </w:rPr>
      </w:pPr>
      <w:hyperlink w:anchor="_Toc135323683" w:history="1">
        <w:r w:rsidR="000B0AC7" w:rsidRPr="007A19AD">
          <w:rPr>
            <w:rStyle w:val="Hyperlink"/>
          </w:rPr>
          <w:t>2.2</w:t>
        </w:r>
        <w:r w:rsidR="000B0AC7">
          <w:rPr>
            <w:rFonts w:asciiTheme="minorHAnsi" w:eastAsiaTheme="minorEastAsia" w:hAnsiTheme="minorHAnsi"/>
            <w:color w:val="auto"/>
            <w:kern w:val="2"/>
            <w:position w:val="0"/>
            <w:lang w:eastAsia="en-AU"/>
            <w14:ligatures w14:val="standardContextual"/>
          </w:rPr>
          <w:tab/>
        </w:r>
        <w:r w:rsidR="000B0AC7" w:rsidRPr="007A19AD">
          <w:rPr>
            <w:rStyle w:val="Hyperlink"/>
          </w:rPr>
          <w:t>Other economic impacts</w:t>
        </w:r>
        <w:r w:rsidR="000B0AC7">
          <w:rPr>
            <w:webHidden/>
          </w:rPr>
          <w:tab/>
        </w:r>
        <w:r w:rsidR="000B0AC7">
          <w:rPr>
            <w:webHidden/>
          </w:rPr>
          <w:fldChar w:fldCharType="begin"/>
        </w:r>
        <w:r w:rsidR="000B0AC7">
          <w:rPr>
            <w:webHidden/>
          </w:rPr>
          <w:instrText xml:space="preserve"> PAGEREF _Toc135323683 \h </w:instrText>
        </w:r>
        <w:r w:rsidR="000B0AC7">
          <w:rPr>
            <w:webHidden/>
          </w:rPr>
        </w:r>
        <w:r w:rsidR="000B0AC7">
          <w:rPr>
            <w:webHidden/>
          </w:rPr>
          <w:fldChar w:fldCharType="separate"/>
        </w:r>
        <w:r w:rsidR="000B0AC7">
          <w:rPr>
            <w:webHidden/>
          </w:rPr>
          <w:t>25</w:t>
        </w:r>
        <w:r w:rsidR="000B0AC7">
          <w:rPr>
            <w:webHidden/>
          </w:rPr>
          <w:fldChar w:fldCharType="end"/>
        </w:r>
      </w:hyperlink>
    </w:p>
    <w:p w14:paraId="7022EF39" w14:textId="44237991" w:rsidR="000B0AC7" w:rsidRDefault="00096035">
      <w:pPr>
        <w:pStyle w:val="TOC3"/>
        <w:tabs>
          <w:tab w:val="left" w:pos="1122"/>
        </w:tabs>
        <w:rPr>
          <w:rFonts w:asciiTheme="minorHAnsi" w:eastAsiaTheme="minorEastAsia" w:hAnsiTheme="minorHAnsi"/>
          <w:color w:val="auto"/>
          <w:kern w:val="2"/>
          <w:position w:val="0"/>
          <w:lang w:eastAsia="en-AU"/>
          <w14:ligatures w14:val="standardContextual"/>
        </w:rPr>
      </w:pPr>
      <w:hyperlink w:anchor="_Toc135323684" w:history="1">
        <w:r w:rsidR="000B0AC7" w:rsidRPr="007A19AD">
          <w:rPr>
            <w:rStyle w:val="Hyperlink"/>
          </w:rPr>
          <w:t>2.3</w:t>
        </w:r>
        <w:r w:rsidR="000B0AC7">
          <w:rPr>
            <w:rFonts w:asciiTheme="minorHAnsi" w:eastAsiaTheme="minorEastAsia" w:hAnsiTheme="minorHAnsi"/>
            <w:color w:val="auto"/>
            <w:kern w:val="2"/>
            <w:position w:val="0"/>
            <w:lang w:eastAsia="en-AU"/>
            <w14:ligatures w14:val="standardContextual"/>
          </w:rPr>
          <w:tab/>
        </w:r>
        <w:r w:rsidR="000B0AC7" w:rsidRPr="007A19AD">
          <w:rPr>
            <w:rStyle w:val="Hyperlink"/>
          </w:rPr>
          <w:t>Case studies of excellent research that delivers quantifiable impact</w:t>
        </w:r>
        <w:r w:rsidR="000B0AC7">
          <w:rPr>
            <w:webHidden/>
          </w:rPr>
          <w:tab/>
        </w:r>
        <w:r w:rsidR="000B0AC7">
          <w:rPr>
            <w:webHidden/>
          </w:rPr>
          <w:fldChar w:fldCharType="begin"/>
        </w:r>
        <w:r w:rsidR="000B0AC7">
          <w:rPr>
            <w:webHidden/>
          </w:rPr>
          <w:instrText xml:space="preserve"> PAGEREF _Toc135323684 \h </w:instrText>
        </w:r>
        <w:r w:rsidR="000B0AC7">
          <w:rPr>
            <w:webHidden/>
          </w:rPr>
        </w:r>
        <w:r w:rsidR="000B0AC7">
          <w:rPr>
            <w:webHidden/>
          </w:rPr>
          <w:fldChar w:fldCharType="separate"/>
        </w:r>
        <w:r w:rsidR="000B0AC7">
          <w:rPr>
            <w:webHidden/>
          </w:rPr>
          <w:t>29</w:t>
        </w:r>
        <w:r w:rsidR="000B0AC7">
          <w:rPr>
            <w:webHidden/>
          </w:rPr>
          <w:fldChar w:fldCharType="end"/>
        </w:r>
      </w:hyperlink>
    </w:p>
    <w:p w14:paraId="07405718" w14:textId="6872E81D" w:rsidR="000B0AC7" w:rsidRDefault="00096035">
      <w:pPr>
        <w:pStyle w:val="TOC2"/>
        <w:rPr>
          <w:rFonts w:asciiTheme="minorHAnsi" w:eastAsiaTheme="minorEastAsia" w:hAnsiTheme="minorHAnsi" w:cstheme="minorBidi"/>
          <w:b w:val="0"/>
          <w:color w:val="auto"/>
          <w:kern w:val="2"/>
          <w:sz w:val="22"/>
          <w:lang w:eastAsia="en-AU"/>
          <w14:ligatures w14:val="standardContextual"/>
        </w:rPr>
      </w:pPr>
      <w:hyperlink w:anchor="_Toc135323685" w:history="1">
        <w:r w:rsidR="000B0AC7" w:rsidRPr="007A19AD">
          <w:rPr>
            <w:rStyle w:val="Hyperlink"/>
          </w:rPr>
          <w:t>3</w:t>
        </w:r>
        <w:r w:rsidR="000B0AC7">
          <w:rPr>
            <w:rFonts w:asciiTheme="minorHAnsi" w:eastAsiaTheme="minorEastAsia" w:hAnsiTheme="minorHAnsi" w:cstheme="minorBidi"/>
            <w:b w:val="0"/>
            <w:color w:val="auto"/>
            <w:kern w:val="2"/>
            <w:sz w:val="22"/>
            <w:lang w:eastAsia="en-AU"/>
            <w14:ligatures w14:val="standardContextual"/>
          </w:rPr>
          <w:tab/>
        </w:r>
        <w:r w:rsidR="000B0AC7" w:rsidRPr="007A19AD">
          <w:rPr>
            <w:rStyle w:val="Hyperlink"/>
          </w:rPr>
          <w:t>Broader impacts of NCGP-funded research</w:t>
        </w:r>
        <w:r w:rsidR="000B0AC7">
          <w:rPr>
            <w:webHidden/>
          </w:rPr>
          <w:tab/>
        </w:r>
        <w:r w:rsidR="000B0AC7">
          <w:rPr>
            <w:webHidden/>
          </w:rPr>
          <w:fldChar w:fldCharType="begin"/>
        </w:r>
        <w:r w:rsidR="000B0AC7">
          <w:rPr>
            <w:webHidden/>
          </w:rPr>
          <w:instrText xml:space="preserve"> PAGEREF _Toc135323685 \h </w:instrText>
        </w:r>
        <w:r w:rsidR="000B0AC7">
          <w:rPr>
            <w:webHidden/>
          </w:rPr>
        </w:r>
        <w:r w:rsidR="000B0AC7">
          <w:rPr>
            <w:webHidden/>
          </w:rPr>
          <w:fldChar w:fldCharType="separate"/>
        </w:r>
        <w:r w:rsidR="000B0AC7">
          <w:rPr>
            <w:webHidden/>
          </w:rPr>
          <w:t>34</w:t>
        </w:r>
        <w:r w:rsidR="000B0AC7">
          <w:rPr>
            <w:webHidden/>
          </w:rPr>
          <w:fldChar w:fldCharType="end"/>
        </w:r>
      </w:hyperlink>
    </w:p>
    <w:p w14:paraId="4A59F116" w14:textId="0C0E6643" w:rsidR="000B0AC7" w:rsidRDefault="00096035">
      <w:pPr>
        <w:pStyle w:val="TOC3"/>
        <w:tabs>
          <w:tab w:val="left" w:pos="1122"/>
        </w:tabs>
        <w:rPr>
          <w:rFonts w:asciiTheme="minorHAnsi" w:eastAsiaTheme="minorEastAsia" w:hAnsiTheme="minorHAnsi"/>
          <w:color w:val="auto"/>
          <w:kern w:val="2"/>
          <w:position w:val="0"/>
          <w:lang w:eastAsia="en-AU"/>
          <w14:ligatures w14:val="standardContextual"/>
        </w:rPr>
      </w:pPr>
      <w:hyperlink w:anchor="_Toc135323686" w:history="1">
        <w:r w:rsidR="000B0AC7" w:rsidRPr="007A19AD">
          <w:rPr>
            <w:rStyle w:val="Hyperlink"/>
          </w:rPr>
          <w:t>3.1</w:t>
        </w:r>
        <w:r w:rsidR="000B0AC7">
          <w:rPr>
            <w:rFonts w:asciiTheme="minorHAnsi" w:eastAsiaTheme="minorEastAsia" w:hAnsiTheme="minorHAnsi"/>
            <w:color w:val="auto"/>
            <w:kern w:val="2"/>
            <w:position w:val="0"/>
            <w:lang w:eastAsia="en-AU"/>
            <w14:ligatures w14:val="standardContextual"/>
          </w:rPr>
          <w:tab/>
        </w:r>
        <w:r w:rsidR="000B0AC7" w:rsidRPr="007A19AD">
          <w:rPr>
            <w:rStyle w:val="Hyperlink"/>
          </w:rPr>
          <w:t>Contribution to knowledge, research and research capability</w:t>
        </w:r>
        <w:r w:rsidR="000B0AC7">
          <w:rPr>
            <w:webHidden/>
          </w:rPr>
          <w:tab/>
        </w:r>
        <w:r w:rsidR="000B0AC7">
          <w:rPr>
            <w:webHidden/>
          </w:rPr>
          <w:fldChar w:fldCharType="begin"/>
        </w:r>
        <w:r w:rsidR="000B0AC7">
          <w:rPr>
            <w:webHidden/>
          </w:rPr>
          <w:instrText xml:space="preserve"> PAGEREF _Toc135323686 \h </w:instrText>
        </w:r>
        <w:r w:rsidR="000B0AC7">
          <w:rPr>
            <w:webHidden/>
          </w:rPr>
        </w:r>
        <w:r w:rsidR="000B0AC7">
          <w:rPr>
            <w:webHidden/>
          </w:rPr>
          <w:fldChar w:fldCharType="separate"/>
        </w:r>
        <w:r w:rsidR="000B0AC7">
          <w:rPr>
            <w:webHidden/>
          </w:rPr>
          <w:t>34</w:t>
        </w:r>
        <w:r w:rsidR="000B0AC7">
          <w:rPr>
            <w:webHidden/>
          </w:rPr>
          <w:fldChar w:fldCharType="end"/>
        </w:r>
      </w:hyperlink>
    </w:p>
    <w:p w14:paraId="7782A9C3" w14:textId="16C811D2" w:rsidR="000B0AC7" w:rsidRDefault="00096035">
      <w:pPr>
        <w:pStyle w:val="TOC3"/>
        <w:tabs>
          <w:tab w:val="left" w:pos="1122"/>
        </w:tabs>
        <w:rPr>
          <w:rFonts w:asciiTheme="minorHAnsi" w:eastAsiaTheme="minorEastAsia" w:hAnsiTheme="minorHAnsi"/>
          <w:color w:val="auto"/>
          <w:kern w:val="2"/>
          <w:position w:val="0"/>
          <w:lang w:eastAsia="en-AU"/>
          <w14:ligatures w14:val="standardContextual"/>
        </w:rPr>
      </w:pPr>
      <w:hyperlink w:anchor="_Toc135323687" w:history="1">
        <w:r w:rsidR="000B0AC7" w:rsidRPr="007A19AD">
          <w:rPr>
            <w:rStyle w:val="Hyperlink"/>
          </w:rPr>
          <w:t>3.2</w:t>
        </w:r>
        <w:r w:rsidR="000B0AC7">
          <w:rPr>
            <w:rFonts w:asciiTheme="minorHAnsi" w:eastAsiaTheme="minorEastAsia" w:hAnsiTheme="minorHAnsi"/>
            <w:color w:val="auto"/>
            <w:kern w:val="2"/>
            <w:position w:val="0"/>
            <w:lang w:eastAsia="en-AU"/>
            <w14:ligatures w14:val="standardContextual"/>
          </w:rPr>
          <w:tab/>
        </w:r>
        <w:r w:rsidR="000B0AC7" w:rsidRPr="007A19AD">
          <w:rPr>
            <w:rStyle w:val="Hyperlink"/>
          </w:rPr>
          <w:t>Social impacts</w:t>
        </w:r>
        <w:r w:rsidR="000B0AC7">
          <w:rPr>
            <w:webHidden/>
          </w:rPr>
          <w:tab/>
        </w:r>
        <w:r w:rsidR="000B0AC7">
          <w:rPr>
            <w:webHidden/>
          </w:rPr>
          <w:fldChar w:fldCharType="begin"/>
        </w:r>
        <w:r w:rsidR="000B0AC7">
          <w:rPr>
            <w:webHidden/>
          </w:rPr>
          <w:instrText xml:space="preserve"> PAGEREF _Toc135323687 \h </w:instrText>
        </w:r>
        <w:r w:rsidR="000B0AC7">
          <w:rPr>
            <w:webHidden/>
          </w:rPr>
        </w:r>
        <w:r w:rsidR="000B0AC7">
          <w:rPr>
            <w:webHidden/>
          </w:rPr>
          <w:fldChar w:fldCharType="separate"/>
        </w:r>
        <w:r w:rsidR="000B0AC7">
          <w:rPr>
            <w:webHidden/>
          </w:rPr>
          <w:t>43</w:t>
        </w:r>
        <w:r w:rsidR="000B0AC7">
          <w:rPr>
            <w:webHidden/>
          </w:rPr>
          <w:fldChar w:fldCharType="end"/>
        </w:r>
      </w:hyperlink>
    </w:p>
    <w:p w14:paraId="6AB796B2" w14:textId="70E3C9F2" w:rsidR="000B0AC7" w:rsidRDefault="00096035">
      <w:pPr>
        <w:pStyle w:val="TOC3"/>
        <w:tabs>
          <w:tab w:val="left" w:pos="1122"/>
        </w:tabs>
        <w:rPr>
          <w:rFonts w:asciiTheme="minorHAnsi" w:eastAsiaTheme="minorEastAsia" w:hAnsiTheme="minorHAnsi"/>
          <w:color w:val="auto"/>
          <w:kern w:val="2"/>
          <w:position w:val="0"/>
          <w:lang w:eastAsia="en-AU"/>
          <w14:ligatures w14:val="standardContextual"/>
        </w:rPr>
      </w:pPr>
      <w:hyperlink w:anchor="_Toc135323688" w:history="1">
        <w:r w:rsidR="000B0AC7" w:rsidRPr="007A19AD">
          <w:rPr>
            <w:rStyle w:val="Hyperlink"/>
          </w:rPr>
          <w:t>3.3</w:t>
        </w:r>
        <w:r w:rsidR="000B0AC7">
          <w:rPr>
            <w:rFonts w:asciiTheme="minorHAnsi" w:eastAsiaTheme="minorEastAsia" w:hAnsiTheme="minorHAnsi"/>
            <w:color w:val="auto"/>
            <w:kern w:val="2"/>
            <w:position w:val="0"/>
            <w:lang w:eastAsia="en-AU"/>
            <w14:ligatures w14:val="standardContextual"/>
          </w:rPr>
          <w:tab/>
        </w:r>
        <w:r w:rsidR="000B0AC7" w:rsidRPr="007A19AD">
          <w:rPr>
            <w:rStyle w:val="Hyperlink"/>
          </w:rPr>
          <w:t>Environmental impacts</w:t>
        </w:r>
        <w:r w:rsidR="000B0AC7">
          <w:rPr>
            <w:webHidden/>
          </w:rPr>
          <w:tab/>
        </w:r>
        <w:r w:rsidR="000B0AC7">
          <w:rPr>
            <w:webHidden/>
          </w:rPr>
          <w:fldChar w:fldCharType="begin"/>
        </w:r>
        <w:r w:rsidR="000B0AC7">
          <w:rPr>
            <w:webHidden/>
          </w:rPr>
          <w:instrText xml:space="preserve"> PAGEREF _Toc135323688 \h </w:instrText>
        </w:r>
        <w:r w:rsidR="000B0AC7">
          <w:rPr>
            <w:webHidden/>
          </w:rPr>
        </w:r>
        <w:r w:rsidR="000B0AC7">
          <w:rPr>
            <w:webHidden/>
          </w:rPr>
          <w:fldChar w:fldCharType="separate"/>
        </w:r>
        <w:r w:rsidR="000B0AC7">
          <w:rPr>
            <w:webHidden/>
          </w:rPr>
          <w:t>47</w:t>
        </w:r>
        <w:r w:rsidR="000B0AC7">
          <w:rPr>
            <w:webHidden/>
          </w:rPr>
          <w:fldChar w:fldCharType="end"/>
        </w:r>
      </w:hyperlink>
    </w:p>
    <w:p w14:paraId="201D2A6B" w14:textId="7AC7BA30" w:rsidR="000B0AC7" w:rsidRDefault="00096035">
      <w:pPr>
        <w:pStyle w:val="TOC3"/>
        <w:tabs>
          <w:tab w:val="left" w:pos="1122"/>
        </w:tabs>
        <w:rPr>
          <w:rFonts w:asciiTheme="minorHAnsi" w:eastAsiaTheme="minorEastAsia" w:hAnsiTheme="minorHAnsi"/>
          <w:color w:val="auto"/>
          <w:kern w:val="2"/>
          <w:position w:val="0"/>
          <w:lang w:eastAsia="en-AU"/>
          <w14:ligatures w14:val="standardContextual"/>
        </w:rPr>
      </w:pPr>
      <w:hyperlink w:anchor="_Toc135323689" w:history="1">
        <w:r w:rsidR="000B0AC7" w:rsidRPr="007A19AD">
          <w:rPr>
            <w:rStyle w:val="Hyperlink"/>
          </w:rPr>
          <w:t>3.4</w:t>
        </w:r>
        <w:r w:rsidR="000B0AC7">
          <w:rPr>
            <w:rFonts w:asciiTheme="minorHAnsi" w:eastAsiaTheme="minorEastAsia" w:hAnsiTheme="minorHAnsi"/>
            <w:color w:val="auto"/>
            <w:kern w:val="2"/>
            <w:position w:val="0"/>
            <w:lang w:eastAsia="en-AU"/>
            <w14:ligatures w14:val="standardContextual"/>
          </w:rPr>
          <w:tab/>
        </w:r>
        <w:r w:rsidR="000B0AC7" w:rsidRPr="007A19AD">
          <w:rPr>
            <w:rStyle w:val="Hyperlink"/>
          </w:rPr>
          <w:t>Cultural impacts</w:t>
        </w:r>
        <w:r w:rsidR="000B0AC7">
          <w:rPr>
            <w:webHidden/>
          </w:rPr>
          <w:tab/>
        </w:r>
        <w:r w:rsidR="000B0AC7">
          <w:rPr>
            <w:webHidden/>
          </w:rPr>
          <w:fldChar w:fldCharType="begin"/>
        </w:r>
        <w:r w:rsidR="000B0AC7">
          <w:rPr>
            <w:webHidden/>
          </w:rPr>
          <w:instrText xml:space="preserve"> PAGEREF _Toc135323689 \h </w:instrText>
        </w:r>
        <w:r w:rsidR="000B0AC7">
          <w:rPr>
            <w:webHidden/>
          </w:rPr>
        </w:r>
        <w:r w:rsidR="000B0AC7">
          <w:rPr>
            <w:webHidden/>
          </w:rPr>
          <w:fldChar w:fldCharType="separate"/>
        </w:r>
        <w:r w:rsidR="000B0AC7">
          <w:rPr>
            <w:webHidden/>
          </w:rPr>
          <w:t>50</w:t>
        </w:r>
        <w:r w:rsidR="000B0AC7">
          <w:rPr>
            <w:webHidden/>
          </w:rPr>
          <w:fldChar w:fldCharType="end"/>
        </w:r>
      </w:hyperlink>
    </w:p>
    <w:p w14:paraId="19F11919" w14:textId="7471893B" w:rsidR="000B0AC7" w:rsidRDefault="00096035">
      <w:pPr>
        <w:pStyle w:val="TOC3"/>
        <w:tabs>
          <w:tab w:val="left" w:pos="1122"/>
        </w:tabs>
        <w:rPr>
          <w:rFonts w:asciiTheme="minorHAnsi" w:eastAsiaTheme="minorEastAsia" w:hAnsiTheme="minorHAnsi"/>
          <w:color w:val="auto"/>
          <w:kern w:val="2"/>
          <w:position w:val="0"/>
          <w:lang w:eastAsia="en-AU"/>
          <w14:ligatures w14:val="standardContextual"/>
        </w:rPr>
      </w:pPr>
      <w:hyperlink w:anchor="_Toc135323690" w:history="1">
        <w:r w:rsidR="000B0AC7" w:rsidRPr="007A19AD">
          <w:rPr>
            <w:rStyle w:val="Hyperlink"/>
          </w:rPr>
          <w:t>3.5</w:t>
        </w:r>
        <w:r w:rsidR="000B0AC7">
          <w:rPr>
            <w:rFonts w:asciiTheme="minorHAnsi" w:eastAsiaTheme="minorEastAsia" w:hAnsiTheme="minorHAnsi"/>
            <w:color w:val="auto"/>
            <w:kern w:val="2"/>
            <w:position w:val="0"/>
            <w:lang w:eastAsia="en-AU"/>
            <w14:ligatures w14:val="standardContextual"/>
          </w:rPr>
          <w:tab/>
        </w:r>
        <w:r w:rsidR="000B0AC7" w:rsidRPr="007A19AD">
          <w:rPr>
            <w:rStyle w:val="Hyperlink"/>
          </w:rPr>
          <w:t>Alignment with Government priorities</w:t>
        </w:r>
        <w:r w:rsidR="000B0AC7">
          <w:rPr>
            <w:webHidden/>
          </w:rPr>
          <w:tab/>
        </w:r>
        <w:r w:rsidR="000B0AC7">
          <w:rPr>
            <w:webHidden/>
          </w:rPr>
          <w:fldChar w:fldCharType="begin"/>
        </w:r>
        <w:r w:rsidR="000B0AC7">
          <w:rPr>
            <w:webHidden/>
          </w:rPr>
          <w:instrText xml:space="preserve"> PAGEREF _Toc135323690 \h </w:instrText>
        </w:r>
        <w:r w:rsidR="000B0AC7">
          <w:rPr>
            <w:webHidden/>
          </w:rPr>
        </w:r>
        <w:r w:rsidR="000B0AC7">
          <w:rPr>
            <w:webHidden/>
          </w:rPr>
          <w:fldChar w:fldCharType="separate"/>
        </w:r>
        <w:r w:rsidR="000B0AC7">
          <w:rPr>
            <w:webHidden/>
          </w:rPr>
          <w:t>52</w:t>
        </w:r>
        <w:r w:rsidR="000B0AC7">
          <w:rPr>
            <w:webHidden/>
          </w:rPr>
          <w:fldChar w:fldCharType="end"/>
        </w:r>
      </w:hyperlink>
    </w:p>
    <w:p w14:paraId="515C9FD5" w14:textId="7D6372FE" w:rsidR="000B0AC7" w:rsidRDefault="00096035">
      <w:pPr>
        <w:pStyle w:val="TOC2"/>
        <w:rPr>
          <w:rFonts w:asciiTheme="minorHAnsi" w:eastAsiaTheme="minorEastAsia" w:hAnsiTheme="minorHAnsi" w:cstheme="minorBidi"/>
          <w:b w:val="0"/>
          <w:color w:val="auto"/>
          <w:kern w:val="2"/>
          <w:sz w:val="22"/>
          <w:lang w:eastAsia="en-AU"/>
          <w14:ligatures w14:val="standardContextual"/>
        </w:rPr>
      </w:pPr>
      <w:hyperlink w:anchor="_Toc135323691" w:history="1">
        <w:r w:rsidR="000B0AC7" w:rsidRPr="007A19AD">
          <w:rPr>
            <w:rStyle w:val="Hyperlink"/>
          </w:rPr>
          <w:t>4</w:t>
        </w:r>
        <w:r w:rsidR="000B0AC7">
          <w:rPr>
            <w:rFonts w:asciiTheme="minorHAnsi" w:eastAsiaTheme="minorEastAsia" w:hAnsiTheme="minorHAnsi" w:cstheme="minorBidi"/>
            <w:b w:val="0"/>
            <w:color w:val="auto"/>
            <w:kern w:val="2"/>
            <w:sz w:val="22"/>
            <w:lang w:eastAsia="en-AU"/>
            <w14:ligatures w14:val="standardContextual"/>
          </w:rPr>
          <w:tab/>
        </w:r>
        <w:r w:rsidR="000B0AC7" w:rsidRPr="007A19AD">
          <w:rPr>
            <w:rStyle w:val="Hyperlink"/>
          </w:rPr>
          <w:t>Supporting, measuring and communicating impact</w:t>
        </w:r>
        <w:r w:rsidR="000B0AC7">
          <w:rPr>
            <w:webHidden/>
          </w:rPr>
          <w:tab/>
        </w:r>
        <w:r w:rsidR="000B0AC7">
          <w:rPr>
            <w:webHidden/>
          </w:rPr>
          <w:fldChar w:fldCharType="begin"/>
        </w:r>
        <w:r w:rsidR="000B0AC7">
          <w:rPr>
            <w:webHidden/>
          </w:rPr>
          <w:instrText xml:space="preserve"> PAGEREF _Toc135323691 \h </w:instrText>
        </w:r>
        <w:r w:rsidR="000B0AC7">
          <w:rPr>
            <w:webHidden/>
          </w:rPr>
        </w:r>
        <w:r w:rsidR="000B0AC7">
          <w:rPr>
            <w:webHidden/>
          </w:rPr>
          <w:fldChar w:fldCharType="separate"/>
        </w:r>
        <w:r w:rsidR="000B0AC7">
          <w:rPr>
            <w:webHidden/>
          </w:rPr>
          <w:t>56</w:t>
        </w:r>
        <w:r w:rsidR="000B0AC7">
          <w:rPr>
            <w:webHidden/>
          </w:rPr>
          <w:fldChar w:fldCharType="end"/>
        </w:r>
      </w:hyperlink>
    </w:p>
    <w:p w14:paraId="696CA0B8" w14:textId="5E85A3FA" w:rsidR="000B0AC7" w:rsidRDefault="00096035">
      <w:pPr>
        <w:pStyle w:val="TOC3"/>
        <w:tabs>
          <w:tab w:val="left" w:pos="1122"/>
        </w:tabs>
        <w:rPr>
          <w:rFonts w:asciiTheme="minorHAnsi" w:eastAsiaTheme="minorEastAsia" w:hAnsiTheme="minorHAnsi"/>
          <w:color w:val="auto"/>
          <w:kern w:val="2"/>
          <w:position w:val="0"/>
          <w:lang w:eastAsia="en-AU"/>
          <w14:ligatures w14:val="standardContextual"/>
        </w:rPr>
      </w:pPr>
      <w:hyperlink w:anchor="_Toc135323692" w:history="1">
        <w:r w:rsidR="000B0AC7" w:rsidRPr="007A19AD">
          <w:rPr>
            <w:rStyle w:val="Hyperlink"/>
          </w:rPr>
          <w:t>4.1</w:t>
        </w:r>
        <w:r w:rsidR="000B0AC7">
          <w:rPr>
            <w:rFonts w:asciiTheme="minorHAnsi" w:eastAsiaTheme="minorEastAsia" w:hAnsiTheme="minorHAnsi"/>
            <w:color w:val="auto"/>
            <w:kern w:val="2"/>
            <w:position w:val="0"/>
            <w:lang w:eastAsia="en-AU"/>
            <w14:ligatures w14:val="standardContextual"/>
          </w:rPr>
          <w:tab/>
        </w:r>
        <w:r w:rsidR="000B0AC7" w:rsidRPr="007A19AD">
          <w:rPr>
            <w:rStyle w:val="Hyperlink"/>
          </w:rPr>
          <w:t>ARC support for research</w:t>
        </w:r>
        <w:r w:rsidR="000B0AC7">
          <w:rPr>
            <w:webHidden/>
          </w:rPr>
          <w:tab/>
        </w:r>
        <w:r w:rsidR="000B0AC7">
          <w:rPr>
            <w:webHidden/>
          </w:rPr>
          <w:fldChar w:fldCharType="begin"/>
        </w:r>
        <w:r w:rsidR="000B0AC7">
          <w:rPr>
            <w:webHidden/>
          </w:rPr>
          <w:instrText xml:space="preserve"> PAGEREF _Toc135323692 \h </w:instrText>
        </w:r>
        <w:r w:rsidR="000B0AC7">
          <w:rPr>
            <w:webHidden/>
          </w:rPr>
        </w:r>
        <w:r w:rsidR="000B0AC7">
          <w:rPr>
            <w:webHidden/>
          </w:rPr>
          <w:fldChar w:fldCharType="separate"/>
        </w:r>
        <w:r w:rsidR="000B0AC7">
          <w:rPr>
            <w:webHidden/>
          </w:rPr>
          <w:t>56</w:t>
        </w:r>
        <w:r w:rsidR="000B0AC7">
          <w:rPr>
            <w:webHidden/>
          </w:rPr>
          <w:fldChar w:fldCharType="end"/>
        </w:r>
      </w:hyperlink>
    </w:p>
    <w:p w14:paraId="075E93BB" w14:textId="0CA65325" w:rsidR="000B0AC7" w:rsidRDefault="00096035">
      <w:pPr>
        <w:pStyle w:val="TOC3"/>
        <w:tabs>
          <w:tab w:val="left" w:pos="1122"/>
        </w:tabs>
        <w:rPr>
          <w:rFonts w:asciiTheme="minorHAnsi" w:eastAsiaTheme="minorEastAsia" w:hAnsiTheme="minorHAnsi"/>
          <w:color w:val="auto"/>
          <w:kern w:val="2"/>
          <w:position w:val="0"/>
          <w:lang w:eastAsia="en-AU"/>
          <w14:ligatures w14:val="standardContextual"/>
        </w:rPr>
      </w:pPr>
      <w:hyperlink w:anchor="_Toc135323693" w:history="1">
        <w:r w:rsidR="000B0AC7" w:rsidRPr="007A19AD">
          <w:rPr>
            <w:rStyle w:val="Hyperlink"/>
          </w:rPr>
          <w:t>4.2</w:t>
        </w:r>
        <w:r w:rsidR="000B0AC7">
          <w:rPr>
            <w:rFonts w:asciiTheme="minorHAnsi" w:eastAsiaTheme="minorEastAsia" w:hAnsiTheme="minorHAnsi"/>
            <w:color w:val="auto"/>
            <w:kern w:val="2"/>
            <w:position w:val="0"/>
            <w:lang w:eastAsia="en-AU"/>
            <w14:ligatures w14:val="standardContextual"/>
          </w:rPr>
          <w:tab/>
        </w:r>
        <w:r w:rsidR="000B0AC7" w:rsidRPr="007A19AD">
          <w:rPr>
            <w:rStyle w:val="Hyperlink"/>
          </w:rPr>
          <w:t>Measuring, monitoring and communicating the impacts</w:t>
        </w:r>
        <w:r w:rsidR="000B0AC7">
          <w:rPr>
            <w:webHidden/>
          </w:rPr>
          <w:tab/>
        </w:r>
        <w:r w:rsidR="000B0AC7">
          <w:rPr>
            <w:webHidden/>
          </w:rPr>
          <w:fldChar w:fldCharType="begin"/>
        </w:r>
        <w:r w:rsidR="000B0AC7">
          <w:rPr>
            <w:webHidden/>
          </w:rPr>
          <w:instrText xml:space="preserve"> PAGEREF _Toc135323693 \h </w:instrText>
        </w:r>
        <w:r w:rsidR="000B0AC7">
          <w:rPr>
            <w:webHidden/>
          </w:rPr>
        </w:r>
        <w:r w:rsidR="000B0AC7">
          <w:rPr>
            <w:webHidden/>
          </w:rPr>
          <w:fldChar w:fldCharType="separate"/>
        </w:r>
        <w:r w:rsidR="000B0AC7">
          <w:rPr>
            <w:webHidden/>
          </w:rPr>
          <w:t>65</w:t>
        </w:r>
        <w:r w:rsidR="000B0AC7">
          <w:rPr>
            <w:webHidden/>
          </w:rPr>
          <w:fldChar w:fldCharType="end"/>
        </w:r>
      </w:hyperlink>
    </w:p>
    <w:p w14:paraId="52561B17" w14:textId="61CB7A0D" w:rsidR="000B0AC7" w:rsidRDefault="00096035">
      <w:pPr>
        <w:pStyle w:val="TOC3"/>
        <w:tabs>
          <w:tab w:val="left" w:pos="1122"/>
        </w:tabs>
        <w:rPr>
          <w:rFonts w:asciiTheme="minorHAnsi" w:eastAsiaTheme="minorEastAsia" w:hAnsiTheme="minorHAnsi"/>
          <w:color w:val="auto"/>
          <w:kern w:val="2"/>
          <w:position w:val="0"/>
          <w:lang w:eastAsia="en-AU"/>
          <w14:ligatures w14:val="standardContextual"/>
        </w:rPr>
      </w:pPr>
      <w:hyperlink w:anchor="_Toc135323694" w:history="1">
        <w:r w:rsidR="000B0AC7" w:rsidRPr="007A19AD">
          <w:rPr>
            <w:rStyle w:val="Hyperlink"/>
          </w:rPr>
          <w:t>4.3</w:t>
        </w:r>
        <w:r w:rsidR="000B0AC7">
          <w:rPr>
            <w:rFonts w:asciiTheme="minorHAnsi" w:eastAsiaTheme="minorEastAsia" w:hAnsiTheme="minorHAnsi"/>
            <w:color w:val="auto"/>
            <w:kern w:val="2"/>
            <w:position w:val="0"/>
            <w:lang w:eastAsia="en-AU"/>
            <w14:ligatures w14:val="standardContextual"/>
          </w:rPr>
          <w:tab/>
        </w:r>
        <w:r w:rsidR="000B0AC7" w:rsidRPr="007A19AD">
          <w:rPr>
            <w:rStyle w:val="Hyperlink"/>
          </w:rPr>
          <w:t>Communication of impacts</w:t>
        </w:r>
        <w:r w:rsidR="000B0AC7">
          <w:rPr>
            <w:webHidden/>
          </w:rPr>
          <w:tab/>
        </w:r>
        <w:r w:rsidR="000B0AC7">
          <w:rPr>
            <w:webHidden/>
          </w:rPr>
          <w:fldChar w:fldCharType="begin"/>
        </w:r>
        <w:r w:rsidR="000B0AC7">
          <w:rPr>
            <w:webHidden/>
          </w:rPr>
          <w:instrText xml:space="preserve"> PAGEREF _Toc135323694 \h </w:instrText>
        </w:r>
        <w:r w:rsidR="000B0AC7">
          <w:rPr>
            <w:webHidden/>
          </w:rPr>
        </w:r>
        <w:r w:rsidR="000B0AC7">
          <w:rPr>
            <w:webHidden/>
          </w:rPr>
          <w:fldChar w:fldCharType="separate"/>
        </w:r>
        <w:r w:rsidR="000B0AC7">
          <w:rPr>
            <w:webHidden/>
          </w:rPr>
          <w:t>71</w:t>
        </w:r>
        <w:r w:rsidR="000B0AC7">
          <w:rPr>
            <w:webHidden/>
          </w:rPr>
          <w:fldChar w:fldCharType="end"/>
        </w:r>
      </w:hyperlink>
    </w:p>
    <w:p w14:paraId="4C5A1700" w14:textId="74BA3A2C" w:rsidR="000B0AC7" w:rsidRDefault="00096035">
      <w:pPr>
        <w:pStyle w:val="TOC2"/>
        <w:rPr>
          <w:rFonts w:asciiTheme="minorHAnsi" w:eastAsiaTheme="minorEastAsia" w:hAnsiTheme="minorHAnsi" w:cstheme="minorBidi"/>
          <w:b w:val="0"/>
          <w:color w:val="auto"/>
          <w:kern w:val="2"/>
          <w:sz w:val="22"/>
          <w:lang w:eastAsia="en-AU"/>
          <w14:ligatures w14:val="standardContextual"/>
        </w:rPr>
      </w:pPr>
      <w:hyperlink w:anchor="_Toc135323695" w:history="1">
        <w:r w:rsidR="000B0AC7" w:rsidRPr="007A19AD">
          <w:rPr>
            <w:rStyle w:val="Hyperlink"/>
          </w:rPr>
          <w:t>5</w:t>
        </w:r>
        <w:r w:rsidR="000B0AC7">
          <w:rPr>
            <w:rFonts w:asciiTheme="minorHAnsi" w:eastAsiaTheme="minorEastAsia" w:hAnsiTheme="minorHAnsi" w:cstheme="minorBidi"/>
            <w:b w:val="0"/>
            <w:color w:val="auto"/>
            <w:kern w:val="2"/>
            <w:sz w:val="22"/>
            <w:lang w:eastAsia="en-AU"/>
            <w14:ligatures w14:val="standardContextual"/>
          </w:rPr>
          <w:tab/>
        </w:r>
        <w:r w:rsidR="000B0AC7" w:rsidRPr="007A19AD">
          <w:rPr>
            <w:rStyle w:val="Hyperlink"/>
          </w:rPr>
          <w:t>Challenges, opportunities and future impact assessment</w:t>
        </w:r>
        <w:r w:rsidR="000B0AC7">
          <w:rPr>
            <w:webHidden/>
          </w:rPr>
          <w:tab/>
        </w:r>
        <w:r w:rsidR="000B0AC7">
          <w:rPr>
            <w:webHidden/>
          </w:rPr>
          <w:fldChar w:fldCharType="begin"/>
        </w:r>
        <w:r w:rsidR="000B0AC7">
          <w:rPr>
            <w:webHidden/>
          </w:rPr>
          <w:instrText xml:space="preserve"> PAGEREF _Toc135323695 \h </w:instrText>
        </w:r>
        <w:r w:rsidR="000B0AC7">
          <w:rPr>
            <w:webHidden/>
          </w:rPr>
        </w:r>
        <w:r w:rsidR="000B0AC7">
          <w:rPr>
            <w:webHidden/>
          </w:rPr>
          <w:fldChar w:fldCharType="separate"/>
        </w:r>
        <w:r w:rsidR="000B0AC7">
          <w:rPr>
            <w:webHidden/>
          </w:rPr>
          <w:t>74</w:t>
        </w:r>
        <w:r w:rsidR="000B0AC7">
          <w:rPr>
            <w:webHidden/>
          </w:rPr>
          <w:fldChar w:fldCharType="end"/>
        </w:r>
      </w:hyperlink>
    </w:p>
    <w:p w14:paraId="37312614" w14:textId="38876E8C" w:rsidR="000B0AC7" w:rsidRDefault="00096035">
      <w:pPr>
        <w:pStyle w:val="TOC3"/>
        <w:tabs>
          <w:tab w:val="left" w:pos="1122"/>
        </w:tabs>
        <w:rPr>
          <w:rFonts w:asciiTheme="minorHAnsi" w:eastAsiaTheme="minorEastAsia" w:hAnsiTheme="minorHAnsi"/>
          <w:color w:val="auto"/>
          <w:kern w:val="2"/>
          <w:position w:val="0"/>
          <w:lang w:eastAsia="en-AU"/>
          <w14:ligatures w14:val="standardContextual"/>
        </w:rPr>
      </w:pPr>
      <w:hyperlink w:anchor="_Toc135323696" w:history="1">
        <w:r w:rsidR="000B0AC7" w:rsidRPr="007A19AD">
          <w:rPr>
            <w:rStyle w:val="Hyperlink"/>
          </w:rPr>
          <w:t>5.1</w:t>
        </w:r>
        <w:r w:rsidR="000B0AC7">
          <w:rPr>
            <w:rFonts w:asciiTheme="minorHAnsi" w:eastAsiaTheme="minorEastAsia" w:hAnsiTheme="minorHAnsi"/>
            <w:color w:val="auto"/>
            <w:kern w:val="2"/>
            <w:position w:val="0"/>
            <w:lang w:eastAsia="en-AU"/>
            <w14:ligatures w14:val="standardContextual"/>
          </w:rPr>
          <w:tab/>
        </w:r>
        <w:r w:rsidR="000B0AC7" w:rsidRPr="007A19AD">
          <w:rPr>
            <w:rStyle w:val="Hyperlink"/>
          </w:rPr>
          <w:t>The challenges of measuring, monitoring and communicating impact</w:t>
        </w:r>
        <w:r w:rsidR="000B0AC7">
          <w:rPr>
            <w:webHidden/>
          </w:rPr>
          <w:tab/>
        </w:r>
        <w:r w:rsidR="000B0AC7">
          <w:rPr>
            <w:webHidden/>
          </w:rPr>
          <w:fldChar w:fldCharType="begin"/>
        </w:r>
        <w:r w:rsidR="000B0AC7">
          <w:rPr>
            <w:webHidden/>
          </w:rPr>
          <w:instrText xml:space="preserve"> PAGEREF _Toc135323696 \h </w:instrText>
        </w:r>
        <w:r w:rsidR="000B0AC7">
          <w:rPr>
            <w:webHidden/>
          </w:rPr>
        </w:r>
        <w:r w:rsidR="000B0AC7">
          <w:rPr>
            <w:webHidden/>
          </w:rPr>
          <w:fldChar w:fldCharType="separate"/>
        </w:r>
        <w:r w:rsidR="000B0AC7">
          <w:rPr>
            <w:webHidden/>
          </w:rPr>
          <w:t>74</w:t>
        </w:r>
        <w:r w:rsidR="000B0AC7">
          <w:rPr>
            <w:webHidden/>
          </w:rPr>
          <w:fldChar w:fldCharType="end"/>
        </w:r>
      </w:hyperlink>
    </w:p>
    <w:p w14:paraId="738EA740" w14:textId="14321001" w:rsidR="000B0AC7" w:rsidRDefault="00096035">
      <w:pPr>
        <w:pStyle w:val="TOC3"/>
        <w:tabs>
          <w:tab w:val="left" w:pos="1122"/>
        </w:tabs>
        <w:rPr>
          <w:rFonts w:asciiTheme="minorHAnsi" w:eastAsiaTheme="minorEastAsia" w:hAnsiTheme="minorHAnsi"/>
          <w:color w:val="auto"/>
          <w:kern w:val="2"/>
          <w:position w:val="0"/>
          <w:lang w:eastAsia="en-AU"/>
          <w14:ligatures w14:val="standardContextual"/>
        </w:rPr>
      </w:pPr>
      <w:hyperlink w:anchor="_Toc135323697" w:history="1">
        <w:r w:rsidR="000B0AC7" w:rsidRPr="007A19AD">
          <w:rPr>
            <w:rStyle w:val="Hyperlink"/>
          </w:rPr>
          <w:t>5.2</w:t>
        </w:r>
        <w:r w:rsidR="000B0AC7">
          <w:rPr>
            <w:rFonts w:asciiTheme="minorHAnsi" w:eastAsiaTheme="minorEastAsia" w:hAnsiTheme="minorHAnsi"/>
            <w:color w:val="auto"/>
            <w:kern w:val="2"/>
            <w:position w:val="0"/>
            <w:lang w:eastAsia="en-AU"/>
            <w14:ligatures w14:val="standardContextual"/>
          </w:rPr>
          <w:tab/>
        </w:r>
        <w:r w:rsidR="000B0AC7" w:rsidRPr="007A19AD">
          <w:rPr>
            <w:rStyle w:val="Hyperlink"/>
          </w:rPr>
          <w:t>Opportunities for improvement</w:t>
        </w:r>
        <w:r w:rsidR="000B0AC7">
          <w:rPr>
            <w:webHidden/>
          </w:rPr>
          <w:tab/>
        </w:r>
        <w:r w:rsidR="000B0AC7">
          <w:rPr>
            <w:webHidden/>
          </w:rPr>
          <w:fldChar w:fldCharType="begin"/>
        </w:r>
        <w:r w:rsidR="000B0AC7">
          <w:rPr>
            <w:webHidden/>
          </w:rPr>
          <w:instrText xml:space="preserve"> PAGEREF _Toc135323697 \h </w:instrText>
        </w:r>
        <w:r w:rsidR="000B0AC7">
          <w:rPr>
            <w:webHidden/>
          </w:rPr>
        </w:r>
        <w:r w:rsidR="000B0AC7">
          <w:rPr>
            <w:webHidden/>
          </w:rPr>
          <w:fldChar w:fldCharType="separate"/>
        </w:r>
        <w:r w:rsidR="000B0AC7">
          <w:rPr>
            <w:webHidden/>
          </w:rPr>
          <w:t>75</w:t>
        </w:r>
        <w:r w:rsidR="000B0AC7">
          <w:rPr>
            <w:webHidden/>
          </w:rPr>
          <w:fldChar w:fldCharType="end"/>
        </w:r>
      </w:hyperlink>
    </w:p>
    <w:p w14:paraId="42B34839" w14:textId="5FABE89C" w:rsidR="000B0AC7" w:rsidRDefault="00096035">
      <w:pPr>
        <w:pStyle w:val="TOC2"/>
        <w:rPr>
          <w:rFonts w:asciiTheme="minorHAnsi" w:eastAsiaTheme="minorEastAsia" w:hAnsiTheme="minorHAnsi" w:cstheme="minorBidi"/>
          <w:b w:val="0"/>
          <w:color w:val="auto"/>
          <w:kern w:val="2"/>
          <w:sz w:val="22"/>
          <w:lang w:eastAsia="en-AU"/>
          <w14:ligatures w14:val="standardContextual"/>
        </w:rPr>
      </w:pPr>
      <w:hyperlink w:anchor="_Toc135323698" w:history="1">
        <w:r w:rsidR="000B0AC7" w:rsidRPr="007A19AD">
          <w:rPr>
            <w:rStyle w:val="Hyperlink"/>
          </w:rPr>
          <w:t>6</w:t>
        </w:r>
        <w:r w:rsidR="000B0AC7">
          <w:rPr>
            <w:rFonts w:asciiTheme="minorHAnsi" w:eastAsiaTheme="minorEastAsia" w:hAnsiTheme="minorHAnsi" w:cstheme="minorBidi"/>
            <w:b w:val="0"/>
            <w:color w:val="auto"/>
            <w:kern w:val="2"/>
            <w:sz w:val="22"/>
            <w:lang w:eastAsia="en-AU"/>
            <w14:ligatures w14:val="standardContextual"/>
          </w:rPr>
          <w:tab/>
        </w:r>
        <w:r w:rsidR="000B0AC7" w:rsidRPr="007A19AD">
          <w:rPr>
            <w:rStyle w:val="Hyperlink"/>
          </w:rPr>
          <w:t>Concluding remarks</w:t>
        </w:r>
        <w:r w:rsidR="000B0AC7">
          <w:rPr>
            <w:webHidden/>
          </w:rPr>
          <w:tab/>
        </w:r>
        <w:r w:rsidR="000B0AC7">
          <w:rPr>
            <w:webHidden/>
          </w:rPr>
          <w:fldChar w:fldCharType="begin"/>
        </w:r>
        <w:r w:rsidR="000B0AC7">
          <w:rPr>
            <w:webHidden/>
          </w:rPr>
          <w:instrText xml:space="preserve"> PAGEREF _Toc135323698 \h </w:instrText>
        </w:r>
        <w:r w:rsidR="000B0AC7">
          <w:rPr>
            <w:webHidden/>
          </w:rPr>
        </w:r>
        <w:r w:rsidR="000B0AC7">
          <w:rPr>
            <w:webHidden/>
          </w:rPr>
          <w:fldChar w:fldCharType="separate"/>
        </w:r>
        <w:r w:rsidR="000B0AC7">
          <w:rPr>
            <w:webHidden/>
          </w:rPr>
          <w:t>80</w:t>
        </w:r>
        <w:r w:rsidR="000B0AC7">
          <w:rPr>
            <w:webHidden/>
          </w:rPr>
          <w:fldChar w:fldCharType="end"/>
        </w:r>
      </w:hyperlink>
    </w:p>
    <w:p w14:paraId="72E683DA" w14:textId="218A3A4F" w:rsidR="000B0AC7" w:rsidRDefault="00096035">
      <w:pPr>
        <w:pStyle w:val="TOC3"/>
        <w:tabs>
          <w:tab w:val="left" w:pos="1122"/>
        </w:tabs>
        <w:rPr>
          <w:rFonts w:asciiTheme="minorHAnsi" w:eastAsiaTheme="minorEastAsia" w:hAnsiTheme="minorHAnsi"/>
          <w:color w:val="auto"/>
          <w:kern w:val="2"/>
          <w:position w:val="0"/>
          <w:lang w:eastAsia="en-AU"/>
          <w14:ligatures w14:val="standardContextual"/>
        </w:rPr>
      </w:pPr>
      <w:hyperlink w:anchor="_Toc135323699" w:history="1">
        <w:r w:rsidR="000B0AC7" w:rsidRPr="007A19AD">
          <w:rPr>
            <w:rStyle w:val="Hyperlink"/>
          </w:rPr>
          <w:t>6.1</w:t>
        </w:r>
        <w:r w:rsidR="000B0AC7">
          <w:rPr>
            <w:rFonts w:asciiTheme="minorHAnsi" w:eastAsiaTheme="minorEastAsia" w:hAnsiTheme="minorHAnsi"/>
            <w:color w:val="auto"/>
            <w:kern w:val="2"/>
            <w:position w:val="0"/>
            <w:lang w:eastAsia="en-AU"/>
            <w14:ligatures w14:val="standardContextual"/>
          </w:rPr>
          <w:tab/>
        </w:r>
        <w:r w:rsidR="000B0AC7" w:rsidRPr="007A19AD">
          <w:rPr>
            <w:rStyle w:val="Hyperlink"/>
          </w:rPr>
          <w:t>Outcomes and broader impacts delivered by NCGP-funded research</w:t>
        </w:r>
        <w:r w:rsidR="000B0AC7">
          <w:rPr>
            <w:webHidden/>
          </w:rPr>
          <w:tab/>
        </w:r>
        <w:r w:rsidR="000B0AC7">
          <w:rPr>
            <w:webHidden/>
          </w:rPr>
          <w:fldChar w:fldCharType="begin"/>
        </w:r>
        <w:r w:rsidR="000B0AC7">
          <w:rPr>
            <w:webHidden/>
          </w:rPr>
          <w:instrText xml:space="preserve"> PAGEREF _Toc135323699 \h </w:instrText>
        </w:r>
        <w:r w:rsidR="000B0AC7">
          <w:rPr>
            <w:webHidden/>
          </w:rPr>
        </w:r>
        <w:r w:rsidR="000B0AC7">
          <w:rPr>
            <w:webHidden/>
          </w:rPr>
          <w:fldChar w:fldCharType="separate"/>
        </w:r>
        <w:r w:rsidR="000B0AC7">
          <w:rPr>
            <w:webHidden/>
          </w:rPr>
          <w:t>80</w:t>
        </w:r>
        <w:r w:rsidR="000B0AC7">
          <w:rPr>
            <w:webHidden/>
          </w:rPr>
          <w:fldChar w:fldCharType="end"/>
        </w:r>
      </w:hyperlink>
    </w:p>
    <w:p w14:paraId="105D3789" w14:textId="5675CDDF" w:rsidR="000B0AC7" w:rsidRDefault="00096035">
      <w:pPr>
        <w:pStyle w:val="TOC3"/>
        <w:tabs>
          <w:tab w:val="left" w:pos="1122"/>
        </w:tabs>
        <w:rPr>
          <w:rFonts w:asciiTheme="minorHAnsi" w:eastAsiaTheme="minorEastAsia" w:hAnsiTheme="minorHAnsi"/>
          <w:color w:val="auto"/>
          <w:kern w:val="2"/>
          <w:position w:val="0"/>
          <w:lang w:eastAsia="en-AU"/>
          <w14:ligatures w14:val="standardContextual"/>
        </w:rPr>
      </w:pPr>
      <w:hyperlink w:anchor="_Toc135323700" w:history="1">
        <w:r w:rsidR="000B0AC7" w:rsidRPr="007A19AD">
          <w:rPr>
            <w:rStyle w:val="Hyperlink"/>
          </w:rPr>
          <w:t>6.2</w:t>
        </w:r>
        <w:r w:rsidR="000B0AC7">
          <w:rPr>
            <w:rFonts w:asciiTheme="minorHAnsi" w:eastAsiaTheme="minorEastAsia" w:hAnsiTheme="minorHAnsi"/>
            <w:color w:val="auto"/>
            <w:kern w:val="2"/>
            <w:position w:val="0"/>
            <w:lang w:eastAsia="en-AU"/>
            <w14:ligatures w14:val="standardContextual"/>
          </w:rPr>
          <w:tab/>
        </w:r>
        <w:r w:rsidR="000B0AC7" w:rsidRPr="007A19AD">
          <w:rPr>
            <w:rStyle w:val="Hyperlink"/>
          </w:rPr>
          <w:t>Supporting, monitoring and reporting on NCGP-research impact</w:t>
        </w:r>
        <w:r w:rsidR="000B0AC7">
          <w:rPr>
            <w:webHidden/>
          </w:rPr>
          <w:tab/>
        </w:r>
        <w:r w:rsidR="000B0AC7">
          <w:rPr>
            <w:webHidden/>
          </w:rPr>
          <w:fldChar w:fldCharType="begin"/>
        </w:r>
        <w:r w:rsidR="000B0AC7">
          <w:rPr>
            <w:webHidden/>
          </w:rPr>
          <w:instrText xml:space="preserve"> PAGEREF _Toc135323700 \h </w:instrText>
        </w:r>
        <w:r w:rsidR="000B0AC7">
          <w:rPr>
            <w:webHidden/>
          </w:rPr>
        </w:r>
        <w:r w:rsidR="000B0AC7">
          <w:rPr>
            <w:webHidden/>
          </w:rPr>
          <w:fldChar w:fldCharType="separate"/>
        </w:r>
        <w:r w:rsidR="000B0AC7">
          <w:rPr>
            <w:webHidden/>
          </w:rPr>
          <w:t>82</w:t>
        </w:r>
        <w:r w:rsidR="000B0AC7">
          <w:rPr>
            <w:webHidden/>
          </w:rPr>
          <w:fldChar w:fldCharType="end"/>
        </w:r>
      </w:hyperlink>
    </w:p>
    <w:p w14:paraId="632847A0" w14:textId="3B9FED47" w:rsidR="000B0AC7" w:rsidRDefault="00096035">
      <w:pPr>
        <w:pStyle w:val="TOC1"/>
        <w:rPr>
          <w:rFonts w:asciiTheme="minorHAnsi" w:eastAsiaTheme="minorEastAsia" w:hAnsiTheme="minorHAnsi" w:cstheme="minorBidi"/>
          <w:b w:val="0"/>
          <w:color w:val="auto"/>
          <w:kern w:val="2"/>
          <w:sz w:val="22"/>
          <w:lang w:eastAsia="en-AU"/>
          <w14:ligatures w14:val="standardContextual"/>
        </w:rPr>
      </w:pPr>
      <w:hyperlink w:anchor="_Toc135323701" w:history="1">
        <w:r w:rsidR="000B0AC7" w:rsidRPr="007A19AD">
          <w:rPr>
            <w:rStyle w:val="Hyperlink"/>
          </w:rPr>
          <w:t>Case studies</w:t>
        </w:r>
        <w:r w:rsidR="000B0AC7">
          <w:rPr>
            <w:webHidden/>
          </w:rPr>
          <w:tab/>
        </w:r>
        <w:r w:rsidR="000B0AC7">
          <w:rPr>
            <w:webHidden/>
          </w:rPr>
          <w:fldChar w:fldCharType="begin"/>
        </w:r>
        <w:r w:rsidR="000B0AC7">
          <w:rPr>
            <w:webHidden/>
          </w:rPr>
          <w:instrText xml:space="preserve"> PAGEREF _Toc135323701 \h </w:instrText>
        </w:r>
        <w:r w:rsidR="000B0AC7">
          <w:rPr>
            <w:webHidden/>
          </w:rPr>
        </w:r>
        <w:r w:rsidR="000B0AC7">
          <w:rPr>
            <w:webHidden/>
          </w:rPr>
          <w:fldChar w:fldCharType="separate"/>
        </w:r>
        <w:r w:rsidR="000B0AC7">
          <w:rPr>
            <w:webHidden/>
          </w:rPr>
          <w:t>84</w:t>
        </w:r>
        <w:r w:rsidR="000B0AC7">
          <w:rPr>
            <w:webHidden/>
          </w:rPr>
          <w:fldChar w:fldCharType="end"/>
        </w:r>
      </w:hyperlink>
    </w:p>
    <w:p w14:paraId="1B50C28F" w14:textId="1A2AC932" w:rsidR="000B0AC7" w:rsidRDefault="00096035">
      <w:pPr>
        <w:pStyle w:val="TOC2"/>
        <w:rPr>
          <w:rFonts w:asciiTheme="minorHAnsi" w:eastAsiaTheme="minorEastAsia" w:hAnsiTheme="minorHAnsi" w:cstheme="minorBidi"/>
          <w:b w:val="0"/>
          <w:color w:val="auto"/>
          <w:kern w:val="2"/>
          <w:sz w:val="22"/>
          <w:lang w:eastAsia="en-AU"/>
          <w14:ligatures w14:val="standardContextual"/>
        </w:rPr>
      </w:pPr>
      <w:hyperlink w:anchor="_Toc135323702" w:history="1">
        <w:r w:rsidR="000B0AC7" w:rsidRPr="007A19AD">
          <w:rPr>
            <w:rStyle w:val="Hyperlink"/>
          </w:rPr>
          <w:t>7</w:t>
        </w:r>
        <w:r w:rsidR="000B0AC7">
          <w:rPr>
            <w:rFonts w:asciiTheme="minorHAnsi" w:eastAsiaTheme="minorEastAsia" w:hAnsiTheme="minorHAnsi" w:cstheme="minorBidi"/>
            <w:b w:val="0"/>
            <w:color w:val="auto"/>
            <w:kern w:val="2"/>
            <w:sz w:val="22"/>
            <w:lang w:eastAsia="en-AU"/>
            <w14:ligatures w14:val="standardContextual"/>
          </w:rPr>
          <w:tab/>
        </w:r>
        <w:r w:rsidR="000B0AC7" w:rsidRPr="007A19AD">
          <w:rPr>
            <w:rStyle w:val="Hyperlink"/>
          </w:rPr>
          <w:t>Quantum Computation and Communication Technology</w:t>
        </w:r>
        <w:r w:rsidR="000B0AC7">
          <w:rPr>
            <w:webHidden/>
          </w:rPr>
          <w:tab/>
        </w:r>
        <w:r w:rsidR="000B0AC7">
          <w:rPr>
            <w:webHidden/>
          </w:rPr>
          <w:fldChar w:fldCharType="begin"/>
        </w:r>
        <w:r w:rsidR="000B0AC7">
          <w:rPr>
            <w:webHidden/>
          </w:rPr>
          <w:instrText xml:space="preserve"> PAGEREF _Toc135323702 \h </w:instrText>
        </w:r>
        <w:r w:rsidR="000B0AC7">
          <w:rPr>
            <w:webHidden/>
          </w:rPr>
        </w:r>
        <w:r w:rsidR="000B0AC7">
          <w:rPr>
            <w:webHidden/>
          </w:rPr>
          <w:fldChar w:fldCharType="separate"/>
        </w:r>
        <w:r w:rsidR="000B0AC7">
          <w:rPr>
            <w:webHidden/>
          </w:rPr>
          <w:t>85</w:t>
        </w:r>
        <w:r w:rsidR="000B0AC7">
          <w:rPr>
            <w:webHidden/>
          </w:rPr>
          <w:fldChar w:fldCharType="end"/>
        </w:r>
      </w:hyperlink>
    </w:p>
    <w:p w14:paraId="04449DFA" w14:textId="4BF18289" w:rsidR="000B0AC7" w:rsidRDefault="00096035">
      <w:pPr>
        <w:pStyle w:val="TOC3"/>
        <w:tabs>
          <w:tab w:val="left" w:pos="1122"/>
        </w:tabs>
        <w:rPr>
          <w:rFonts w:asciiTheme="minorHAnsi" w:eastAsiaTheme="minorEastAsia" w:hAnsiTheme="minorHAnsi"/>
          <w:color w:val="auto"/>
          <w:kern w:val="2"/>
          <w:position w:val="0"/>
          <w:lang w:eastAsia="en-AU"/>
          <w14:ligatures w14:val="standardContextual"/>
        </w:rPr>
      </w:pPr>
      <w:hyperlink w:anchor="_Toc135323703" w:history="1">
        <w:r w:rsidR="000B0AC7" w:rsidRPr="007A19AD">
          <w:rPr>
            <w:rStyle w:val="Hyperlink"/>
          </w:rPr>
          <w:t>7.1</w:t>
        </w:r>
        <w:r w:rsidR="000B0AC7">
          <w:rPr>
            <w:rFonts w:asciiTheme="minorHAnsi" w:eastAsiaTheme="minorEastAsia" w:hAnsiTheme="minorHAnsi"/>
            <w:color w:val="auto"/>
            <w:kern w:val="2"/>
            <w:position w:val="0"/>
            <w:lang w:eastAsia="en-AU"/>
            <w14:ligatures w14:val="standardContextual"/>
          </w:rPr>
          <w:tab/>
        </w:r>
        <w:r w:rsidR="000B0AC7" w:rsidRPr="007A19AD">
          <w:rPr>
            <w:rStyle w:val="Hyperlink"/>
          </w:rPr>
          <w:t>Key findings</w:t>
        </w:r>
        <w:r w:rsidR="000B0AC7">
          <w:rPr>
            <w:webHidden/>
          </w:rPr>
          <w:tab/>
        </w:r>
        <w:r w:rsidR="000B0AC7">
          <w:rPr>
            <w:webHidden/>
          </w:rPr>
          <w:fldChar w:fldCharType="begin"/>
        </w:r>
        <w:r w:rsidR="000B0AC7">
          <w:rPr>
            <w:webHidden/>
          </w:rPr>
          <w:instrText xml:space="preserve"> PAGEREF _Toc135323703 \h </w:instrText>
        </w:r>
        <w:r w:rsidR="000B0AC7">
          <w:rPr>
            <w:webHidden/>
          </w:rPr>
        </w:r>
        <w:r w:rsidR="000B0AC7">
          <w:rPr>
            <w:webHidden/>
          </w:rPr>
          <w:fldChar w:fldCharType="separate"/>
        </w:r>
        <w:r w:rsidR="000B0AC7">
          <w:rPr>
            <w:webHidden/>
          </w:rPr>
          <w:t>85</w:t>
        </w:r>
        <w:r w:rsidR="000B0AC7">
          <w:rPr>
            <w:webHidden/>
          </w:rPr>
          <w:fldChar w:fldCharType="end"/>
        </w:r>
      </w:hyperlink>
    </w:p>
    <w:p w14:paraId="576D31DF" w14:textId="58AA0F02" w:rsidR="000B0AC7" w:rsidRDefault="00096035">
      <w:pPr>
        <w:pStyle w:val="TOC3"/>
        <w:tabs>
          <w:tab w:val="left" w:pos="1122"/>
        </w:tabs>
        <w:rPr>
          <w:rFonts w:asciiTheme="minorHAnsi" w:eastAsiaTheme="minorEastAsia" w:hAnsiTheme="minorHAnsi"/>
          <w:color w:val="auto"/>
          <w:kern w:val="2"/>
          <w:position w:val="0"/>
          <w:lang w:eastAsia="en-AU"/>
          <w14:ligatures w14:val="standardContextual"/>
        </w:rPr>
      </w:pPr>
      <w:hyperlink w:anchor="_Toc135323704" w:history="1">
        <w:r w:rsidR="000B0AC7" w:rsidRPr="007A19AD">
          <w:rPr>
            <w:rStyle w:val="Hyperlink"/>
          </w:rPr>
          <w:t>7.2</w:t>
        </w:r>
        <w:r w:rsidR="000B0AC7">
          <w:rPr>
            <w:rFonts w:asciiTheme="minorHAnsi" w:eastAsiaTheme="minorEastAsia" w:hAnsiTheme="minorHAnsi"/>
            <w:color w:val="auto"/>
            <w:kern w:val="2"/>
            <w:position w:val="0"/>
            <w:lang w:eastAsia="en-AU"/>
            <w14:ligatures w14:val="standardContextual"/>
          </w:rPr>
          <w:tab/>
        </w:r>
        <w:r w:rsidR="000B0AC7" w:rsidRPr="007A19AD">
          <w:rPr>
            <w:rStyle w:val="Hyperlink"/>
          </w:rPr>
          <w:t>Case study framework</w:t>
        </w:r>
        <w:r w:rsidR="000B0AC7">
          <w:rPr>
            <w:webHidden/>
          </w:rPr>
          <w:tab/>
        </w:r>
        <w:r w:rsidR="000B0AC7">
          <w:rPr>
            <w:webHidden/>
          </w:rPr>
          <w:fldChar w:fldCharType="begin"/>
        </w:r>
        <w:r w:rsidR="000B0AC7">
          <w:rPr>
            <w:webHidden/>
          </w:rPr>
          <w:instrText xml:space="preserve"> PAGEREF _Toc135323704 \h </w:instrText>
        </w:r>
        <w:r w:rsidR="000B0AC7">
          <w:rPr>
            <w:webHidden/>
          </w:rPr>
        </w:r>
        <w:r w:rsidR="000B0AC7">
          <w:rPr>
            <w:webHidden/>
          </w:rPr>
          <w:fldChar w:fldCharType="separate"/>
        </w:r>
        <w:r w:rsidR="000B0AC7">
          <w:rPr>
            <w:webHidden/>
          </w:rPr>
          <w:t>85</w:t>
        </w:r>
        <w:r w:rsidR="000B0AC7">
          <w:rPr>
            <w:webHidden/>
          </w:rPr>
          <w:fldChar w:fldCharType="end"/>
        </w:r>
      </w:hyperlink>
    </w:p>
    <w:p w14:paraId="131F1EBE" w14:textId="63054AE4" w:rsidR="000B0AC7" w:rsidRDefault="00096035">
      <w:pPr>
        <w:pStyle w:val="TOC3"/>
        <w:tabs>
          <w:tab w:val="left" w:pos="1122"/>
        </w:tabs>
        <w:rPr>
          <w:rFonts w:asciiTheme="minorHAnsi" w:eastAsiaTheme="minorEastAsia" w:hAnsiTheme="minorHAnsi"/>
          <w:color w:val="auto"/>
          <w:kern w:val="2"/>
          <w:position w:val="0"/>
          <w:lang w:eastAsia="en-AU"/>
          <w14:ligatures w14:val="standardContextual"/>
        </w:rPr>
      </w:pPr>
      <w:hyperlink w:anchor="_Toc135323705" w:history="1">
        <w:r w:rsidR="000B0AC7" w:rsidRPr="007A19AD">
          <w:rPr>
            <w:rStyle w:val="Hyperlink"/>
          </w:rPr>
          <w:t>7.3</w:t>
        </w:r>
        <w:r w:rsidR="000B0AC7">
          <w:rPr>
            <w:rFonts w:asciiTheme="minorHAnsi" w:eastAsiaTheme="minorEastAsia" w:hAnsiTheme="minorHAnsi"/>
            <w:color w:val="auto"/>
            <w:kern w:val="2"/>
            <w:position w:val="0"/>
            <w:lang w:eastAsia="en-AU"/>
            <w14:ligatures w14:val="standardContextual"/>
          </w:rPr>
          <w:tab/>
        </w:r>
        <w:r w:rsidR="000B0AC7" w:rsidRPr="007A19AD">
          <w:rPr>
            <w:rStyle w:val="Hyperlink"/>
          </w:rPr>
          <w:t>Background</w:t>
        </w:r>
        <w:r w:rsidR="000B0AC7">
          <w:rPr>
            <w:webHidden/>
          </w:rPr>
          <w:tab/>
        </w:r>
        <w:r w:rsidR="000B0AC7">
          <w:rPr>
            <w:webHidden/>
          </w:rPr>
          <w:fldChar w:fldCharType="begin"/>
        </w:r>
        <w:r w:rsidR="000B0AC7">
          <w:rPr>
            <w:webHidden/>
          </w:rPr>
          <w:instrText xml:space="preserve"> PAGEREF _Toc135323705 \h </w:instrText>
        </w:r>
        <w:r w:rsidR="000B0AC7">
          <w:rPr>
            <w:webHidden/>
          </w:rPr>
        </w:r>
        <w:r w:rsidR="000B0AC7">
          <w:rPr>
            <w:webHidden/>
          </w:rPr>
          <w:fldChar w:fldCharType="separate"/>
        </w:r>
        <w:r w:rsidR="000B0AC7">
          <w:rPr>
            <w:webHidden/>
          </w:rPr>
          <w:t>86</w:t>
        </w:r>
        <w:r w:rsidR="000B0AC7">
          <w:rPr>
            <w:webHidden/>
          </w:rPr>
          <w:fldChar w:fldCharType="end"/>
        </w:r>
      </w:hyperlink>
    </w:p>
    <w:p w14:paraId="2BEB13A0" w14:textId="126B09E0" w:rsidR="000B0AC7" w:rsidRDefault="00096035">
      <w:pPr>
        <w:pStyle w:val="TOC3"/>
        <w:tabs>
          <w:tab w:val="left" w:pos="1122"/>
        </w:tabs>
        <w:rPr>
          <w:rFonts w:asciiTheme="minorHAnsi" w:eastAsiaTheme="minorEastAsia" w:hAnsiTheme="minorHAnsi"/>
          <w:color w:val="auto"/>
          <w:kern w:val="2"/>
          <w:position w:val="0"/>
          <w:lang w:eastAsia="en-AU"/>
          <w14:ligatures w14:val="standardContextual"/>
        </w:rPr>
      </w:pPr>
      <w:hyperlink w:anchor="_Toc135323706" w:history="1">
        <w:r w:rsidR="000B0AC7" w:rsidRPr="007A19AD">
          <w:rPr>
            <w:rStyle w:val="Hyperlink"/>
          </w:rPr>
          <w:t>7.4</w:t>
        </w:r>
        <w:r w:rsidR="000B0AC7">
          <w:rPr>
            <w:rFonts w:asciiTheme="minorHAnsi" w:eastAsiaTheme="minorEastAsia" w:hAnsiTheme="minorHAnsi"/>
            <w:color w:val="auto"/>
            <w:kern w:val="2"/>
            <w:position w:val="0"/>
            <w:lang w:eastAsia="en-AU"/>
            <w14:ligatures w14:val="standardContextual"/>
          </w:rPr>
          <w:tab/>
        </w:r>
        <w:r w:rsidR="000B0AC7" w:rsidRPr="007A19AD">
          <w:rPr>
            <w:rStyle w:val="Hyperlink"/>
          </w:rPr>
          <w:t>Inputs</w:t>
        </w:r>
        <w:r w:rsidR="000B0AC7">
          <w:rPr>
            <w:webHidden/>
          </w:rPr>
          <w:tab/>
        </w:r>
        <w:r w:rsidR="000B0AC7">
          <w:rPr>
            <w:webHidden/>
          </w:rPr>
          <w:fldChar w:fldCharType="begin"/>
        </w:r>
        <w:r w:rsidR="000B0AC7">
          <w:rPr>
            <w:webHidden/>
          </w:rPr>
          <w:instrText xml:space="preserve"> PAGEREF _Toc135323706 \h </w:instrText>
        </w:r>
        <w:r w:rsidR="000B0AC7">
          <w:rPr>
            <w:webHidden/>
          </w:rPr>
        </w:r>
        <w:r w:rsidR="000B0AC7">
          <w:rPr>
            <w:webHidden/>
          </w:rPr>
          <w:fldChar w:fldCharType="separate"/>
        </w:r>
        <w:r w:rsidR="000B0AC7">
          <w:rPr>
            <w:webHidden/>
          </w:rPr>
          <w:t>89</w:t>
        </w:r>
        <w:r w:rsidR="000B0AC7">
          <w:rPr>
            <w:webHidden/>
          </w:rPr>
          <w:fldChar w:fldCharType="end"/>
        </w:r>
      </w:hyperlink>
    </w:p>
    <w:p w14:paraId="745CA83B" w14:textId="17C346AB" w:rsidR="000B0AC7" w:rsidRDefault="00096035">
      <w:pPr>
        <w:pStyle w:val="TOC3"/>
        <w:tabs>
          <w:tab w:val="left" w:pos="1122"/>
        </w:tabs>
        <w:rPr>
          <w:rFonts w:asciiTheme="minorHAnsi" w:eastAsiaTheme="minorEastAsia" w:hAnsiTheme="minorHAnsi"/>
          <w:color w:val="auto"/>
          <w:kern w:val="2"/>
          <w:position w:val="0"/>
          <w:lang w:eastAsia="en-AU"/>
          <w14:ligatures w14:val="standardContextual"/>
        </w:rPr>
      </w:pPr>
      <w:hyperlink w:anchor="_Toc135323707" w:history="1">
        <w:r w:rsidR="000B0AC7" w:rsidRPr="007A19AD">
          <w:rPr>
            <w:rStyle w:val="Hyperlink"/>
          </w:rPr>
          <w:t>7.5</w:t>
        </w:r>
        <w:r w:rsidR="000B0AC7">
          <w:rPr>
            <w:rFonts w:asciiTheme="minorHAnsi" w:eastAsiaTheme="minorEastAsia" w:hAnsiTheme="minorHAnsi"/>
            <w:color w:val="auto"/>
            <w:kern w:val="2"/>
            <w:position w:val="0"/>
            <w:lang w:eastAsia="en-AU"/>
            <w14:ligatures w14:val="standardContextual"/>
          </w:rPr>
          <w:tab/>
        </w:r>
        <w:r w:rsidR="000B0AC7" w:rsidRPr="007A19AD">
          <w:rPr>
            <w:rStyle w:val="Hyperlink"/>
          </w:rPr>
          <w:t>Activities</w:t>
        </w:r>
        <w:r w:rsidR="000B0AC7">
          <w:rPr>
            <w:webHidden/>
          </w:rPr>
          <w:tab/>
        </w:r>
        <w:r w:rsidR="000B0AC7">
          <w:rPr>
            <w:webHidden/>
          </w:rPr>
          <w:fldChar w:fldCharType="begin"/>
        </w:r>
        <w:r w:rsidR="000B0AC7">
          <w:rPr>
            <w:webHidden/>
          </w:rPr>
          <w:instrText xml:space="preserve"> PAGEREF _Toc135323707 \h </w:instrText>
        </w:r>
        <w:r w:rsidR="000B0AC7">
          <w:rPr>
            <w:webHidden/>
          </w:rPr>
        </w:r>
        <w:r w:rsidR="000B0AC7">
          <w:rPr>
            <w:webHidden/>
          </w:rPr>
          <w:fldChar w:fldCharType="separate"/>
        </w:r>
        <w:r w:rsidR="000B0AC7">
          <w:rPr>
            <w:webHidden/>
          </w:rPr>
          <w:t>92</w:t>
        </w:r>
        <w:r w:rsidR="000B0AC7">
          <w:rPr>
            <w:webHidden/>
          </w:rPr>
          <w:fldChar w:fldCharType="end"/>
        </w:r>
      </w:hyperlink>
    </w:p>
    <w:p w14:paraId="21AEC7BC" w14:textId="68AC2015" w:rsidR="000B0AC7" w:rsidRDefault="00096035">
      <w:pPr>
        <w:pStyle w:val="TOC3"/>
        <w:tabs>
          <w:tab w:val="left" w:pos="1122"/>
        </w:tabs>
        <w:rPr>
          <w:rFonts w:asciiTheme="minorHAnsi" w:eastAsiaTheme="minorEastAsia" w:hAnsiTheme="minorHAnsi"/>
          <w:color w:val="auto"/>
          <w:kern w:val="2"/>
          <w:position w:val="0"/>
          <w:lang w:eastAsia="en-AU"/>
          <w14:ligatures w14:val="standardContextual"/>
        </w:rPr>
      </w:pPr>
      <w:hyperlink w:anchor="_Toc135323708" w:history="1">
        <w:r w:rsidR="000B0AC7" w:rsidRPr="007A19AD">
          <w:rPr>
            <w:rStyle w:val="Hyperlink"/>
          </w:rPr>
          <w:t>7.6</w:t>
        </w:r>
        <w:r w:rsidR="000B0AC7">
          <w:rPr>
            <w:rFonts w:asciiTheme="minorHAnsi" w:eastAsiaTheme="minorEastAsia" w:hAnsiTheme="minorHAnsi"/>
            <w:color w:val="auto"/>
            <w:kern w:val="2"/>
            <w:position w:val="0"/>
            <w:lang w:eastAsia="en-AU"/>
            <w14:ligatures w14:val="standardContextual"/>
          </w:rPr>
          <w:tab/>
        </w:r>
        <w:r w:rsidR="000B0AC7" w:rsidRPr="007A19AD">
          <w:rPr>
            <w:rStyle w:val="Hyperlink"/>
          </w:rPr>
          <w:t>Outputs</w:t>
        </w:r>
        <w:r w:rsidR="000B0AC7">
          <w:rPr>
            <w:webHidden/>
          </w:rPr>
          <w:tab/>
        </w:r>
        <w:r w:rsidR="000B0AC7">
          <w:rPr>
            <w:webHidden/>
          </w:rPr>
          <w:fldChar w:fldCharType="begin"/>
        </w:r>
        <w:r w:rsidR="000B0AC7">
          <w:rPr>
            <w:webHidden/>
          </w:rPr>
          <w:instrText xml:space="preserve"> PAGEREF _Toc135323708 \h </w:instrText>
        </w:r>
        <w:r w:rsidR="000B0AC7">
          <w:rPr>
            <w:webHidden/>
          </w:rPr>
        </w:r>
        <w:r w:rsidR="000B0AC7">
          <w:rPr>
            <w:webHidden/>
          </w:rPr>
          <w:fldChar w:fldCharType="separate"/>
        </w:r>
        <w:r w:rsidR="000B0AC7">
          <w:rPr>
            <w:webHidden/>
          </w:rPr>
          <w:t>94</w:t>
        </w:r>
        <w:r w:rsidR="000B0AC7">
          <w:rPr>
            <w:webHidden/>
          </w:rPr>
          <w:fldChar w:fldCharType="end"/>
        </w:r>
      </w:hyperlink>
    </w:p>
    <w:p w14:paraId="49314B24" w14:textId="63254E70" w:rsidR="000B0AC7" w:rsidRDefault="00096035">
      <w:pPr>
        <w:pStyle w:val="TOC3"/>
        <w:tabs>
          <w:tab w:val="left" w:pos="1122"/>
        </w:tabs>
        <w:rPr>
          <w:rFonts w:asciiTheme="minorHAnsi" w:eastAsiaTheme="minorEastAsia" w:hAnsiTheme="minorHAnsi"/>
          <w:color w:val="auto"/>
          <w:kern w:val="2"/>
          <w:position w:val="0"/>
          <w:lang w:eastAsia="en-AU"/>
          <w14:ligatures w14:val="standardContextual"/>
        </w:rPr>
      </w:pPr>
      <w:hyperlink w:anchor="_Toc135323709" w:history="1">
        <w:r w:rsidR="000B0AC7" w:rsidRPr="007A19AD">
          <w:rPr>
            <w:rStyle w:val="Hyperlink"/>
          </w:rPr>
          <w:t>7.7</w:t>
        </w:r>
        <w:r w:rsidR="000B0AC7">
          <w:rPr>
            <w:rFonts w:asciiTheme="minorHAnsi" w:eastAsiaTheme="minorEastAsia" w:hAnsiTheme="minorHAnsi"/>
            <w:color w:val="auto"/>
            <w:kern w:val="2"/>
            <w:position w:val="0"/>
            <w:lang w:eastAsia="en-AU"/>
            <w14:ligatures w14:val="standardContextual"/>
          </w:rPr>
          <w:tab/>
        </w:r>
        <w:r w:rsidR="000B0AC7" w:rsidRPr="007A19AD">
          <w:rPr>
            <w:rStyle w:val="Hyperlink"/>
          </w:rPr>
          <w:t>Outcomes</w:t>
        </w:r>
        <w:r w:rsidR="000B0AC7">
          <w:rPr>
            <w:webHidden/>
          </w:rPr>
          <w:tab/>
        </w:r>
        <w:r w:rsidR="000B0AC7">
          <w:rPr>
            <w:webHidden/>
          </w:rPr>
          <w:fldChar w:fldCharType="begin"/>
        </w:r>
        <w:r w:rsidR="000B0AC7">
          <w:rPr>
            <w:webHidden/>
          </w:rPr>
          <w:instrText xml:space="preserve"> PAGEREF _Toc135323709 \h </w:instrText>
        </w:r>
        <w:r w:rsidR="000B0AC7">
          <w:rPr>
            <w:webHidden/>
          </w:rPr>
        </w:r>
        <w:r w:rsidR="000B0AC7">
          <w:rPr>
            <w:webHidden/>
          </w:rPr>
          <w:fldChar w:fldCharType="separate"/>
        </w:r>
        <w:r w:rsidR="000B0AC7">
          <w:rPr>
            <w:webHidden/>
          </w:rPr>
          <w:t>102</w:t>
        </w:r>
        <w:r w:rsidR="000B0AC7">
          <w:rPr>
            <w:webHidden/>
          </w:rPr>
          <w:fldChar w:fldCharType="end"/>
        </w:r>
      </w:hyperlink>
    </w:p>
    <w:p w14:paraId="031C87BD" w14:textId="33636C71" w:rsidR="000B0AC7" w:rsidRDefault="00096035">
      <w:pPr>
        <w:pStyle w:val="TOC3"/>
        <w:tabs>
          <w:tab w:val="left" w:pos="1122"/>
        </w:tabs>
        <w:rPr>
          <w:rFonts w:asciiTheme="minorHAnsi" w:eastAsiaTheme="minorEastAsia" w:hAnsiTheme="minorHAnsi"/>
          <w:color w:val="auto"/>
          <w:kern w:val="2"/>
          <w:position w:val="0"/>
          <w:lang w:eastAsia="en-AU"/>
          <w14:ligatures w14:val="standardContextual"/>
        </w:rPr>
      </w:pPr>
      <w:hyperlink w:anchor="_Toc135323710" w:history="1">
        <w:r w:rsidR="000B0AC7" w:rsidRPr="007A19AD">
          <w:rPr>
            <w:rStyle w:val="Hyperlink"/>
          </w:rPr>
          <w:t>7.8</w:t>
        </w:r>
        <w:r w:rsidR="000B0AC7">
          <w:rPr>
            <w:rFonts w:asciiTheme="minorHAnsi" w:eastAsiaTheme="minorEastAsia" w:hAnsiTheme="minorHAnsi"/>
            <w:color w:val="auto"/>
            <w:kern w:val="2"/>
            <w:position w:val="0"/>
            <w:lang w:eastAsia="en-AU"/>
            <w14:ligatures w14:val="standardContextual"/>
          </w:rPr>
          <w:tab/>
        </w:r>
        <w:r w:rsidR="000B0AC7" w:rsidRPr="007A19AD">
          <w:rPr>
            <w:rStyle w:val="Hyperlink"/>
          </w:rPr>
          <w:t>Impacts</w:t>
        </w:r>
        <w:r w:rsidR="000B0AC7">
          <w:rPr>
            <w:webHidden/>
          </w:rPr>
          <w:tab/>
        </w:r>
        <w:r w:rsidR="000B0AC7">
          <w:rPr>
            <w:webHidden/>
          </w:rPr>
          <w:fldChar w:fldCharType="begin"/>
        </w:r>
        <w:r w:rsidR="000B0AC7">
          <w:rPr>
            <w:webHidden/>
          </w:rPr>
          <w:instrText xml:space="preserve"> PAGEREF _Toc135323710 \h </w:instrText>
        </w:r>
        <w:r w:rsidR="000B0AC7">
          <w:rPr>
            <w:webHidden/>
          </w:rPr>
        </w:r>
        <w:r w:rsidR="000B0AC7">
          <w:rPr>
            <w:webHidden/>
          </w:rPr>
          <w:fldChar w:fldCharType="separate"/>
        </w:r>
        <w:r w:rsidR="000B0AC7">
          <w:rPr>
            <w:webHidden/>
          </w:rPr>
          <w:t>105</w:t>
        </w:r>
        <w:r w:rsidR="000B0AC7">
          <w:rPr>
            <w:webHidden/>
          </w:rPr>
          <w:fldChar w:fldCharType="end"/>
        </w:r>
      </w:hyperlink>
    </w:p>
    <w:p w14:paraId="78900119" w14:textId="5A7ED189" w:rsidR="000B0AC7" w:rsidRDefault="00096035">
      <w:pPr>
        <w:pStyle w:val="TOC3"/>
        <w:tabs>
          <w:tab w:val="left" w:pos="1122"/>
        </w:tabs>
        <w:rPr>
          <w:rFonts w:asciiTheme="minorHAnsi" w:eastAsiaTheme="minorEastAsia" w:hAnsiTheme="minorHAnsi"/>
          <w:color w:val="auto"/>
          <w:kern w:val="2"/>
          <w:position w:val="0"/>
          <w:lang w:eastAsia="en-AU"/>
          <w14:ligatures w14:val="standardContextual"/>
        </w:rPr>
      </w:pPr>
      <w:hyperlink w:anchor="_Toc135323711" w:history="1">
        <w:r w:rsidR="000B0AC7" w:rsidRPr="007A19AD">
          <w:rPr>
            <w:rStyle w:val="Hyperlink"/>
          </w:rPr>
          <w:t>7.9</w:t>
        </w:r>
        <w:r w:rsidR="000B0AC7">
          <w:rPr>
            <w:rFonts w:asciiTheme="minorHAnsi" w:eastAsiaTheme="minorEastAsia" w:hAnsiTheme="minorHAnsi"/>
            <w:color w:val="auto"/>
            <w:kern w:val="2"/>
            <w:position w:val="0"/>
            <w:lang w:eastAsia="en-AU"/>
            <w14:ligatures w14:val="standardContextual"/>
          </w:rPr>
          <w:tab/>
        </w:r>
        <w:r w:rsidR="000B0AC7" w:rsidRPr="007A19AD">
          <w:rPr>
            <w:rStyle w:val="Hyperlink"/>
          </w:rPr>
          <w:t>Potential future impacts</w:t>
        </w:r>
        <w:r w:rsidR="000B0AC7">
          <w:rPr>
            <w:webHidden/>
          </w:rPr>
          <w:tab/>
        </w:r>
        <w:r w:rsidR="000B0AC7">
          <w:rPr>
            <w:webHidden/>
          </w:rPr>
          <w:fldChar w:fldCharType="begin"/>
        </w:r>
        <w:r w:rsidR="000B0AC7">
          <w:rPr>
            <w:webHidden/>
          </w:rPr>
          <w:instrText xml:space="preserve"> PAGEREF _Toc135323711 \h </w:instrText>
        </w:r>
        <w:r w:rsidR="000B0AC7">
          <w:rPr>
            <w:webHidden/>
          </w:rPr>
        </w:r>
        <w:r w:rsidR="000B0AC7">
          <w:rPr>
            <w:webHidden/>
          </w:rPr>
          <w:fldChar w:fldCharType="separate"/>
        </w:r>
        <w:r w:rsidR="000B0AC7">
          <w:rPr>
            <w:webHidden/>
          </w:rPr>
          <w:t>111</w:t>
        </w:r>
        <w:r w:rsidR="000B0AC7">
          <w:rPr>
            <w:webHidden/>
          </w:rPr>
          <w:fldChar w:fldCharType="end"/>
        </w:r>
      </w:hyperlink>
    </w:p>
    <w:p w14:paraId="47871911" w14:textId="2FCC2C9C" w:rsidR="000B0AC7" w:rsidRDefault="00096035">
      <w:pPr>
        <w:pStyle w:val="TOC2"/>
        <w:rPr>
          <w:rFonts w:asciiTheme="minorHAnsi" w:eastAsiaTheme="minorEastAsia" w:hAnsiTheme="minorHAnsi" w:cstheme="minorBidi"/>
          <w:b w:val="0"/>
          <w:color w:val="auto"/>
          <w:kern w:val="2"/>
          <w:sz w:val="22"/>
          <w:lang w:eastAsia="en-AU"/>
          <w14:ligatures w14:val="standardContextual"/>
        </w:rPr>
      </w:pPr>
      <w:hyperlink w:anchor="_Toc135323712" w:history="1">
        <w:r w:rsidR="000B0AC7" w:rsidRPr="007A19AD">
          <w:rPr>
            <w:rStyle w:val="Hyperlink"/>
          </w:rPr>
          <w:t>8</w:t>
        </w:r>
        <w:r w:rsidR="000B0AC7">
          <w:rPr>
            <w:rFonts w:asciiTheme="minorHAnsi" w:eastAsiaTheme="minorEastAsia" w:hAnsiTheme="minorHAnsi" w:cstheme="minorBidi"/>
            <w:b w:val="0"/>
            <w:color w:val="auto"/>
            <w:kern w:val="2"/>
            <w:sz w:val="22"/>
            <w:lang w:eastAsia="en-AU"/>
            <w14:ligatures w14:val="standardContextual"/>
          </w:rPr>
          <w:tab/>
        </w:r>
        <w:r w:rsidR="000B0AC7" w:rsidRPr="007A19AD">
          <w:rPr>
            <w:rStyle w:val="Hyperlink"/>
          </w:rPr>
          <w:t>Aquifer Reinjection</w:t>
        </w:r>
        <w:r w:rsidR="000B0AC7">
          <w:rPr>
            <w:webHidden/>
          </w:rPr>
          <w:tab/>
        </w:r>
        <w:r w:rsidR="000B0AC7">
          <w:rPr>
            <w:webHidden/>
          </w:rPr>
          <w:fldChar w:fldCharType="begin"/>
        </w:r>
        <w:r w:rsidR="000B0AC7">
          <w:rPr>
            <w:webHidden/>
          </w:rPr>
          <w:instrText xml:space="preserve"> PAGEREF _Toc135323712 \h </w:instrText>
        </w:r>
        <w:r w:rsidR="000B0AC7">
          <w:rPr>
            <w:webHidden/>
          </w:rPr>
        </w:r>
        <w:r w:rsidR="000B0AC7">
          <w:rPr>
            <w:webHidden/>
          </w:rPr>
          <w:fldChar w:fldCharType="separate"/>
        </w:r>
        <w:r w:rsidR="000B0AC7">
          <w:rPr>
            <w:webHidden/>
          </w:rPr>
          <w:t>113</w:t>
        </w:r>
        <w:r w:rsidR="000B0AC7">
          <w:rPr>
            <w:webHidden/>
          </w:rPr>
          <w:fldChar w:fldCharType="end"/>
        </w:r>
      </w:hyperlink>
    </w:p>
    <w:p w14:paraId="24D96AD5" w14:textId="7C5C7BD7" w:rsidR="000B0AC7" w:rsidRDefault="00096035">
      <w:pPr>
        <w:pStyle w:val="TOC3"/>
        <w:tabs>
          <w:tab w:val="left" w:pos="1122"/>
        </w:tabs>
        <w:rPr>
          <w:rFonts w:asciiTheme="minorHAnsi" w:eastAsiaTheme="minorEastAsia" w:hAnsiTheme="minorHAnsi"/>
          <w:color w:val="auto"/>
          <w:kern w:val="2"/>
          <w:position w:val="0"/>
          <w:lang w:eastAsia="en-AU"/>
          <w14:ligatures w14:val="standardContextual"/>
        </w:rPr>
      </w:pPr>
      <w:hyperlink w:anchor="_Toc135323713" w:history="1">
        <w:r w:rsidR="000B0AC7" w:rsidRPr="007A19AD">
          <w:rPr>
            <w:rStyle w:val="Hyperlink"/>
          </w:rPr>
          <w:t>8.1</w:t>
        </w:r>
        <w:r w:rsidR="000B0AC7">
          <w:rPr>
            <w:rFonts w:asciiTheme="minorHAnsi" w:eastAsiaTheme="minorEastAsia" w:hAnsiTheme="minorHAnsi"/>
            <w:color w:val="auto"/>
            <w:kern w:val="2"/>
            <w:position w:val="0"/>
            <w:lang w:eastAsia="en-AU"/>
            <w14:ligatures w14:val="standardContextual"/>
          </w:rPr>
          <w:tab/>
        </w:r>
        <w:r w:rsidR="000B0AC7" w:rsidRPr="007A19AD">
          <w:rPr>
            <w:rStyle w:val="Hyperlink"/>
          </w:rPr>
          <w:t>Key Findings – WA Aquifer Recharge</w:t>
        </w:r>
        <w:r w:rsidR="000B0AC7">
          <w:rPr>
            <w:webHidden/>
          </w:rPr>
          <w:tab/>
        </w:r>
        <w:r w:rsidR="000B0AC7">
          <w:rPr>
            <w:webHidden/>
          </w:rPr>
          <w:fldChar w:fldCharType="begin"/>
        </w:r>
        <w:r w:rsidR="000B0AC7">
          <w:rPr>
            <w:webHidden/>
          </w:rPr>
          <w:instrText xml:space="preserve"> PAGEREF _Toc135323713 \h </w:instrText>
        </w:r>
        <w:r w:rsidR="000B0AC7">
          <w:rPr>
            <w:webHidden/>
          </w:rPr>
        </w:r>
        <w:r w:rsidR="000B0AC7">
          <w:rPr>
            <w:webHidden/>
          </w:rPr>
          <w:fldChar w:fldCharType="separate"/>
        </w:r>
        <w:r w:rsidR="000B0AC7">
          <w:rPr>
            <w:webHidden/>
          </w:rPr>
          <w:t>113</w:t>
        </w:r>
        <w:r w:rsidR="000B0AC7">
          <w:rPr>
            <w:webHidden/>
          </w:rPr>
          <w:fldChar w:fldCharType="end"/>
        </w:r>
      </w:hyperlink>
    </w:p>
    <w:p w14:paraId="43E4360F" w14:textId="56D1193F" w:rsidR="000B0AC7" w:rsidRDefault="00096035">
      <w:pPr>
        <w:pStyle w:val="TOC3"/>
        <w:tabs>
          <w:tab w:val="left" w:pos="1122"/>
        </w:tabs>
        <w:rPr>
          <w:rFonts w:asciiTheme="minorHAnsi" w:eastAsiaTheme="minorEastAsia" w:hAnsiTheme="minorHAnsi"/>
          <w:color w:val="auto"/>
          <w:kern w:val="2"/>
          <w:position w:val="0"/>
          <w:lang w:eastAsia="en-AU"/>
          <w14:ligatures w14:val="standardContextual"/>
        </w:rPr>
      </w:pPr>
      <w:hyperlink w:anchor="_Toc135323714" w:history="1">
        <w:r w:rsidR="000B0AC7" w:rsidRPr="007A19AD">
          <w:rPr>
            <w:rStyle w:val="Hyperlink"/>
          </w:rPr>
          <w:t>8.2</w:t>
        </w:r>
        <w:r w:rsidR="000B0AC7">
          <w:rPr>
            <w:rFonts w:asciiTheme="minorHAnsi" w:eastAsiaTheme="minorEastAsia" w:hAnsiTheme="minorHAnsi"/>
            <w:color w:val="auto"/>
            <w:kern w:val="2"/>
            <w:position w:val="0"/>
            <w:lang w:eastAsia="en-AU"/>
            <w14:ligatures w14:val="standardContextual"/>
          </w:rPr>
          <w:tab/>
        </w:r>
        <w:r w:rsidR="000B0AC7" w:rsidRPr="007A19AD">
          <w:rPr>
            <w:rStyle w:val="Hyperlink"/>
          </w:rPr>
          <w:t>Case study framework</w:t>
        </w:r>
        <w:r w:rsidR="000B0AC7">
          <w:rPr>
            <w:webHidden/>
          </w:rPr>
          <w:tab/>
        </w:r>
        <w:r w:rsidR="000B0AC7">
          <w:rPr>
            <w:webHidden/>
          </w:rPr>
          <w:fldChar w:fldCharType="begin"/>
        </w:r>
        <w:r w:rsidR="000B0AC7">
          <w:rPr>
            <w:webHidden/>
          </w:rPr>
          <w:instrText xml:space="preserve"> PAGEREF _Toc135323714 \h </w:instrText>
        </w:r>
        <w:r w:rsidR="000B0AC7">
          <w:rPr>
            <w:webHidden/>
          </w:rPr>
        </w:r>
        <w:r w:rsidR="000B0AC7">
          <w:rPr>
            <w:webHidden/>
          </w:rPr>
          <w:fldChar w:fldCharType="separate"/>
        </w:r>
        <w:r w:rsidR="000B0AC7">
          <w:rPr>
            <w:webHidden/>
          </w:rPr>
          <w:t>113</w:t>
        </w:r>
        <w:r w:rsidR="000B0AC7">
          <w:rPr>
            <w:webHidden/>
          </w:rPr>
          <w:fldChar w:fldCharType="end"/>
        </w:r>
      </w:hyperlink>
    </w:p>
    <w:p w14:paraId="24FABEA2" w14:textId="2E080DA9" w:rsidR="000B0AC7" w:rsidRDefault="00096035">
      <w:pPr>
        <w:pStyle w:val="TOC3"/>
        <w:tabs>
          <w:tab w:val="left" w:pos="1122"/>
        </w:tabs>
        <w:rPr>
          <w:rFonts w:asciiTheme="minorHAnsi" w:eastAsiaTheme="minorEastAsia" w:hAnsiTheme="minorHAnsi"/>
          <w:color w:val="auto"/>
          <w:kern w:val="2"/>
          <w:position w:val="0"/>
          <w:lang w:eastAsia="en-AU"/>
          <w14:ligatures w14:val="standardContextual"/>
        </w:rPr>
      </w:pPr>
      <w:hyperlink w:anchor="_Toc135323715" w:history="1">
        <w:r w:rsidR="000B0AC7" w:rsidRPr="007A19AD">
          <w:rPr>
            <w:rStyle w:val="Hyperlink"/>
          </w:rPr>
          <w:t>8.3</w:t>
        </w:r>
        <w:r w:rsidR="000B0AC7">
          <w:rPr>
            <w:rFonts w:asciiTheme="minorHAnsi" w:eastAsiaTheme="minorEastAsia" w:hAnsiTheme="minorHAnsi"/>
            <w:color w:val="auto"/>
            <w:kern w:val="2"/>
            <w:position w:val="0"/>
            <w:lang w:eastAsia="en-AU"/>
            <w14:ligatures w14:val="standardContextual"/>
          </w:rPr>
          <w:tab/>
        </w:r>
        <w:r w:rsidR="000B0AC7" w:rsidRPr="007A19AD">
          <w:rPr>
            <w:rStyle w:val="Hyperlink"/>
          </w:rPr>
          <w:t>Background</w:t>
        </w:r>
        <w:r w:rsidR="000B0AC7">
          <w:rPr>
            <w:webHidden/>
          </w:rPr>
          <w:tab/>
        </w:r>
        <w:r w:rsidR="000B0AC7">
          <w:rPr>
            <w:webHidden/>
          </w:rPr>
          <w:fldChar w:fldCharType="begin"/>
        </w:r>
        <w:r w:rsidR="000B0AC7">
          <w:rPr>
            <w:webHidden/>
          </w:rPr>
          <w:instrText xml:space="preserve"> PAGEREF _Toc135323715 \h </w:instrText>
        </w:r>
        <w:r w:rsidR="000B0AC7">
          <w:rPr>
            <w:webHidden/>
          </w:rPr>
        </w:r>
        <w:r w:rsidR="000B0AC7">
          <w:rPr>
            <w:webHidden/>
          </w:rPr>
          <w:fldChar w:fldCharType="separate"/>
        </w:r>
        <w:r w:rsidR="000B0AC7">
          <w:rPr>
            <w:webHidden/>
          </w:rPr>
          <w:t>114</w:t>
        </w:r>
        <w:r w:rsidR="000B0AC7">
          <w:rPr>
            <w:webHidden/>
          </w:rPr>
          <w:fldChar w:fldCharType="end"/>
        </w:r>
      </w:hyperlink>
    </w:p>
    <w:p w14:paraId="427016E2" w14:textId="1DDE459A" w:rsidR="000B0AC7" w:rsidRDefault="00096035">
      <w:pPr>
        <w:pStyle w:val="TOC3"/>
        <w:tabs>
          <w:tab w:val="left" w:pos="1122"/>
        </w:tabs>
        <w:rPr>
          <w:rFonts w:asciiTheme="minorHAnsi" w:eastAsiaTheme="minorEastAsia" w:hAnsiTheme="minorHAnsi"/>
          <w:color w:val="auto"/>
          <w:kern w:val="2"/>
          <w:position w:val="0"/>
          <w:lang w:eastAsia="en-AU"/>
          <w14:ligatures w14:val="standardContextual"/>
        </w:rPr>
      </w:pPr>
      <w:hyperlink w:anchor="_Toc135323716" w:history="1">
        <w:r w:rsidR="000B0AC7" w:rsidRPr="007A19AD">
          <w:rPr>
            <w:rStyle w:val="Hyperlink"/>
          </w:rPr>
          <w:t>8.4</w:t>
        </w:r>
        <w:r w:rsidR="000B0AC7">
          <w:rPr>
            <w:rFonts w:asciiTheme="minorHAnsi" w:eastAsiaTheme="minorEastAsia" w:hAnsiTheme="minorHAnsi"/>
            <w:color w:val="auto"/>
            <w:kern w:val="2"/>
            <w:position w:val="0"/>
            <w:lang w:eastAsia="en-AU"/>
            <w14:ligatures w14:val="standardContextual"/>
          </w:rPr>
          <w:tab/>
        </w:r>
        <w:r w:rsidR="000B0AC7" w:rsidRPr="007A19AD">
          <w:rPr>
            <w:rStyle w:val="Hyperlink"/>
          </w:rPr>
          <w:t>Inputs</w:t>
        </w:r>
        <w:r w:rsidR="000B0AC7">
          <w:rPr>
            <w:webHidden/>
          </w:rPr>
          <w:tab/>
        </w:r>
        <w:r w:rsidR="000B0AC7">
          <w:rPr>
            <w:webHidden/>
          </w:rPr>
          <w:fldChar w:fldCharType="begin"/>
        </w:r>
        <w:r w:rsidR="000B0AC7">
          <w:rPr>
            <w:webHidden/>
          </w:rPr>
          <w:instrText xml:space="preserve"> PAGEREF _Toc135323716 \h </w:instrText>
        </w:r>
        <w:r w:rsidR="000B0AC7">
          <w:rPr>
            <w:webHidden/>
          </w:rPr>
        </w:r>
        <w:r w:rsidR="000B0AC7">
          <w:rPr>
            <w:webHidden/>
          </w:rPr>
          <w:fldChar w:fldCharType="separate"/>
        </w:r>
        <w:r w:rsidR="000B0AC7">
          <w:rPr>
            <w:webHidden/>
          </w:rPr>
          <w:t>116</w:t>
        </w:r>
        <w:r w:rsidR="000B0AC7">
          <w:rPr>
            <w:webHidden/>
          </w:rPr>
          <w:fldChar w:fldCharType="end"/>
        </w:r>
      </w:hyperlink>
    </w:p>
    <w:p w14:paraId="612AA142" w14:textId="37C4B6D6" w:rsidR="000B0AC7" w:rsidRDefault="00096035">
      <w:pPr>
        <w:pStyle w:val="TOC3"/>
        <w:tabs>
          <w:tab w:val="left" w:pos="1122"/>
        </w:tabs>
        <w:rPr>
          <w:rFonts w:asciiTheme="minorHAnsi" w:eastAsiaTheme="minorEastAsia" w:hAnsiTheme="minorHAnsi"/>
          <w:color w:val="auto"/>
          <w:kern w:val="2"/>
          <w:position w:val="0"/>
          <w:lang w:eastAsia="en-AU"/>
          <w14:ligatures w14:val="standardContextual"/>
        </w:rPr>
      </w:pPr>
      <w:hyperlink w:anchor="_Toc135323717" w:history="1">
        <w:r w:rsidR="000B0AC7" w:rsidRPr="007A19AD">
          <w:rPr>
            <w:rStyle w:val="Hyperlink"/>
          </w:rPr>
          <w:t>8.5</w:t>
        </w:r>
        <w:r w:rsidR="000B0AC7">
          <w:rPr>
            <w:rFonts w:asciiTheme="minorHAnsi" w:eastAsiaTheme="minorEastAsia" w:hAnsiTheme="minorHAnsi"/>
            <w:color w:val="auto"/>
            <w:kern w:val="2"/>
            <w:position w:val="0"/>
            <w:lang w:eastAsia="en-AU"/>
            <w14:ligatures w14:val="standardContextual"/>
          </w:rPr>
          <w:tab/>
        </w:r>
        <w:r w:rsidR="000B0AC7" w:rsidRPr="007A19AD">
          <w:rPr>
            <w:rStyle w:val="Hyperlink"/>
          </w:rPr>
          <w:t>Activities</w:t>
        </w:r>
        <w:r w:rsidR="000B0AC7">
          <w:rPr>
            <w:webHidden/>
          </w:rPr>
          <w:tab/>
        </w:r>
        <w:r w:rsidR="000B0AC7">
          <w:rPr>
            <w:webHidden/>
          </w:rPr>
          <w:fldChar w:fldCharType="begin"/>
        </w:r>
        <w:r w:rsidR="000B0AC7">
          <w:rPr>
            <w:webHidden/>
          </w:rPr>
          <w:instrText xml:space="preserve"> PAGEREF _Toc135323717 \h </w:instrText>
        </w:r>
        <w:r w:rsidR="000B0AC7">
          <w:rPr>
            <w:webHidden/>
          </w:rPr>
        </w:r>
        <w:r w:rsidR="000B0AC7">
          <w:rPr>
            <w:webHidden/>
          </w:rPr>
          <w:fldChar w:fldCharType="separate"/>
        </w:r>
        <w:r w:rsidR="000B0AC7">
          <w:rPr>
            <w:webHidden/>
          </w:rPr>
          <w:t>117</w:t>
        </w:r>
        <w:r w:rsidR="000B0AC7">
          <w:rPr>
            <w:webHidden/>
          </w:rPr>
          <w:fldChar w:fldCharType="end"/>
        </w:r>
      </w:hyperlink>
    </w:p>
    <w:p w14:paraId="3B7953EB" w14:textId="3AA49C08" w:rsidR="000B0AC7" w:rsidRDefault="00096035">
      <w:pPr>
        <w:pStyle w:val="TOC3"/>
        <w:tabs>
          <w:tab w:val="left" w:pos="1122"/>
        </w:tabs>
        <w:rPr>
          <w:rFonts w:asciiTheme="minorHAnsi" w:eastAsiaTheme="minorEastAsia" w:hAnsiTheme="minorHAnsi"/>
          <w:color w:val="auto"/>
          <w:kern w:val="2"/>
          <w:position w:val="0"/>
          <w:lang w:eastAsia="en-AU"/>
          <w14:ligatures w14:val="standardContextual"/>
        </w:rPr>
      </w:pPr>
      <w:hyperlink w:anchor="_Toc135323718" w:history="1">
        <w:r w:rsidR="000B0AC7" w:rsidRPr="007A19AD">
          <w:rPr>
            <w:rStyle w:val="Hyperlink"/>
          </w:rPr>
          <w:t>8.6</w:t>
        </w:r>
        <w:r w:rsidR="000B0AC7">
          <w:rPr>
            <w:rFonts w:asciiTheme="minorHAnsi" w:eastAsiaTheme="minorEastAsia" w:hAnsiTheme="minorHAnsi"/>
            <w:color w:val="auto"/>
            <w:kern w:val="2"/>
            <w:position w:val="0"/>
            <w:lang w:eastAsia="en-AU"/>
            <w14:ligatures w14:val="standardContextual"/>
          </w:rPr>
          <w:tab/>
        </w:r>
        <w:r w:rsidR="000B0AC7" w:rsidRPr="007A19AD">
          <w:rPr>
            <w:rStyle w:val="Hyperlink"/>
          </w:rPr>
          <w:t>Outputs</w:t>
        </w:r>
        <w:r w:rsidR="000B0AC7">
          <w:rPr>
            <w:webHidden/>
          </w:rPr>
          <w:tab/>
        </w:r>
        <w:r w:rsidR="000B0AC7">
          <w:rPr>
            <w:webHidden/>
          </w:rPr>
          <w:fldChar w:fldCharType="begin"/>
        </w:r>
        <w:r w:rsidR="000B0AC7">
          <w:rPr>
            <w:webHidden/>
          </w:rPr>
          <w:instrText xml:space="preserve"> PAGEREF _Toc135323718 \h </w:instrText>
        </w:r>
        <w:r w:rsidR="000B0AC7">
          <w:rPr>
            <w:webHidden/>
          </w:rPr>
        </w:r>
        <w:r w:rsidR="000B0AC7">
          <w:rPr>
            <w:webHidden/>
          </w:rPr>
          <w:fldChar w:fldCharType="separate"/>
        </w:r>
        <w:r w:rsidR="000B0AC7">
          <w:rPr>
            <w:webHidden/>
          </w:rPr>
          <w:t>120</w:t>
        </w:r>
        <w:r w:rsidR="000B0AC7">
          <w:rPr>
            <w:webHidden/>
          </w:rPr>
          <w:fldChar w:fldCharType="end"/>
        </w:r>
      </w:hyperlink>
    </w:p>
    <w:p w14:paraId="38952A46" w14:textId="7E28F1A5" w:rsidR="000B0AC7" w:rsidRDefault="00096035">
      <w:pPr>
        <w:pStyle w:val="TOC3"/>
        <w:tabs>
          <w:tab w:val="left" w:pos="1122"/>
        </w:tabs>
        <w:rPr>
          <w:rFonts w:asciiTheme="minorHAnsi" w:eastAsiaTheme="minorEastAsia" w:hAnsiTheme="minorHAnsi"/>
          <w:color w:val="auto"/>
          <w:kern w:val="2"/>
          <w:position w:val="0"/>
          <w:lang w:eastAsia="en-AU"/>
          <w14:ligatures w14:val="standardContextual"/>
        </w:rPr>
      </w:pPr>
      <w:hyperlink w:anchor="_Toc135323719" w:history="1">
        <w:r w:rsidR="000B0AC7" w:rsidRPr="007A19AD">
          <w:rPr>
            <w:rStyle w:val="Hyperlink"/>
          </w:rPr>
          <w:t>8.7</w:t>
        </w:r>
        <w:r w:rsidR="000B0AC7">
          <w:rPr>
            <w:rFonts w:asciiTheme="minorHAnsi" w:eastAsiaTheme="minorEastAsia" w:hAnsiTheme="minorHAnsi"/>
            <w:color w:val="auto"/>
            <w:kern w:val="2"/>
            <w:position w:val="0"/>
            <w:lang w:eastAsia="en-AU"/>
            <w14:ligatures w14:val="standardContextual"/>
          </w:rPr>
          <w:tab/>
        </w:r>
        <w:r w:rsidR="000B0AC7" w:rsidRPr="007A19AD">
          <w:rPr>
            <w:rStyle w:val="Hyperlink"/>
          </w:rPr>
          <w:t>Outcomes</w:t>
        </w:r>
        <w:r w:rsidR="000B0AC7">
          <w:rPr>
            <w:webHidden/>
          </w:rPr>
          <w:tab/>
        </w:r>
        <w:r w:rsidR="000B0AC7">
          <w:rPr>
            <w:webHidden/>
          </w:rPr>
          <w:fldChar w:fldCharType="begin"/>
        </w:r>
        <w:r w:rsidR="000B0AC7">
          <w:rPr>
            <w:webHidden/>
          </w:rPr>
          <w:instrText xml:space="preserve"> PAGEREF _Toc135323719 \h </w:instrText>
        </w:r>
        <w:r w:rsidR="000B0AC7">
          <w:rPr>
            <w:webHidden/>
          </w:rPr>
        </w:r>
        <w:r w:rsidR="000B0AC7">
          <w:rPr>
            <w:webHidden/>
          </w:rPr>
          <w:fldChar w:fldCharType="separate"/>
        </w:r>
        <w:r w:rsidR="000B0AC7">
          <w:rPr>
            <w:webHidden/>
          </w:rPr>
          <w:t>122</w:t>
        </w:r>
        <w:r w:rsidR="000B0AC7">
          <w:rPr>
            <w:webHidden/>
          </w:rPr>
          <w:fldChar w:fldCharType="end"/>
        </w:r>
      </w:hyperlink>
    </w:p>
    <w:p w14:paraId="4D839958" w14:textId="4B8451B2" w:rsidR="000B0AC7" w:rsidRDefault="00096035">
      <w:pPr>
        <w:pStyle w:val="TOC3"/>
        <w:tabs>
          <w:tab w:val="left" w:pos="1122"/>
        </w:tabs>
        <w:rPr>
          <w:rFonts w:asciiTheme="minorHAnsi" w:eastAsiaTheme="minorEastAsia" w:hAnsiTheme="minorHAnsi"/>
          <w:color w:val="auto"/>
          <w:kern w:val="2"/>
          <w:position w:val="0"/>
          <w:lang w:eastAsia="en-AU"/>
          <w14:ligatures w14:val="standardContextual"/>
        </w:rPr>
      </w:pPr>
      <w:hyperlink w:anchor="_Toc135323720" w:history="1">
        <w:r w:rsidR="000B0AC7" w:rsidRPr="007A19AD">
          <w:rPr>
            <w:rStyle w:val="Hyperlink"/>
          </w:rPr>
          <w:t>8.8</w:t>
        </w:r>
        <w:r w:rsidR="000B0AC7">
          <w:rPr>
            <w:rFonts w:asciiTheme="minorHAnsi" w:eastAsiaTheme="minorEastAsia" w:hAnsiTheme="minorHAnsi"/>
            <w:color w:val="auto"/>
            <w:kern w:val="2"/>
            <w:position w:val="0"/>
            <w:lang w:eastAsia="en-AU"/>
            <w14:ligatures w14:val="standardContextual"/>
          </w:rPr>
          <w:tab/>
        </w:r>
        <w:r w:rsidR="000B0AC7" w:rsidRPr="007A19AD">
          <w:rPr>
            <w:rStyle w:val="Hyperlink"/>
          </w:rPr>
          <w:t>Impacts</w:t>
        </w:r>
        <w:r w:rsidR="000B0AC7">
          <w:rPr>
            <w:webHidden/>
          </w:rPr>
          <w:tab/>
        </w:r>
        <w:r w:rsidR="000B0AC7">
          <w:rPr>
            <w:webHidden/>
          </w:rPr>
          <w:fldChar w:fldCharType="begin"/>
        </w:r>
        <w:r w:rsidR="000B0AC7">
          <w:rPr>
            <w:webHidden/>
          </w:rPr>
          <w:instrText xml:space="preserve"> PAGEREF _Toc135323720 \h </w:instrText>
        </w:r>
        <w:r w:rsidR="000B0AC7">
          <w:rPr>
            <w:webHidden/>
          </w:rPr>
        </w:r>
        <w:r w:rsidR="000B0AC7">
          <w:rPr>
            <w:webHidden/>
          </w:rPr>
          <w:fldChar w:fldCharType="separate"/>
        </w:r>
        <w:r w:rsidR="000B0AC7">
          <w:rPr>
            <w:webHidden/>
          </w:rPr>
          <w:t>124</w:t>
        </w:r>
        <w:r w:rsidR="000B0AC7">
          <w:rPr>
            <w:webHidden/>
          </w:rPr>
          <w:fldChar w:fldCharType="end"/>
        </w:r>
      </w:hyperlink>
    </w:p>
    <w:p w14:paraId="4C9E9D9C" w14:textId="76DF44A7" w:rsidR="000B0AC7" w:rsidRDefault="00096035">
      <w:pPr>
        <w:pStyle w:val="TOC3"/>
        <w:tabs>
          <w:tab w:val="left" w:pos="1122"/>
        </w:tabs>
        <w:rPr>
          <w:rFonts w:asciiTheme="minorHAnsi" w:eastAsiaTheme="minorEastAsia" w:hAnsiTheme="minorHAnsi"/>
          <w:color w:val="auto"/>
          <w:kern w:val="2"/>
          <w:position w:val="0"/>
          <w:lang w:eastAsia="en-AU"/>
          <w14:ligatures w14:val="standardContextual"/>
        </w:rPr>
      </w:pPr>
      <w:hyperlink w:anchor="_Toc135323721" w:history="1">
        <w:r w:rsidR="000B0AC7" w:rsidRPr="007A19AD">
          <w:rPr>
            <w:rStyle w:val="Hyperlink"/>
          </w:rPr>
          <w:t>8.9</w:t>
        </w:r>
        <w:r w:rsidR="000B0AC7">
          <w:rPr>
            <w:rFonts w:asciiTheme="minorHAnsi" w:eastAsiaTheme="minorEastAsia" w:hAnsiTheme="minorHAnsi"/>
            <w:color w:val="auto"/>
            <w:kern w:val="2"/>
            <w:position w:val="0"/>
            <w:lang w:eastAsia="en-AU"/>
            <w14:ligatures w14:val="standardContextual"/>
          </w:rPr>
          <w:tab/>
        </w:r>
        <w:r w:rsidR="000B0AC7" w:rsidRPr="007A19AD">
          <w:rPr>
            <w:rStyle w:val="Hyperlink"/>
          </w:rPr>
          <w:t>Potential future impacts</w:t>
        </w:r>
        <w:r w:rsidR="000B0AC7">
          <w:rPr>
            <w:webHidden/>
          </w:rPr>
          <w:tab/>
        </w:r>
        <w:r w:rsidR="000B0AC7">
          <w:rPr>
            <w:webHidden/>
          </w:rPr>
          <w:fldChar w:fldCharType="begin"/>
        </w:r>
        <w:r w:rsidR="000B0AC7">
          <w:rPr>
            <w:webHidden/>
          </w:rPr>
          <w:instrText xml:space="preserve"> PAGEREF _Toc135323721 \h </w:instrText>
        </w:r>
        <w:r w:rsidR="000B0AC7">
          <w:rPr>
            <w:webHidden/>
          </w:rPr>
        </w:r>
        <w:r w:rsidR="000B0AC7">
          <w:rPr>
            <w:webHidden/>
          </w:rPr>
          <w:fldChar w:fldCharType="separate"/>
        </w:r>
        <w:r w:rsidR="000B0AC7">
          <w:rPr>
            <w:webHidden/>
          </w:rPr>
          <w:t>129</w:t>
        </w:r>
        <w:r w:rsidR="000B0AC7">
          <w:rPr>
            <w:webHidden/>
          </w:rPr>
          <w:fldChar w:fldCharType="end"/>
        </w:r>
      </w:hyperlink>
    </w:p>
    <w:p w14:paraId="7C113EF0" w14:textId="04CB087E" w:rsidR="000B0AC7" w:rsidRDefault="00096035">
      <w:pPr>
        <w:pStyle w:val="TOC2"/>
        <w:rPr>
          <w:rFonts w:asciiTheme="minorHAnsi" w:eastAsiaTheme="minorEastAsia" w:hAnsiTheme="minorHAnsi" w:cstheme="minorBidi"/>
          <w:b w:val="0"/>
          <w:color w:val="auto"/>
          <w:kern w:val="2"/>
          <w:sz w:val="22"/>
          <w:lang w:eastAsia="en-AU"/>
          <w14:ligatures w14:val="standardContextual"/>
        </w:rPr>
      </w:pPr>
      <w:hyperlink w:anchor="_Toc135323722" w:history="1">
        <w:r w:rsidR="000B0AC7" w:rsidRPr="007A19AD">
          <w:rPr>
            <w:rStyle w:val="Hyperlink"/>
          </w:rPr>
          <w:t>9</w:t>
        </w:r>
        <w:r w:rsidR="000B0AC7">
          <w:rPr>
            <w:rFonts w:asciiTheme="minorHAnsi" w:eastAsiaTheme="minorEastAsia" w:hAnsiTheme="minorHAnsi" w:cstheme="minorBidi"/>
            <w:b w:val="0"/>
            <w:color w:val="auto"/>
            <w:kern w:val="2"/>
            <w:sz w:val="22"/>
            <w:lang w:eastAsia="en-AU"/>
            <w14:ligatures w14:val="standardContextual"/>
          </w:rPr>
          <w:tab/>
        </w:r>
        <w:r w:rsidR="000B0AC7" w:rsidRPr="007A19AD">
          <w:rPr>
            <w:rStyle w:val="Hyperlink"/>
          </w:rPr>
          <w:t>Irrigation Automation</w:t>
        </w:r>
        <w:r w:rsidR="000B0AC7">
          <w:rPr>
            <w:webHidden/>
          </w:rPr>
          <w:tab/>
        </w:r>
        <w:r w:rsidR="000B0AC7">
          <w:rPr>
            <w:webHidden/>
          </w:rPr>
          <w:fldChar w:fldCharType="begin"/>
        </w:r>
        <w:r w:rsidR="000B0AC7">
          <w:rPr>
            <w:webHidden/>
          </w:rPr>
          <w:instrText xml:space="preserve"> PAGEREF _Toc135323722 \h </w:instrText>
        </w:r>
        <w:r w:rsidR="000B0AC7">
          <w:rPr>
            <w:webHidden/>
          </w:rPr>
        </w:r>
        <w:r w:rsidR="000B0AC7">
          <w:rPr>
            <w:webHidden/>
          </w:rPr>
          <w:fldChar w:fldCharType="separate"/>
        </w:r>
        <w:r w:rsidR="000B0AC7">
          <w:rPr>
            <w:webHidden/>
          </w:rPr>
          <w:t>130</w:t>
        </w:r>
        <w:r w:rsidR="000B0AC7">
          <w:rPr>
            <w:webHidden/>
          </w:rPr>
          <w:fldChar w:fldCharType="end"/>
        </w:r>
      </w:hyperlink>
    </w:p>
    <w:p w14:paraId="3CA87227" w14:textId="4BD80099" w:rsidR="000B0AC7" w:rsidRDefault="00096035">
      <w:pPr>
        <w:pStyle w:val="TOC3"/>
        <w:tabs>
          <w:tab w:val="left" w:pos="1122"/>
        </w:tabs>
        <w:rPr>
          <w:rFonts w:asciiTheme="minorHAnsi" w:eastAsiaTheme="minorEastAsia" w:hAnsiTheme="minorHAnsi"/>
          <w:color w:val="auto"/>
          <w:kern w:val="2"/>
          <w:position w:val="0"/>
          <w:lang w:eastAsia="en-AU"/>
          <w14:ligatures w14:val="standardContextual"/>
        </w:rPr>
      </w:pPr>
      <w:hyperlink w:anchor="_Toc135323723" w:history="1">
        <w:r w:rsidR="000B0AC7" w:rsidRPr="007A19AD">
          <w:rPr>
            <w:rStyle w:val="Hyperlink"/>
          </w:rPr>
          <w:t>9.1</w:t>
        </w:r>
        <w:r w:rsidR="000B0AC7">
          <w:rPr>
            <w:rFonts w:asciiTheme="minorHAnsi" w:eastAsiaTheme="minorEastAsia" w:hAnsiTheme="minorHAnsi"/>
            <w:color w:val="auto"/>
            <w:kern w:val="2"/>
            <w:position w:val="0"/>
            <w:lang w:eastAsia="en-AU"/>
            <w14:ligatures w14:val="standardContextual"/>
          </w:rPr>
          <w:tab/>
        </w:r>
        <w:r w:rsidR="000B0AC7" w:rsidRPr="007A19AD">
          <w:rPr>
            <w:rStyle w:val="Hyperlink"/>
          </w:rPr>
          <w:t>Key Findings</w:t>
        </w:r>
        <w:r w:rsidR="000B0AC7">
          <w:rPr>
            <w:webHidden/>
          </w:rPr>
          <w:tab/>
        </w:r>
        <w:r w:rsidR="000B0AC7">
          <w:rPr>
            <w:webHidden/>
          </w:rPr>
          <w:fldChar w:fldCharType="begin"/>
        </w:r>
        <w:r w:rsidR="000B0AC7">
          <w:rPr>
            <w:webHidden/>
          </w:rPr>
          <w:instrText xml:space="preserve"> PAGEREF _Toc135323723 \h </w:instrText>
        </w:r>
        <w:r w:rsidR="000B0AC7">
          <w:rPr>
            <w:webHidden/>
          </w:rPr>
        </w:r>
        <w:r w:rsidR="000B0AC7">
          <w:rPr>
            <w:webHidden/>
          </w:rPr>
          <w:fldChar w:fldCharType="separate"/>
        </w:r>
        <w:r w:rsidR="000B0AC7">
          <w:rPr>
            <w:webHidden/>
          </w:rPr>
          <w:t>130</w:t>
        </w:r>
        <w:r w:rsidR="000B0AC7">
          <w:rPr>
            <w:webHidden/>
          </w:rPr>
          <w:fldChar w:fldCharType="end"/>
        </w:r>
      </w:hyperlink>
    </w:p>
    <w:p w14:paraId="25300A7A" w14:textId="7088F761" w:rsidR="000B0AC7" w:rsidRDefault="00096035">
      <w:pPr>
        <w:pStyle w:val="TOC3"/>
        <w:tabs>
          <w:tab w:val="left" w:pos="1122"/>
        </w:tabs>
        <w:rPr>
          <w:rFonts w:asciiTheme="minorHAnsi" w:eastAsiaTheme="minorEastAsia" w:hAnsiTheme="minorHAnsi"/>
          <w:color w:val="auto"/>
          <w:kern w:val="2"/>
          <w:position w:val="0"/>
          <w:lang w:eastAsia="en-AU"/>
          <w14:ligatures w14:val="standardContextual"/>
        </w:rPr>
      </w:pPr>
      <w:hyperlink w:anchor="_Toc135323724" w:history="1">
        <w:r w:rsidR="000B0AC7" w:rsidRPr="007A19AD">
          <w:rPr>
            <w:rStyle w:val="Hyperlink"/>
          </w:rPr>
          <w:t>9.2</w:t>
        </w:r>
        <w:r w:rsidR="000B0AC7">
          <w:rPr>
            <w:rFonts w:asciiTheme="minorHAnsi" w:eastAsiaTheme="minorEastAsia" w:hAnsiTheme="minorHAnsi"/>
            <w:color w:val="auto"/>
            <w:kern w:val="2"/>
            <w:position w:val="0"/>
            <w:lang w:eastAsia="en-AU"/>
            <w14:ligatures w14:val="standardContextual"/>
          </w:rPr>
          <w:tab/>
        </w:r>
        <w:r w:rsidR="000B0AC7" w:rsidRPr="007A19AD">
          <w:rPr>
            <w:rStyle w:val="Hyperlink"/>
          </w:rPr>
          <w:t>Case study framework</w:t>
        </w:r>
        <w:r w:rsidR="000B0AC7">
          <w:rPr>
            <w:webHidden/>
          </w:rPr>
          <w:tab/>
        </w:r>
        <w:r w:rsidR="000B0AC7">
          <w:rPr>
            <w:webHidden/>
          </w:rPr>
          <w:fldChar w:fldCharType="begin"/>
        </w:r>
        <w:r w:rsidR="000B0AC7">
          <w:rPr>
            <w:webHidden/>
          </w:rPr>
          <w:instrText xml:space="preserve"> PAGEREF _Toc135323724 \h </w:instrText>
        </w:r>
        <w:r w:rsidR="000B0AC7">
          <w:rPr>
            <w:webHidden/>
          </w:rPr>
        </w:r>
        <w:r w:rsidR="000B0AC7">
          <w:rPr>
            <w:webHidden/>
          </w:rPr>
          <w:fldChar w:fldCharType="separate"/>
        </w:r>
        <w:r w:rsidR="000B0AC7">
          <w:rPr>
            <w:webHidden/>
          </w:rPr>
          <w:t>130</w:t>
        </w:r>
        <w:r w:rsidR="000B0AC7">
          <w:rPr>
            <w:webHidden/>
          </w:rPr>
          <w:fldChar w:fldCharType="end"/>
        </w:r>
      </w:hyperlink>
    </w:p>
    <w:p w14:paraId="3F0EA8A9" w14:textId="60876EEE" w:rsidR="000B0AC7" w:rsidRDefault="00096035">
      <w:pPr>
        <w:pStyle w:val="TOC3"/>
        <w:tabs>
          <w:tab w:val="left" w:pos="1122"/>
        </w:tabs>
        <w:rPr>
          <w:rFonts w:asciiTheme="minorHAnsi" w:eastAsiaTheme="minorEastAsia" w:hAnsiTheme="minorHAnsi"/>
          <w:color w:val="auto"/>
          <w:kern w:val="2"/>
          <w:position w:val="0"/>
          <w:lang w:eastAsia="en-AU"/>
          <w14:ligatures w14:val="standardContextual"/>
        </w:rPr>
      </w:pPr>
      <w:hyperlink w:anchor="_Toc135323725" w:history="1">
        <w:r w:rsidR="000B0AC7" w:rsidRPr="007A19AD">
          <w:rPr>
            <w:rStyle w:val="Hyperlink"/>
          </w:rPr>
          <w:t>9.3</w:t>
        </w:r>
        <w:r w:rsidR="000B0AC7">
          <w:rPr>
            <w:rFonts w:asciiTheme="minorHAnsi" w:eastAsiaTheme="minorEastAsia" w:hAnsiTheme="minorHAnsi"/>
            <w:color w:val="auto"/>
            <w:kern w:val="2"/>
            <w:position w:val="0"/>
            <w:lang w:eastAsia="en-AU"/>
            <w14:ligatures w14:val="standardContextual"/>
          </w:rPr>
          <w:tab/>
        </w:r>
        <w:r w:rsidR="000B0AC7" w:rsidRPr="007A19AD">
          <w:rPr>
            <w:rStyle w:val="Hyperlink"/>
          </w:rPr>
          <w:t>Background</w:t>
        </w:r>
        <w:r w:rsidR="000B0AC7">
          <w:rPr>
            <w:webHidden/>
          </w:rPr>
          <w:tab/>
        </w:r>
        <w:r w:rsidR="000B0AC7">
          <w:rPr>
            <w:webHidden/>
          </w:rPr>
          <w:fldChar w:fldCharType="begin"/>
        </w:r>
        <w:r w:rsidR="000B0AC7">
          <w:rPr>
            <w:webHidden/>
          </w:rPr>
          <w:instrText xml:space="preserve"> PAGEREF _Toc135323725 \h </w:instrText>
        </w:r>
        <w:r w:rsidR="000B0AC7">
          <w:rPr>
            <w:webHidden/>
          </w:rPr>
        </w:r>
        <w:r w:rsidR="000B0AC7">
          <w:rPr>
            <w:webHidden/>
          </w:rPr>
          <w:fldChar w:fldCharType="separate"/>
        </w:r>
        <w:r w:rsidR="000B0AC7">
          <w:rPr>
            <w:webHidden/>
          </w:rPr>
          <w:t>131</w:t>
        </w:r>
        <w:r w:rsidR="000B0AC7">
          <w:rPr>
            <w:webHidden/>
          </w:rPr>
          <w:fldChar w:fldCharType="end"/>
        </w:r>
      </w:hyperlink>
    </w:p>
    <w:p w14:paraId="30693A08" w14:textId="2CBE59A7" w:rsidR="000B0AC7" w:rsidRDefault="00096035">
      <w:pPr>
        <w:pStyle w:val="TOC3"/>
        <w:tabs>
          <w:tab w:val="left" w:pos="1122"/>
        </w:tabs>
        <w:rPr>
          <w:rFonts w:asciiTheme="minorHAnsi" w:eastAsiaTheme="minorEastAsia" w:hAnsiTheme="minorHAnsi"/>
          <w:color w:val="auto"/>
          <w:kern w:val="2"/>
          <w:position w:val="0"/>
          <w:lang w:eastAsia="en-AU"/>
          <w14:ligatures w14:val="standardContextual"/>
        </w:rPr>
      </w:pPr>
      <w:hyperlink w:anchor="_Toc135323726" w:history="1">
        <w:r w:rsidR="000B0AC7" w:rsidRPr="007A19AD">
          <w:rPr>
            <w:rStyle w:val="Hyperlink"/>
          </w:rPr>
          <w:t>9.4</w:t>
        </w:r>
        <w:r w:rsidR="000B0AC7">
          <w:rPr>
            <w:rFonts w:asciiTheme="minorHAnsi" w:eastAsiaTheme="minorEastAsia" w:hAnsiTheme="minorHAnsi"/>
            <w:color w:val="auto"/>
            <w:kern w:val="2"/>
            <w:position w:val="0"/>
            <w:lang w:eastAsia="en-AU"/>
            <w14:ligatures w14:val="standardContextual"/>
          </w:rPr>
          <w:tab/>
        </w:r>
        <w:r w:rsidR="000B0AC7" w:rsidRPr="007A19AD">
          <w:rPr>
            <w:rStyle w:val="Hyperlink"/>
          </w:rPr>
          <w:t>Inputs</w:t>
        </w:r>
        <w:r w:rsidR="000B0AC7">
          <w:rPr>
            <w:webHidden/>
          </w:rPr>
          <w:tab/>
        </w:r>
        <w:r w:rsidR="000B0AC7">
          <w:rPr>
            <w:webHidden/>
          </w:rPr>
          <w:fldChar w:fldCharType="begin"/>
        </w:r>
        <w:r w:rsidR="000B0AC7">
          <w:rPr>
            <w:webHidden/>
          </w:rPr>
          <w:instrText xml:space="preserve"> PAGEREF _Toc135323726 \h </w:instrText>
        </w:r>
        <w:r w:rsidR="000B0AC7">
          <w:rPr>
            <w:webHidden/>
          </w:rPr>
        </w:r>
        <w:r w:rsidR="000B0AC7">
          <w:rPr>
            <w:webHidden/>
          </w:rPr>
          <w:fldChar w:fldCharType="separate"/>
        </w:r>
        <w:r w:rsidR="000B0AC7">
          <w:rPr>
            <w:webHidden/>
          </w:rPr>
          <w:t>132</w:t>
        </w:r>
        <w:r w:rsidR="000B0AC7">
          <w:rPr>
            <w:webHidden/>
          </w:rPr>
          <w:fldChar w:fldCharType="end"/>
        </w:r>
      </w:hyperlink>
    </w:p>
    <w:p w14:paraId="4FE40831" w14:textId="41D67F76" w:rsidR="000B0AC7" w:rsidRDefault="00096035">
      <w:pPr>
        <w:pStyle w:val="TOC3"/>
        <w:tabs>
          <w:tab w:val="left" w:pos="1122"/>
        </w:tabs>
        <w:rPr>
          <w:rFonts w:asciiTheme="minorHAnsi" w:eastAsiaTheme="minorEastAsia" w:hAnsiTheme="minorHAnsi"/>
          <w:color w:val="auto"/>
          <w:kern w:val="2"/>
          <w:position w:val="0"/>
          <w:lang w:eastAsia="en-AU"/>
          <w14:ligatures w14:val="standardContextual"/>
        </w:rPr>
      </w:pPr>
      <w:hyperlink w:anchor="_Toc135323727" w:history="1">
        <w:r w:rsidR="000B0AC7" w:rsidRPr="007A19AD">
          <w:rPr>
            <w:rStyle w:val="Hyperlink"/>
          </w:rPr>
          <w:t>9.5</w:t>
        </w:r>
        <w:r w:rsidR="000B0AC7">
          <w:rPr>
            <w:rFonts w:asciiTheme="minorHAnsi" w:eastAsiaTheme="minorEastAsia" w:hAnsiTheme="minorHAnsi"/>
            <w:color w:val="auto"/>
            <w:kern w:val="2"/>
            <w:position w:val="0"/>
            <w:lang w:eastAsia="en-AU"/>
            <w14:ligatures w14:val="standardContextual"/>
          </w:rPr>
          <w:tab/>
        </w:r>
        <w:r w:rsidR="000B0AC7" w:rsidRPr="007A19AD">
          <w:rPr>
            <w:rStyle w:val="Hyperlink"/>
          </w:rPr>
          <w:t>Activities</w:t>
        </w:r>
        <w:r w:rsidR="000B0AC7">
          <w:rPr>
            <w:webHidden/>
          </w:rPr>
          <w:tab/>
        </w:r>
        <w:r w:rsidR="000B0AC7">
          <w:rPr>
            <w:webHidden/>
          </w:rPr>
          <w:fldChar w:fldCharType="begin"/>
        </w:r>
        <w:r w:rsidR="000B0AC7">
          <w:rPr>
            <w:webHidden/>
          </w:rPr>
          <w:instrText xml:space="preserve"> PAGEREF _Toc135323727 \h </w:instrText>
        </w:r>
        <w:r w:rsidR="000B0AC7">
          <w:rPr>
            <w:webHidden/>
          </w:rPr>
        </w:r>
        <w:r w:rsidR="000B0AC7">
          <w:rPr>
            <w:webHidden/>
          </w:rPr>
          <w:fldChar w:fldCharType="separate"/>
        </w:r>
        <w:r w:rsidR="000B0AC7">
          <w:rPr>
            <w:webHidden/>
          </w:rPr>
          <w:t>135</w:t>
        </w:r>
        <w:r w:rsidR="000B0AC7">
          <w:rPr>
            <w:webHidden/>
          </w:rPr>
          <w:fldChar w:fldCharType="end"/>
        </w:r>
      </w:hyperlink>
    </w:p>
    <w:p w14:paraId="7A1B1DFC" w14:textId="46EFAD85" w:rsidR="000B0AC7" w:rsidRDefault="00096035">
      <w:pPr>
        <w:pStyle w:val="TOC3"/>
        <w:tabs>
          <w:tab w:val="left" w:pos="1122"/>
        </w:tabs>
        <w:rPr>
          <w:rFonts w:asciiTheme="minorHAnsi" w:eastAsiaTheme="minorEastAsia" w:hAnsiTheme="minorHAnsi"/>
          <w:color w:val="auto"/>
          <w:kern w:val="2"/>
          <w:position w:val="0"/>
          <w:lang w:eastAsia="en-AU"/>
          <w14:ligatures w14:val="standardContextual"/>
        </w:rPr>
      </w:pPr>
      <w:hyperlink w:anchor="_Toc135323728" w:history="1">
        <w:r w:rsidR="000B0AC7" w:rsidRPr="007A19AD">
          <w:rPr>
            <w:rStyle w:val="Hyperlink"/>
          </w:rPr>
          <w:t>9.6</w:t>
        </w:r>
        <w:r w:rsidR="000B0AC7">
          <w:rPr>
            <w:rFonts w:asciiTheme="minorHAnsi" w:eastAsiaTheme="minorEastAsia" w:hAnsiTheme="minorHAnsi"/>
            <w:color w:val="auto"/>
            <w:kern w:val="2"/>
            <w:position w:val="0"/>
            <w:lang w:eastAsia="en-AU"/>
            <w14:ligatures w14:val="standardContextual"/>
          </w:rPr>
          <w:tab/>
        </w:r>
        <w:r w:rsidR="000B0AC7" w:rsidRPr="007A19AD">
          <w:rPr>
            <w:rStyle w:val="Hyperlink"/>
          </w:rPr>
          <w:t>Outputs</w:t>
        </w:r>
        <w:r w:rsidR="000B0AC7">
          <w:rPr>
            <w:webHidden/>
          </w:rPr>
          <w:tab/>
        </w:r>
        <w:r w:rsidR="000B0AC7">
          <w:rPr>
            <w:webHidden/>
          </w:rPr>
          <w:fldChar w:fldCharType="begin"/>
        </w:r>
        <w:r w:rsidR="000B0AC7">
          <w:rPr>
            <w:webHidden/>
          </w:rPr>
          <w:instrText xml:space="preserve"> PAGEREF _Toc135323728 \h </w:instrText>
        </w:r>
        <w:r w:rsidR="000B0AC7">
          <w:rPr>
            <w:webHidden/>
          </w:rPr>
        </w:r>
        <w:r w:rsidR="000B0AC7">
          <w:rPr>
            <w:webHidden/>
          </w:rPr>
          <w:fldChar w:fldCharType="separate"/>
        </w:r>
        <w:r w:rsidR="000B0AC7">
          <w:rPr>
            <w:webHidden/>
          </w:rPr>
          <w:t>136</w:t>
        </w:r>
        <w:r w:rsidR="000B0AC7">
          <w:rPr>
            <w:webHidden/>
          </w:rPr>
          <w:fldChar w:fldCharType="end"/>
        </w:r>
      </w:hyperlink>
    </w:p>
    <w:p w14:paraId="7D5A32BF" w14:textId="1926E8F8" w:rsidR="000B0AC7" w:rsidRDefault="00096035">
      <w:pPr>
        <w:pStyle w:val="TOC3"/>
        <w:tabs>
          <w:tab w:val="left" w:pos="1122"/>
        </w:tabs>
        <w:rPr>
          <w:rFonts w:asciiTheme="minorHAnsi" w:eastAsiaTheme="minorEastAsia" w:hAnsiTheme="minorHAnsi"/>
          <w:color w:val="auto"/>
          <w:kern w:val="2"/>
          <w:position w:val="0"/>
          <w:lang w:eastAsia="en-AU"/>
          <w14:ligatures w14:val="standardContextual"/>
        </w:rPr>
      </w:pPr>
      <w:hyperlink w:anchor="_Toc135323729" w:history="1">
        <w:r w:rsidR="000B0AC7" w:rsidRPr="007A19AD">
          <w:rPr>
            <w:rStyle w:val="Hyperlink"/>
          </w:rPr>
          <w:t>9.7</w:t>
        </w:r>
        <w:r w:rsidR="000B0AC7">
          <w:rPr>
            <w:rFonts w:asciiTheme="minorHAnsi" w:eastAsiaTheme="minorEastAsia" w:hAnsiTheme="minorHAnsi"/>
            <w:color w:val="auto"/>
            <w:kern w:val="2"/>
            <w:position w:val="0"/>
            <w:lang w:eastAsia="en-AU"/>
            <w14:ligatures w14:val="standardContextual"/>
          </w:rPr>
          <w:tab/>
        </w:r>
        <w:r w:rsidR="000B0AC7" w:rsidRPr="007A19AD">
          <w:rPr>
            <w:rStyle w:val="Hyperlink"/>
          </w:rPr>
          <w:t>Outcomes</w:t>
        </w:r>
        <w:r w:rsidR="000B0AC7">
          <w:rPr>
            <w:webHidden/>
          </w:rPr>
          <w:tab/>
        </w:r>
        <w:r w:rsidR="000B0AC7">
          <w:rPr>
            <w:webHidden/>
          </w:rPr>
          <w:fldChar w:fldCharType="begin"/>
        </w:r>
        <w:r w:rsidR="000B0AC7">
          <w:rPr>
            <w:webHidden/>
          </w:rPr>
          <w:instrText xml:space="preserve"> PAGEREF _Toc135323729 \h </w:instrText>
        </w:r>
        <w:r w:rsidR="000B0AC7">
          <w:rPr>
            <w:webHidden/>
          </w:rPr>
        </w:r>
        <w:r w:rsidR="000B0AC7">
          <w:rPr>
            <w:webHidden/>
          </w:rPr>
          <w:fldChar w:fldCharType="separate"/>
        </w:r>
        <w:r w:rsidR="000B0AC7">
          <w:rPr>
            <w:webHidden/>
          </w:rPr>
          <w:t>139</w:t>
        </w:r>
        <w:r w:rsidR="000B0AC7">
          <w:rPr>
            <w:webHidden/>
          </w:rPr>
          <w:fldChar w:fldCharType="end"/>
        </w:r>
      </w:hyperlink>
    </w:p>
    <w:p w14:paraId="0859C04D" w14:textId="2D19AB5A" w:rsidR="000B0AC7" w:rsidRDefault="00096035">
      <w:pPr>
        <w:pStyle w:val="TOC3"/>
        <w:tabs>
          <w:tab w:val="left" w:pos="1122"/>
        </w:tabs>
        <w:rPr>
          <w:rFonts w:asciiTheme="minorHAnsi" w:eastAsiaTheme="minorEastAsia" w:hAnsiTheme="minorHAnsi"/>
          <w:color w:val="auto"/>
          <w:kern w:val="2"/>
          <w:position w:val="0"/>
          <w:lang w:eastAsia="en-AU"/>
          <w14:ligatures w14:val="standardContextual"/>
        </w:rPr>
      </w:pPr>
      <w:hyperlink w:anchor="_Toc135323730" w:history="1">
        <w:r w:rsidR="000B0AC7" w:rsidRPr="007A19AD">
          <w:rPr>
            <w:rStyle w:val="Hyperlink"/>
          </w:rPr>
          <w:t>9.8</w:t>
        </w:r>
        <w:r w:rsidR="000B0AC7">
          <w:rPr>
            <w:rFonts w:asciiTheme="minorHAnsi" w:eastAsiaTheme="minorEastAsia" w:hAnsiTheme="minorHAnsi"/>
            <w:color w:val="auto"/>
            <w:kern w:val="2"/>
            <w:position w:val="0"/>
            <w:lang w:eastAsia="en-AU"/>
            <w14:ligatures w14:val="standardContextual"/>
          </w:rPr>
          <w:tab/>
        </w:r>
        <w:r w:rsidR="000B0AC7" w:rsidRPr="007A19AD">
          <w:rPr>
            <w:rStyle w:val="Hyperlink"/>
          </w:rPr>
          <w:t>Impacts</w:t>
        </w:r>
        <w:r w:rsidR="000B0AC7">
          <w:rPr>
            <w:webHidden/>
          </w:rPr>
          <w:tab/>
        </w:r>
        <w:r w:rsidR="000B0AC7">
          <w:rPr>
            <w:webHidden/>
          </w:rPr>
          <w:fldChar w:fldCharType="begin"/>
        </w:r>
        <w:r w:rsidR="000B0AC7">
          <w:rPr>
            <w:webHidden/>
          </w:rPr>
          <w:instrText xml:space="preserve"> PAGEREF _Toc135323730 \h </w:instrText>
        </w:r>
        <w:r w:rsidR="000B0AC7">
          <w:rPr>
            <w:webHidden/>
          </w:rPr>
        </w:r>
        <w:r w:rsidR="000B0AC7">
          <w:rPr>
            <w:webHidden/>
          </w:rPr>
          <w:fldChar w:fldCharType="separate"/>
        </w:r>
        <w:r w:rsidR="000B0AC7">
          <w:rPr>
            <w:webHidden/>
          </w:rPr>
          <w:t>144</w:t>
        </w:r>
        <w:r w:rsidR="000B0AC7">
          <w:rPr>
            <w:webHidden/>
          </w:rPr>
          <w:fldChar w:fldCharType="end"/>
        </w:r>
      </w:hyperlink>
    </w:p>
    <w:p w14:paraId="763307A3" w14:textId="174CB950" w:rsidR="000B0AC7" w:rsidRDefault="00096035">
      <w:pPr>
        <w:pStyle w:val="TOC3"/>
        <w:tabs>
          <w:tab w:val="left" w:pos="1122"/>
        </w:tabs>
        <w:rPr>
          <w:rFonts w:asciiTheme="minorHAnsi" w:eastAsiaTheme="minorEastAsia" w:hAnsiTheme="minorHAnsi"/>
          <w:color w:val="auto"/>
          <w:kern w:val="2"/>
          <w:position w:val="0"/>
          <w:lang w:eastAsia="en-AU"/>
          <w14:ligatures w14:val="standardContextual"/>
        </w:rPr>
      </w:pPr>
      <w:hyperlink w:anchor="_Toc135323731" w:history="1">
        <w:r w:rsidR="000B0AC7" w:rsidRPr="007A19AD">
          <w:rPr>
            <w:rStyle w:val="Hyperlink"/>
          </w:rPr>
          <w:t>9.9</w:t>
        </w:r>
        <w:r w:rsidR="000B0AC7">
          <w:rPr>
            <w:rFonts w:asciiTheme="minorHAnsi" w:eastAsiaTheme="minorEastAsia" w:hAnsiTheme="minorHAnsi"/>
            <w:color w:val="auto"/>
            <w:kern w:val="2"/>
            <w:position w:val="0"/>
            <w:lang w:eastAsia="en-AU"/>
            <w14:ligatures w14:val="standardContextual"/>
          </w:rPr>
          <w:tab/>
        </w:r>
        <w:r w:rsidR="000B0AC7" w:rsidRPr="007A19AD">
          <w:rPr>
            <w:rStyle w:val="Hyperlink"/>
          </w:rPr>
          <w:t>Potential future impacts</w:t>
        </w:r>
        <w:r w:rsidR="000B0AC7">
          <w:rPr>
            <w:webHidden/>
          </w:rPr>
          <w:tab/>
        </w:r>
        <w:r w:rsidR="000B0AC7">
          <w:rPr>
            <w:webHidden/>
          </w:rPr>
          <w:fldChar w:fldCharType="begin"/>
        </w:r>
        <w:r w:rsidR="000B0AC7">
          <w:rPr>
            <w:webHidden/>
          </w:rPr>
          <w:instrText xml:space="preserve"> PAGEREF _Toc135323731 \h </w:instrText>
        </w:r>
        <w:r w:rsidR="000B0AC7">
          <w:rPr>
            <w:webHidden/>
          </w:rPr>
        </w:r>
        <w:r w:rsidR="000B0AC7">
          <w:rPr>
            <w:webHidden/>
          </w:rPr>
          <w:fldChar w:fldCharType="separate"/>
        </w:r>
        <w:r w:rsidR="000B0AC7">
          <w:rPr>
            <w:webHidden/>
          </w:rPr>
          <w:t>149</w:t>
        </w:r>
        <w:r w:rsidR="000B0AC7">
          <w:rPr>
            <w:webHidden/>
          </w:rPr>
          <w:fldChar w:fldCharType="end"/>
        </w:r>
      </w:hyperlink>
    </w:p>
    <w:p w14:paraId="1EB8E4DD" w14:textId="0986D5A4" w:rsidR="000B0AC7" w:rsidRDefault="00096035">
      <w:pPr>
        <w:pStyle w:val="TOC2"/>
        <w:rPr>
          <w:rFonts w:asciiTheme="minorHAnsi" w:eastAsiaTheme="minorEastAsia" w:hAnsiTheme="minorHAnsi" w:cstheme="minorBidi"/>
          <w:b w:val="0"/>
          <w:color w:val="auto"/>
          <w:kern w:val="2"/>
          <w:sz w:val="22"/>
          <w:lang w:eastAsia="en-AU"/>
          <w14:ligatures w14:val="standardContextual"/>
        </w:rPr>
      </w:pPr>
      <w:hyperlink w:anchor="_Toc135323732" w:history="1">
        <w:r w:rsidR="000B0AC7" w:rsidRPr="007A19AD">
          <w:rPr>
            <w:rStyle w:val="Hyperlink"/>
          </w:rPr>
          <w:t>10</w:t>
        </w:r>
        <w:r w:rsidR="000B0AC7">
          <w:rPr>
            <w:rFonts w:asciiTheme="minorHAnsi" w:eastAsiaTheme="minorEastAsia" w:hAnsiTheme="minorHAnsi" w:cstheme="minorBidi"/>
            <w:b w:val="0"/>
            <w:color w:val="auto"/>
            <w:kern w:val="2"/>
            <w:sz w:val="22"/>
            <w:lang w:eastAsia="en-AU"/>
            <w14:ligatures w14:val="standardContextual"/>
          </w:rPr>
          <w:tab/>
        </w:r>
        <w:r w:rsidR="000B0AC7" w:rsidRPr="007A19AD">
          <w:rPr>
            <w:rStyle w:val="Hyperlink"/>
          </w:rPr>
          <w:t>Onshore Lobster Aquaculture</w:t>
        </w:r>
        <w:r w:rsidR="000B0AC7">
          <w:rPr>
            <w:webHidden/>
          </w:rPr>
          <w:tab/>
        </w:r>
        <w:r w:rsidR="000B0AC7">
          <w:rPr>
            <w:webHidden/>
          </w:rPr>
          <w:fldChar w:fldCharType="begin"/>
        </w:r>
        <w:r w:rsidR="000B0AC7">
          <w:rPr>
            <w:webHidden/>
          </w:rPr>
          <w:instrText xml:space="preserve"> PAGEREF _Toc135323732 \h </w:instrText>
        </w:r>
        <w:r w:rsidR="000B0AC7">
          <w:rPr>
            <w:webHidden/>
          </w:rPr>
        </w:r>
        <w:r w:rsidR="000B0AC7">
          <w:rPr>
            <w:webHidden/>
          </w:rPr>
          <w:fldChar w:fldCharType="separate"/>
        </w:r>
        <w:r w:rsidR="000B0AC7">
          <w:rPr>
            <w:webHidden/>
          </w:rPr>
          <w:t>151</w:t>
        </w:r>
        <w:r w:rsidR="000B0AC7">
          <w:rPr>
            <w:webHidden/>
          </w:rPr>
          <w:fldChar w:fldCharType="end"/>
        </w:r>
      </w:hyperlink>
    </w:p>
    <w:p w14:paraId="3630B473" w14:textId="4D428348" w:rsidR="000B0AC7" w:rsidRDefault="00096035">
      <w:pPr>
        <w:pStyle w:val="TOC3"/>
        <w:tabs>
          <w:tab w:val="left" w:pos="1684"/>
        </w:tabs>
        <w:rPr>
          <w:rFonts w:asciiTheme="minorHAnsi" w:eastAsiaTheme="minorEastAsia" w:hAnsiTheme="minorHAnsi"/>
          <w:color w:val="auto"/>
          <w:kern w:val="2"/>
          <w:position w:val="0"/>
          <w:lang w:eastAsia="en-AU"/>
          <w14:ligatures w14:val="standardContextual"/>
        </w:rPr>
      </w:pPr>
      <w:hyperlink w:anchor="_Toc135323733" w:history="1">
        <w:r w:rsidR="000B0AC7" w:rsidRPr="007A19AD">
          <w:rPr>
            <w:rStyle w:val="Hyperlink"/>
          </w:rPr>
          <w:t>10.1</w:t>
        </w:r>
        <w:r w:rsidR="000B0AC7">
          <w:rPr>
            <w:rFonts w:asciiTheme="minorHAnsi" w:eastAsiaTheme="minorEastAsia" w:hAnsiTheme="minorHAnsi"/>
            <w:color w:val="auto"/>
            <w:kern w:val="2"/>
            <w:position w:val="0"/>
            <w:lang w:eastAsia="en-AU"/>
            <w14:ligatures w14:val="standardContextual"/>
          </w:rPr>
          <w:tab/>
        </w:r>
        <w:r w:rsidR="000B0AC7" w:rsidRPr="007A19AD">
          <w:rPr>
            <w:rStyle w:val="Hyperlink"/>
          </w:rPr>
          <w:t>Key Findings – Lobster Aquaculture</w:t>
        </w:r>
        <w:r w:rsidR="000B0AC7">
          <w:rPr>
            <w:webHidden/>
          </w:rPr>
          <w:tab/>
        </w:r>
        <w:r w:rsidR="000B0AC7">
          <w:rPr>
            <w:webHidden/>
          </w:rPr>
          <w:fldChar w:fldCharType="begin"/>
        </w:r>
        <w:r w:rsidR="000B0AC7">
          <w:rPr>
            <w:webHidden/>
          </w:rPr>
          <w:instrText xml:space="preserve"> PAGEREF _Toc135323733 \h </w:instrText>
        </w:r>
        <w:r w:rsidR="000B0AC7">
          <w:rPr>
            <w:webHidden/>
          </w:rPr>
        </w:r>
        <w:r w:rsidR="000B0AC7">
          <w:rPr>
            <w:webHidden/>
          </w:rPr>
          <w:fldChar w:fldCharType="separate"/>
        </w:r>
        <w:r w:rsidR="000B0AC7">
          <w:rPr>
            <w:webHidden/>
          </w:rPr>
          <w:t>151</w:t>
        </w:r>
        <w:r w:rsidR="000B0AC7">
          <w:rPr>
            <w:webHidden/>
          </w:rPr>
          <w:fldChar w:fldCharType="end"/>
        </w:r>
      </w:hyperlink>
    </w:p>
    <w:p w14:paraId="0587622B" w14:textId="7C78F827" w:rsidR="000B0AC7" w:rsidRDefault="00096035">
      <w:pPr>
        <w:pStyle w:val="TOC3"/>
        <w:tabs>
          <w:tab w:val="left" w:pos="1684"/>
        </w:tabs>
        <w:rPr>
          <w:rFonts w:asciiTheme="minorHAnsi" w:eastAsiaTheme="minorEastAsia" w:hAnsiTheme="minorHAnsi"/>
          <w:color w:val="auto"/>
          <w:kern w:val="2"/>
          <w:position w:val="0"/>
          <w:lang w:eastAsia="en-AU"/>
          <w14:ligatures w14:val="standardContextual"/>
        </w:rPr>
      </w:pPr>
      <w:hyperlink w:anchor="_Toc135323734" w:history="1">
        <w:r w:rsidR="000B0AC7" w:rsidRPr="007A19AD">
          <w:rPr>
            <w:rStyle w:val="Hyperlink"/>
          </w:rPr>
          <w:t>10.2</w:t>
        </w:r>
        <w:r w:rsidR="000B0AC7">
          <w:rPr>
            <w:rFonts w:asciiTheme="minorHAnsi" w:eastAsiaTheme="minorEastAsia" w:hAnsiTheme="minorHAnsi"/>
            <w:color w:val="auto"/>
            <w:kern w:val="2"/>
            <w:position w:val="0"/>
            <w:lang w:eastAsia="en-AU"/>
            <w14:ligatures w14:val="standardContextual"/>
          </w:rPr>
          <w:tab/>
        </w:r>
        <w:r w:rsidR="000B0AC7" w:rsidRPr="007A19AD">
          <w:rPr>
            <w:rStyle w:val="Hyperlink"/>
          </w:rPr>
          <w:t>Case study framework</w:t>
        </w:r>
        <w:r w:rsidR="000B0AC7">
          <w:rPr>
            <w:webHidden/>
          </w:rPr>
          <w:tab/>
        </w:r>
        <w:r w:rsidR="000B0AC7">
          <w:rPr>
            <w:webHidden/>
          </w:rPr>
          <w:fldChar w:fldCharType="begin"/>
        </w:r>
        <w:r w:rsidR="000B0AC7">
          <w:rPr>
            <w:webHidden/>
          </w:rPr>
          <w:instrText xml:space="preserve"> PAGEREF _Toc135323734 \h </w:instrText>
        </w:r>
        <w:r w:rsidR="000B0AC7">
          <w:rPr>
            <w:webHidden/>
          </w:rPr>
        </w:r>
        <w:r w:rsidR="000B0AC7">
          <w:rPr>
            <w:webHidden/>
          </w:rPr>
          <w:fldChar w:fldCharType="separate"/>
        </w:r>
        <w:r w:rsidR="000B0AC7">
          <w:rPr>
            <w:webHidden/>
          </w:rPr>
          <w:t>151</w:t>
        </w:r>
        <w:r w:rsidR="000B0AC7">
          <w:rPr>
            <w:webHidden/>
          </w:rPr>
          <w:fldChar w:fldCharType="end"/>
        </w:r>
      </w:hyperlink>
    </w:p>
    <w:p w14:paraId="35CDBC8D" w14:textId="79BAFD7E" w:rsidR="000B0AC7" w:rsidRDefault="00096035">
      <w:pPr>
        <w:pStyle w:val="TOC3"/>
        <w:tabs>
          <w:tab w:val="left" w:pos="1684"/>
        </w:tabs>
        <w:rPr>
          <w:rFonts w:asciiTheme="minorHAnsi" w:eastAsiaTheme="minorEastAsia" w:hAnsiTheme="minorHAnsi"/>
          <w:color w:val="auto"/>
          <w:kern w:val="2"/>
          <w:position w:val="0"/>
          <w:lang w:eastAsia="en-AU"/>
          <w14:ligatures w14:val="standardContextual"/>
        </w:rPr>
      </w:pPr>
      <w:hyperlink w:anchor="_Toc135323735" w:history="1">
        <w:r w:rsidR="000B0AC7" w:rsidRPr="007A19AD">
          <w:rPr>
            <w:rStyle w:val="Hyperlink"/>
          </w:rPr>
          <w:t>10.3</w:t>
        </w:r>
        <w:r w:rsidR="000B0AC7">
          <w:rPr>
            <w:rFonts w:asciiTheme="minorHAnsi" w:eastAsiaTheme="minorEastAsia" w:hAnsiTheme="minorHAnsi"/>
            <w:color w:val="auto"/>
            <w:kern w:val="2"/>
            <w:position w:val="0"/>
            <w:lang w:eastAsia="en-AU"/>
            <w14:ligatures w14:val="standardContextual"/>
          </w:rPr>
          <w:tab/>
        </w:r>
        <w:r w:rsidR="000B0AC7" w:rsidRPr="007A19AD">
          <w:rPr>
            <w:rStyle w:val="Hyperlink"/>
          </w:rPr>
          <w:t>Background</w:t>
        </w:r>
        <w:r w:rsidR="000B0AC7">
          <w:rPr>
            <w:webHidden/>
          </w:rPr>
          <w:tab/>
        </w:r>
        <w:r w:rsidR="000B0AC7">
          <w:rPr>
            <w:webHidden/>
          </w:rPr>
          <w:fldChar w:fldCharType="begin"/>
        </w:r>
        <w:r w:rsidR="000B0AC7">
          <w:rPr>
            <w:webHidden/>
          </w:rPr>
          <w:instrText xml:space="preserve"> PAGEREF _Toc135323735 \h </w:instrText>
        </w:r>
        <w:r w:rsidR="000B0AC7">
          <w:rPr>
            <w:webHidden/>
          </w:rPr>
        </w:r>
        <w:r w:rsidR="000B0AC7">
          <w:rPr>
            <w:webHidden/>
          </w:rPr>
          <w:fldChar w:fldCharType="separate"/>
        </w:r>
        <w:r w:rsidR="000B0AC7">
          <w:rPr>
            <w:webHidden/>
          </w:rPr>
          <w:t>152</w:t>
        </w:r>
        <w:r w:rsidR="000B0AC7">
          <w:rPr>
            <w:webHidden/>
          </w:rPr>
          <w:fldChar w:fldCharType="end"/>
        </w:r>
      </w:hyperlink>
    </w:p>
    <w:p w14:paraId="30C73827" w14:textId="51BE37C9" w:rsidR="000B0AC7" w:rsidRDefault="00096035">
      <w:pPr>
        <w:pStyle w:val="TOC3"/>
        <w:tabs>
          <w:tab w:val="left" w:pos="1684"/>
        </w:tabs>
        <w:rPr>
          <w:rFonts w:asciiTheme="minorHAnsi" w:eastAsiaTheme="minorEastAsia" w:hAnsiTheme="minorHAnsi"/>
          <w:color w:val="auto"/>
          <w:kern w:val="2"/>
          <w:position w:val="0"/>
          <w:lang w:eastAsia="en-AU"/>
          <w14:ligatures w14:val="standardContextual"/>
        </w:rPr>
      </w:pPr>
      <w:hyperlink w:anchor="_Toc135323736" w:history="1">
        <w:r w:rsidR="000B0AC7" w:rsidRPr="007A19AD">
          <w:rPr>
            <w:rStyle w:val="Hyperlink"/>
          </w:rPr>
          <w:t>10.4</w:t>
        </w:r>
        <w:r w:rsidR="000B0AC7">
          <w:rPr>
            <w:rFonts w:asciiTheme="minorHAnsi" w:eastAsiaTheme="minorEastAsia" w:hAnsiTheme="minorHAnsi"/>
            <w:color w:val="auto"/>
            <w:kern w:val="2"/>
            <w:position w:val="0"/>
            <w:lang w:eastAsia="en-AU"/>
            <w14:ligatures w14:val="standardContextual"/>
          </w:rPr>
          <w:tab/>
        </w:r>
        <w:r w:rsidR="000B0AC7" w:rsidRPr="007A19AD">
          <w:rPr>
            <w:rStyle w:val="Hyperlink"/>
          </w:rPr>
          <w:t>Inputs</w:t>
        </w:r>
        <w:r w:rsidR="000B0AC7">
          <w:rPr>
            <w:webHidden/>
          </w:rPr>
          <w:tab/>
        </w:r>
        <w:r w:rsidR="000B0AC7">
          <w:rPr>
            <w:webHidden/>
          </w:rPr>
          <w:fldChar w:fldCharType="begin"/>
        </w:r>
        <w:r w:rsidR="000B0AC7">
          <w:rPr>
            <w:webHidden/>
          </w:rPr>
          <w:instrText xml:space="preserve"> PAGEREF _Toc135323736 \h </w:instrText>
        </w:r>
        <w:r w:rsidR="000B0AC7">
          <w:rPr>
            <w:webHidden/>
          </w:rPr>
        </w:r>
        <w:r w:rsidR="000B0AC7">
          <w:rPr>
            <w:webHidden/>
          </w:rPr>
          <w:fldChar w:fldCharType="separate"/>
        </w:r>
        <w:r w:rsidR="000B0AC7">
          <w:rPr>
            <w:webHidden/>
          </w:rPr>
          <w:t>153</w:t>
        </w:r>
        <w:r w:rsidR="000B0AC7">
          <w:rPr>
            <w:webHidden/>
          </w:rPr>
          <w:fldChar w:fldCharType="end"/>
        </w:r>
      </w:hyperlink>
    </w:p>
    <w:p w14:paraId="65C1FC38" w14:textId="515FD954" w:rsidR="000B0AC7" w:rsidRDefault="00096035">
      <w:pPr>
        <w:pStyle w:val="TOC3"/>
        <w:tabs>
          <w:tab w:val="left" w:pos="1684"/>
        </w:tabs>
        <w:rPr>
          <w:rFonts w:asciiTheme="minorHAnsi" w:eastAsiaTheme="minorEastAsia" w:hAnsiTheme="minorHAnsi"/>
          <w:color w:val="auto"/>
          <w:kern w:val="2"/>
          <w:position w:val="0"/>
          <w:lang w:eastAsia="en-AU"/>
          <w14:ligatures w14:val="standardContextual"/>
        </w:rPr>
      </w:pPr>
      <w:hyperlink w:anchor="_Toc135323737" w:history="1">
        <w:r w:rsidR="000B0AC7" w:rsidRPr="007A19AD">
          <w:rPr>
            <w:rStyle w:val="Hyperlink"/>
          </w:rPr>
          <w:t>10.5</w:t>
        </w:r>
        <w:r w:rsidR="000B0AC7">
          <w:rPr>
            <w:rFonts w:asciiTheme="minorHAnsi" w:eastAsiaTheme="minorEastAsia" w:hAnsiTheme="minorHAnsi"/>
            <w:color w:val="auto"/>
            <w:kern w:val="2"/>
            <w:position w:val="0"/>
            <w:lang w:eastAsia="en-AU"/>
            <w14:ligatures w14:val="standardContextual"/>
          </w:rPr>
          <w:tab/>
        </w:r>
        <w:r w:rsidR="000B0AC7" w:rsidRPr="007A19AD">
          <w:rPr>
            <w:rStyle w:val="Hyperlink"/>
          </w:rPr>
          <w:t>Activities</w:t>
        </w:r>
        <w:r w:rsidR="000B0AC7">
          <w:rPr>
            <w:webHidden/>
          </w:rPr>
          <w:tab/>
        </w:r>
        <w:r w:rsidR="000B0AC7">
          <w:rPr>
            <w:webHidden/>
          </w:rPr>
          <w:fldChar w:fldCharType="begin"/>
        </w:r>
        <w:r w:rsidR="000B0AC7">
          <w:rPr>
            <w:webHidden/>
          </w:rPr>
          <w:instrText xml:space="preserve"> PAGEREF _Toc135323737 \h </w:instrText>
        </w:r>
        <w:r w:rsidR="000B0AC7">
          <w:rPr>
            <w:webHidden/>
          </w:rPr>
        </w:r>
        <w:r w:rsidR="000B0AC7">
          <w:rPr>
            <w:webHidden/>
          </w:rPr>
          <w:fldChar w:fldCharType="separate"/>
        </w:r>
        <w:r w:rsidR="000B0AC7">
          <w:rPr>
            <w:webHidden/>
          </w:rPr>
          <w:t>155</w:t>
        </w:r>
        <w:r w:rsidR="000B0AC7">
          <w:rPr>
            <w:webHidden/>
          </w:rPr>
          <w:fldChar w:fldCharType="end"/>
        </w:r>
      </w:hyperlink>
    </w:p>
    <w:p w14:paraId="5DF5D831" w14:textId="2D64EB16" w:rsidR="000B0AC7" w:rsidRDefault="00096035">
      <w:pPr>
        <w:pStyle w:val="TOC3"/>
        <w:tabs>
          <w:tab w:val="left" w:pos="1684"/>
        </w:tabs>
        <w:rPr>
          <w:rFonts w:asciiTheme="minorHAnsi" w:eastAsiaTheme="minorEastAsia" w:hAnsiTheme="minorHAnsi"/>
          <w:color w:val="auto"/>
          <w:kern w:val="2"/>
          <w:position w:val="0"/>
          <w:lang w:eastAsia="en-AU"/>
          <w14:ligatures w14:val="standardContextual"/>
        </w:rPr>
      </w:pPr>
      <w:hyperlink w:anchor="_Toc135323738" w:history="1">
        <w:r w:rsidR="000B0AC7" w:rsidRPr="007A19AD">
          <w:rPr>
            <w:rStyle w:val="Hyperlink"/>
          </w:rPr>
          <w:t>10.6</w:t>
        </w:r>
        <w:r w:rsidR="000B0AC7">
          <w:rPr>
            <w:rFonts w:asciiTheme="minorHAnsi" w:eastAsiaTheme="minorEastAsia" w:hAnsiTheme="minorHAnsi"/>
            <w:color w:val="auto"/>
            <w:kern w:val="2"/>
            <w:position w:val="0"/>
            <w:lang w:eastAsia="en-AU"/>
            <w14:ligatures w14:val="standardContextual"/>
          </w:rPr>
          <w:tab/>
        </w:r>
        <w:r w:rsidR="000B0AC7" w:rsidRPr="007A19AD">
          <w:rPr>
            <w:rStyle w:val="Hyperlink"/>
          </w:rPr>
          <w:t>Outputs</w:t>
        </w:r>
        <w:r w:rsidR="000B0AC7">
          <w:rPr>
            <w:webHidden/>
          </w:rPr>
          <w:tab/>
        </w:r>
        <w:r w:rsidR="000B0AC7">
          <w:rPr>
            <w:webHidden/>
          </w:rPr>
          <w:fldChar w:fldCharType="begin"/>
        </w:r>
        <w:r w:rsidR="000B0AC7">
          <w:rPr>
            <w:webHidden/>
          </w:rPr>
          <w:instrText xml:space="preserve"> PAGEREF _Toc135323738 \h </w:instrText>
        </w:r>
        <w:r w:rsidR="000B0AC7">
          <w:rPr>
            <w:webHidden/>
          </w:rPr>
        </w:r>
        <w:r w:rsidR="000B0AC7">
          <w:rPr>
            <w:webHidden/>
          </w:rPr>
          <w:fldChar w:fldCharType="separate"/>
        </w:r>
        <w:r w:rsidR="000B0AC7">
          <w:rPr>
            <w:webHidden/>
          </w:rPr>
          <w:t>156</w:t>
        </w:r>
        <w:r w:rsidR="000B0AC7">
          <w:rPr>
            <w:webHidden/>
          </w:rPr>
          <w:fldChar w:fldCharType="end"/>
        </w:r>
      </w:hyperlink>
    </w:p>
    <w:p w14:paraId="3B73C690" w14:textId="3713672D" w:rsidR="000B0AC7" w:rsidRDefault="00096035">
      <w:pPr>
        <w:pStyle w:val="TOC3"/>
        <w:tabs>
          <w:tab w:val="left" w:pos="1684"/>
        </w:tabs>
        <w:rPr>
          <w:rFonts w:asciiTheme="minorHAnsi" w:eastAsiaTheme="minorEastAsia" w:hAnsiTheme="minorHAnsi"/>
          <w:color w:val="auto"/>
          <w:kern w:val="2"/>
          <w:position w:val="0"/>
          <w:lang w:eastAsia="en-AU"/>
          <w14:ligatures w14:val="standardContextual"/>
        </w:rPr>
      </w:pPr>
      <w:hyperlink w:anchor="_Toc135323739" w:history="1">
        <w:r w:rsidR="000B0AC7" w:rsidRPr="007A19AD">
          <w:rPr>
            <w:rStyle w:val="Hyperlink"/>
          </w:rPr>
          <w:t>10.7</w:t>
        </w:r>
        <w:r w:rsidR="000B0AC7">
          <w:rPr>
            <w:rFonts w:asciiTheme="minorHAnsi" w:eastAsiaTheme="minorEastAsia" w:hAnsiTheme="minorHAnsi"/>
            <w:color w:val="auto"/>
            <w:kern w:val="2"/>
            <w:position w:val="0"/>
            <w:lang w:eastAsia="en-AU"/>
            <w14:ligatures w14:val="standardContextual"/>
          </w:rPr>
          <w:tab/>
        </w:r>
        <w:r w:rsidR="000B0AC7" w:rsidRPr="007A19AD">
          <w:rPr>
            <w:rStyle w:val="Hyperlink"/>
          </w:rPr>
          <w:t>Outcomes</w:t>
        </w:r>
        <w:r w:rsidR="000B0AC7">
          <w:rPr>
            <w:webHidden/>
          </w:rPr>
          <w:tab/>
        </w:r>
        <w:r w:rsidR="000B0AC7">
          <w:rPr>
            <w:webHidden/>
          </w:rPr>
          <w:fldChar w:fldCharType="begin"/>
        </w:r>
        <w:r w:rsidR="000B0AC7">
          <w:rPr>
            <w:webHidden/>
          </w:rPr>
          <w:instrText xml:space="preserve"> PAGEREF _Toc135323739 \h </w:instrText>
        </w:r>
        <w:r w:rsidR="000B0AC7">
          <w:rPr>
            <w:webHidden/>
          </w:rPr>
        </w:r>
        <w:r w:rsidR="000B0AC7">
          <w:rPr>
            <w:webHidden/>
          </w:rPr>
          <w:fldChar w:fldCharType="separate"/>
        </w:r>
        <w:r w:rsidR="000B0AC7">
          <w:rPr>
            <w:webHidden/>
          </w:rPr>
          <w:t>158</w:t>
        </w:r>
        <w:r w:rsidR="000B0AC7">
          <w:rPr>
            <w:webHidden/>
          </w:rPr>
          <w:fldChar w:fldCharType="end"/>
        </w:r>
      </w:hyperlink>
    </w:p>
    <w:p w14:paraId="63955854" w14:textId="1EAD06E7" w:rsidR="000B0AC7" w:rsidRDefault="00096035">
      <w:pPr>
        <w:pStyle w:val="TOC3"/>
        <w:tabs>
          <w:tab w:val="left" w:pos="1684"/>
        </w:tabs>
        <w:rPr>
          <w:rFonts w:asciiTheme="minorHAnsi" w:eastAsiaTheme="minorEastAsia" w:hAnsiTheme="minorHAnsi"/>
          <w:color w:val="auto"/>
          <w:kern w:val="2"/>
          <w:position w:val="0"/>
          <w:lang w:eastAsia="en-AU"/>
          <w14:ligatures w14:val="standardContextual"/>
        </w:rPr>
      </w:pPr>
      <w:hyperlink w:anchor="_Toc135323740" w:history="1">
        <w:r w:rsidR="000B0AC7" w:rsidRPr="007A19AD">
          <w:rPr>
            <w:rStyle w:val="Hyperlink"/>
          </w:rPr>
          <w:t>10.8</w:t>
        </w:r>
        <w:r w:rsidR="000B0AC7">
          <w:rPr>
            <w:rFonts w:asciiTheme="minorHAnsi" w:eastAsiaTheme="minorEastAsia" w:hAnsiTheme="minorHAnsi"/>
            <w:color w:val="auto"/>
            <w:kern w:val="2"/>
            <w:position w:val="0"/>
            <w:lang w:eastAsia="en-AU"/>
            <w14:ligatures w14:val="standardContextual"/>
          </w:rPr>
          <w:tab/>
        </w:r>
        <w:r w:rsidR="000B0AC7" w:rsidRPr="007A19AD">
          <w:rPr>
            <w:rStyle w:val="Hyperlink"/>
          </w:rPr>
          <w:t>Impacts</w:t>
        </w:r>
        <w:r w:rsidR="000B0AC7">
          <w:rPr>
            <w:webHidden/>
          </w:rPr>
          <w:tab/>
        </w:r>
        <w:r w:rsidR="000B0AC7">
          <w:rPr>
            <w:webHidden/>
          </w:rPr>
          <w:fldChar w:fldCharType="begin"/>
        </w:r>
        <w:r w:rsidR="000B0AC7">
          <w:rPr>
            <w:webHidden/>
          </w:rPr>
          <w:instrText xml:space="preserve"> PAGEREF _Toc135323740 \h </w:instrText>
        </w:r>
        <w:r w:rsidR="000B0AC7">
          <w:rPr>
            <w:webHidden/>
          </w:rPr>
        </w:r>
        <w:r w:rsidR="000B0AC7">
          <w:rPr>
            <w:webHidden/>
          </w:rPr>
          <w:fldChar w:fldCharType="separate"/>
        </w:r>
        <w:r w:rsidR="000B0AC7">
          <w:rPr>
            <w:webHidden/>
          </w:rPr>
          <w:t>159</w:t>
        </w:r>
        <w:r w:rsidR="000B0AC7">
          <w:rPr>
            <w:webHidden/>
          </w:rPr>
          <w:fldChar w:fldCharType="end"/>
        </w:r>
      </w:hyperlink>
    </w:p>
    <w:p w14:paraId="736A7C6F" w14:textId="19BC45EF" w:rsidR="000B0AC7" w:rsidRDefault="00096035">
      <w:pPr>
        <w:pStyle w:val="TOC3"/>
        <w:tabs>
          <w:tab w:val="left" w:pos="1684"/>
        </w:tabs>
        <w:rPr>
          <w:rFonts w:asciiTheme="minorHAnsi" w:eastAsiaTheme="minorEastAsia" w:hAnsiTheme="minorHAnsi"/>
          <w:color w:val="auto"/>
          <w:kern w:val="2"/>
          <w:position w:val="0"/>
          <w:lang w:eastAsia="en-AU"/>
          <w14:ligatures w14:val="standardContextual"/>
        </w:rPr>
      </w:pPr>
      <w:hyperlink w:anchor="_Toc135323741" w:history="1">
        <w:r w:rsidR="000B0AC7" w:rsidRPr="007A19AD">
          <w:rPr>
            <w:rStyle w:val="Hyperlink"/>
          </w:rPr>
          <w:t>10.9</w:t>
        </w:r>
        <w:r w:rsidR="000B0AC7">
          <w:rPr>
            <w:rFonts w:asciiTheme="minorHAnsi" w:eastAsiaTheme="minorEastAsia" w:hAnsiTheme="minorHAnsi"/>
            <w:color w:val="auto"/>
            <w:kern w:val="2"/>
            <w:position w:val="0"/>
            <w:lang w:eastAsia="en-AU"/>
            <w14:ligatures w14:val="standardContextual"/>
          </w:rPr>
          <w:tab/>
        </w:r>
        <w:r w:rsidR="000B0AC7" w:rsidRPr="007A19AD">
          <w:rPr>
            <w:rStyle w:val="Hyperlink"/>
          </w:rPr>
          <w:t>Potential future impacts</w:t>
        </w:r>
        <w:r w:rsidR="000B0AC7">
          <w:rPr>
            <w:webHidden/>
          </w:rPr>
          <w:tab/>
        </w:r>
        <w:r w:rsidR="000B0AC7">
          <w:rPr>
            <w:webHidden/>
          </w:rPr>
          <w:fldChar w:fldCharType="begin"/>
        </w:r>
        <w:r w:rsidR="000B0AC7">
          <w:rPr>
            <w:webHidden/>
          </w:rPr>
          <w:instrText xml:space="preserve"> PAGEREF _Toc135323741 \h </w:instrText>
        </w:r>
        <w:r w:rsidR="000B0AC7">
          <w:rPr>
            <w:webHidden/>
          </w:rPr>
        </w:r>
        <w:r w:rsidR="000B0AC7">
          <w:rPr>
            <w:webHidden/>
          </w:rPr>
          <w:fldChar w:fldCharType="separate"/>
        </w:r>
        <w:r w:rsidR="000B0AC7">
          <w:rPr>
            <w:webHidden/>
          </w:rPr>
          <w:t>164</w:t>
        </w:r>
        <w:r w:rsidR="000B0AC7">
          <w:rPr>
            <w:webHidden/>
          </w:rPr>
          <w:fldChar w:fldCharType="end"/>
        </w:r>
      </w:hyperlink>
    </w:p>
    <w:p w14:paraId="57349A12" w14:textId="341E127B" w:rsidR="000B0AC7" w:rsidRDefault="00096035">
      <w:pPr>
        <w:pStyle w:val="TOC2"/>
        <w:rPr>
          <w:rFonts w:asciiTheme="minorHAnsi" w:eastAsiaTheme="minorEastAsia" w:hAnsiTheme="minorHAnsi" w:cstheme="minorBidi"/>
          <w:b w:val="0"/>
          <w:color w:val="auto"/>
          <w:kern w:val="2"/>
          <w:sz w:val="22"/>
          <w:lang w:eastAsia="en-AU"/>
          <w14:ligatures w14:val="standardContextual"/>
        </w:rPr>
      </w:pPr>
      <w:hyperlink w:anchor="_Toc135323742" w:history="1">
        <w:r w:rsidR="000B0AC7" w:rsidRPr="007A19AD">
          <w:rPr>
            <w:rStyle w:val="Hyperlink"/>
          </w:rPr>
          <w:t>11</w:t>
        </w:r>
        <w:r w:rsidR="000B0AC7">
          <w:rPr>
            <w:rFonts w:asciiTheme="minorHAnsi" w:eastAsiaTheme="minorEastAsia" w:hAnsiTheme="minorHAnsi" w:cstheme="minorBidi"/>
            <w:b w:val="0"/>
            <w:color w:val="auto"/>
            <w:kern w:val="2"/>
            <w:sz w:val="22"/>
            <w:lang w:eastAsia="en-AU"/>
            <w14:ligatures w14:val="standardContextual"/>
          </w:rPr>
          <w:tab/>
        </w:r>
        <w:r w:rsidR="000B0AC7" w:rsidRPr="007A19AD">
          <w:rPr>
            <w:rStyle w:val="Hyperlink"/>
          </w:rPr>
          <w:t>Changing the Law to Protect Survivors of DFV</w:t>
        </w:r>
        <w:r w:rsidR="000B0AC7">
          <w:rPr>
            <w:webHidden/>
          </w:rPr>
          <w:tab/>
        </w:r>
        <w:r w:rsidR="000B0AC7">
          <w:rPr>
            <w:webHidden/>
          </w:rPr>
          <w:fldChar w:fldCharType="begin"/>
        </w:r>
        <w:r w:rsidR="000B0AC7">
          <w:rPr>
            <w:webHidden/>
          </w:rPr>
          <w:instrText xml:space="preserve"> PAGEREF _Toc135323742 \h </w:instrText>
        </w:r>
        <w:r w:rsidR="000B0AC7">
          <w:rPr>
            <w:webHidden/>
          </w:rPr>
        </w:r>
        <w:r w:rsidR="000B0AC7">
          <w:rPr>
            <w:webHidden/>
          </w:rPr>
          <w:fldChar w:fldCharType="separate"/>
        </w:r>
        <w:r w:rsidR="000B0AC7">
          <w:rPr>
            <w:webHidden/>
          </w:rPr>
          <w:t>165</w:t>
        </w:r>
        <w:r w:rsidR="000B0AC7">
          <w:rPr>
            <w:webHidden/>
          </w:rPr>
          <w:fldChar w:fldCharType="end"/>
        </w:r>
      </w:hyperlink>
    </w:p>
    <w:p w14:paraId="1807862C" w14:textId="13B458BD" w:rsidR="000B0AC7" w:rsidRDefault="00096035">
      <w:pPr>
        <w:pStyle w:val="TOC3"/>
        <w:tabs>
          <w:tab w:val="left" w:pos="1684"/>
        </w:tabs>
        <w:rPr>
          <w:rFonts w:asciiTheme="minorHAnsi" w:eastAsiaTheme="minorEastAsia" w:hAnsiTheme="minorHAnsi"/>
          <w:color w:val="auto"/>
          <w:kern w:val="2"/>
          <w:position w:val="0"/>
          <w:lang w:eastAsia="en-AU"/>
          <w14:ligatures w14:val="standardContextual"/>
        </w:rPr>
      </w:pPr>
      <w:hyperlink w:anchor="_Toc135323743" w:history="1">
        <w:r w:rsidR="000B0AC7" w:rsidRPr="007A19AD">
          <w:rPr>
            <w:rStyle w:val="Hyperlink"/>
          </w:rPr>
          <w:t>11.1</w:t>
        </w:r>
        <w:r w:rsidR="000B0AC7">
          <w:rPr>
            <w:rFonts w:asciiTheme="minorHAnsi" w:eastAsiaTheme="minorEastAsia" w:hAnsiTheme="minorHAnsi"/>
            <w:color w:val="auto"/>
            <w:kern w:val="2"/>
            <w:position w:val="0"/>
            <w:lang w:eastAsia="en-AU"/>
            <w14:ligatures w14:val="standardContextual"/>
          </w:rPr>
          <w:tab/>
        </w:r>
        <w:r w:rsidR="000B0AC7" w:rsidRPr="007A19AD">
          <w:rPr>
            <w:rStyle w:val="Hyperlink"/>
          </w:rPr>
          <w:t>Key Findings</w:t>
        </w:r>
        <w:r w:rsidR="000B0AC7">
          <w:rPr>
            <w:webHidden/>
          </w:rPr>
          <w:tab/>
        </w:r>
        <w:r w:rsidR="000B0AC7">
          <w:rPr>
            <w:webHidden/>
          </w:rPr>
          <w:fldChar w:fldCharType="begin"/>
        </w:r>
        <w:r w:rsidR="000B0AC7">
          <w:rPr>
            <w:webHidden/>
          </w:rPr>
          <w:instrText xml:space="preserve"> PAGEREF _Toc135323743 \h </w:instrText>
        </w:r>
        <w:r w:rsidR="000B0AC7">
          <w:rPr>
            <w:webHidden/>
          </w:rPr>
        </w:r>
        <w:r w:rsidR="000B0AC7">
          <w:rPr>
            <w:webHidden/>
          </w:rPr>
          <w:fldChar w:fldCharType="separate"/>
        </w:r>
        <w:r w:rsidR="000B0AC7">
          <w:rPr>
            <w:webHidden/>
          </w:rPr>
          <w:t>166</w:t>
        </w:r>
        <w:r w:rsidR="000B0AC7">
          <w:rPr>
            <w:webHidden/>
          </w:rPr>
          <w:fldChar w:fldCharType="end"/>
        </w:r>
      </w:hyperlink>
    </w:p>
    <w:p w14:paraId="73B31375" w14:textId="5CE9BBD0" w:rsidR="000B0AC7" w:rsidRDefault="00096035">
      <w:pPr>
        <w:pStyle w:val="TOC3"/>
        <w:tabs>
          <w:tab w:val="left" w:pos="1684"/>
        </w:tabs>
        <w:rPr>
          <w:rFonts w:asciiTheme="minorHAnsi" w:eastAsiaTheme="minorEastAsia" w:hAnsiTheme="minorHAnsi"/>
          <w:color w:val="auto"/>
          <w:kern w:val="2"/>
          <w:position w:val="0"/>
          <w:lang w:eastAsia="en-AU"/>
          <w14:ligatures w14:val="standardContextual"/>
        </w:rPr>
      </w:pPr>
      <w:hyperlink w:anchor="_Toc135323744" w:history="1">
        <w:r w:rsidR="000B0AC7" w:rsidRPr="007A19AD">
          <w:rPr>
            <w:rStyle w:val="Hyperlink"/>
          </w:rPr>
          <w:t>11.2</w:t>
        </w:r>
        <w:r w:rsidR="000B0AC7">
          <w:rPr>
            <w:rFonts w:asciiTheme="minorHAnsi" w:eastAsiaTheme="minorEastAsia" w:hAnsiTheme="minorHAnsi"/>
            <w:color w:val="auto"/>
            <w:kern w:val="2"/>
            <w:position w:val="0"/>
            <w:lang w:eastAsia="en-AU"/>
            <w14:ligatures w14:val="standardContextual"/>
          </w:rPr>
          <w:tab/>
        </w:r>
        <w:r w:rsidR="000B0AC7" w:rsidRPr="007A19AD">
          <w:rPr>
            <w:rStyle w:val="Hyperlink"/>
          </w:rPr>
          <w:t>Case study framework</w:t>
        </w:r>
        <w:r w:rsidR="000B0AC7">
          <w:rPr>
            <w:webHidden/>
          </w:rPr>
          <w:tab/>
        </w:r>
        <w:r w:rsidR="000B0AC7">
          <w:rPr>
            <w:webHidden/>
          </w:rPr>
          <w:fldChar w:fldCharType="begin"/>
        </w:r>
        <w:r w:rsidR="000B0AC7">
          <w:rPr>
            <w:webHidden/>
          </w:rPr>
          <w:instrText xml:space="preserve"> PAGEREF _Toc135323744 \h </w:instrText>
        </w:r>
        <w:r w:rsidR="000B0AC7">
          <w:rPr>
            <w:webHidden/>
          </w:rPr>
        </w:r>
        <w:r w:rsidR="000B0AC7">
          <w:rPr>
            <w:webHidden/>
          </w:rPr>
          <w:fldChar w:fldCharType="separate"/>
        </w:r>
        <w:r w:rsidR="000B0AC7">
          <w:rPr>
            <w:webHidden/>
          </w:rPr>
          <w:t>166</w:t>
        </w:r>
        <w:r w:rsidR="000B0AC7">
          <w:rPr>
            <w:webHidden/>
          </w:rPr>
          <w:fldChar w:fldCharType="end"/>
        </w:r>
      </w:hyperlink>
    </w:p>
    <w:p w14:paraId="37FE68AA" w14:textId="576ADAFB" w:rsidR="000B0AC7" w:rsidRDefault="00096035">
      <w:pPr>
        <w:pStyle w:val="TOC3"/>
        <w:tabs>
          <w:tab w:val="left" w:pos="1684"/>
        </w:tabs>
        <w:rPr>
          <w:rFonts w:asciiTheme="minorHAnsi" w:eastAsiaTheme="minorEastAsia" w:hAnsiTheme="minorHAnsi"/>
          <w:color w:val="auto"/>
          <w:kern w:val="2"/>
          <w:position w:val="0"/>
          <w:lang w:eastAsia="en-AU"/>
          <w14:ligatures w14:val="standardContextual"/>
        </w:rPr>
      </w:pPr>
      <w:hyperlink w:anchor="_Toc135323745" w:history="1">
        <w:r w:rsidR="000B0AC7" w:rsidRPr="007A19AD">
          <w:rPr>
            <w:rStyle w:val="Hyperlink"/>
          </w:rPr>
          <w:t>11.3</w:t>
        </w:r>
        <w:r w:rsidR="000B0AC7">
          <w:rPr>
            <w:rFonts w:asciiTheme="minorHAnsi" w:eastAsiaTheme="minorEastAsia" w:hAnsiTheme="minorHAnsi"/>
            <w:color w:val="auto"/>
            <w:kern w:val="2"/>
            <w:position w:val="0"/>
            <w:lang w:eastAsia="en-AU"/>
            <w14:ligatures w14:val="standardContextual"/>
          </w:rPr>
          <w:tab/>
        </w:r>
        <w:r w:rsidR="000B0AC7" w:rsidRPr="007A19AD">
          <w:rPr>
            <w:rStyle w:val="Hyperlink"/>
          </w:rPr>
          <w:t>Background</w:t>
        </w:r>
        <w:r w:rsidR="000B0AC7">
          <w:rPr>
            <w:webHidden/>
          </w:rPr>
          <w:tab/>
        </w:r>
        <w:r w:rsidR="000B0AC7">
          <w:rPr>
            <w:webHidden/>
          </w:rPr>
          <w:fldChar w:fldCharType="begin"/>
        </w:r>
        <w:r w:rsidR="000B0AC7">
          <w:rPr>
            <w:webHidden/>
          </w:rPr>
          <w:instrText xml:space="preserve"> PAGEREF _Toc135323745 \h </w:instrText>
        </w:r>
        <w:r w:rsidR="000B0AC7">
          <w:rPr>
            <w:webHidden/>
          </w:rPr>
        </w:r>
        <w:r w:rsidR="000B0AC7">
          <w:rPr>
            <w:webHidden/>
          </w:rPr>
          <w:fldChar w:fldCharType="separate"/>
        </w:r>
        <w:r w:rsidR="000B0AC7">
          <w:rPr>
            <w:webHidden/>
          </w:rPr>
          <w:t>167</w:t>
        </w:r>
        <w:r w:rsidR="000B0AC7">
          <w:rPr>
            <w:webHidden/>
          </w:rPr>
          <w:fldChar w:fldCharType="end"/>
        </w:r>
      </w:hyperlink>
    </w:p>
    <w:p w14:paraId="360210A9" w14:textId="62366AB7" w:rsidR="000B0AC7" w:rsidRDefault="00096035">
      <w:pPr>
        <w:pStyle w:val="TOC3"/>
        <w:tabs>
          <w:tab w:val="left" w:pos="1684"/>
        </w:tabs>
        <w:rPr>
          <w:rFonts w:asciiTheme="minorHAnsi" w:eastAsiaTheme="minorEastAsia" w:hAnsiTheme="minorHAnsi"/>
          <w:color w:val="auto"/>
          <w:kern w:val="2"/>
          <w:position w:val="0"/>
          <w:lang w:eastAsia="en-AU"/>
          <w14:ligatures w14:val="standardContextual"/>
        </w:rPr>
      </w:pPr>
      <w:hyperlink w:anchor="_Toc135323746" w:history="1">
        <w:r w:rsidR="000B0AC7" w:rsidRPr="007A19AD">
          <w:rPr>
            <w:rStyle w:val="Hyperlink"/>
          </w:rPr>
          <w:t>11.4</w:t>
        </w:r>
        <w:r w:rsidR="000B0AC7">
          <w:rPr>
            <w:rFonts w:asciiTheme="minorHAnsi" w:eastAsiaTheme="minorEastAsia" w:hAnsiTheme="minorHAnsi"/>
            <w:color w:val="auto"/>
            <w:kern w:val="2"/>
            <w:position w:val="0"/>
            <w:lang w:eastAsia="en-AU"/>
            <w14:ligatures w14:val="standardContextual"/>
          </w:rPr>
          <w:tab/>
        </w:r>
        <w:r w:rsidR="000B0AC7" w:rsidRPr="007A19AD">
          <w:rPr>
            <w:rStyle w:val="Hyperlink"/>
          </w:rPr>
          <w:t>Inputs</w:t>
        </w:r>
        <w:r w:rsidR="000B0AC7">
          <w:rPr>
            <w:webHidden/>
          </w:rPr>
          <w:tab/>
        </w:r>
        <w:r w:rsidR="000B0AC7">
          <w:rPr>
            <w:webHidden/>
          </w:rPr>
          <w:fldChar w:fldCharType="begin"/>
        </w:r>
        <w:r w:rsidR="000B0AC7">
          <w:rPr>
            <w:webHidden/>
          </w:rPr>
          <w:instrText xml:space="preserve"> PAGEREF _Toc135323746 \h </w:instrText>
        </w:r>
        <w:r w:rsidR="000B0AC7">
          <w:rPr>
            <w:webHidden/>
          </w:rPr>
        </w:r>
        <w:r w:rsidR="000B0AC7">
          <w:rPr>
            <w:webHidden/>
          </w:rPr>
          <w:fldChar w:fldCharType="separate"/>
        </w:r>
        <w:r w:rsidR="000B0AC7">
          <w:rPr>
            <w:webHidden/>
          </w:rPr>
          <w:t>172</w:t>
        </w:r>
        <w:r w:rsidR="000B0AC7">
          <w:rPr>
            <w:webHidden/>
          </w:rPr>
          <w:fldChar w:fldCharType="end"/>
        </w:r>
      </w:hyperlink>
    </w:p>
    <w:p w14:paraId="0845E124" w14:textId="33041CD9" w:rsidR="000B0AC7" w:rsidRDefault="00096035">
      <w:pPr>
        <w:pStyle w:val="TOC3"/>
        <w:tabs>
          <w:tab w:val="left" w:pos="1684"/>
        </w:tabs>
        <w:rPr>
          <w:rFonts w:asciiTheme="minorHAnsi" w:eastAsiaTheme="minorEastAsia" w:hAnsiTheme="minorHAnsi"/>
          <w:color w:val="auto"/>
          <w:kern w:val="2"/>
          <w:position w:val="0"/>
          <w:lang w:eastAsia="en-AU"/>
          <w14:ligatures w14:val="standardContextual"/>
        </w:rPr>
      </w:pPr>
      <w:hyperlink w:anchor="_Toc135323747" w:history="1">
        <w:r w:rsidR="000B0AC7" w:rsidRPr="007A19AD">
          <w:rPr>
            <w:rStyle w:val="Hyperlink"/>
          </w:rPr>
          <w:t>11.5</w:t>
        </w:r>
        <w:r w:rsidR="000B0AC7">
          <w:rPr>
            <w:rFonts w:asciiTheme="minorHAnsi" w:eastAsiaTheme="minorEastAsia" w:hAnsiTheme="minorHAnsi"/>
            <w:color w:val="auto"/>
            <w:kern w:val="2"/>
            <w:position w:val="0"/>
            <w:lang w:eastAsia="en-AU"/>
            <w14:ligatures w14:val="standardContextual"/>
          </w:rPr>
          <w:tab/>
        </w:r>
        <w:r w:rsidR="000B0AC7" w:rsidRPr="007A19AD">
          <w:rPr>
            <w:rStyle w:val="Hyperlink"/>
          </w:rPr>
          <w:t>Activities</w:t>
        </w:r>
        <w:r w:rsidR="000B0AC7">
          <w:rPr>
            <w:webHidden/>
          </w:rPr>
          <w:tab/>
        </w:r>
        <w:r w:rsidR="000B0AC7">
          <w:rPr>
            <w:webHidden/>
          </w:rPr>
          <w:fldChar w:fldCharType="begin"/>
        </w:r>
        <w:r w:rsidR="000B0AC7">
          <w:rPr>
            <w:webHidden/>
          </w:rPr>
          <w:instrText xml:space="preserve"> PAGEREF _Toc135323747 \h </w:instrText>
        </w:r>
        <w:r w:rsidR="000B0AC7">
          <w:rPr>
            <w:webHidden/>
          </w:rPr>
        </w:r>
        <w:r w:rsidR="000B0AC7">
          <w:rPr>
            <w:webHidden/>
          </w:rPr>
          <w:fldChar w:fldCharType="separate"/>
        </w:r>
        <w:r w:rsidR="000B0AC7">
          <w:rPr>
            <w:webHidden/>
          </w:rPr>
          <w:t>174</w:t>
        </w:r>
        <w:r w:rsidR="000B0AC7">
          <w:rPr>
            <w:webHidden/>
          </w:rPr>
          <w:fldChar w:fldCharType="end"/>
        </w:r>
      </w:hyperlink>
    </w:p>
    <w:p w14:paraId="7BDAC8F6" w14:textId="3F7AA8C4" w:rsidR="000B0AC7" w:rsidRDefault="00096035">
      <w:pPr>
        <w:pStyle w:val="TOC3"/>
        <w:tabs>
          <w:tab w:val="left" w:pos="1684"/>
        </w:tabs>
        <w:rPr>
          <w:rFonts w:asciiTheme="minorHAnsi" w:eastAsiaTheme="minorEastAsia" w:hAnsiTheme="minorHAnsi"/>
          <w:color w:val="auto"/>
          <w:kern w:val="2"/>
          <w:position w:val="0"/>
          <w:lang w:eastAsia="en-AU"/>
          <w14:ligatures w14:val="standardContextual"/>
        </w:rPr>
      </w:pPr>
      <w:hyperlink w:anchor="_Toc135323748" w:history="1">
        <w:r w:rsidR="000B0AC7" w:rsidRPr="007A19AD">
          <w:rPr>
            <w:rStyle w:val="Hyperlink"/>
          </w:rPr>
          <w:t>11.6</w:t>
        </w:r>
        <w:r w:rsidR="000B0AC7">
          <w:rPr>
            <w:rFonts w:asciiTheme="minorHAnsi" w:eastAsiaTheme="minorEastAsia" w:hAnsiTheme="minorHAnsi"/>
            <w:color w:val="auto"/>
            <w:kern w:val="2"/>
            <w:position w:val="0"/>
            <w:lang w:eastAsia="en-AU"/>
            <w14:ligatures w14:val="standardContextual"/>
          </w:rPr>
          <w:tab/>
        </w:r>
        <w:r w:rsidR="000B0AC7" w:rsidRPr="007A19AD">
          <w:rPr>
            <w:rStyle w:val="Hyperlink"/>
          </w:rPr>
          <w:t>Outputs</w:t>
        </w:r>
        <w:r w:rsidR="000B0AC7">
          <w:rPr>
            <w:webHidden/>
          </w:rPr>
          <w:tab/>
        </w:r>
        <w:r w:rsidR="000B0AC7">
          <w:rPr>
            <w:webHidden/>
          </w:rPr>
          <w:fldChar w:fldCharType="begin"/>
        </w:r>
        <w:r w:rsidR="000B0AC7">
          <w:rPr>
            <w:webHidden/>
          </w:rPr>
          <w:instrText xml:space="preserve"> PAGEREF _Toc135323748 \h </w:instrText>
        </w:r>
        <w:r w:rsidR="000B0AC7">
          <w:rPr>
            <w:webHidden/>
          </w:rPr>
        </w:r>
        <w:r w:rsidR="000B0AC7">
          <w:rPr>
            <w:webHidden/>
          </w:rPr>
          <w:fldChar w:fldCharType="separate"/>
        </w:r>
        <w:r w:rsidR="000B0AC7">
          <w:rPr>
            <w:webHidden/>
          </w:rPr>
          <w:t>176</w:t>
        </w:r>
        <w:r w:rsidR="000B0AC7">
          <w:rPr>
            <w:webHidden/>
          </w:rPr>
          <w:fldChar w:fldCharType="end"/>
        </w:r>
      </w:hyperlink>
    </w:p>
    <w:p w14:paraId="135C8FFD" w14:textId="608EDAAB" w:rsidR="000B0AC7" w:rsidRDefault="00096035">
      <w:pPr>
        <w:pStyle w:val="TOC3"/>
        <w:tabs>
          <w:tab w:val="left" w:pos="1684"/>
        </w:tabs>
        <w:rPr>
          <w:rFonts w:asciiTheme="minorHAnsi" w:eastAsiaTheme="minorEastAsia" w:hAnsiTheme="minorHAnsi"/>
          <w:color w:val="auto"/>
          <w:kern w:val="2"/>
          <w:position w:val="0"/>
          <w:lang w:eastAsia="en-AU"/>
          <w14:ligatures w14:val="standardContextual"/>
        </w:rPr>
      </w:pPr>
      <w:hyperlink w:anchor="_Toc135323749" w:history="1">
        <w:r w:rsidR="000B0AC7" w:rsidRPr="007A19AD">
          <w:rPr>
            <w:rStyle w:val="Hyperlink"/>
          </w:rPr>
          <w:t>11.7</w:t>
        </w:r>
        <w:r w:rsidR="000B0AC7">
          <w:rPr>
            <w:rFonts w:asciiTheme="minorHAnsi" w:eastAsiaTheme="minorEastAsia" w:hAnsiTheme="minorHAnsi"/>
            <w:color w:val="auto"/>
            <w:kern w:val="2"/>
            <w:position w:val="0"/>
            <w:lang w:eastAsia="en-AU"/>
            <w14:ligatures w14:val="standardContextual"/>
          </w:rPr>
          <w:tab/>
        </w:r>
        <w:r w:rsidR="000B0AC7" w:rsidRPr="007A19AD">
          <w:rPr>
            <w:rStyle w:val="Hyperlink"/>
          </w:rPr>
          <w:t>Outcomes</w:t>
        </w:r>
        <w:r w:rsidR="000B0AC7">
          <w:rPr>
            <w:webHidden/>
          </w:rPr>
          <w:tab/>
        </w:r>
        <w:r w:rsidR="000B0AC7">
          <w:rPr>
            <w:webHidden/>
          </w:rPr>
          <w:fldChar w:fldCharType="begin"/>
        </w:r>
        <w:r w:rsidR="000B0AC7">
          <w:rPr>
            <w:webHidden/>
          </w:rPr>
          <w:instrText xml:space="preserve"> PAGEREF _Toc135323749 \h </w:instrText>
        </w:r>
        <w:r w:rsidR="000B0AC7">
          <w:rPr>
            <w:webHidden/>
          </w:rPr>
        </w:r>
        <w:r w:rsidR="000B0AC7">
          <w:rPr>
            <w:webHidden/>
          </w:rPr>
          <w:fldChar w:fldCharType="separate"/>
        </w:r>
        <w:r w:rsidR="000B0AC7">
          <w:rPr>
            <w:webHidden/>
          </w:rPr>
          <w:t>177</w:t>
        </w:r>
        <w:r w:rsidR="000B0AC7">
          <w:rPr>
            <w:webHidden/>
          </w:rPr>
          <w:fldChar w:fldCharType="end"/>
        </w:r>
      </w:hyperlink>
    </w:p>
    <w:p w14:paraId="610C91E2" w14:textId="1F72C3DB" w:rsidR="000B0AC7" w:rsidRDefault="00096035">
      <w:pPr>
        <w:pStyle w:val="TOC3"/>
        <w:tabs>
          <w:tab w:val="left" w:pos="1684"/>
        </w:tabs>
        <w:rPr>
          <w:rFonts w:asciiTheme="minorHAnsi" w:eastAsiaTheme="minorEastAsia" w:hAnsiTheme="minorHAnsi"/>
          <w:color w:val="auto"/>
          <w:kern w:val="2"/>
          <w:position w:val="0"/>
          <w:lang w:eastAsia="en-AU"/>
          <w14:ligatures w14:val="standardContextual"/>
        </w:rPr>
      </w:pPr>
      <w:hyperlink w:anchor="_Toc135323750" w:history="1">
        <w:r w:rsidR="000B0AC7" w:rsidRPr="007A19AD">
          <w:rPr>
            <w:rStyle w:val="Hyperlink"/>
          </w:rPr>
          <w:t>11.8</w:t>
        </w:r>
        <w:r w:rsidR="000B0AC7">
          <w:rPr>
            <w:rFonts w:asciiTheme="minorHAnsi" w:eastAsiaTheme="minorEastAsia" w:hAnsiTheme="minorHAnsi"/>
            <w:color w:val="auto"/>
            <w:kern w:val="2"/>
            <w:position w:val="0"/>
            <w:lang w:eastAsia="en-AU"/>
            <w14:ligatures w14:val="standardContextual"/>
          </w:rPr>
          <w:tab/>
        </w:r>
        <w:r w:rsidR="000B0AC7" w:rsidRPr="007A19AD">
          <w:rPr>
            <w:rStyle w:val="Hyperlink"/>
          </w:rPr>
          <w:t>Impacts</w:t>
        </w:r>
        <w:r w:rsidR="000B0AC7">
          <w:rPr>
            <w:webHidden/>
          </w:rPr>
          <w:tab/>
        </w:r>
        <w:r w:rsidR="000B0AC7">
          <w:rPr>
            <w:webHidden/>
          </w:rPr>
          <w:fldChar w:fldCharType="begin"/>
        </w:r>
        <w:r w:rsidR="000B0AC7">
          <w:rPr>
            <w:webHidden/>
          </w:rPr>
          <w:instrText xml:space="preserve"> PAGEREF _Toc135323750 \h </w:instrText>
        </w:r>
        <w:r w:rsidR="000B0AC7">
          <w:rPr>
            <w:webHidden/>
          </w:rPr>
        </w:r>
        <w:r w:rsidR="000B0AC7">
          <w:rPr>
            <w:webHidden/>
          </w:rPr>
          <w:fldChar w:fldCharType="separate"/>
        </w:r>
        <w:r w:rsidR="000B0AC7">
          <w:rPr>
            <w:webHidden/>
          </w:rPr>
          <w:t>181</w:t>
        </w:r>
        <w:r w:rsidR="000B0AC7">
          <w:rPr>
            <w:webHidden/>
          </w:rPr>
          <w:fldChar w:fldCharType="end"/>
        </w:r>
      </w:hyperlink>
    </w:p>
    <w:p w14:paraId="3A45750D" w14:textId="38C51FF6" w:rsidR="000B0AC7" w:rsidRDefault="00096035">
      <w:pPr>
        <w:pStyle w:val="TOC3"/>
        <w:tabs>
          <w:tab w:val="left" w:pos="1684"/>
        </w:tabs>
        <w:rPr>
          <w:rFonts w:asciiTheme="minorHAnsi" w:eastAsiaTheme="minorEastAsia" w:hAnsiTheme="minorHAnsi"/>
          <w:color w:val="auto"/>
          <w:kern w:val="2"/>
          <w:position w:val="0"/>
          <w:lang w:eastAsia="en-AU"/>
          <w14:ligatures w14:val="standardContextual"/>
        </w:rPr>
      </w:pPr>
      <w:hyperlink w:anchor="_Toc135323751" w:history="1">
        <w:r w:rsidR="000B0AC7" w:rsidRPr="007A19AD">
          <w:rPr>
            <w:rStyle w:val="Hyperlink"/>
          </w:rPr>
          <w:t>11.9</w:t>
        </w:r>
        <w:r w:rsidR="000B0AC7">
          <w:rPr>
            <w:rFonts w:asciiTheme="minorHAnsi" w:eastAsiaTheme="minorEastAsia" w:hAnsiTheme="minorHAnsi"/>
            <w:color w:val="auto"/>
            <w:kern w:val="2"/>
            <w:position w:val="0"/>
            <w:lang w:eastAsia="en-AU"/>
            <w14:ligatures w14:val="standardContextual"/>
          </w:rPr>
          <w:tab/>
        </w:r>
        <w:r w:rsidR="000B0AC7" w:rsidRPr="007A19AD">
          <w:rPr>
            <w:rStyle w:val="Hyperlink"/>
          </w:rPr>
          <w:t>Potential future impacts</w:t>
        </w:r>
        <w:r w:rsidR="000B0AC7">
          <w:rPr>
            <w:webHidden/>
          </w:rPr>
          <w:tab/>
        </w:r>
        <w:r w:rsidR="000B0AC7">
          <w:rPr>
            <w:webHidden/>
          </w:rPr>
          <w:fldChar w:fldCharType="begin"/>
        </w:r>
        <w:r w:rsidR="000B0AC7">
          <w:rPr>
            <w:webHidden/>
          </w:rPr>
          <w:instrText xml:space="preserve"> PAGEREF _Toc135323751 \h </w:instrText>
        </w:r>
        <w:r w:rsidR="000B0AC7">
          <w:rPr>
            <w:webHidden/>
          </w:rPr>
        </w:r>
        <w:r w:rsidR="000B0AC7">
          <w:rPr>
            <w:webHidden/>
          </w:rPr>
          <w:fldChar w:fldCharType="separate"/>
        </w:r>
        <w:r w:rsidR="000B0AC7">
          <w:rPr>
            <w:webHidden/>
          </w:rPr>
          <w:t>185</w:t>
        </w:r>
        <w:r w:rsidR="000B0AC7">
          <w:rPr>
            <w:webHidden/>
          </w:rPr>
          <w:fldChar w:fldCharType="end"/>
        </w:r>
      </w:hyperlink>
    </w:p>
    <w:p w14:paraId="15A8476C" w14:textId="07AF9386" w:rsidR="000B0AC7" w:rsidRDefault="00096035">
      <w:pPr>
        <w:pStyle w:val="TOC2"/>
        <w:rPr>
          <w:rFonts w:asciiTheme="minorHAnsi" w:eastAsiaTheme="minorEastAsia" w:hAnsiTheme="minorHAnsi" w:cstheme="minorBidi"/>
          <w:b w:val="0"/>
          <w:color w:val="auto"/>
          <w:kern w:val="2"/>
          <w:sz w:val="22"/>
          <w:lang w:eastAsia="en-AU"/>
          <w14:ligatures w14:val="standardContextual"/>
        </w:rPr>
      </w:pPr>
      <w:hyperlink w:anchor="_Toc135323752" w:history="1">
        <w:r w:rsidR="000B0AC7" w:rsidRPr="007A19AD">
          <w:rPr>
            <w:rStyle w:val="Hyperlink"/>
          </w:rPr>
          <w:t>12</w:t>
        </w:r>
        <w:r w:rsidR="000B0AC7">
          <w:rPr>
            <w:rFonts w:asciiTheme="minorHAnsi" w:eastAsiaTheme="minorEastAsia" w:hAnsiTheme="minorHAnsi" w:cstheme="minorBidi"/>
            <w:b w:val="0"/>
            <w:color w:val="auto"/>
            <w:kern w:val="2"/>
            <w:sz w:val="22"/>
            <w:lang w:eastAsia="en-AU"/>
            <w14:ligatures w14:val="standardContextual"/>
          </w:rPr>
          <w:tab/>
        </w:r>
        <w:r w:rsidR="000B0AC7" w:rsidRPr="007A19AD">
          <w:rPr>
            <w:rStyle w:val="Hyperlink"/>
          </w:rPr>
          <w:t>Indigenous Persistence in Formal Learning</w:t>
        </w:r>
        <w:r w:rsidR="000B0AC7">
          <w:rPr>
            <w:webHidden/>
          </w:rPr>
          <w:tab/>
        </w:r>
        <w:r w:rsidR="000B0AC7">
          <w:rPr>
            <w:webHidden/>
          </w:rPr>
          <w:fldChar w:fldCharType="begin"/>
        </w:r>
        <w:r w:rsidR="000B0AC7">
          <w:rPr>
            <w:webHidden/>
          </w:rPr>
          <w:instrText xml:space="preserve"> PAGEREF _Toc135323752 \h </w:instrText>
        </w:r>
        <w:r w:rsidR="000B0AC7">
          <w:rPr>
            <w:webHidden/>
          </w:rPr>
        </w:r>
        <w:r w:rsidR="000B0AC7">
          <w:rPr>
            <w:webHidden/>
          </w:rPr>
          <w:fldChar w:fldCharType="separate"/>
        </w:r>
        <w:r w:rsidR="000B0AC7">
          <w:rPr>
            <w:webHidden/>
          </w:rPr>
          <w:t>187</w:t>
        </w:r>
        <w:r w:rsidR="000B0AC7">
          <w:rPr>
            <w:webHidden/>
          </w:rPr>
          <w:fldChar w:fldCharType="end"/>
        </w:r>
      </w:hyperlink>
    </w:p>
    <w:p w14:paraId="73C8A996" w14:textId="6E943876" w:rsidR="000B0AC7" w:rsidRDefault="00096035">
      <w:pPr>
        <w:pStyle w:val="TOC3"/>
        <w:tabs>
          <w:tab w:val="left" w:pos="1684"/>
        </w:tabs>
        <w:rPr>
          <w:rFonts w:asciiTheme="minorHAnsi" w:eastAsiaTheme="minorEastAsia" w:hAnsiTheme="minorHAnsi"/>
          <w:color w:val="auto"/>
          <w:kern w:val="2"/>
          <w:position w:val="0"/>
          <w:lang w:eastAsia="en-AU"/>
          <w14:ligatures w14:val="standardContextual"/>
        </w:rPr>
      </w:pPr>
      <w:hyperlink w:anchor="_Toc135323753" w:history="1">
        <w:r w:rsidR="000B0AC7" w:rsidRPr="007A19AD">
          <w:rPr>
            <w:rStyle w:val="Hyperlink"/>
          </w:rPr>
          <w:t>12.1</w:t>
        </w:r>
        <w:r w:rsidR="000B0AC7">
          <w:rPr>
            <w:rFonts w:asciiTheme="minorHAnsi" w:eastAsiaTheme="minorEastAsia" w:hAnsiTheme="minorHAnsi"/>
            <w:color w:val="auto"/>
            <w:kern w:val="2"/>
            <w:position w:val="0"/>
            <w:lang w:eastAsia="en-AU"/>
            <w14:ligatures w14:val="standardContextual"/>
          </w:rPr>
          <w:tab/>
        </w:r>
        <w:r w:rsidR="000B0AC7" w:rsidRPr="007A19AD">
          <w:rPr>
            <w:rStyle w:val="Hyperlink"/>
          </w:rPr>
          <w:t>Key Findings</w:t>
        </w:r>
        <w:r w:rsidR="000B0AC7">
          <w:rPr>
            <w:webHidden/>
          </w:rPr>
          <w:tab/>
        </w:r>
        <w:r w:rsidR="000B0AC7">
          <w:rPr>
            <w:webHidden/>
          </w:rPr>
          <w:fldChar w:fldCharType="begin"/>
        </w:r>
        <w:r w:rsidR="000B0AC7">
          <w:rPr>
            <w:webHidden/>
          </w:rPr>
          <w:instrText xml:space="preserve"> PAGEREF _Toc135323753 \h </w:instrText>
        </w:r>
        <w:r w:rsidR="000B0AC7">
          <w:rPr>
            <w:webHidden/>
          </w:rPr>
        </w:r>
        <w:r w:rsidR="000B0AC7">
          <w:rPr>
            <w:webHidden/>
          </w:rPr>
          <w:fldChar w:fldCharType="separate"/>
        </w:r>
        <w:r w:rsidR="000B0AC7">
          <w:rPr>
            <w:webHidden/>
          </w:rPr>
          <w:t>187</w:t>
        </w:r>
        <w:r w:rsidR="000B0AC7">
          <w:rPr>
            <w:webHidden/>
          </w:rPr>
          <w:fldChar w:fldCharType="end"/>
        </w:r>
      </w:hyperlink>
    </w:p>
    <w:p w14:paraId="741ED7E6" w14:textId="28CD5052" w:rsidR="000B0AC7" w:rsidRDefault="00096035">
      <w:pPr>
        <w:pStyle w:val="TOC3"/>
        <w:tabs>
          <w:tab w:val="left" w:pos="1684"/>
        </w:tabs>
        <w:rPr>
          <w:rFonts w:asciiTheme="minorHAnsi" w:eastAsiaTheme="minorEastAsia" w:hAnsiTheme="minorHAnsi"/>
          <w:color w:val="auto"/>
          <w:kern w:val="2"/>
          <w:position w:val="0"/>
          <w:lang w:eastAsia="en-AU"/>
          <w14:ligatures w14:val="standardContextual"/>
        </w:rPr>
      </w:pPr>
      <w:hyperlink w:anchor="_Toc135323754" w:history="1">
        <w:r w:rsidR="000B0AC7" w:rsidRPr="007A19AD">
          <w:rPr>
            <w:rStyle w:val="Hyperlink"/>
          </w:rPr>
          <w:t>12.2</w:t>
        </w:r>
        <w:r w:rsidR="000B0AC7">
          <w:rPr>
            <w:rFonts w:asciiTheme="minorHAnsi" w:eastAsiaTheme="minorEastAsia" w:hAnsiTheme="minorHAnsi"/>
            <w:color w:val="auto"/>
            <w:kern w:val="2"/>
            <w:position w:val="0"/>
            <w:lang w:eastAsia="en-AU"/>
            <w14:ligatures w14:val="standardContextual"/>
          </w:rPr>
          <w:tab/>
        </w:r>
        <w:r w:rsidR="000B0AC7" w:rsidRPr="007A19AD">
          <w:rPr>
            <w:rStyle w:val="Hyperlink"/>
          </w:rPr>
          <w:t>Case study framework</w:t>
        </w:r>
        <w:r w:rsidR="000B0AC7">
          <w:rPr>
            <w:webHidden/>
          </w:rPr>
          <w:tab/>
        </w:r>
        <w:r w:rsidR="000B0AC7">
          <w:rPr>
            <w:webHidden/>
          </w:rPr>
          <w:fldChar w:fldCharType="begin"/>
        </w:r>
        <w:r w:rsidR="000B0AC7">
          <w:rPr>
            <w:webHidden/>
          </w:rPr>
          <w:instrText xml:space="preserve"> PAGEREF _Toc135323754 \h </w:instrText>
        </w:r>
        <w:r w:rsidR="000B0AC7">
          <w:rPr>
            <w:webHidden/>
          </w:rPr>
        </w:r>
        <w:r w:rsidR="000B0AC7">
          <w:rPr>
            <w:webHidden/>
          </w:rPr>
          <w:fldChar w:fldCharType="separate"/>
        </w:r>
        <w:r w:rsidR="000B0AC7">
          <w:rPr>
            <w:webHidden/>
          </w:rPr>
          <w:t>187</w:t>
        </w:r>
        <w:r w:rsidR="000B0AC7">
          <w:rPr>
            <w:webHidden/>
          </w:rPr>
          <w:fldChar w:fldCharType="end"/>
        </w:r>
      </w:hyperlink>
    </w:p>
    <w:p w14:paraId="5E4D8EDC" w14:textId="70F393E0" w:rsidR="000B0AC7" w:rsidRDefault="00096035">
      <w:pPr>
        <w:pStyle w:val="TOC3"/>
        <w:tabs>
          <w:tab w:val="left" w:pos="1684"/>
        </w:tabs>
        <w:rPr>
          <w:rFonts w:asciiTheme="minorHAnsi" w:eastAsiaTheme="minorEastAsia" w:hAnsiTheme="minorHAnsi"/>
          <w:color w:val="auto"/>
          <w:kern w:val="2"/>
          <w:position w:val="0"/>
          <w:lang w:eastAsia="en-AU"/>
          <w14:ligatures w14:val="standardContextual"/>
        </w:rPr>
      </w:pPr>
      <w:hyperlink w:anchor="_Toc135323755" w:history="1">
        <w:r w:rsidR="000B0AC7" w:rsidRPr="007A19AD">
          <w:rPr>
            <w:rStyle w:val="Hyperlink"/>
          </w:rPr>
          <w:t>12.3</w:t>
        </w:r>
        <w:r w:rsidR="000B0AC7">
          <w:rPr>
            <w:rFonts w:asciiTheme="minorHAnsi" w:eastAsiaTheme="minorEastAsia" w:hAnsiTheme="minorHAnsi"/>
            <w:color w:val="auto"/>
            <w:kern w:val="2"/>
            <w:position w:val="0"/>
            <w:lang w:eastAsia="en-AU"/>
            <w14:ligatures w14:val="standardContextual"/>
          </w:rPr>
          <w:tab/>
        </w:r>
        <w:r w:rsidR="000B0AC7" w:rsidRPr="007A19AD">
          <w:rPr>
            <w:rStyle w:val="Hyperlink"/>
          </w:rPr>
          <w:t>Background</w:t>
        </w:r>
        <w:r w:rsidR="000B0AC7">
          <w:rPr>
            <w:webHidden/>
          </w:rPr>
          <w:tab/>
        </w:r>
        <w:r w:rsidR="000B0AC7">
          <w:rPr>
            <w:webHidden/>
          </w:rPr>
          <w:fldChar w:fldCharType="begin"/>
        </w:r>
        <w:r w:rsidR="000B0AC7">
          <w:rPr>
            <w:webHidden/>
          </w:rPr>
          <w:instrText xml:space="preserve"> PAGEREF _Toc135323755 \h </w:instrText>
        </w:r>
        <w:r w:rsidR="000B0AC7">
          <w:rPr>
            <w:webHidden/>
          </w:rPr>
        </w:r>
        <w:r w:rsidR="000B0AC7">
          <w:rPr>
            <w:webHidden/>
          </w:rPr>
          <w:fldChar w:fldCharType="separate"/>
        </w:r>
        <w:r w:rsidR="000B0AC7">
          <w:rPr>
            <w:webHidden/>
          </w:rPr>
          <w:t>188</w:t>
        </w:r>
        <w:r w:rsidR="000B0AC7">
          <w:rPr>
            <w:webHidden/>
          </w:rPr>
          <w:fldChar w:fldCharType="end"/>
        </w:r>
      </w:hyperlink>
    </w:p>
    <w:p w14:paraId="606E74F2" w14:textId="6CC94CBE" w:rsidR="000B0AC7" w:rsidRDefault="00096035">
      <w:pPr>
        <w:pStyle w:val="TOC3"/>
        <w:tabs>
          <w:tab w:val="left" w:pos="1684"/>
        </w:tabs>
        <w:rPr>
          <w:rFonts w:asciiTheme="minorHAnsi" w:eastAsiaTheme="minorEastAsia" w:hAnsiTheme="minorHAnsi"/>
          <w:color w:val="auto"/>
          <w:kern w:val="2"/>
          <w:position w:val="0"/>
          <w:lang w:eastAsia="en-AU"/>
          <w14:ligatures w14:val="standardContextual"/>
        </w:rPr>
      </w:pPr>
      <w:hyperlink w:anchor="_Toc135323756" w:history="1">
        <w:r w:rsidR="000B0AC7" w:rsidRPr="007A19AD">
          <w:rPr>
            <w:rStyle w:val="Hyperlink"/>
          </w:rPr>
          <w:t>12.4</w:t>
        </w:r>
        <w:r w:rsidR="000B0AC7">
          <w:rPr>
            <w:rFonts w:asciiTheme="minorHAnsi" w:eastAsiaTheme="minorEastAsia" w:hAnsiTheme="minorHAnsi"/>
            <w:color w:val="auto"/>
            <w:kern w:val="2"/>
            <w:position w:val="0"/>
            <w:lang w:eastAsia="en-AU"/>
            <w14:ligatures w14:val="standardContextual"/>
          </w:rPr>
          <w:tab/>
        </w:r>
        <w:r w:rsidR="000B0AC7" w:rsidRPr="007A19AD">
          <w:rPr>
            <w:rStyle w:val="Hyperlink"/>
          </w:rPr>
          <w:t>Inputs</w:t>
        </w:r>
        <w:r w:rsidR="000B0AC7">
          <w:rPr>
            <w:webHidden/>
          </w:rPr>
          <w:tab/>
        </w:r>
        <w:r w:rsidR="000B0AC7">
          <w:rPr>
            <w:webHidden/>
          </w:rPr>
          <w:fldChar w:fldCharType="begin"/>
        </w:r>
        <w:r w:rsidR="000B0AC7">
          <w:rPr>
            <w:webHidden/>
          </w:rPr>
          <w:instrText xml:space="preserve"> PAGEREF _Toc135323756 \h </w:instrText>
        </w:r>
        <w:r w:rsidR="000B0AC7">
          <w:rPr>
            <w:webHidden/>
          </w:rPr>
        </w:r>
        <w:r w:rsidR="000B0AC7">
          <w:rPr>
            <w:webHidden/>
          </w:rPr>
          <w:fldChar w:fldCharType="separate"/>
        </w:r>
        <w:r w:rsidR="000B0AC7">
          <w:rPr>
            <w:webHidden/>
          </w:rPr>
          <w:t>194</w:t>
        </w:r>
        <w:r w:rsidR="000B0AC7">
          <w:rPr>
            <w:webHidden/>
          </w:rPr>
          <w:fldChar w:fldCharType="end"/>
        </w:r>
      </w:hyperlink>
    </w:p>
    <w:p w14:paraId="08895EC1" w14:textId="246F5B52" w:rsidR="000B0AC7" w:rsidRDefault="00096035">
      <w:pPr>
        <w:pStyle w:val="TOC3"/>
        <w:tabs>
          <w:tab w:val="left" w:pos="1684"/>
        </w:tabs>
        <w:rPr>
          <w:rFonts w:asciiTheme="minorHAnsi" w:eastAsiaTheme="minorEastAsia" w:hAnsiTheme="minorHAnsi"/>
          <w:color w:val="auto"/>
          <w:kern w:val="2"/>
          <w:position w:val="0"/>
          <w:lang w:eastAsia="en-AU"/>
          <w14:ligatures w14:val="standardContextual"/>
        </w:rPr>
      </w:pPr>
      <w:hyperlink w:anchor="_Toc135323757" w:history="1">
        <w:r w:rsidR="000B0AC7" w:rsidRPr="007A19AD">
          <w:rPr>
            <w:rStyle w:val="Hyperlink"/>
          </w:rPr>
          <w:t>12.5</w:t>
        </w:r>
        <w:r w:rsidR="000B0AC7">
          <w:rPr>
            <w:rFonts w:asciiTheme="minorHAnsi" w:eastAsiaTheme="minorEastAsia" w:hAnsiTheme="minorHAnsi"/>
            <w:color w:val="auto"/>
            <w:kern w:val="2"/>
            <w:position w:val="0"/>
            <w:lang w:eastAsia="en-AU"/>
            <w14:ligatures w14:val="standardContextual"/>
          </w:rPr>
          <w:tab/>
        </w:r>
        <w:r w:rsidR="000B0AC7" w:rsidRPr="007A19AD">
          <w:rPr>
            <w:rStyle w:val="Hyperlink"/>
          </w:rPr>
          <w:t>Activities</w:t>
        </w:r>
        <w:r w:rsidR="000B0AC7">
          <w:rPr>
            <w:webHidden/>
          </w:rPr>
          <w:tab/>
        </w:r>
        <w:r w:rsidR="000B0AC7">
          <w:rPr>
            <w:webHidden/>
          </w:rPr>
          <w:fldChar w:fldCharType="begin"/>
        </w:r>
        <w:r w:rsidR="000B0AC7">
          <w:rPr>
            <w:webHidden/>
          </w:rPr>
          <w:instrText xml:space="preserve"> PAGEREF _Toc135323757 \h </w:instrText>
        </w:r>
        <w:r w:rsidR="000B0AC7">
          <w:rPr>
            <w:webHidden/>
          </w:rPr>
        </w:r>
        <w:r w:rsidR="000B0AC7">
          <w:rPr>
            <w:webHidden/>
          </w:rPr>
          <w:fldChar w:fldCharType="separate"/>
        </w:r>
        <w:r w:rsidR="000B0AC7">
          <w:rPr>
            <w:webHidden/>
          </w:rPr>
          <w:t>196</w:t>
        </w:r>
        <w:r w:rsidR="000B0AC7">
          <w:rPr>
            <w:webHidden/>
          </w:rPr>
          <w:fldChar w:fldCharType="end"/>
        </w:r>
      </w:hyperlink>
    </w:p>
    <w:p w14:paraId="1904C8BD" w14:textId="468308A8" w:rsidR="000B0AC7" w:rsidRDefault="00096035">
      <w:pPr>
        <w:pStyle w:val="TOC3"/>
        <w:tabs>
          <w:tab w:val="left" w:pos="1684"/>
        </w:tabs>
        <w:rPr>
          <w:rFonts w:asciiTheme="minorHAnsi" w:eastAsiaTheme="minorEastAsia" w:hAnsiTheme="minorHAnsi"/>
          <w:color w:val="auto"/>
          <w:kern w:val="2"/>
          <w:position w:val="0"/>
          <w:lang w:eastAsia="en-AU"/>
          <w14:ligatures w14:val="standardContextual"/>
        </w:rPr>
      </w:pPr>
      <w:hyperlink w:anchor="_Toc135323758" w:history="1">
        <w:r w:rsidR="000B0AC7" w:rsidRPr="007A19AD">
          <w:rPr>
            <w:rStyle w:val="Hyperlink"/>
          </w:rPr>
          <w:t>12.6</w:t>
        </w:r>
        <w:r w:rsidR="000B0AC7">
          <w:rPr>
            <w:rFonts w:asciiTheme="minorHAnsi" w:eastAsiaTheme="minorEastAsia" w:hAnsiTheme="minorHAnsi"/>
            <w:color w:val="auto"/>
            <w:kern w:val="2"/>
            <w:position w:val="0"/>
            <w:lang w:eastAsia="en-AU"/>
            <w14:ligatures w14:val="standardContextual"/>
          </w:rPr>
          <w:tab/>
        </w:r>
        <w:r w:rsidR="000B0AC7" w:rsidRPr="007A19AD">
          <w:rPr>
            <w:rStyle w:val="Hyperlink"/>
          </w:rPr>
          <w:t>Outputs</w:t>
        </w:r>
        <w:r w:rsidR="000B0AC7">
          <w:rPr>
            <w:webHidden/>
          </w:rPr>
          <w:tab/>
        </w:r>
        <w:r w:rsidR="000B0AC7">
          <w:rPr>
            <w:webHidden/>
          </w:rPr>
          <w:fldChar w:fldCharType="begin"/>
        </w:r>
        <w:r w:rsidR="000B0AC7">
          <w:rPr>
            <w:webHidden/>
          </w:rPr>
          <w:instrText xml:space="preserve"> PAGEREF _Toc135323758 \h </w:instrText>
        </w:r>
        <w:r w:rsidR="000B0AC7">
          <w:rPr>
            <w:webHidden/>
          </w:rPr>
        </w:r>
        <w:r w:rsidR="000B0AC7">
          <w:rPr>
            <w:webHidden/>
          </w:rPr>
          <w:fldChar w:fldCharType="separate"/>
        </w:r>
        <w:r w:rsidR="000B0AC7">
          <w:rPr>
            <w:webHidden/>
          </w:rPr>
          <w:t>198</w:t>
        </w:r>
        <w:r w:rsidR="000B0AC7">
          <w:rPr>
            <w:webHidden/>
          </w:rPr>
          <w:fldChar w:fldCharType="end"/>
        </w:r>
      </w:hyperlink>
    </w:p>
    <w:p w14:paraId="6795BE18" w14:textId="5AB2DFDE" w:rsidR="000B0AC7" w:rsidRDefault="00096035">
      <w:pPr>
        <w:pStyle w:val="TOC3"/>
        <w:tabs>
          <w:tab w:val="left" w:pos="1684"/>
        </w:tabs>
        <w:rPr>
          <w:rFonts w:asciiTheme="minorHAnsi" w:eastAsiaTheme="minorEastAsia" w:hAnsiTheme="minorHAnsi"/>
          <w:color w:val="auto"/>
          <w:kern w:val="2"/>
          <w:position w:val="0"/>
          <w:lang w:eastAsia="en-AU"/>
          <w14:ligatures w14:val="standardContextual"/>
        </w:rPr>
      </w:pPr>
      <w:hyperlink w:anchor="_Toc135323759" w:history="1">
        <w:r w:rsidR="000B0AC7" w:rsidRPr="007A19AD">
          <w:rPr>
            <w:rStyle w:val="Hyperlink"/>
          </w:rPr>
          <w:t>12.7</w:t>
        </w:r>
        <w:r w:rsidR="000B0AC7">
          <w:rPr>
            <w:rFonts w:asciiTheme="minorHAnsi" w:eastAsiaTheme="minorEastAsia" w:hAnsiTheme="minorHAnsi"/>
            <w:color w:val="auto"/>
            <w:kern w:val="2"/>
            <w:position w:val="0"/>
            <w:lang w:eastAsia="en-AU"/>
            <w14:ligatures w14:val="standardContextual"/>
          </w:rPr>
          <w:tab/>
        </w:r>
        <w:r w:rsidR="000B0AC7" w:rsidRPr="007A19AD">
          <w:rPr>
            <w:rStyle w:val="Hyperlink"/>
          </w:rPr>
          <w:t>Outcomes</w:t>
        </w:r>
        <w:r w:rsidR="000B0AC7">
          <w:rPr>
            <w:webHidden/>
          </w:rPr>
          <w:tab/>
        </w:r>
        <w:r w:rsidR="000B0AC7">
          <w:rPr>
            <w:webHidden/>
          </w:rPr>
          <w:fldChar w:fldCharType="begin"/>
        </w:r>
        <w:r w:rsidR="000B0AC7">
          <w:rPr>
            <w:webHidden/>
          </w:rPr>
          <w:instrText xml:space="preserve"> PAGEREF _Toc135323759 \h </w:instrText>
        </w:r>
        <w:r w:rsidR="000B0AC7">
          <w:rPr>
            <w:webHidden/>
          </w:rPr>
        </w:r>
        <w:r w:rsidR="000B0AC7">
          <w:rPr>
            <w:webHidden/>
          </w:rPr>
          <w:fldChar w:fldCharType="separate"/>
        </w:r>
        <w:r w:rsidR="000B0AC7">
          <w:rPr>
            <w:webHidden/>
          </w:rPr>
          <w:t>201</w:t>
        </w:r>
        <w:r w:rsidR="000B0AC7">
          <w:rPr>
            <w:webHidden/>
          </w:rPr>
          <w:fldChar w:fldCharType="end"/>
        </w:r>
      </w:hyperlink>
    </w:p>
    <w:p w14:paraId="76AA8AD6" w14:textId="0C787A86" w:rsidR="000B0AC7" w:rsidRDefault="00096035">
      <w:pPr>
        <w:pStyle w:val="TOC3"/>
        <w:tabs>
          <w:tab w:val="left" w:pos="1684"/>
        </w:tabs>
        <w:rPr>
          <w:rFonts w:asciiTheme="minorHAnsi" w:eastAsiaTheme="minorEastAsia" w:hAnsiTheme="minorHAnsi"/>
          <w:color w:val="auto"/>
          <w:kern w:val="2"/>
          <w:position w:val="0"/>
          <w:lang w:eastAsia="en-AU"/>
          <w14:ligatures w14:val="standardContextual"/>
        </w:rPr>
      </w:pPr>
      <w:hyperlink w:anchor="_Toc135323760" w:history="1">
        <w:r w:rsidR="000B0AC7" w:rsidRPr="007A19AD">
          <w:rPr>
            <w:rStyle w:val="Hyperlink"/>
          </w:rPr>
          <w:t>12.8</w:t>
        </w:r>
        <w:r w:rsidR="000B0AC7">
          <w:rPr>
            <w:rFonts w:asciiTheme="minorHAnsi" w:eastAsiaTheme="minorEastAsia" w:hAnsiTheme="minorHAnsi"/>
            <w:color w:val="auto"/>
            <w:kern w:val="2"/>
            <w:position w:val="0"/>
            <w:lang w:eastAsia="en-AU"/>
            <w14:ligatures w14:val="standardContextual"/>
          </w:rPr>
          <w:tab/>
        </w:r>
        <w:r w:rsidR="000B0AC7" w:rsidRPr="007A19AD">
          <w:rPr>
            <w:rStyle w:val="Hyperlink"/>
          </w:rPr>
          <w:t>Impacts</w:t>
        </w:r>
        <w:r w:rsidR="000B0AC7">
          <w:rPr>
            <w:webHidden/>
          </w:rPr>
          <w:tab/>
        </w:r>
        <w:r w:rsidR="000B0AC7">
          <w:rPr>
            <w:webHidden/>
          </w:rPr>
          <w:fldChar w:fldCharType="begin"/>
        </w:r>
        <w:r w:rsidR="000B0AC7">
          <w:rPr>
            <w:webHidden/>
          </w:rPr>
          <w:instrText xml:space="preserve"> PAGEREF _Toc135323760 \h </w:instrText>
        </w:r>
        <w:r w:rsidR="000B0AC7">
          <w:rPr>
            <w:webHidden/>
          </w:rPr>
        </w:r>
        <w:r w:rsidR="000B0AC7">
          <w:rPr>
            <w:webHidden/>
          </w:rPr>
          <w:fldChar w:fldCharType="separate"/>
        </w:r>
        <w:r w:rsidR="000B0AC7">
          <w:rPr>
            <w:webHidden/>
          </w:rPr>
          <w:t>203</w:t>
        </w:r>
        <w:r w:rsidR="000B0AC7">
          <w:rPr>
            <w:webHidden/>
          </w:rPr>
          <w:fldChar w:fldCharType="end"/>
        </w:r>
      </w:hyperlink>
    </w:p>
    <w:p w14:paraId="079D3812" w14:textId="01A420A7" w:rsidR="000B0AC7" w:rsidRDefault="00096035">
      <w:pPr>
        <w:pStyle w:val="TOC3"/>
        <w:tabs>
          <w:tab w:val="left" w:pos="1684"/>
        </w:tabs>
        <w:rPr>
          <w:rFonts w:asciiTheme="minorHAnsi" w:eastAsiaTheme="minorEastAsia" w:hAnsiTheme="minorHAnsi"/>
          <w:color w:val="auto"/>
          <w:kern w:val="2"/>
          <w:position w:val="0"/>
          <w:lang w:eastAsia="en-AU"/>
          <w14:ligatures w14:val="standardContextual"/>
        </w:rPr>
      </w:pPr>
      <w:hyperlink w:anchor="_Toc135323761" w:history="1">
        <w:r w:rsidR="000B0AC7" w:rsidRPr="007A19AD">
          <w:rPr>
            <w:rStyle w:val="Hyperlink"/>
          </w:rPr>
          <w:t>12.9</w:t>
        </w:r>
        <w:r w:rsidR="000B0AC7">
          <w:rPr>
            <w:rFonts w:asciiTheme="minorHAnsi" w:eastAsiaTheme="minorEastAsia" w:hAnsiTheme="minorHAnsi"/>
            <w:color w:val="auto"/>
            <w:kern w:val="2"/>
            <w:position w:val="0"/>
            <w:lang w:eastAsia="en-AU"/>
            <w14:ligatures w14:val="standardContextual"/>
          </w:rPr>
          <w:tab/>
        </w:r>
        <w:r w:rsidR="000B0AC7" w:rsidRPr="007A19AD">
          <w:rPr>
            <w:rStyle w:val="Hyperlink"/>
          </w:rPr>
          <w:t>Potential future impacts</w:t>
        </w:r>
        <w:r w:rsidR="000B0AC7">
          <w:rPr>
            <w:webHidden/>
          </w:rPr>
          <w:tab/>
        </w:r>
        <w:r w:rsidR="000B0AC7">
          <w:rPr>
            <w:webHidden/>
          </w:rPr>
          <w:fldChar w:fldCharType="begin"/>
        </w:r>
        <w:r w:rsidR="000B0AC7">
          <w:rPr>
            <w:webHidden/>
          </w:rPr>
          <w:instrText xml:space="preserve"> PAGEREF _Toc135323761 \h </w:instrText>
        </w:r>
        <w:r w:rsidR="000B0AC7">
          <w:rPr>
            <w:webHidden/>
          </w:rPr>
        </w:r>
        <w:r w:rsidR="000B0AC7">
          <w:rPr>
            <w:webHidden/>
          </w:rPr>
          <w:fldChar w:fldCharType="separate"/>
        </w:r>
        <w:r w:rsidR="000B0AC7">
          <w:rPr>
            <w:webHidden/>
          </w:rPr>
          <w:t>210</w:t>
        </w:r>
        <w:r w:rsidR="000B0AC7">
          <w:rPr>
            <w:webHidden/>
          </w:rPr>
          <w:fldChar w:fldCharType="end"/>
        </w:r>
      </w:hyperlink>
    </w:p>
    <w:p w14:paraId="357CB5A0" w14:textId="3AAAAF42" w:rsidR="000B0AC7" w:rsidRDefault="00096035">
      <w:pPr>
        <w:pStyle w:val="TOC2"/>
        <w:rPr>
          <w:rFonts w:asciiTheme="minorHAnsi" w:eastAsiaTheme="minorEastAsia" w:hAnsiTheme="minorHAnsi" w:cstheme="minorBidi"/>
          <w:b w:val="0"/>
          <w:color w:val="auto"/>
          <w:kern w:val="2"/>
          <w:sz w:val="22"/>
          <w:lang w:eastAsia="en-AU"/>
          <w14:ligatures w14:val="standardContextual"/>
        </w:rPr>
      </w:pPr>
      <w:hyperlink w:anchor="_Toc135323762" w:history="1">
        <w:r w:rsidR="000B0AC7" w:rsidRPr="007A19AD">
          <w:rPr>
            <w:rStyle w:val="Hyperlink"/>
          </w:rPr>
          <w:t>13</w:t>
        </w:r>
        <w:r w:rsidR="000B0AC7">
          <w:rPr>
            <w:rFonts w:asciiTheme="minorHAnsi" w:eastAsiaTheme="minorEastAsia" w:hAnsiTheme="minorHAnsi" w:cstheme="minorBidi"/>
            <w:b w:val="0"/>
            <w:color w:val="auto"/>
            <w:kern w:val="2"/>
            <w:sz w:val="22"/>
            <w:lang w:eastAsia="en-AU"/>
            <w14:ligatures w14:val="standardContextual"/>
          </w:rPr>
          <w:tab/>
        </w:r>
        <w:r w:rsidR="000B0AC7" w:rsidRPr="007A19AD">
          <w:rPr>
            <w:rStyle w:val="Hyperlink"/>
          </w:rPr>
          <w:t>RRR: Indigenous Remains Repatriation</w:t>
        </w:r>
        <w:r w:rsidR="000B0AC7">
          <w:rPr>
            <w:webHidden/>
          </w:rPr>
          <w:tab/>
        </w:r>
        <w:r w:rsidR="000B0AC7">
          <w:rPr>
            <w:webHidden/>
          </w:rPr>
          <w:fldChar w:fldCharType="begin"/>
        </w:r>
        <w:r w:rsidR="000B0AC7">
          <w:rPr>
            <w:webHidden/>
          </w:rPr>
          <w:instrText xml:space="preserve"> PAGEREF _Toc135323762 \h </w:instrText>
        </w:r>
        <w:r w:rsidR="000B0AC7">
          <w:rPr>
            <w:webHidden/>
          </w:rPr>
        </w:r>
        <w:r w:rsidR="000B0AC7">
          <w:rPr>
            <w:webHidden/>
          </w:rPr>
          <w:fldChar w:fldCharType="separate"/>
        </w:r>
        <w:r w:rsidR="000B0AC7">
          <w:rPr>
            <w:webHidden/>
          </w:rPr>
          <w:t>211</w:t>
        </w:r>
        <w:r w:rsidR="000B0AC7">
          <w:rPr>
            <w:webHidden/>
          </w:rPr>
          <w:fldChar w:fldCharType="end"/>
        </w:r>
      </w:hyperlink>
    </w:p>
    <w:p w14:paraId="0C507F9D" w14:textId="77DE0BB9" w:rsidR="000B0AC7" w:rsidRDefault="00096035">
      <w:pPr>
        <w:pStyle w:val="TOC3"/>
        <w:tabs>
          <w:tab w:val="left" w:pos="1684"/>
        </w:tabs>
        <w:rPr>
          <w:rFonts w:asciiTheme="minorHAnsi" w:eastAsiaTheme="minorEastAsia" w:hAnsiTheme="minorHAnsi"/>
          <w:color w:val="auto"/>
          <w:kern w:val="2"/>
          <w:position w:val="0"/>
          <w:lang w:eastAsia="en-AU"/>
          <w14:ligatures w14:val="standardContextual"/>
        </w:rPr>
      </w:pPr>
      <w:hyperlink w:anchor="_Toc135323763" w:history="1">
        <w:r w:rsidR="000B0AC7" w:rsidRPr="007A19AD">
          <w:rPr>
            <w:rStyle w:val="Hyperlink"/>
          </w:rPr>
          <w:t>13.1</w:t>
        </w:r>
        <w:r w:rsidR="000B0AC7">
          <w:rPr>
            <w:rFonts w:asciiTheme="minorHAnsi" w:eastAsiaTheme="minorEastAsia" w:hAnsiTheme="minorHAnsi"/>
            <w:color w:val="auto"/>
            <w:kern w:val="2"/>
            <w:position w:val="0"/>
            <w:lang w:eastAsia="en-AU"/>
            <w14:ligatures w14:val="standardContextual"/>
          </w:rPr>
          <w:tab/>
        </w:r>
        <w:r w:rsidR="000B0AC7" w:rsidRPr="007A19AD">
          <w:rPr>
            <w:rStyle w:val="Hyperlink"/>
          </w:rPr>
          <w:t>Key Findings</w:t>
        </w:r>
        <w:r w:rsidR="000B0AC7">
          <w:rPr>
            <w:webHidden/>
          </w:rPr>
          <w:tab/>
        </w:r>
        <w:r w:rsidR="000B0AC7">
          <w:rPr>
            <w:webHidden/>
          </w:rPr>
          <w:fldChar w:fldCharType="begin"/>
        </w:r>
        <w:r w:rsidR="000B0AC7">
          <w:rPr>
            <w:webHidden/>
          </w:rPr>
          <w:instrText xml:space="preserve"> PAGEREF _Toc135323763 \h </w:instrText>
        </w:r>
        <w:r w:rsidR="000B0AC7">
          <w:rPr>
            <w:webHidden/>
          </w:rPr>
        </w:r>
        <w:r w:rsidR="000B0AC7">
          <w:rPr>
            <w:webHidden/>
          </w:rPr>
          <w:fldChar w:fldCharType="separate"/>
        </w:r>
        <w:r w:rsidR="000B0AC7">
          <w:rPr>
            <w:webHidden/>
          </w:rPr>
          <w:t>212</w:t>
        </w:r>
        <w:r w:rsidR="000B0AC7">
          <w:rPr>
            <w:webHidden/>
          </w:rPr>
          <w:fldChar w:fldCharType="end"/>
        </w:r>
      </w:hyperlink>
    </w:p>
    <w:p w14:paraId="073C5E44" w14:textId="6FA87FBC" w:rsidR="000B0AC7" w:rsidRDefault="00096035">
      <w:pPr>
        <w:pStyle w:val="TOC3"/>
        <w:tabs>
          <w:tab w:val="left" w:pos="1684"/>
        </w:tabs>
        <w:rPr>
          <w:rFonts w:asciiTheme="minorHAnsi" w:eastAsiaTheme="minorEastAsia" w:hAnsiTheme="minorHAnsi"/>
          <w:color w:val="auto"/>
          <w:kern w:val="2"/>
          <w:position w:val="0"/>
          <w:lang w:eastAsia="en-AU"/>
          <w14:ligatures w14:val="standardContextual"/>
        </w:rPr>
      </w:pPr>
      <w:hyperlink w:anchor="_Toc135323764" w:history="1">
        <w:r w:rsidR="000B0AC7" w:rsidRPr="007A19AD">
          <w:rPr>
            <w:rStyle w:val="Hyperlink"/>
          </w:rPr>
          <w:t>13.2</w:t>
        </w:r>
        <w:r w:rsidR="000B0AC7">
          <w:rPr>
            <w:rFonts w:asciiTheme="minorHAnsi" w:eastAsiaTheme="minorEastAsia" w:hAnsiTheme="minorHAnsi"/>
            <w:color w:val="auto"/>
            <w:kern w:val="2"/>
            <w:position w:val="0"/>
            <w:lang w:eastAsia="en-AU"/>
            <w14:ligatures w14:val="standardContextual"/>
          </w:rPr>
          <w:tab/>
        </w:r>
        <w:r w:rsidR="000B0AC7" w:rsidRPr="007A19AD">
          <w:rPr>
            <w:rStyle w:val="Hyperlink"/>
          </w:rPr>
          <w:t>Case study framework</w:t>
        </w:r>
        <w:r w:rsidR="000B0AC7">
          <w:rPr>
            <w:webHidden/>
          </w:rPr>
          <w:tab/>
        </w:r>
        <w:r w:rsidR="000B0AC7">
          <w:rPr>
            <w:webHidden/>
          </w:rPr>
          <w:fldChar w:fldCharType="begin"/>
        </w:r>
        <w:r w:rsidR="000B0AC7">
          <w:rPr>
            <w:webHidden/>
          </w:rPr>
          <w:instrText xml:space="preserve"> PAGEREF _Toc135323764 \h </w:instrText>
        </w:r>
        <w:r w:rsidR="000B0AC7">
          <w:rPr>
            <w:webHidden/>
          </w:rPr>
        </w:r>
        <w:r w:rsidR="000B0AC7">
          <w:rPr>
            <w:webHidden/>
          </w:rPr>
          <w:fldChar w:fldCharType="separate"/>
        </w:r>
        <w:r w:rsidR="000B0AC7">
          <w:rPr>
            <w:webHidden/>
          </w:rPr>
          <w:t>212</w:t>
        </w:r>
        <w:r w:rsidR="000B0AC7">
          <w:rPr>
            <w:webHidden/>
          </w:rPr>
          <w:fldChar w:fldCharType="end"/>
        </w:r>
      </w:hyperlink>
    </w:p>
    <w:p w14:paraId="31F8FAF8" w14:textId="2F2FA508" w:rsidR="000B0AC7" w:rsidRDefault="00096035">
      <w:pPr>
        <w:pStyle w:val="TOC3"/>
        <w:tabs>
          <w:tab w:val="left" w:pos="1684"/>
        </w:tabs>
        <w:rPr>
          <w:rFonts w:asciiTheme="minorHAnsi" w:eastAsiaTheme="minorEastAsia" w:hAnsiTheme="minorHAnsi"/>
          <w:color w:val="auto"/>
          <w:kern w:val="2"/>
          <w:position w:val="0"/>
          <w:lang w:eastAsia="en-AU"/>
          <w14:ligatures w14:val="standardContextual"/>
        </w:rPr>
      </w:pPr>
      <w:hyperlink w:anchor="_Toc135323765" w:history="1">
        <w:r w:rsidR="000B0AC7" w:rsidRPr="007A19AD">
          <w:rPr>
            <w:rStyle w:val="Hyperlink"/>
          </w:rPr>
          <w:t>13.3</w:t>
        </w:r>
        <w:r w:rsidR="000B0AC7">
          <w:rPr>
            <w:rFonts w:asciiTheme="minorHAnsi" w:eastAsiaTheme="minorEastAsia" w:hAnsiTheme="minorHAnsi"/>
            <w:color w:val="auto"/>
            <w:kern w:val="2"/>
            <w:position w:val="0"/>
            <w:lang w:eastAsia="en-AU"/>
            <w14:ligatures w14:val="standardContextual"/>
          </w:rPr>
          <w:tab/>
        </w:r>
        <w:r w:rsidR="000B0AC7" w:rsidRPr="007A19AD">
          <w:rPr>
            <w:rStyle w:val="Hyperlink"/>
          </w:rPr>
          <w:t>Background</w:t>
        </w:r>
        <w:r w:rsidR="000B0AC7">
          <w:rPr>
            <w:webHidden/>
          </w:rPr>
          <w:tab/>
        </w:r>
        <w:r w:rsidR="000B0AC7">
          <w:rPr>
            <w:webHidden/>
          </w:rPr>
          <w:fldChar w:fldCharType="begin"/>
        </w:r>
        <w:r w:rsidR="000B0AC7">
          <w:rPr>
            <w:webHidden/>
          </w:rPr>
          <w:instrText xml:space="preserve"> PAGEREF _Toc135323765 \h </w:instrText>
        </w:r>
        <w:r w:rsidR="000B0AC7">
          <w:rPr>
            <w:webHidden/>
          </w:rPr>
        </w:r>
        <w:r w:rsidR="000B0AC7">
          <w:rPr>
            <w:webHidden/>
          </w:rPr>
          <w:fldChar w:fldCharType="separate"/>
        </w:r>
        <w:r w:rsidR="000B0AC7">
          <w:rPr>
            <w:webHidden/>
          </w:rPr>
          <w:t>213</w:t>
        </w:r>
        <w:r w:rsidR="000B0AC7">
          <w:rPr>
            <w:webHidden/>
          </w:rPr>
          <w:fldChar w:fldCharType="end"/>
        </w:r>
      </w:hyperlink>
    </w:p>
    <w:p w14:paraId="37C0D2A3" w14:textId="78CAA5B2" w:rsidR="000B0AC7" w:rsidRDefault="00096035">
      <w:pPr>
        <w:pStyle w:val="TOC3"/>
        <w:tabs>
          <w:tab w:val="left" w:pos="1684"/>
        </w:tabs>
        <w:rPr>
          <w:rFonts w:asciiTheme="minorHAnsi" w:eastAsiaTheme="minorEastAsia" w:hAnsiTheme="minorHAnsi"/>
          <w:color w:val="auto"/>
          <w:kern w:val="2"/>
          <w:position w:val="0"/>
          <w:lang w:eastAsia="en-AU"/>
          <w14:ligatures w14:val="standardContextual"/>
        </w:rPr>
      </w:pPr>
      <w:hyperlink w:anchor="_Toc135323766" w:history="1">
        <w:r w:rsidR="000B0AC7" w:rsidRPr="007A19AD">
          <w:rPr>
            <w:rStyle w:val="Hyperlink"/>
          </w:rPr>
          <w:t>13.4</w:t>
        </w:r>
        <w:r w:rsidR="000B0AC7">
          <w:rPr>
            <w:rFonts w:asciiTheme="minorHAnsi" w:eastAsiaTheme="minorEastAsia" w:hAnsiTheme="minorHAnsi"/>
            <w:color w:val="auto"/>
            <w:kern w:val="2"/>
            <w:position w:val="0"/>
            <w:lang w:eastAsia="en-AU"/>
            <w14:ligatures w14:val="standardContextual"/>
          </w:rPr>
          <w:tab/>
        </w:r>
        <w:r w:rsidR="000B0AC7" w:rsidRPr="007A19AD">
          <w:rPr>
            <w:rStyle w:val="Hyperlink"/>
          </w:rPr>
          <w:t>Inputs</w:t>
        </w:r>
        <w:r w:rsidR="000B0AC7">
          <w:rPr>
            <w:webHidden/>
          </w:rPr>
          <w:tab/>
        </w:r>
        <w:r w:rsidR="000B0AC7">
          <w:rPr>
            <w:webHidden/>
          </w:rPr>
          <w:fldChar w:fldCharType="begin"/>
        </w:r>
        <w:r w:rsidR="000B0AC7">
          <w:rPr>
            <w:webHidden/>
          </w:rPr>
          <w:instrText xml:space="preserve"> PAGEREF _Toc135323766 \h </w:instrText>
        </w:r>
        <w:r w:rsidR="000B0AC7">
          <w:rPr>
            <w:webHidden/>
          </w:rPr>
        </w:r>
        <w:r w:rsidR="000B0AC7">
          <w:rPr>
            <w:webHidden/>
          </w:rPr>
          <w:fldChar w:fldCharType="separate"/>
        </w:r>
        <w:r w:rsidR="000B0AC7">
          <w:rPr>
            <w:webHidden/>
          </w:rPr>
          <w:t>216</w:t>
        </w:r>
        <w:r w:rsidR="000B0AC7">
          <w:rPr>
            <w:webHidden/>
          </w:rPr>
          <w:fldChar w:fldCharType="end"/>
        </w:r>
      </w:hyperlink>
    </w:p>
    <w:p w14:paraId="7B5D892F" w14:textId="11ACAF82" w:rsidR="000B0AC7" w:rsidRDefault="00096035">
      <w:pPr>
        <w:pStyle w:val="TOC3"/>
        <w:tabs>
          <w:tab w:val="left" w:pos="1684"/>
        </w:tabs>
        <w:rPr>
          <w:rFonts w:asciiTheme="minorHAnsi" w:eastAsiaTheme="minorEastAsia" w:hAnsiTheme="minorHAnsi"/>
          <w:color w:val="auto"/>
          <w:kern w:val="2"/>
          <w:position w:val="0"/>
          <w:lang w:eastAsia="en-AU"/>
          <w14:ligatures w14:val="standardContextual"/>
        </w:rPr>
      </w:pPr>
      <w:hyperlink w:anchor="_Toc135323767" w:history="1">
        <w:r w:rsidR="000B0AC7" w:rsidRPr="007A19AD">
          <w:rPr>
            <w:rStyle w:val="Hyperlink"/>
          </w:rPr>
          <w:t>13.5</w:t>
        </w:r>
        <w:r w:rsidR="000B0AC7">
          <w:rPr>
            <w:rFonts w:asciiTheme="minorHAnsi" w:eastAsiaTheme="minorEastAsia" w:hAnsiTheme="minorHAnsi"/>
            <w:color w:val="auto"/>
            <w:kern w:val="2"/>
            <w:position w:val="0"/>
            <w:lang w:eastAsia="en-AU"/>
            <w14:ligatures w14:val="standardContextual"/>
          </w:rPr>
          <w:tab/>
        </w:r>
        <w:r w:rsidR="000B0AC7" w:rsidRPr="007A19AD">
          <w:rPr>
            <w:rStyle w:val="Hyperlink"/>
          </w:rPr>
          <w:t>Activities</w:t>
        </w:r>
        <w:r w:rsidR="000B0AC7">
          <w:rPr>
            <w:webHidden/>
          </w:rPr>
          <w:tab/>
        </w:r>
        <w:r w:rsidR="000B0AC7">
          <w:rPr>
            <w:webHidden/>
          </w:rPr>
          <w:fldChar w:fldCharType="begin"/>
        </w:r>
        <w:r w:rsidR="000B0AC7">
          <w:rPr>
            <w:webHidden/>
          </w:rPr>
          <w:instrText xml:space="preserve"> PAGEREF _Toc135323767 \h </w:instrText>
        </w:r>
        <w:r w:rsidR="000B0AC7">
          <w:rPr>
            <w:webHidden/>
          </w:rPr>
        </w:r>
        <w:r w:rsidR="000B0AC7">
          <w:rPr>
            <w:webHidden/>
          </w:rPr>
          <w:fldChar w:fldCharType="separate"/>
        </w:r>
        <w:r w:rsidR="000B0AC7">
          <w:rPr>
            <w:webHidden/>
          </w:rPr>
          <w:t>218</w:t>
        </w:r>
        <w:r w:rsidR="000B0AC7">
          <w:rPr>
            <w:webHidden/>
          </w:rPr>
          <w:fldChar w:fldCharType="end"/>
        </w:r>
      </w:hyperlink>
    </w:p>
    <w:p w14:paraId="4E64C556" w14:textId="3904A0CC" w:rsidR="000B0AC7" w:rsidRDefault="00096035">
      <w:pPr>
        <w:pStyle w:val="TOC3"/>
        <w:tabs>
          <w:tab w:val="left" w:pos="1684"/>
        </w:tabs>
        <w:rPr>
          <w:rFonts w:asciiTheme="minorHAnsi" w:eastAsiaTheme="minorEastAsia" w:hAnsiTheme="minorHAnsi"/>
          <w:color w:val="auto"/>
          <w:kern w:val="2"/>
          <w:position w:val="0"/>
          <w:lang w:eastAsia="en-AU"/>
          <w14:ligatures w14:val="standardContextual"/>
        </w:rPr>
      </w:pPr>
      <w:hyperlink w:anchor="_Toc135323768" w:history="1">
        <w:r w:rsidR="000B0AC7" w:rsidRPr="007A19AD">
          <w:rPr>
            <w:rStyle w:val="Hyperlink"/>
          </w:rPr>
          <w:t>13.6</w:t>
        </w:r>
        <w:r w:rsidR="000B0AC7">
          <w:rPr>
            <w:rFonts w:asciiTheme="minorHAnsi" w:eastAsiaTheme="minorEastAsia" w:hAnsiTheme="minorHAnsi"/>
            <w:color w:val="auto"/>
            <w:kern w:val="2"/>
            <w:position w:val="0"/>
            <w:lang w:eastAsia="en-AU"/>
            <w14:ligatures w14:val="standardContextual"/>
          </w:rPr>
          <w:tab/>
        </w:r>
        <w:r w:rsidR="000B0AC7" w:rsidRPr="007A19AD">
          <w:rPr>
            <w:rStyle w:val="Hyperlink"/>
          </w:rPr>
          <w:t>Outputs</w:t>
        </w:r>
        <w:r w:rsidR="000B0AC7">
          <w:rPr>
            <w:webHidden/>
          </w:rPr>
          <w:tab/>
        </w:r>
        <w:r w:rsidR="000B0AC7">
          <w:rPr>
            <w:webHidden/>
          </w:rPr>
          <w:fldChar w:fldCharType="begin"/>
        </w:r>
        <w:r w:rsidR="000B0AC7">
          <w:rPr>
            <w:webHidden/>
          </w:rPr>
          <w:instrText xml:space="preserve"> PAGEREF _Toc135323768 \h </w:instrText>
        </w:r>
        <w:r w:rsidR="000B0AC7">
          <w:rPr>
            <w:webHidden/>
          </w:rPr>
        </w:r>
        <w:r w:rsidR="000B0AC7">
          <w:rPr>
            <w:webHidden/>
          </w:rPr>
          <w:fldChar w:fldCharType="separate"/>
        </w:r>
        <w:r w:rsidR="000B0AC7">
          <w:rPr>
            <w:webHidden/>
          </w:rPr>
          <w:t>222</w:t>
        </w:r>
        <w:r w:rsidR="000B0AC7">
          <w:rPr>
            <w:webHidden/>
          </w:rPr>
          <w:fldChar w:fldCharType="end"/>
        </w:r>
      </w:hyperlink>
    </w:p>
    <w:p w14:paraId="0AF3586D" w14:textId="3AA23897" w:rsidR="000B0AC7" w:rsidRDefault="00096035">
      <w:pPr>
        <w:pStyle w:val="TOC3"/>
        <w:tabs>
          <w:tab w:val="left" w:pos="1684"/>
        </w:tabs>
        <w:rPr>
          <w:rFonts w:asciiTheme="minorHAnsi" w:eastAsiaTheme="minorEastAsia" w:hAnsiTheme="minorHAnsi"/>
          <w:color w:val="auto"/>
          <w:kern w:val="2"/>
          <w:position w:val="0"/>
          <w:lang w:eastAsia="en-AU"/>
          <w14:ligatures w14:val="standardContextual"/>
        </w:rPr>
      </w:pPr>
      <w:hyperlink w:anchor="_Toc135323769" w:history="1">
        <w:r w:rsidR="000B0AC7" w:rsidRPr="007A19AD">
          <w:rPr>
            <w:rStyle w:val="Hyperlink"/>
          </w:rPr>
          <w:t>13.7</w:t>
        </w:r>
        <w:r w:rsidR="000B0AC7">
          <w:rPr>
            <w:rFonts w:asciiTheme="minorHAnsi" w:eastAsiaTheme="minorEastAsia" w:hAnsiTheme="minorHAnsi"/>
            <w:color w:val="auto"/>
            <w:kern w:val="2"/>
            <w:position w:val="0"/>
            <w:lang w:eastAsia="en-AU"/>
            <w14:ligatures w14:val="standardContextual"/>
          </w:rPr>
          <w:tab/>
        </w:r>
        <w:r w:rsidR="000B0AC7" w:rsidRPr="007A19AD">
          <w:rPr>
            <w:rStyle w:val="Hyperlink"/>
          </w:rPr>
          <w:t>Outcomes</w:t>
        </w:r>
        <w:r w:rsidR="000B0AC7">
          <w:rPr>
            <w:webHidden/>
          </w:rPr>
          <w:tab/>
        </w:r>
        <w:r w:rsidR="000B0AC7">
          <w:rPr>
            <w:webHidden/>
          </w:rPr>
          <w:fldChar w:fldCharType="begin"/>
        </w:r>
        <w:r w:rsidR="000B0AC7">
          <w:rPr>
            <w:webHidden/>
          </w:rPr>
          <w:instrText xml:space="preserve"> PAGEREF _Toc135323769 \h </w:instrText>
        </w:r>
        <w:r w:rsidR="000B0AC7">
          <w:rPr>
            <w:webHidden/>
          </w:rPr>
        </w:r>
        <w:r w:rsidR="000B0AC7">
          <w:rPr>
            <w:webHidden/>
          </w:rPr>
          <w:fldChar w:fldCharType="separate"/>
        </w:r>
        <w:r w:rsidR="000B0AC7">
          <w:rPr>
            <w:webHidden/>
          </w:rPr>
          <w:t>224</w:t>
        </w:r>
        <w:r w:rsidR="000B0AC7">
          <w:rPr>
            <w:webHidden/>
          </w:rPr>
          <w:fldChar w:fldCharType="end"/>
        </w:r>
      </w:hyperlink>
    </w:p>
    <w:p w14:paraId="3493FB74" w14:textId="09D4E958" w:rsidR="000B0AC7" w:rsidRDefault="00096035">
      <w:pPr>
        <w:pStyle w:val="TOC3"/>
        <w:tabs>
          <w:tab w:val="left" w:pos="1684"/>
        </w:tabs>
        <w:rPr>
          <w:rFonts w:asciiTheme="minorHAnsi" w:eastAsiaTheme="minorEastAsia" w:hAnsiTheme="minorHAnsi"/>
          <w:color w:val="auto"/>
          <w:kern w:val="2"/>
          <w:position w:val="0"/>
          <w:lang w:eastAsia="en-AU"/>
          <w14:ligatures w14:val="standardContextual"/>
        </w:rPr>
      </w:pPr>
      <w:hyperlink w:anchor="_Toc135323770" w:history="1">
        <w:r w:rsidR="000B0AC7" w:rsidRPr="007A19AD">
          <w:rPr>
            <w:rStyle w:val="Hyperlink"/>
          </w:rPr>
          <w:t>13.8</w:t>
        </w:r>
        <w:r w:rsidR="000B0AC7">
          <w:rPr>
            <w:rFonts w:asciiTheme="minorHAnsi" w:eastAsiaTheme="minorEastAsia" w:hAnsiTheme="minorHAnsi"/>
            <w:color w:val="auto"/>
            <w:kern w:val="2"/>
            <w:position w:val="0"/>
            <w:lang w:eastAsia="en-AU"/>
            <w14:ligatures w14:val="standardContextual"/>
          </w:rPr>
          <w:tab/>
        </w:r>
        <w:r w:rsidR="000B0AC7" w:rsidRPr="007A19AD">
          <w:rPr>
            <w:rStyle w:val="Hyperlink"/>
          </w:rPr>
          <w:t>Impacts</w:t>
        </w:r>
        <w:r w:rsidR="000B0AC7">
          <w:rPr>
            <w:webHidden/>
          </w:rPr>
          <w:tab/>
        </w:r>
        <w:r w:rsidR="000B0AC7">
          <w:rPr>
            <w:webHidden/>
          </w:rPr>
          <w:fldChar w:fldCharType="begin"/>
        </w:r>
        <w:r w:rsidR="000B0AC7">
          <w:rPr>
            <w:webHidden/>
          </w:rPr>
          <w:instrText xml:space="preserve"> PAGEREF _Toc135323770 \h </w:instrText>
        </w:r>
        <w:r w:rsidR="000B0AC7">
          <w:rPr>
            <w:webHidden/>
          </w:rPr>
        </w:r>
        <w:r w:rsidR="000B0AC7">
          <w:rPr>
            <w:webHidden/>
          </w:rPr>
          <w:fldChar w:fldCharType="separate"/>
        </w:r>
        <w:r w:rsidR="000B0AC7">
          <w:rPr>
            <w:webHidden/>
          </w:rPr>
          <w:t>227</w:t>
        </w:r>
        <w:r w:rsidR="000B0AC7">
          <w:rPr>
            <w:webHidden/>
          </w:rPr>
          <w:fldChar w:fldCharType="end"/>
        </w:r>
      </w:hyperlink>
    </w:p>
    <w:p w14:paraId="2C227146" w14:textId="575BAAF0" w:rsidR="000B0AC7" w:rsidRDefault="00096035">
      <w:pPr>
        <w:pStyle w:val="TOC3"/>
        <w:tabs>
          <w:tab w:val="left" w:pos="1684"/>
        </w:tabs>
        <w:rPr>
          <w:rFonts w:asciiTheme="minorHAnsi" w:eastAsiaTheme="minorEastAsia" w:hAnsiTheme="minorHAnsi"/>
          <w:color w:val="auto"/>
          <w:kern w:val="2"/>
          <w:position w:val="0"/>
          <w:lang w:eastAsia="en-AU"/>
          <w14:ligatures w14:val="standardContextual"/>
        </w:rPr>
      </w:pPr>
      <w:hyperlink w:anchor="_Toc135323771" w:history="1">
        <w:r w:rsidR="000B0AC7" w:rsidRPr="007A19AD">
          <w:rPr>
            <w:rStyle w:val="Hyperlink"/>
          </w:rPr>
          <w:t>13.9</w:t>
        </w:r>
        <w:r w:rsidR="000B0AC7">
          <w:rPr>
            <w:rFonts w:asciiTheme="minorHAnsi" w:eastAsiaTheme="minorEastAsia" w:hAnsiTheme="minorHAnsi"/>
            <w:color w:val="auto"/>
            <w:kern w:val="2"/>
            <w:position w:val="0"/>
            <w:lang w:eastAsia="en-AU"/>
            <w14:ligatures w14:val="standardContextual"/>
          </w:rPr>
          <w:tab/>
        </w:r>
        <w:r w:rsidR="000B0AC7" w:rsidRPr="007A19AD">
          <w:rPr>
            <w:rStyle w:val="Hyperlink"/>
          </w:rPr>
          <w:t>Potential future impacts</w:t>
        </w:r>
        <w:r w:rsidR="000B0AC7">
          <w:rPr>
            <w:webHidden/>
          </w:rPr>
          <w:tab/>
        </w:r>
        <w:r w:rsidR="000B0AC7">
          <w:rPr>
            <w:webHidden/>
          </w:rPr>
          <w:fldChar w:fldCharType="begin"/>
        </w:r>
        <w:r w:rsidR="000B0AC7">
          <w:rPr>
            <w:webHidden/>
          </w:rPr>
          <w:instrText xml:space="preserve"> PAGEREF _Toc135323771 \h </w:instrText>
        </w:r>
        <w:r w:rsidR="000B0AC7">
          <w:rPr>
            <w:webHidden/>
          </w:rPr>
        </w:r>
        <w:r w:rsidR="000B0AC7">
          <w:rPr>
            <w:webHidden/>
          </w:rPr>
          <w:fldChar w:fldCharType="separate"/>
        </w:r>
        <w:r w:rsidR="000B0AC7">
          <w:rPr>
            <w:webHidden/>
          </w:rPr>
          <w:t>233</w:t>
        </w:r>
        <w:r w:rsidR="000B0AC7">
          <w:rPr>
            <w:webHidden/>
          </w:rPr>
          <w:fldChar w:fldCharType="end"/>
        </w:r>
      </w:hyperlink>
    </w:p>
    <w:p w14:paraId="406065FE" w14:textId="7D359835" w:rsidR="000B0AC7" w:rsidRDefault="00096035">
      <w:pPr>
        <w:pStyle w:val="TOC1"/>
        <w:rPr>
          <w:rFonts w:asciiTheme="minorHAnsi" w:eastAsiaTheme="minorEastAsia" w:hAnsiTheme="minorHAnsi" w:cstheme="minorBidi"/>
          <w:b w:val="0"/>
          <w:color w:val="auto"/>
          <w:kern w:val="2"/>
          <w:sz w:val="22"/>
          <w:lang w:eastAsia="en-AU"/>
          <w14:ligatures w14:val="standardContextual"/>
        </w:rPr>
      </w:pPr>
      <w:hyperlink w:anchor="_Toc135323772" w:history="1">
        <w:r w:rsidR="000B0AC7" w:rsidRPr="007A19AD">
          <w:rPr>
            <w:rStyle w:val="Hyperlink"/>
          </w:rPr>
          <w:t>Supporting information</w:t>
        </w:r>
        <w:r w:rsidR="000B0AC7">
          <w:rPr>
            <w:webHidden/>
          </w:rPr>
          <w:tab/>
        </w:r>
        <w:r w:rsidR="000B0AC7">
          <w:rPr>
            <w:webHidden/>
          </w:rPr>
          <w:fldChar w:fldCharType="begin"/>
        </w:r>
        <w:r w:rsidR="000B0AC7">
          <w:rPr>
            <w:webHidden/>
          </w:rPr>
          <w:instrText xml:space="preserve"> PAGEREF _Toc135323772 \h </w:instrText>
        </w:r>
        <w:r w:rsidR="000B0AC7">
          <w:rPr>
            <w:webHidden/>
          </w:rPr>
        </w:r>
        <w:r w:rsidR="000B0AC7">
          <w:rPr>
            <w:webHidden/>
          </w:rPr>
          <w:fldChar w:fldCharType="separate"/>
        </w:r>
        <w:r w:rsidR="000B0AC7">
          <w:rPr>
            <w:webHidden/>
          </w:rPr>
          <w:t>236</w:t>
        </w:r>
        <w:r w:rsidR="000B0AC7">
          <w:rPr>
            <w:webHidden/>
          </w:rPr>
          <w:fldChar w:fldCharType="end"/>
        </w:r>
      </w:hyperlink>
    </w:p>
    <w:p w14:paraId="4D3599C3" w14:textId="15DE7386" w:rsidR="000B0AC7" w:rsidRDefault="00096035">
      <w:pPr>
        <w:pStyle w:val="TOC2"/>
        <w:rPr>
          <w:rFonts w:asciiTheme="minorHAnsi" w:eastAsiaTheme="minorEastAsia" w:hAnsiTheme="minorHAnsi" w:cstheme="minorBidi"/>
          <w:b w:val="0"/>
          <w:color w:val="auto"/>
          <w:kern w:val="2"/>
          <w:sz w:val="22"/>
          <w:lang w:eastAsia="en-AU"/>
          <w14:ligatures w14:val="standardContextual"/>
        </w:rPr>
      </w:pPr>
      <w:hyperlink w:anchor="_Toc135323773" w:history="1">
        <w:r w:rsidR="000B0AC7" w:rsidRPr="007A19AD">
          <w:rPr>
            <w:rStyle w:val="Hyperlink"/>
          </w:rPr>
          <w:t>A</w:t>
        </w:r>
        <w:r w:rsidR="000B0AC7">
          <w:rPr>
            <w:rFonts w:asciiTheme="minorHAnsi" w:eastAsiaTheme="minorEastAsia" w:hAnsiTheme="minorHAnsi" w:cstheme="minorBidi"/>
            <w:b w:val="0"/>
            <w:color w:val="auto"/>
            <w:kern w:val="2"/>
            <w:sz w:val="22"/>
            <w:lang w:eastAsia="en-AU"/>
            <w14:ligatures w14:val="standardContextual"/>
          </w:rPr>
          <w:tab/>
        </w:r>
        <w:r w:rsidR="000B0AC7" w:rsidRPr="007A19AD">
          <w:rPr>
            <w:rStyle w:val="Hyperlink"/>
          </w:rPr>
          <w:t>Evaluation framing and terms of reference</w:t>
        </w:r>
        <w:r w:rsidR="000B0AC7">
          <w:rPr>
            <w:webHidden/>
          </w:rPr>
          <w:tab/>
        </w:r>
        <w:r w:rsidR="000B0AC7">
          <w:rPr>
            <w:webHidden/>
          </w:rPr>
          <w:fldChar w:fldCharType="begin"/>
        </w:r>
        <w:r w:rsidR="000B0AC7">
          <w:rPr>
            <w:webHidden/>
          </w:rPr>
          <w:instrText xml:space="preserve"> PAGEREF _Toc135323773 \h </w:instrText>
        </w:r>
        <w:r w:rsidR="000B0AC7">
          <w:rPr>
            <w:webHidden/>
          </w:rPr>
        </w:r>
        <w:r w:rsidR="000B0AC7">
          <w:rPr>
            <w:webHidden/>
          </w:rPr>
          <w:fldChar w:fldCharType="separate"/>
        </w:r>
        <w:r w:rsidR="000B0AC7">
          <w:rPr>
            <w:webHidden/>
          </w:rPr>
          <w:t>A-1</w:t>
        </w:r>
        <w:r w:rsidR="000B0AC7">
          <w:rPr>
            <w:webHidden/>
          </w:rPr>
          <w:fldChar w:fldCharType="end"/>
        </w:r>
      </w:hyperlink>
    </w:p>
    <w:p w14:paraId="1C58BB8A" w14:textId="5E3C8B82" w:rsidR="000B0AC7" w:rsidRDefault="00096035">
      <w:pPr>
        <w:pStyle w:val="TOC3"/>
        <w:tabs>
          <w:tab w:val="left" w:pos="1122"/>
        </w:tabs>
        <w:rPr>
          <w:rFonts w:asciiTheme="minorHAnsi" w:eastAsiaTheme="minorEastAsia" w:hAnsiTheme="minorHAnsi"/>
          <w:color w:val="auto"/>
          <w:kern w:val="2"/>
          <w:position w:val="0"/>
          <w:lang w:eastAsia="en-AU"/>
          <w14:ligatures w14:val="standardContextual"/>
        </w:rPr>
      </w:pPr>
      <w:hyperlink w:anchor="_Toc135323774" w:history="1">
        <w:r w:rsidR="000B0AC7" w:rsidRPr="007A19AD">
          <w:rPr>
            <w:rStyle w:val="Hyperlink"/>
          </w:rPr>
          <w:t>A.1</w:t>
        </w:r>
        <w:r w:rsidR="000B0AC7">
          <w:rPr>
            <w:rFonts w:asciiTheme="minorHAnsi" w:eastAsiaTheme="minorEastAsia" w:hAnsiTheme="minorHAnsi"/>
            <w:color w:val="auto"/>
            <w:kern w:val="2"/>
            <w:position w:val="0"/>
            <w:lang w:eastAsia="en-AU"/>
            <w14:ligatures w14:val="standardContextual"/>
          </w:rPr>
          <w:tab/>
        </w:r>
        <w:r w:rsidR="000B0AC7" w:rsidRPr="007A19AD">
          <w:rPr>
            <w:rStyle w:val="Hyperlink"/>
          </w:rPr>
          <w:t>Terms of reference</w:t>
        </w:r>
        <w:r w:rsidR="000B0AC7">
          <w:rPr>
            <w:webHidden/>
          </w:rPr>
          <w:tab/>
        </w:r>
        <w:r w:rsidR="000B0AC7">
          <w:rPr>
            <w:webHidden/>
          </w:rPr>
          <w:fldChar w:fldCharType="begin"/>
        </w:r>
        <w:r w:rsidR="000B0AC7">
          <w:rPr>
            <w:webHidden/>
          </w:rPr>
          <w:instrText xml:space="preserve"> PAGEREF _Toc135323774 \h </w:instrText>
        </w:r>
        <w:r w:rsidR="000B0AC7">
          <w:rPr>
            <w:webHidden/>
          </w:rPr>
        </w:r>
        <w:r w:rsidR="000B0AC7">
          <w:rPr>
            <w:webHidden/>
          </w:rPr>
          <w:fldChar w:fldCharType="separate"/>
        </w:r>
        <w:r w:rsidR="000B0AC7">
          <w:rPr>
            <w:webHidden/>
          </w:rPr>
          <w:t>A-1</w:t>
        </w:r>
        <w:r w:rsidR="000B0AC7">
          <w:rPr>
            <w:webHidden/>
          </w:rPr>
          <w:fldChar w:fldCharType="end"/>
        </w:r>
      </w:hyperlink>
    </w:p>
    <w:p w14:paraId="131F4D9D" w14:textId="35823F46" w:rsidR="000B0AC7" w:rsidRDefault="00096035">
      <w:pPr>
        <w:pStyle w:val="TOC3"/>
        <w:tabs>
          <w:tab w:val="left" w:pos="1122"/>
        </w:tabs>
        <w:rPr>
          <w:rFonts w:asciiTheme="minorHAnsi" w:eastAsiaTheme="minorEastAsia" w:hAnsiTheme="minorHAnsi"/>
          <w:color w:val="auto"/>
          <w:kern w:val="2"/>
          <w:position w:val="0"/>
          <w:lang w:eastAsia="en-AU"/>
          <w14:ligatures w14:val="standardContextual"/>
        </w:rPr>
      </w:pPr>
      <w:hyperlink w:anchor="_Toc135323775" w:history="1">
        <w:r w:rsidR="000B0AC7" w:rsidRPr="007A19AD">
          <w:rPr>
            <w:rStyle w:val="Hyperlink"/>
          </w:rPr>
          <w:t>A.2</w:t>
        </w:r>
        <w:r w:rsidR="000B0AC7">
          <w:rPr>
            <w:rFonts w:asciiTheme="minorHAnsi" w:eastAsiaTheme="minorEastAsia" w:hAnsiTheme="minorHAnsi"/>
            <w:color w:val="auto"/>
            <w:kern w:val="2"/>
            <w:position w:val="0"/>
            <w:lang w:eastAsia="en-AU"/>
            <w14:ligatures w14:val="standardContextual"/>
          </w:rPr>
          <w:tab/>
        </w:r>
        <w:r w:rsidR="000B0AC7" w:rsidRPr="007A19AD">
          <w:rPr>
            <w:rStyle w:val="Hyperlink"/>
          </w:rPr>
          <w:t>Evaluation framing</w:t>
        </w:r>
        <w:r w:rsidR="000B0AC7">
          <w:rPr>
            <w:webHidden/>
          </w:rPr>
          <w:tab/>
        </w:r>
        <w:r w:rsidR="000B0AC7">
          <w:rPr>
            <w:webHidden/>
          </w:rPr>
          <w:fldChar w:fldCharType="begin"/>
        </w:r>
        <w:r w:rsidR="000B0AC7">
          <w:rPr>
            <w:webHidden/>
          </w:rPr>
          <w:instrText xml:space="preserve"> PAGEREF _Toc135323775 \h </w:instrText>
        </w:r>
        <w:r w:rsidR="000B0AC7">
          <w:rPr>
            <w:webHidden/>
          </w:rPr>
        </w:r>
        <w:r w:rsidR="000B0AC7">
          <w:rPr>
            <w:webHidden/>
          </w:rPr>
          <w:fldChar w:fldCharType="separate"/>
        </w:r>
        <w:r w:rsidR="000B0AC7">
          <w:rPr>
            <w:webHidden/>
          </w:rPr>
          <w:t>A-1</w:t>
        </w:r>
        <w:r w:rsidR="000B0AC7">
          <w:rPr>
            <w:webHidden/>
          </w:rPr>
          <w:fldChar w:fldCharType="end"/>
        </w:r>
      </w:hyperlink>
    </w:p>
    <w:p w14:paraId="32F14785" w14:textId="33848D3B" w:rsidR="000B0AC7" w:rsidRDefault="00096035">
      <w:pPr>
        <w:pStyle w:val="TOC2"/>
        <w:rPr>
          <w:rFonts w:asciiTheme="minorHAnsi" w:eastAsiaTheme="minorEastAsia" w:hAnsiTheme="minorHAnsi" w:cstheme="minorBidi"/>
          <w:b w:val="0"/>
          <w:color w:val="auto"/>
          <w:kern w:val="2"/>
          <w:sz w:val="22"/>
          <w:lang w:eastAsia="en-AU"/>
          <w14:ligatures w14:val="standardContextual"/>
        </w:rPr>
      </w:pPr>
      <w:hyperlink w:anchor="_Toc135323776" w:history="1">
        <w:r w:rsidR="000B0AC7" w:rsidRPr="007A19AD">
          <w:rPr>
            <w:rStyle w:val="Hyperlink"/>
          </w:rPr>
          <w:t>B</w:t>
        </w:r>
        <w:r w:rsidR="000B0AC7">
          <w:rPr>
            <w:rFonts w:asciiTheme="minorHAnsi" w:eastAsiaTheme="minorEastAsia" w:hAnsiTheme="minorHAnsi" w:cstheme="minorBidi"/>
            <w:b w:val="0"/>
            <w:color w:val="auto"/>
            <w:kern w:val="2"/>
            <w:sz w:val="22"/>
            <w:lang w:eastAsia="en-AU"/>
            <w14:ligatures w14:val="standardContextual"/>
          </w:rPr>
          <w:tab/>
        </w:r>
        <w:r w:rsidR="000B0AC7" w:rsidRPr="007A19AD">
          <w:rPr>
            <w:rStyle w:val="Hyperlink"/>
          </w:rPr>
          <w:t>Beneficiaries of NCGP-funded research</w:t>
        </w:r>
        <w:r w:rsidR="000B0AC7">
          <w:rPr>
            <w:webHidden/>
          </w:rPr>
          <w:tab/>
        </w:r>
        <w:r w:rsidR="000B0AC7">
          <w:rPr>
            <w:webHidden/>
          </w:rPr>
          <w:fldChar w:fldCharType="begin"/>
        </w:r>
        <w:r w:rsidR="000B0AC7">
          <w:rPr>
            <w:webHidden/>
          </w:rPr>
          <w:instrText xml:space="preserve"> PAGEREF _Toc135323776 \h </w:instrText>
        </w:r>
        <w:r w:rsidR="000B0AC7">
          <w:rPr>
            <w:webHidden/>
          </w:rPr>
        </w:r>
        <w:r w:rsidR="000B0AC7">
          <w:rPr>
            <w:webHidden/>
          </w:rPr>
          <w:fldChar w:fldCharType="separate"/>
        </w:r>
        <w:r w:rsidR="000B0AC7">
          <w:rPr>
            <w:webHidden/>
          </w:rPr>
          <w:t>B-1</w:t>
        </w:r>
        <w:r w:rsidR="000B0AC7">
          <w:rPr>
            <w:webHidden/>
          </w:rPr>
          <w:fldChar w:fldCharType="end"/>
        </w:r>
      </w:hyperlink>
    </w:p>
    <w:p w14:paraId="6D5177BB" w14:textId="3F2D2ACB" w:rsidR="000B0AC7" w:rsidRDefault="00096035">
      <w:pPr>
        <w:pStyle w:val="TOC3"/>
        <w:tabs>
          <w:tab w:val="left" w:pos="1122"/>
        </w:tabs>
        <w:rPr>
          <w:rFonts w:asciiTheme="minorHAnsi" w:eastAsiaTheme="minorEastAsia" w:hAnsiTheme="minorHAnsi"/>
          <w:color w:val="auto"/>
          <w:kern w:val="2"/>
          <w:position w:val="0"/>
          <w:lang w:eastAsia="en-AU"/>
          <w14:ligatures w14:val="standardContextual"/>
        </w:rPr>
      </w:pPr>
      <w:hyperlink w:anchor="_Toc135323777" w:history="1">
        <w:r w:rsidR="000B0AC7" w:rsidRPr="007A19AD">
          <w:rPr>
            <w:rStyle w:val="Hyperlink"/>
          </w:rPr>
          <w:t>B.1</w:t>
        </w:r>
        <w:r w:rsidR="000B0AC7">
          <w:rPr>
            <w:rFonts w:asciiTheme="minorHAnsi" w:eastAsiaTheme="minorEastAsia" w:hAnsiTheme="minorHAnsi"/>
            <w:color w:val="auto"/>
            <w:kern w:val="2"/>
            <w:position w:val="0"/>
            <w:lang w:eastAsia="en-AU"/>
            <w14:ligatures w14:val="standardContextual"/>
          </w:rPr>
          <w:tab/>
        </w:r>
        <w:r w:rsidR="000B0AC7" w:rsidRPr="007A19AD">
          <w:rPr>
            <w:rStyle w:val="Hyperlink"/>
          </w:rPr>
          <w:t>Who benefits?</w:t>
        </w:r>
        <w:r w:rsidR="000B0AC7">
          <w:rPr>
            <w:webHidden/>
          </w:rPr>
          <w:tab/>
        </w:r>
        <w:r w:rsidR="000B0AC7">
          <w:rPr>
            <w:webHidden/>
          </w:rPr>
          <w:fldChar w:fldCharType="begin"/>
        </w:r>
        <w:r w:rsidR="000B0AC7">
          <w:rPr>
            <w:webHidden/>
          </w:rPr>
          <w:instrText xml:space="preserve"> PAGEREF _Toc135323777 \h </w:instrText>
        </w:r>
        <w:r w:rsidR="000B0AC7">
          <w:rPr>
            <w:webHidden/>
          </w:rPr>
        </w:r>
        <w:r w:rsidR="000B0AC7">
          <w:rPr>
            <w:webHidden/>
          </w:rPr>
          <w:fldChar w:fldCharType="separate"/>
        </w:r>
        <w:r w:rsidR="000B0AC7">
          <w:rPr>
            <w:webHidden/>
          </w:rPr>
          <w:t>B-1</w:t>
        </w:r>
        <w:r w:rsidR="000B0AC7">
          <w:rPr>
            <w:webHidden/>
          </w:rPr>
          <w:fldChar w:fldCharType="end"/>
        </w:r>
      </w:hyperlink>
    </w:p>
    <w:p w14:paraId="696B2689" w14:textId="1CB6A4E2" w:rsidR="000B0AC7" w:rsidRDefault="00096035">
      <w:pPr>
        <w:pStyle w:val="TOC3"/>
        <w:tabs>
          <w:tab w:val="left" w:pos="1122"/>
        </w:tabs>
        <w:rPr>
          <w:rFonts w:asciiTheme="minorHAnsi" w:eastAsiaTheme="minorEastAsia" w:hAnsiTheme="minorHAnsi"/>
          <w:color w:val="auto"/>
          <w:kern w:val="2"/>
          <w:position w:val="0"/>
          <w:lang w:eastAsia="en-AU"/>
          <w14:ligatures w14:val="standardContextual"/>
        </w:rPr>
      </w:pPr>
      <w:hyperlink w:anchor="_Toc135323778" w:history="1">
        <w:r w:rsidR="000B0AC7" w:rsidRPr="007A19AD">
          <w:rPr>
            <w:rStyle w:val="Hyperlink"/>
          </w:rPr>
          <w:t>B.2</w:t>
        </w:r>
        <w:r w:rsidR="000B0AC7">
          <w:rPr>
            <w:rFonts w:asciiTheme="minorHAnsi" w:eastAsiaTheme="minorEastAsia" w:hAnsiTheme="minorHAnsi"/>
            <w:color w:val="auto"/>
            <w:kern w:val="2"/>
            <w:position w:val="0"/>
            <w:lang w:eastAsia="en-AU"/>
            <w14:ligatures w14:val="standardContextual"/>
          </w:rPr>
          <w:tab/>
        </w:r>
        <w:r w:rsidR="000B0AC7" w:rsidRPr="007A19AD">
          <w:rPr>
            <w:rStyle w:val="Hyperlink"/>
          </w:rPr>
          <w:t>Examples of excellent research involving end-users</w:t>
        </w:r>
        <w:r w:rsidR="000B0AC7">
          <w:rPr>
            <w:webHidden/>
          </w:rPr>
          <w:tab/>
        </w:r>
        <w:r w:rsidR="000B0AC7">
          <w:rPr>
            <w:webHidden/>
          </w:rPr>
          <w:fldChar w:fldCharType="begin"/>
        </w:r>
        <w:r w:rsidR="000B0AC7">
          <w:rPr>
            <w:webHidden/>
          </w:rPr>
          <w:instrText xml:space="preserve"> PAGEREF _Toc135323778 \h </w:instrText>
        </w:r>
        <w:r w:rsidR="000B0AC7">
          <w:rPr>
            <w:webHidden/>
          </w:rPr>
        </w:r>
        <w:r w:rsidR="000B0AC7">
          <w:rPr>
            <w:webHidden/>
          </w:rPr>
          <w:fldChar w:fldCharType="separate"/>
        </w:r>
        <w:r w:rsidR="000B0AC7">
          <w:rPr>
            <w:webHidden/>
          </w:rPr>
          <w:t>B-4</w:t>
        </w:r>
        <w:r w:rsidR="000B0AC7">
          <w:rPr>
            <w:webHidden/>
          </w:rPr>
          <w:fldChar w:fldCharType="end"/>
        </w:r>
      </w:hyperlink>
    </w:p>
    <w:p w14:paraId="4EB23B4C" w14:textId="57CE7737" w:rsidR="000B0AC7" w:rsidRDefault="00096035">
      <w:pPr>
        <w:pStyle w:val="TOC2"/>
        <w:rPr>
          <w:rFonts w:asciiTheme="minorHAnsi" w:eastAsiaTheme="minorEastAsia" w:hAnsiTheme="minorHAnsi" w:cstheme="minorBidi"/>
          <w:b w:val="0"/>
          <w:color w:val="auto"/>
          <w:kern w:val="2"/>
          <w:sz w:val="22"/>
          <w:lang w:eastAsia="en-AU"/>
          <w14:ligatures w14:val="standardContextual"/>
        </w:rPr>
      </w:pPr>
      <w:hyperlink w:anchor="_Toc135323779" w:history="1">
        <w:r w:rsidR="000B0AC7" w:rsidRPr="007A19AD">
          <w:rPr>
            <w:rStyle w:val="Hyperlink"/>
          </w:rPr>
          <w:t>C</w:t>
        </w:r>
        <w:r w:rsidR="000B0AC7">
          <w:rPr>
            <w:rFonts w:asciiTheme="minorHAnsi" w:eastAsiaTheme="minorEastAsia" w:hAnsiTheme="minorHAnsi" w:cstheme="minorBidi"/>
            <w:b w:val="0"/>
            <w:color w:val="auto"/>
            <w:kern w:val="2"/>
            <w:sz w:val="22"/>
            <w:lang w:eastAsia="en-AU"/>
            <w14:ligatures w14:val="standardContextual"/>
          </w:rPr>
          <w:tab/>
        </w:r>
        <w:r w:rsidR="000B0AC7" w:rsidRPr="007A19AD">
          <w:rPr>
            <w:rStyle w:val="Hyperlink"/>
          </w:rPr>
          <w:t>Stakeholder survey additional information</w:t>
        </w:r>
        <w:r w:rsidR="000B0AC7">
          <w:rPr>
            <w:webHidden/>
          </w:rPr>
          <w:tab/>
        </w:r>
        <w:r w:rsidR="000B0AC7">
          <w:rPr>
            <w:webHidden/>
          </w:rPr>
          <w:fldChar w:fldCharType="begin"/>
        </w:r>
        <w:r w:rsidR="000B0AC7">
          <w:rPr>
            <w:webHidden/>
          </w:rPr>
          <w:instrText xml:space="preserve"> PAGEREF _Toc135323779 \h </w:instrText>
        </w:r>
        <w:r w:rsidR="000B0AC7">
          <w:rPr>
            <w:webHidden/>
          </w:rPr>
        </w:r>
        <w:r w:rsidR="000B0AC7">
          <w:rPr>
            <w:webHidden/>
          </w:rPr>
          <w:fldChar w:fldCharType="separate"/>
        </w:r>
        <w:r w:rsidR="000B0AC7">
          <w:rPr>
            <w:webHidden/>
          </w:rPr>
          <w:t>C-1</w:t>
        </w:r>
        <w:r w:rsidR="000B0AC7">
          <w:rPr>
            <w:webHidden/>
          </w:rPr>
          <w:fldChar w:fldCharType="end"/>
        </w:r>
      </w:hyperlink>
    </w:p>
    <w:p w14:paraId="2699B12C" w14:textId="04A5E259" w:rsidR="000B0AC7" w:rsidRDefault="00096035">
      <w:pPr>
        <w:pStyle w:val="TOC3"/>
        <w:tabs>
          <w:tab w:val="left" w:pos="1684"/>
        </w:tabs>
        <w:rPr>
          <w:rFonts w:asciiTheme="minorHAnsi" w:eastAsiaTheme="minorEastAsia" w:hAnsiTheme="minorHAnsi"/>
          <w:color w:val="auto"/>
          <w:kern w:val="2"/>
          <w:position w:val="0"/>
          <w:lang w:eastAsia="en-AU"/>
          <w14:ligatures w14:val="standardContextual"/>
        </w:rPr>
      </w:pPr>
      <w:hyperlink w:anchor="_Toc135323780" w:history="1">
        <w:r w:rsidR="000B0AC7" w:rsidRPr="007A19AD">
          <w:rPr>
            <w:rStyle w:val="Hyperlink"/>
          </w:rPr>
          <w:t>C.1</w:t>
        </w:r>
        <w:r w:rsidR="000B0AC7">
          <w:rPr>
            <w:rFonts w:asciiTheme="minorHAnsi" w:eastAsiaTheme="minorEastAsia" w:hAnsiTheme="minorHAnsi"/>
            <w:color w:val="auto"/>
            <w:kern w:val="2"/>
            <w:position w:val="0"/>
            <w:lang w:eastAsia="en-AU"/>
            <w14:ligatures w14:val="standardContextual"/>
          </w:rPr>
          <w:tab/>
        </w:r>
        <w:r w:rsidR="000B0AC7" w:rsidRPr="007A19AD">
          <w:rPr>
            <w:rStyle w:val="Hyperlink"/>
          </w:rPr>
          <w:t>Additional survey analysis</w:t>
        </w:r>
        <w:r w:rsidR="000B0AC7">
          <w:rPr>
            <w:webHidden/>
          </w:rPr>
          <w:tab/>
        </w:r>
        <w:r w:rsidR="000B0AC7">
          <w:rPr>
            <w:webHidden/>
          </w:rPr>
          <w:fldChar w:fldCharType="begin"/>
        </w:r>
        <w:r w:rsidR="000B0AC7">
          <w:rPr>
            <w:webHidden/>
          </w:rPr>
          <w:instrText xml:space="preserve"> PAGEREF _Toc135323780 \h </w:instrText>
        </w:r>
        <w:r w:rsidR="000B0AC7">
          <w:rPr>
            <w:webHidden/>
          </w:rPr>
        </w:r>
        <w:r w:rsidR="000B0AC7">
          <w:rPr>
            <w:webHidden/>
          </w:rPr>
          <w:fldChar w:fldCharType="separate"/>
        </w:r>
        <w:r w:rsidR="000B0AC7">
          <w:rPr>
            <w:webHidden/>
          </w:rPr>
          <w:t>C-1</w:t>
        </w:r>
        <w:r w:rsidR="000B0AC7">
          <w:rPr>
            <w:webHidden/>
          </w:rPr>
          <w:fldChar w:fldCharType="end"/>
        </w:r>
      </w:hyperlink>
    </w:p>
    <w:p w14:paraId="712EA14D" w14:textId="2A6B2741" w:rsidR="000B0AC7" w:rsidRDefault="00096035">
      <w:pPr>
        <w:pStyle w:val="TOC2"/>
        <w:rPr>
          <w:rFonts w:asciiTheme="minorHAnsi" w:eastAsiaTheme="minorEastAsia" w:hAnsiTheme="minorHAnsi" w:cstheme="minorBidi"/>
          <w:b w:val="0"/>
          <w:color w:val="auto"/>
          <w:kern w:val="2"/>
          <w:sz w:val="22"/>
          <w:lang w:eastAsia="en-AU"/>
          <w14:ligatures w14:val="standardContextual"/>
        </w:rPr>
      </w:pPr>
      <w:hyperlink w:anchor="_Toc135323781" w:history="1">
        <w:r w:rsidR="000B0AC7" w:rsidRPr="007A19AD">
          <w:rPr>
            <w:rStyle w:val="Hyperlink"/>
          </w:rPr>
          <w:t>D</w:t>
        </w:r>
        <w:r w:rsidR="000B0AC7">
          <w:rPr>
            <w:rFonts w:asciiTheme="minorHAnsi" w:eastAsiaTheme="minorEastAsia" w:hAnsiTheme="minorHAnsi" w:cstheme="minorBidi"/>
            <w:b w:val="0"/>
            <w:color w:val="auto"/>
            <w:kern w:val="2"/>
            <w:sz w:val="22"/>
            <w:lang w:eastAsia="en-AU"/>
            <w14:ligatures w14:val="standardContextual"/>
          </w:rPr>
          <w:tab/>
        </w:r>
        <w:r w:rsidR="000B0AC7" w:rsidRPr="007A19AD">
          <w:rPr>
            <w:rStyle w:val="Hyperlink"/>
          </w:rPr>
          <w:t>Program, funding and other data and methodology</w:t>
        </w:r>
        <w:r w:rsidR="000B0AC7">
          <w:rPr>
            <w:webHidden/>
          </w:rPr>
          <w:tab/>
        </w:r>
        <w:r w:rsidR="000B0AC7">
          <w:rPr>
            <w:webHidden/>
          </w:rPr>
          <w:fldChar w:fldCharType="begin"/>
        </w:r>
        <w:r w:rsidR="000B0AC7">
          <w:rPr>
            <w:webHidden/>
          </w:rPr>
          <w:instrText xml:space="preserve"> PAGEREF _Toc135323781 \h </w:instrText>
        </w:r>
        <w:r w:rsidR="000B0AC7">
          <w:rPr>
            <w:webHidden/>
          </w:rPr>
        </w:r>
        <w:r w:rsidR="000B0AC7">
          <w:rPr>
            <w:webHidden/>
          </w:rPr>
          <w:fldChar w:fldCharType="separate"/>
        </w:r>
        <w:r w:rsidR="000B0AC7">
          <w:rPr>
            <w:webHidden/>
          </w:rPr>
          <w:t>D-1</w:t>
        </w:r>
        <w:r w:rsidR="000B0AC7">
          <w:rPr>
            <w:webHidden/>
          </w:rPr>
          <w:fldChar w:fldCharType="end"/>
        </w:r>
      </w:hyperlink>
    </w:p>
    <w:p w14:paraId="24EEE948" w14:textId="657F822F" w:rsidR="000B0AC7" w:rsidRDefault="00096035">
      <w:pPr>
        <w:pStyle w:val="TOC3"/>
        <w:tabs>
          <w:tab w:val="left" w:pos="1684"/>
        </w:tabs>
        <w:rPr>
          <w:rFonts w:asciiTheme="minorHAnsi" w:eastAsiaTheme="minorEastAsia" w:hAnsiTheme="minorHAnsi"/>
          <w:color w:val="auto"/>
          <w:kern w:val="2"/>
          <w:position w:val="0"/>
          <w:lang w:eastAsia="en-AU"/>
          <w14:ligatures w14:val="standardContextual"/>
        </w:rPr>
      </w:pPr>
      <w:hyperlink w:anchor="_Toc135323782" w:history="1">
        <w:r w:rsidR="000B0AC7" w:rsidRPr="007A19AD">
          <w:rPr>
            <w:rStyle w:val="Hyperlink"/>
          </w:rPr>
          <w:t>D.1</w:t>
        </w:r>
        <w:r w:rsidR="000B0AC7">
          <w:rPr>
            <w:rFonts w:asciiTheme="minorHAnsi" w:eastAsiaTheme="minorEastAsia" w:hAnsiTheme="minorHAnsi"/>
            <w:color w:val="auto"/>
            <w:kern w:val="2"/>
            <w:position w:val="0"/>
            <w:lang w:eastAsia="en-AU"/>
            <w14:ligatures w14:val="standardContextual"/>
          </w:rPr>
          <w:tab/>
        </w:r>
        <w:r w:rsidR="000B0AC7" w:rsidRPr="007A19AD">
          <w:rPr>
            <w:rStyle w:val="Hyperlink"/>
          </w:rPr>
          <w:t>Program and funding data analysis</w:t>
        </w:r>
        <w:r w:rsidR="000B0AC7">
          <w:rPr>
            <w:webHidden/>
          </w:rPr>
          <w:tab/>
        </w:r>
        <w:r w:rsidR="000B0AC7">
          <w:rPr>
            <w:webHidden/>
          </w:rPr>
          <w:fldChar w:fldCharType="begin"/>
        </w:r>
        <w:r w:rsidR="000B0AC7">
          <w:rPr>
            <w:webHidden/>
          </w:rPr>
          <w:instrText xml:space="preserve"> PAGEREF _Toc135323782 \h </w:instrText>
        </w:r>
        <w:r w:rsidR="000B0AC7">
          <w:rPr>
            <w:webHidden/>
          </w:rPr>
        </w:r>
        <w:r w:rsidR="000B0AC7">
          <w:rPr>
            <w:webHidden/>
          </w:rPr>
          <w:fldChar w:fldCharType="separate"/>
        </w:r>
        <w:r w:rsidR="000B0AC7">
          <w:rPr>
            <w:webHidden/>
          </w:rPr>
          <w:t>D-1</w:t>
        </w:r>
        <w:r w:rsidR="000B0AC7">
          <w:rPr>
            <w:webHidden/>
          </w:rPr>
          <w:fldChar w:fldCharType="end"/>
        </w:r>
      </w:hyperlink>
    </w:p>
    <w:p w14:paraId="7C782E9E" w14:textId="34614440" w:rsidR="000B0AC7" w:rsidRDefault="00096035">
      <w:pPr>
        <w:pStyle w:val="TOC3"/>
        <w:tabs>
          <w:tab w:val="left" w:pos="1684"/>
        </w:tabs>
        <w:rPr>
          <w:rFonts w:asciiTheme="minorHAnsi" w:eastAsiaTheme="minorEastAsia" w:hAnsiTheme="minorHAnsi"/>
          <w:color w:val="auto"/>
          <w:kern w:val="2"/>
          <w:position w:val="0"/>
          <w:lang w:eastAsia="en-AU"/>
          <w14:ligatures w14:val="standardContextual"/>
        </w:rPr>
      </w:pPr>
      <w:hyperlink w:anchor="_Toc135323783" w:history="1">
        <w:r w:rsidR="000B0AC7" w:rsidRPr="007A19AD">
          <w:rPr>
            <w:rStyle w:val="Hyperlink"/>
          </w:rPr>
          <w:t>D.2</w:t>
        </w:r>
        <w:r w:rsidR="000B0AC7">
          <w:rPr>
            <w:rFonts w:asciiTheme="minorHAnsi" w:eastAsiaTheme="minorEastAsia" w:hAnsiTheme="minorHAnsi"/>
            <w:color w:val="auto"/>
            <w:kern w:val="2"/>
            <w:position w:val="0"/>
            <w:lang w:eastAsia="en-AU"/>
            <w14:ligatures w14:val="standardContextual"/>
          </w:rPr>
          <w:tab/>
        </w:r>
        <w:r w:rsidR="000B0AC7" w:rsidRPr="007A19AD">
          <w:rPr>
            <w:rStyle w:val="Hyperlink"/>
          </w:rPr>
          <w:t>NCGP scheme co-contribution requirements</w:t>
        </w:r>
        <w:r w:rsidR="000B0AC7">
          <w:rPr>
            <w:webHidden/>
          </w:rPr>
          <w:tab/>
        </w:r>
        <w:r w:rsidR="000B0AC7">
          <w:rPr>
            <w:webHidden/>
          </w:rPr>
          <w:fldChar w:fldCharType="begin"/>
        </w:r>
        <w:r w:rsidR="000B0AC7">
          <w:rPr>
            <w:webHidden/>
          </w:rPr>
          <w:instrText xml:space="preserve"> PAGEREF _Toc135323783 \h </w:instrText>
        </w:r>
        <w:r w:rsidR="000B0AC7">
          <w:rPr>
            <w:webHidden/>
          </w:rPr>
        </w:r>
        <w:r w:rsidR="000B0AC7">
          <w:rPr>
            <w:webHidden/>
          </w:rPr>
          <w:fldChar w:fldCharType="separate"/>
        </w:r>
        <w:r w:rsidR="000B0AC7">
          <w:rPr>
            <w:webHidden/>
          </w:rPr>
          <w:t>D-9</w:t>
        </w:r>
        <w:r w:rsidR="000B0AC7">
          <w:rPr>
            <w:webHidden/>
          </w:rPr>
          <w:fldChar w:fldCharType="end"/>
        </w:r>
      </w:hyperlink>
    </w:p>
    <w:p w14:paraId="5CBCCEDF" w14:textId="29A15DD5" w:rsidR="002B32A0" w:rsidRPr="00CE1D7F" w:rsidRDefault="002B32A0" w:rsidP="002B32A0">
      <w:pPr>
        <w:pStyle w:val="BodyText"/>
        <w:spacing w:beforeLines="80" w:before="192" w:afterLines="80" w:after="192"/>
      </w:pPr>
      <w:r w:rsidRPr="00CE1D7F">
        <w:rPr>
          <w:rFonts w:ascii="Yu Gothic Medium" w:eastAsia="Yu Gothic Medium" w:hAnsi="Yu Gothic Medium" w:cstheme="minorBidi"/>
          <w:noProof/>
          <w:color w:val="000100"/>
          <w:sz w:val="24"/>
        </w:rPr>
        <w:fldChar w:fldCharType="end"/>
      </w:r>
      <w:bookmarkEnd w:id="0"/>
    </w:p>
    <w:p w14:paraId="525928B6" w14:textId="77777777" w:rsidR="002B32A0" w:rsidRPr="00CE1D7F" w:rsidRDefault="002B32A0" w:rsidP="002B32A0">
      <w:pPr>
        <w:pStyle w:val="BodyText"/>
        <w:sectPr w:rsidR="002B32A0" w:rsidRPr="00CE1D7F" w:rsidSect="00DB3235">
          <w:headerReference w:type="even" r:id="rId18"/>
          <w:headerReference w:type="default" r:id="rId19"/>
          <w:footerReference w:type="even" r:id="rId20"/>
          <w:footerReference w:type="default" r:id="rId21"/>
          <w:headerReference w:type="first" r:id="rId22"/>
          <w:footerReference w:type="first" r:id="rId23"/>
          <w:pgSz w:w="11906" w:h="16838" w:code="9"/>
          <w:pgMar w:top="1134" w:right="851" w:bottom="1134" w:left="3119" w:header="454" w:footer="159" w:gutter="0"/>
          <w:cols w:space="708"/>
          <w:docGrid w:linePitch="360"/>
        </w:sectPr>
      </w:pPr>
    </w:p>
    <w:p w14:paraId="11BE3E16" w14:textId="77777777" w:rsidR="000B0AC7" w:rsidRPr="00CE1D7F" w:rsidRDefault="000B0AC7" w:rsidP="006258ED">
      <w:pPr>
        <w:pStyle w:val="Headingglossary"/>
      </w:pPr>
      <w:bookmarkStart w:id="1" w:name="_Toc135323672"/>
      <w:r w:rsidRPr="00CE1D7F">
        <w:lastRenderedPageBreak/>
        <w:t>Glossary</w:t>
      </w:r>
      <w:bookmarkEnd w:id="1"/>
    </w:p>
    <w:p w14:paraId="59D02ECB" w14:textId="77777777" w:rsidR="002B32A0" w:rsidRPr="00CE1D7F" w:rsidRDefault="002B32A0" w:rsidP="002B32A0">
      <w:pPr>
        <w:pStyle w:val="BodyText"/>
      </w:pPr>
    </w:p>
    <w:tbl>
      <w:tblPr>
        <w:tblW w:w="0" w:type="auto"/>
        <w:tblLayout w:type="fixed"/>
        <w:tblCellMar>
          <w:left w:w="0" w:type="dxa"/>
          <w:right w:w="0" w:type="dxa"/>
        </w:tblCellMar>
        <w:tblLook w:val="0000" w:firstRow="0" w:lastRow="0" w:firstColumn="0" w:lastColumn="0" w:noHBand="0" w:noVBand="0"/>
      </w:tblPr>
      <w:tblGrid>
        <w:gridCol w:w="1418"/>
        <w:gridCol w:w="6518"/>
      </w:tblGrid>
      <w:tr w:rsidR="002B32A0" w:rsidRPr="00CE1D7F" w14:paraId="15FE14D6" w14:textId="77777777" w:rsidTr="006258ED">
        <w:trPr>
          <w:trHeight w:val="340"/>
        </w:trPr>
        <w:tc>
          <w:tcPr>
            <w:tcW w:w="1418" w:type="dxa"/>
            <w:shd w:val="clear" w:color="auto" w:fill="auto"/>
            <w:vAlign w:val="center"/>
          </w:tcPr>
          <w:p w14:paraId="229FF54B" w14:textId="77777777" w:rsidR="002B32A0" w:rsidRPr="00CE1D7F" w:rsidRDefault="002B32A0" w:rsidP="006258ED">
            <w:pPr>
              <w:pStyle w:val="BodyText"/>
              <w:spacing w:before="60" w:after="60" w:line="240" w:lineRule="auto"/>
            </w:pPr>
            <w:r w:rsidRPr="00CE1D7F">
              <w:rPr>
                <w:rFonts w:cs="Calibri"/>
              </w:rPr>
              <w:t>ACIAR</w:t>
            </w:r>
          </w:p>
        </w:tc>
        <w:tc>
          <w:tcPr>
            <w:tcW w:w="6518" w:type="dxa"/>
            <w:shd w:val="clear" w:color="auto" w:fill="auto"/>
            <w:vAlign w:val="center"/>
          </w:tcPr>
          <w:p w14:paraId="6D920606" w14:textId="77777777" w:rsidR="002B32A0" w:rsidRPr="00CE1D7F" w:rsidRDefault="002B32A0" w:rsidP="006258ED">
            <w:pPr>
              <w:pStyle w:val="BodyText"/>
              <w:spacing w:before="60" w:after="60" w:line="240" w:lineRule="auto"/>
            </w:pPr>
            <w:r w:rsidRPr="00CE1D7F">
              <w:rPr>
                <w:rFonts w:cs="Calibri"/>
              </w:rPr>
              <w:t>Australian Centre for International Agricultural Research</w:t>
            </w:r>
          </w:p>
        </w:tc>
      </w:tr>
      <w:tr w:rsidR="002B32A0" w:rsidRPr="00CE1D7F" w14:paraId="2AE67CA0" w14:textId="77777777" w:rsidTr="006258ED">
        <w:trPr>
          <w:trHeight w:val="340"/>
        </w:trPr>
        <w:tc>
          <w:tcPr>
            <w:tcW w:w="1418" w:type="dxa"/>
            <w:shd w:val="clear" w:color="auto" w:fill="auto"/>
            <w:vAlign w:val="center"/>
          </w:tcPr>
          <w:p w14:paraId="4F720492" w14:textId="77777777" w:rsidR="002B32A0" w:rsidRPr="00CE1D7F" w:rsidRDefault="002B32A0" w:rsidP="006258ED">
            <w:pPr>
              <w:pStyle w:val="BodyText"/>
              <w:spacing w:before="60" w:after="60" w:line="240" w:lineRule="auto"/>
            </w:pPr>
            <w:r w:rsidRPr="00CE1D7F">
              <w:rPr>
                <w:rFonts w:cs="Calibri"/>
              </w:rPr>
              <w:t>ACOLA</w:t>
            </w:r>
          </w:p>
        </w:tc>
        <w:tc>
          <w:tcPr>
            <w:tcW w:w="6518" w:type="dxa"/>
            <w:shd w:val="clear" w:color="auto" w:fill="auto"/>
            <w:vAlign w:val="center"/>
          </w:tcPr>
          <w:p w14:paraId="64264308" w14:textId="77777777" w:rsidR="002B32A0" w:rsidRPr="00CE1D7F" w:rsidRDefault="002B32A0" w:rsidP="006258ED">
            <w:pPr>
              <w:pStyle w:val="BodyText"/>
              <w:spacing w:before="60" w:after="60" w:line="240" w:lineRule="auto"/>
            </w:pPr>
            <w:r w:rsidRPr="00CE1D7F">
              <w:rPr>
                <w:rFonts w:cs="Calibri"/>
              </w:rPr>
              <w:t>Australian Council of Learned Academies</w:t>
            </w:r>
          </w:p>
        </w:tc>
      </w:tr>
      <w:tr w:rsidR="002B32A0" w:rsidRPr="00CE1D7F" w14:paraId="1BFF69A7" w14:textId="77777777" w:rsidTr="006258ED">
        <w:trPr>
          <w:trHeight w:val="340"/>
        </w:trPr>
        <w:tc>
          <w:tcPr>
            <w:tcW w:w="1418" w:type="dxa"/>
            <w:shd w:val="clear" w:color="auto" w:fill="auto"/>
            <w:vAlign w:val="center"/>
          </w:tcPr>
          <w:p w14:paraId="6747BD1F" w14:textId="77777777" w:rsidR="002B32A0" w:rsidRPr="00CE1D7F" w:rsidRDefault="002B32A0" w:rsidP="006258ED">
            <w:pPr>
              <w:pStyle w:val="BodyText"/>
              <w:spacing w:before="60" w:after="60" w:line="240" w:lineRule="auto"/>
            </w:pPr>
            <w:r w:rsidRPr="00CE1D7F">
              <w:rPr>
                <w:rFonts w:cs="Calibri"/>
              </w:rPr>
              <w:t>AIATSIS</w:t>
            </w:r>
          </w:p>
        </w:tc>
        <w:tc>
          <w:tcPr>
            <w:tcW w:w="6518" w:type="dxa"/>
            <w:shd w:val="clear" w:color="auto" w:fill="auto"/>
            <w:vAlign w:val="center"/>
          </w:tcPr>
          <w:p w14:paraId="462F348A" w14:textId="77777777" w:rsidR="002B32A0" w:rsidRPr="00CE1D7F" w:rsidRDefault="002B32A0" w:rsidP="006258ED">
            <w:pPr>
              <w:pStyle w:val="BodyText"/>
              <w:spacing w:before="60" w:after="60" w:line="240" w:lineRule="auto"/>
            </w:pPr>
            <w:r w:rsidRPr="00CE1D7F">
              <w:rPr>
                <w:rFonts w:cs="Calibri"/>
              </w:rPr>
              <w:t>Australian Institute of Aboriginal and Torres Strait Islander Studies</w:t>
            </w:r>
          </w:p>
        </w:tc>
      </w:tr>
      <w:tr w:rsidR="002B32A0" w:rsidRPr="00CE1D7F" w14:paraId="3282292E" w14:textId="77777777" w:rsidTr="006258ED">
        <w:trPr>
          <w:trHeight w:val="340"/>
        </w:trPr>
        <w:tc>
          <w:tcPr>
            <w:tcW w:w="1418" w:type="dxa"/>
            <w:shd w:val="clear" w:color="auto" w:fill="auto"/>
            <w:vAlign w:val="center"/>
          </w:tcPr>
          <w:p w14:paraId="3084E524" w14:textId="77777777" w:rsidR="002B32A0" w:rsidRPr="00CE1D7F" w:rsidRDefault="002B32A0" w:rsidP="006258ED">
            <w:pPr>
              <w:pStyle w:val="BodyText"/>
              <w:spacing w:before="60" w:after="60" w:line="240" w:lineRule="auto"/>
            </w:pPr>
            <w:r w:rsidRPr="00CE1D7F">
              <w:rPr>
                <w:rFonts w:cs="Calibri"/>
              </w:rPr>
              <w:t>AIJA</w:t>
            </w:r>
          </w:p>
        </w:tc>
        <w:tc>
          <w:tcPr>
            <w:tcW w:w="6518" w:type="dxa"/>
            <w:shd w:val="clear" w:color="auto" w:fill="auto"/>
            <w:vAlign w:val="center"/>
          </w:tcPr>
          <w:p w14:paraId="755755C4" w14:textId="77777777" w:rsidR="002B32A0" w:rsidRPr="00CE1D7F" w:rsidRDefault="002B32A0" w:rsidP="006258ED">
            <w:pPr>
              <w:pStyle w:val="BodyText"/>
              <w:spacing w:before="60" w:after="60" w:line="240" w:lineRule="auto"/>
            </w:pPr>
            <w:r w:rsidRPr="00CE1D7F">
              <w:rPr>
                <w:rFonts w:cs="Calibri"/>
              </w:rPr>
              <w:t>Australian Institute of Judicial Administration</w:t>
            </w:r>
          </w:p>
        </w:tc>
      </w:tr>
      <w:tr w:rsidR="002B32A0" w:rsidRPr="00CE1D7F" w14:paraId="7A9F08A9" w14:textId="77777777" w:rsidTr="006258ED">
        <w:trPr>
          <w:trHeight w:val="340"/>
        </w:trPr>
        <w:tc>
          <w:tcPr>
            <w:tcW w:w="1418" w:type="dxa"/>
            <w:shd w:val="clear" w:color="auto" w:fill="auto"/>
            <w:vAlign w:val="center"/>
          </w:tcPr>
          <w:p w14:paraId="46728F9E" w14:textId="77777777" w:rsidR="002B32A0" w:rsidRPr="00CE1D7F" w:rsidRDefault="002B32A0" w:rsidP="006258ED">
            <w:pPr>
              <w:pStyle w:val="BodyText"/>
              <w:spacing w:before="60" w:after="60" w:line="240" w:lineRule="auto"/>
            </w:pPr>
            <w:r w:rsidRPr="00CE1D7F">
              <w:rPr>
                <w:rFonts w:cs="Calibri"/>
              </w:rPr>
              <w:t>AISRF</w:t>
            </w:r>
          </w:p>
        </w:tc>
        <w:tc>
          <w:tcPr>
            <w:tcW w:w="6518" w:type="dxa"/>
            <w:shd w:val="clear" w:color="auto" w:fill="auto"/>
            <w:vAlign w:val="center"/>
          </w:tcPr>
          <w:p w14:paraId="33FC8C4C" w14:textId="77777777" w:rsidR="002B32A0" w:rsidRPr="00CE1D7F" w:rsidRDefault="002B32A0" w:rsidP="006258ED">
            <w:pPr>
              <w:pStyle w:val="BodyText"/>
              <w:spacing w:before="60" w:after="60" w:line="240" w:lineRule="auto"/>
            </w:pPr>
            <w:r w:rsidRPr="00CE1D7F">
              <w:rPr>
                <w:rFonts w:cs="Calibri"/>
              </w:rPr>
              <w:t>Australia-India Strategic Research Fund</w:t>
            </w:r>
          </w:p>
        </w:tc>
      </w:tr>
      <w:tr w:rsidR="002B32A0" w:rsidRPr="00CE1D7F" w14:paraId="0233252C" w14:textId="77777777" w:rsidTr="006258ED">
        <w:trPr>
          <w:trHeight w:val="340"/>
        </w:trPr>
        <w:tc>
          <w:tcPr>
            <w:tcW w:w="1418" w:type="dxa"/>
            <w:shd w:val="clear" w:color="auto" w:fill="auto"/>
            <w:vAlign w:val="center"/>
          </w:tcPr>
          <w:p w14:paraId="421C3F6B" w14:textId="77777777" w:rsidR="002B32A0" w:rsidRPr="00CE1D7F" w:rsidRDefault="002B32A0" w:rsidP="006258ED">
            <w:pPr>
              <w:pStyle w:val="BodyText"/>
              <w:spacing w:before="60" w:after="60" w:line="240" w:lineRule="auto"/>
            </w:pPr>
            <w:r w:rsidRPr="00CE1D7F">
              <w:rPr>
                <w:rFonts w:cs="Calibri"/>
              </w:rPr>
              <w:t>ANROWS</w:t>
            </w:r>
          </w:p>
        </w:tc>
        <w:tc>
          <w:tcPr>
            <w:tcW w:w="6518" w:type="dxa"/>
            <w:shd w:val="clear" w:color="auto" w:fill="auto"/>
            <w:vAlign w:val="center"/>
          </w:tcPr>
          <w:p w14:paraId="50B9C7CF" w14:textId="77777777" w:rsidR="002B32A0" w:rsidRPr="00CE1D7F" w:rsidRDefault="002B32A0" w:rsidP="006258ED">
            <w:pPr>
              <w:pStyle w:val="BodyText"/>
              <w:spacing w:before="60" w:after="60" w:line="240" w:lineRule="auto"/>
            </w:pPr>
            <w:r w:rsidRPr="00CE1D7F">
              <w:rPr>
                <w:rFonts w:cs="Calibri"/>
              </w:rPr>
              <w:t>Australia’s National Research Organisation for Women’s Safety</w:t>
            </w:r>
          </w:p>
        </w:tc>
      </w:tr>
      <w:tr w:rsidR="002B32A0" w:rsidRPr="00CE1D7F" w14:paraId="21E297B2" w14:textId="77777777" w:rsidTr="006258ED">
        <w:trPr>
          <w:trHeight w:val="340"/>
        </w:trPr>
        <w:tc>
          <w:tcPr>
            <w:tcW w:w="1418" w:type="dxa"/>
            <w:shd w:val="clear" w:color="auto" w:fill="auto"/>
            <w:vAlign w:val="center"/>
          </w:tcPr>
          <w:p w14:paraId="7F25BBB5" w14:textId="77777777" w:rsidR="002B32A0" w:rsidRPr="00CE1D7F" w:rsidRDefault="002B32A0" w:rsidP="006258ED">
            <w:pPr>
              <w:pStyle w:val="BodyText"/>
              <w:spacing w:before="60" w:after="60" w:line="240" w:lineRule="auto"/>
            </w:pPr>
            <w:r w:rsidRPr="00CE1D7F">
              <w:rPr>
                <w:rFonts w:cs="Calibri"/>
              </w:rPr>
              <w:t>ANU</w:t>
            </w:r>
          </w:p>
        </w:tc>
        <w:tc>
          <w:tcPr>
            <w:tcW w:w="6518" w:type="dxa"/>
            <w:shd w:val="clear" w:color="auto" w:fill="auto"/>
            <w:vAlign w:val="center"/>
          </w:tcPr>
          <w:p w14:paraId="659F0DD5" w14:textId="77777777" w:rsidR="002B32A0" w:rsidRPr="00CE1D7F" w:rsidRDefault="002B32A0" w:rsidP="006258ED">
            <w:pPr>
              <w:pStyle w:val="BodyText"/>
              <w:spacing w:before="60" w:after="60" w:line="240" w:lineRule="auto"/>
            </w:pPr>
            <w:r w:rsidRPr="00CE1D7F">
              <w:rPr>
                <w:rFonts w:cs="Calibri"/>
              </w:rPr>
              <w:t>Australian National University</w:t>
            </w:r>
          </w:p>
        </w:tc>
      </w:tr>
      <w:tr w:rsidR="002B32A0" w:rsidRPr="00CE1D7F" w14:paraId="7BB7F7A2" w14:textId="77777777" w:rsidTr="006258ED">
        <w:trPr>
          <w:trHeight w:val="340"/>
        </w:trPr>
        <w:tc>
          <w:tcPr>
            <w:tcW w:w="1418" w:type="dxa"/>
            <w:shd w:val="clear" w:color="auto" w:fill="auto"/>
            <w:vAlign w:val="center"/>
          </w:tcPr>
          <w:p w14:paraId="0CE2500C" w14:textId="77777777" w:rsidR="002B32A0" w:rsidRPr="00CE1D7F" w:rsidRDefault="002B32A0" w:rsidP="006258ED">
            <w:pPr>
              <w:pStyle w:val="BodyText"/>
              <w:spacing w:before="60" w:after="60" w:line="240" w:lineRule="auto"/>
            </w:pPr>
            <w:r w:rsidRPr="00CE1D7F">
              <w:rPr>
                <w:rFonts w:cs="Calibri"/>
              </w:rPr>
              <w:t>ANZOG</w:t>
            </w:r>
          </w:p>
        </w:tc>
        <w:tc>
          <w:tcPr>
            <w:tcW w:w="6518" w:type="dxa"/>
            <w:shd w:val="clear" w:color="auto" w:fill="auto"/>
            <w:vAlign w:val="center"/>
          </w:tcPr>
          <w:p w14:paraId="6125A1AB" w14:textId="77777777" w:rsidR="002B32A0" w:rsidRPr="00CE1D7F" w:rsidRDefault="002B32A0" w:rsidP="006258ED">
            <w:pPr>
              <w:pStyle w:val="BodyText"/>
              <w:spacing w:before="60" w:after="60" w:line="240" w:lineRule="auto"/>
            </w:pPr>
            <w:r w:rsidRPr="00CE1D7F">
              <w:rPr>
                <w:rFonts w:cs="Calibri"/>
              </w:rPr>
              <w:t>Australian New Zealand School of Governance</w:t>
            </w:r>
          </w:p>
        </w:tc>
      </w:tr>
      <w:tr w:rsidR="002B32A0" w:rsidRPr="00CE1D7F" w14:paraId="2C28F01A" w14:textId="77777777" w:rsidTr="006258ED">
        <w:trPr>
          <w:trHeight w:val="340"/>
        </w:trPr>
        <w:tc>
          <w:tcPr>
            <w:tcW w:w="1418" w:type="dxa"/>
            <w:shd w:val="clear" w:color="auto" w:fill="auto"/>
          </w:tcPr>
          <w:p w14:paraId="5BA3EBE0" w14:textId="77777777" w:rsidR="002B32A0" w:rsidRPr="00CE1D7F" w:rsidRDefault="002B32A0" w:rsidP="006258ED">
            <w:pPr>
              <w:pStyle w:val="BodyText"/>
              <w:spacing w:before="60" w:after="60" w:line="240" w:lineRule="auto"/>
              <w:rPr>
                <w:rFonts w:cs="Calibri"/>
              </w:rPr>
            </w:pPr>
            <w:r w:rsidRPr="00CE1D7F">
              <w:t>ANZSIC</w:t>
            </w:r>
          </w:p>
        </w:tc>
        <w:tc>
          <w:tcPr>
            <w:tcW w:w="6518" w:type="dxa"/>
            <w:shd w:val="clear" w:color="auto" w:fill="auto"/>
          </w:tcPr>
          <w:p w14:paraId="3A9CCB1D" w14:textId="77777777" w:rsidR="002B32A0" w:rsidRPr="00CE1D7F" w:rsidRDefault="002B32A0" w:rsidP="006258ED">
            <w:pPr>
              <w:pStyle w:val="BodyText"/>
              <w:spacing w:before="60" w:after="60" w:line="240" w:lineRule="auto"/>
              <w:rPr>
                <w:rFonts w:cs="Calibri"/>
              </w:rPr>
            </w:pPr>
            <w:r w:rsidRPr="00CE1D7F">
              <w:t>Australian and New Zealand Standard Industrial Classification</w:t>
            </w:r>
          </w:p>
        </w:tc>
      </w:tr>
      <w:tr w:rsidR="002B32A0" w:rsidRPr="00CE1D7F" w14:paraId="699B9F07" w14:textId="77777777" w:rsidTr="006258ED">
        <w:trPr>
          <w:trHeight w:val="340"/>
        </w:trPr>
        <w:tc>
          <w:tcPr>
            <w:tcW w:w="1418" w:type="dxa"/>
            <w:shd w:val="clear" w:color="auto" w:fill="auto"/>
            <w:vAlign w:val="center"/>
          </w:tcPr>
          <w:p w14:paraId="398FE3BF" w14:textId="77777777" w:rsidR="002B32A0" w:rsidRPr="00CE1D7F" w:rsidRDefault="002B32A0" w:rsidP="006258ED">
            <w:pPr>
              <w:pStyle w:val="BodyText"/>
              <w:spacing w:before="60" w:after="60" w:line="240" w:lineRule="auto"/>
            </w:pPr>
            <w:r w:rsidRPr="00CE1D7F">
              <w:rPr>
                <w:rFonts w:cs="Calibri"/>
              </w:rPr>
              <w:t>AQN</w:t>
            </w:r>
          </w:p>
        </w:tc>
        <w:tc>
          <w:tcPr>
            <w:tcW w:w="6518" w:type="dxa"/>
            <w:shd w:val="clear" w:color="auto" w:fill="auto"/>
            <w:vAlign w:val="center"/>
          </w:tcPr>
          <w:p w14:paraId="6020E91B" w14:textId="77777777" w:rsidR="002B32A0" w:rsidRPr="00CE1D7F" w:rsidRDefault="002B32A0" w:rsidP="006258ED">
            <w:pPr>
              <w:pStyle w:val="BodyText"/>
              <w:spacing w:before="60" w:after="60" w:line="240" w:lineRule="auto"/>
            </w:pPr>
            <w:r w:rsidRPr="00CE1D7F">
              <w:rPr>
                <w:rFonts w:cs="Calibri"/>
              </w:rPr>
              <w:t>ANU Quantum Numbers</w:t>
            </w:r>
          </w:p>
        </w:tc>
      </w:tr>
      <w:tr w:rsidR="002B32A0" w:rsidRPr="00CE1D7F" w14:paraId="7A6FD7FE" w14:textId="77777777" w:rsidTr="006258ED">
        <w:trPr>
          <w:trHeight w:val="340"/>
        </w:trPr>
        <w:tc>
          <w:tcPr>
            <w:tcW w:w="1418" w:type="dxa"/>
            <w:shd w:val="clear" w:color="auto" w:fill="auto"/>
            <w:vAlign w:val="center"/>
          </w:tcPr>
          <w:p w14:paraId="1230B0CE" w14:textId="77777777" w:rsidR="002B32A0" w:rsidRPr="00CE1D7F" w:rsidRDefault="002B32A0" w:rsidP="006258ED">
            <w:pPr>
              <w:pStyle w:val="BodyText"/>
              <w:spacing w:before="60" w:after="60" w:line="240" w:lineRule="auto"/>
            </w:pPr>
            <w:r w:rsidRPr="00CE1D7F">
              <w:rPr>
                <w:rFonts w:cs="Calibri"/>
              </w:rPr>
              <w:t>ARC</w:t>
            </w:r>
          </w:p>
        </w:tc>
        <w:tc>
          <w:tcPr>
            <w:tcW w:w="6518" w:type="dxa"/>
            <w:shd w:val="clear" w:color="auto" w:fill="auto"/>
            <w:vAlign w:val="center"/>
          </w:tcPr>
          <w:p w14:paraId="70FB7978" w14:textId="77777777" w:rsidR="002B32A0" w:rsidRPr="00CE1D7F" w:rsidRDefault="002B32A0" w:rsidP="006258ED">
            <w:pPr>
              <w:pStyle w:val="BodyText"/>
              <w:spacing w:before="60" w:after="60" w:line="240" w:lineRule="auto"/>
            </w:pPr>
            <w:r w:rsidRPr="00CE1D7F">
              <w:rPr>
                <w:rFonts w:cs="Calibri"/>
              </w:rPr>
              <w:t>Australian Research Council</w:t>
            </w:r>
          </w:p>
        </w:tc>
      </w:tr>
      <w:tr w:rsidR="002B32A0" w:rsidRPr="00CE1D7F" w14:paraId="72F77C56" w14:textId="77777777" w:rsidTr="006258ED">
        <w:trPr>
          <w:trHeight w:val="340"/>
        </w:trPr>
        <w:tc>
          <w:tcPr>
            <w:tcW w:w="1418" w:type="dxa"/>
            <w:shd w:val="clear" w:color="auto" w:fill="auto"/>
            <w:vAlign w:val="center"/>
          </w:tcPr>
          <w:p w14:paraId="2FBE1E97" w14:textId="77777777" w:rsidR="002B32A0" w:rsidRPr="00CE1D7F" w:rsidRDefault="002B32A0" w:rsidP="006258ED">
            <w:pPr>
              <w:pStyle w:val="BodyText"/>
              <w:spacing w:before="60" w:after="60" w:line="240" w:lineRule="auto"/>
            </w:pPr>
            <w:r w:rsidRPr="00CE1D7F">
              <w:rPr>
                <w:rFonts w:cs="Calibri"/>
              </w:rPr>
              <w:t>ASSDA</w:t>
            </w:r>
          </w:p>
        </w:tc>
        <w:tc>
          <w:tcPr>
            <w:tcW w:w="6518" w:type="dxa"/>
            <w:shd w:val="clear" w:color="auto" w:fill="auto"/>
            <w:vAlign w:val="center"/>
          </w:tcPr>
          <w:p w14:paraId="2BA84F50" w14:textId="77777777" w:rsidR="002B32A0" w:rsidRPr="00CE1D7F" w:rsidRDefault="002B32A0" w:rsidP="006258ED">
            <w:pPr>
              <w:pStyle w:val="BodyText"/>
              <w:spacing w:before="60" w:after="60" w:line="240" w:lineRule="auto"/>
            </w:pPr>
            <w:r w:rsidRPr="00CE1D7F">
              <w:rPr>
                <w:rFonts w:cs="Calibri"/>
              </w:rPr>
              <w:t>Australian Social Science Data Archive</w:t>
            </w:r>
          </w:p>
        </w:tc>
      </w:tr>
      <w:tr w:rsidR="002B32A0" w:rsidRPr="00CE1D7F" w14:paraId="21329049" w14:textId="77777777" w:rsidTr="006258ED">
        <w:trPr>
          <w:trHeight w:val="340"/>
        </w:trPr>
        <w:tc>
          <w:tcPr>
            <w:tcW w:w="1418" w:type="dxa"/>
            <w:shd w:val="clear" w:color="auto" w:fill="auto"/>
            <w:vAlign w:val="center"/>
          </w:tcPr>
          <w:p w14:paraId="1B69EC00" w14:textId="77777777" w:rsidR="002B32A0" w:rsidRPr="00CE1D7F" w:rsidRDefault="002B32A0" w:rsidP="006258ED">
            <w:pPr>
              <w:pStyle w:val="BodyText"/>
              <w:spacing w:before="60" w:after="60" w:line="240" w:lineRule="auto"/>
            </w:pPr>
            <w:r w:rsidRPr="00CE1D7F">
              <w:rPr>
                <w:rFonts w:cs="Calibri"/>
              </w:rPr>
              <w:t>ATAR</w:t>
            </w:r>
          </w:p>
        </w:tc>
        <w:tc>
          <w:tcPr>
            <w:tcW w:w="6518" w:type="dxa"/>
            <w:shd w:val="clear" w:color="auto" w:fill="auto"/>
            <w:vAlign w:val="center"/>
          </w:tcPr>
          <w:p w14:paraId="498F801C" w14:textId="77777777" w:rsidR="002B32A0" w:rsidRPr="00CE1D7F" w:rsidRDefault="002B32A0" w:rsidP="006258ED">
            <w:pPr>
              <w:pStyle w:val="BodyText"/>
              <w:spacing w:before="60" w:after="60" w:line="240" w:lineRule="auto"/>
            </w:pPr>
            <w:r w:rsidRPr="00CE1D7F">
              <w:rPr>
                <w:rFonts w:cs="Calibri"/>
              </w:rPr>
              <w:t>Australian Tertiary Admission Rank</w:t>
            </w:r>
          </w:p>
        </w:tc>
      </w:tr>
      <w:tr w:rsidR="002B32A0" w:rsidRPr="00CE1D7F" w14:paraId="40032B37" w14:textId="77777777" w:rsidTr="006258ED">
        <w:trPr>
          <w:trHeight w:val="340"/>
        </w:trPr>
        <w:tc>
          <w:tcPr>
            <w:tcW w:w="1418" w:type="dxa"/>
            <w:shd w:val="clear" w:color="auto" w:fill="auto"/>
            <w:vAlign w:val="center"/>
          </w:tcPr>
          <w:p w14:paraId="2BD5F964" w14:textId="77777777" w:rsidR="002B32A0" w:rsidRPr="00CE1D7F" w:rsidRDefault="002B32A0" w:rsidP="006258ED">
            <w:pPr>
              <w:pStyle w:val="BodyText"/>
              <w:spacing w:before="60" w:after="60" w:line="240" w:lineRule="auto"/>
            </w:pPr>
            <w:r w:rsidRPr="00CE1D7F">
              <w:rPr>
                <w:rFonts w:cs="Calibri"/>
              </w:rPr>
              <w:t>ATN</w:t>
            </w:r>
          </w:p>
        </w:tc>
        <w:tc>
          <w:tcPr>
            <w:tcW w:w="6518" w:type="dxa"/>
            <w:shd w:val="clear" w:color="auto" w:fill="auto"/>
            <w:vAlign w:val="center"/>
          </w:tcPr>
          <w:p w14:paraId="4ACD45FF" w14:textId="77777777" w:rsidR="002B32A0" w:rsidRPr="00CE1D7F" w:rsidRDefault="002B32A0" w:rsidP="006258ED">
            <w:pPr>
              <w:pStyle w:val="BodyText"/>
              <w:spacing w:before="60" w:after="60" w:line="240" w:lineRule="auto"/>
            </w:pPr>
            <w:r w:rsidRPr="00CE1D7F">
              <w:rPr>
                <w:rFonts w:cs="Calibri"/>
              </w:rPr>
              <w:t>Australia Technology Network of Universities</w:t>
            </w:r>
          </w:p>
        </w:tc>
      </w:tr>
      <w:tr w:rsidR="002B32A0" w:rsidRPr="00CE1D7F" w14:paraId="04B2ED59" w14:textId="77777777" w:rsidTr="006258ED">
        <w:trPr>
          <w:trHeight w:val="340"/>
        </w:trPr>
        <w:tc>
          <w:tcPr>
            <w:tcW w:w="1418" w:type="dxa"/>
            <w:shd w:val="clear" w:color="auto" w:fill="auto"/>
            <w:vAlign w:val="center"/>
          </w:tcPr>
          <w:p w14:paraId="549DC62E" w14:textId="77777777" w:rsidR="002B32A0" w:rsidRPr="00CE1D7F" w:rsidRDefault="002B32A0" w:rsidP="006258ED">
            <w:pPr>
              <w:pStyle w:val="BodyText"/>
              <w:spacing w:before="60" w:after="60" w:line="240" w:lineRule="auto"/>
            </w:pPr>
            <w:r w:rsidRPr="00CE1D7F">
              <w:rPr>
                <w:rFonts w:cs="Calibri"/>
              </w:rPr>
              <w:t>AWA</w:t>
            </w:r>
          </w:p>
        </w:tc>
        <w:tc>
          <w:tcPr>
            <w:tcW w:w="6518" w:type="dxa"/>
            <w:shd w:val="clear" w:color="auto" w:fill="auto"/>
            <w:vAlign w:val="center"/>
          </w:tcPr>
          <w:p w14:paraId="43C8AD73" w14:textId="77777777" w:rsidR="002B32A0" w:rsidRPr="00CE1D7F" w:rsidRDefault="002B32A0" w:rsidP="006258ED">
            <w:pPr>
              <w:pStyle w:val="BodyText"/>
              <w:spacing w:before="60" w:after="60" w:line="240" w:lineRule="auto"/>
            </w:pPr>
            <w:r w:rsidRPr="00CE1D7F">
              <w:rPr>
                <w:rFonts w:cs="Calibri"/>
              </w:rPr>
              <w:t>Australian Water Association</w:t>
            </w:r>
          </w:p>
        </w:tc>
      </w:tr>
      <w:tr w:rsidR="002B32A0" w:rsidRPr="00CE1D7F" w14:paraId="1440013E" w14:textId="77777777" w:rsidTr="006258ED">
        <w:trPr>
          <w:trHeight w:val="340"/>
        </w:trPr>
        <w:tc>
          <w:tcPr>
            <w:tcW w:w="1418" w:type="dxa"/>
            <w:shd w:val="clear" w:color="auto" w:fill="auto"/>
            <w:vAlign w:val="center"/>
          </w:tcPr>
          <w:p w14:paraId="5F481744" w14:textId="77777777" w:rsidR="002B32A0" w:rsidRPr="00A014AC" w:rsidRDefault="002B32A0" w:rsidP="006258ED">
            <w:pPr>
              <w:pStyle w:val="BodyText"/>
              <w:spacing w:before="60" w:after="60" w:line="240" w:lineRule="auto"/>
            </w:pPr>
            <w:r w:rsidRPr="00CE1D7F">
              <w:rPr>
                <w:rFonts w:cs="Calibri"/>
              </w:rPr>
              <w:t>BCR</w:t>
            </w:r>
          </w:p>
        </w:tc>
        <w:tc>
          <w:tcPr>
            <w:tcW w:w="6518" w:type="dxa"/>
            <w:shd w:val="clear" w:color="auto" w:fill="auto"/>
            <w:vAlign w:val="center"/>
          </w:tcPr>
          <w:p w14:paraId="6BB184C9" w14:textId="77777777" w:rsidR="002B32A0" w:rsidRPr="00CE1D7F" w:rsidRDefault="002B32A0" w:rsidP="006258ED">
            <w:pPr>
              <w:pStyle w:val="BodyText"/>
              <w:spacing w:before="60" w:after="60" w:line="240" w:lineRule="auto"/>
            </w:pPr>
            <w:r w:rsidRPr="00CE1D7F">
              <w:rPr>
                <w:rFonts w:cs="Calibri"/>
              </w:rPr>
              <w:t>Benefit-cost ratio</w:t>
            </w:r>
          </w:p>
        </w:tc>
      </w:tr>
      <w:tr w:rsidR="002B32A0" w:rsidRPr="00CE1D7F" w14:paraId="25285D18" w14:textId="77777777" w:rsidTr="006258ED">
        <w:trPr>
          <w:trHeight w:val="340"/>
        </w:trPr>
        <w:tc>
          <w:tcPr>
            <w:tcW w:w="1418" w:type="dxa"/>
            <w:shd w:val="clear" w:color="auto" w:fill="auto"/>
            <w:vAlign w:val="center"/>
          </w:tcPr>
          <w:p w14:paraId="767C627D" w14:textId="77777777" w:rsidR="002B32A0" w:rsidRPr="00CE1D7F" w:rsidRDefault="002B32A0" w:rsidP="006258ED">
            <w:pPr>
              <w:pStyle w:val="BodyText"/>
              <w:spacing w:before="60" w:after="60" w:line="240" w:lineRule="auto"/>
            </w:pPr>
            <w:r w:rsidRPr="00CE1D7F">
              <w:rPr>
                <w:rFonts w:cs="Calibri"/>
              </w:rPr>
              <w:t>BEIS</w:t>
            </w:r>
          </w:p>
        </w:tc>
        <w:tc>
          <w:tcPr>
            <w:tcW w:w="6518" w:type="dxa"/>
            <w:shd w:val="clear" w:color="auto" w:fill="auto"/>
            <w:vAlign w:val="center"/>
          </w:tcPr>
          <w:p w14:paraId="1CDB53BE" w14:textId="77777777" w:rsidR="002B32A0" w:rsidRPr="00CE1D7F" w:rsidRDefault="002B32A0" w:rsidP="006258ED">
            <w:pPr>
              <w:pStyle w:val="BodyText"/>
              <w:spacing w:before="60" w:after="60" w:line="240" w:lineRule="auto"/>
            </w:pPr>
            <w:r w:rsidRPr="00CE1D7F">
              <w:rPr>
                <w:rFonts w:cs="Calibri"/>
              </w:rPr>
              <w:t>Business, Energy and Industrial Strategy</w:t>
            </w:r>
          </w:p>
        </w:tc>
      </w:tr>
      <w:tr w:rsidR="002B32A0" w:rsidRPr="00CE1D7F" w14:paraId="09DAF70F" w14:textId="77777777" w:rsidTr="006258ED">
        <w:trPr>
          <w:trHeight w:val="340"/>
        </w:trPr>
        <w:tc>
          <w:tcPr>
            <w:tcW w:w="1418" w:type="dxa"/>
            <w:shd w:val="clear" w:color="auto" w:fill="auto"/>
            <w:vAlign w:val="center"/>
          </w:tcPr>
          <w:p w14:paraId="1888169F" w14:textId="77777777" w:rsidR="002B32A0" w:rsidRPr="00CE1D7F" w:rsidRDefault="002B32A0" w:rsidP="006258ED">
            <w:pPr>
              <w:pStyle w:val="BodyText"/>
              <w:spacing w:before="60" w:after="60" w:line="240" w:lineRule="auto"/>
            </w:pPr>
            <w:r w:rsidRPr="00CE1D7F">
              <w:rPr>
                <w:rFonts w:cs="Calibri"/>
              </w:rPr>
              <w:t>CABAH</w:t>
            </w:r>
          </w:p>
        </w:tc>
        <w:tc>
          <w:tcPr>
            <w:tcW w:w="6518" w:type="dxa"/>
            <w:shd w:val="clear" w:color="auto" w:fill="auto"/>
            <w:vAlign w:val="center"/>
          </w:tcPr>
          <w:p w14:paraId="37D88E61" w14:textId="77777777" w:rsidR="002B32A0" w:rsidRPr="00CE1D7F" w:rsidRDefault="002B32A0" w:rsidP="006258ED">
            <w:pPr>
              <w:pStyle w:val="BodyText"/>
              <w:spacing w:before="60" w:after="60" w:line="240" w:lineRule="auto"/>
            </w:pPr>
            <w:r w:rsidRPr="00CE1D7F">
              <w:rPr>
                <w:rFonts w:cs="Calibri"/>
              </w:rPr>
              <w:t>Centre of Excellence for Australian Biodiversity and Heritage</w:t>
            </w:r>
          </w:p>
        </w:tc>
      </w:tr>
      <w:tr w:rsidR="002B32A0" w:rsidRPr="00CE1D7F" w14:paraId="7C7B4383" w14:textId="77777777" w:rsidTr="006258ED">
        <w:trPr>
          <w:trHeight w:val="340"/>
        </w:trPr>
        <w:tc>
          <w:tcPr>
            <w:tcW w:w="1418" w:type="dxa"/>
            <w:shd w:val="clear" w:color="auto" w:fill="auto"/>
            <w:vAlign w:val="center"/>
          </w:tcPr>
          <w:p w14:paraId="3044A96E" w14:textId="77777777" w:rsidR="002B32A0" w:rsidRPr="00CE1D7F" w:rsidRDefault="002B32A0" w:rsidP="006258ED">
            <w:pPr>
              <w:pStyle w:val="BodyText"/>
              <w:spacing w:before="60" w:after="60" w:line="240" w:lineRule="auto"/>
            </w:pPr>
            <w:r w:rsidRPr="00CE1D7F">
              <w:rPr>
                <w:rFonts w:cs="Calibri"/>
              </w:rPr>
              <w:t>CBA</w:t>
            </w:r>
          </w:p>
        </w:tc>
        <w:tc>
          <w:tcPr>
            <w:tcW w:w="6518" w:type="dxa"/>
            <w:shd w:val="clear" w:color="auto" w:fill="auto"/>
            <w:vAlign w:val="center"/>
          </w:tcPr>
          <w:p w14:paraId="5524B687" w14:textId="77777777" w:rsidR="002B32A0" w:rsidRPr="00CE1D7F" w:rsidRDefault="002B32A0" w:rsidP="006258ED">
            <w:pPr>
              <w:pStyle w:val="BodyText"/>
              <w:spacing w:before="60" w:after="60" w:line="240" w:lineRule="auto"/>
            </w:pPr>
            <w:r w:rsidRPr="00CE1D7F">
              <w:rPr>
                <w:rFonts w:cs="Calibri"/>
              </w:rPr>
              <w:t>Cost Benefit Analysis</w:t>
            </w:r>
          </w:p>
        </w:tc>
      </w:tr>
      <w:tr w:rsidR="002B32A0" w:rsidRPr="00CE1D7F" w14:paraId="68C95707" w14:textId="77777777" w:rsidTr="006258ED">
        <w:trPr>
          <w:trHeight w:val="340"/>
        </w:trPr>
        <w:tc>
          <w:tcPr>
            <w:tcW w:w="1418" w:type="dxa"/>
            <w:shd w:val="clear" w:color="auto" w:fill="auto"/>
            <w:vAlign w:val="center"/>
          </w:tcPr>
          <w:p w14:paraId="1FD9FD11" w14:textId="77777777" w:rsidR="002B32A0" w:rsidRPr="00CE1D7F" w:rsidRDefault="002B32A0" w:rsidP="006258ED">
            <w:pPr>
              <w:pStyle w:val="BodyText"/>
              <w:spacing w:before="60" w:after="60" w:line="240" w:lineRule="auto"/>
            </w:pPr>
            <w:r w:rsidRPr="00CE1D7F">
              <w:rPr>
                <w:rFonts w:cs="Calibri"/>
              </w:rPr>
              <w:t>CBR</w:t>
            </w:r>
          </w:p>
        </w:tc>
        <w:tc>
          <w:tcPr>
            <w:tcW w:w="6518" w:type="dxa"/>
            <w:shd w:val="clear" w:color="auto" w:fill="auto"/>
            <w:vAlign w:val="center"/>
          </w:tcPr>
          <w:p w14:paraId="08CE2E0D" w14:textId="77777777" w:rsidR="002B32A0" w:rsidRPr="00CE1D7F" w:rsidRDefault="002B32A0" w:rsidP="006258ED">
            <w:pPr>
              <w:pStyle w:val="BodyText"/>
              <w:spacing w:before="60" w:after="60" w:line="240" w:lineRule="auto"/>
            </w:pPr>
            <w:r w:rsidRPr="00CE1D7F">
              <w:rPr>
                <w:rFonts w:cs="Calibri"/>
              </w:rPr>
              <w:t>Cost Benefit Ratio</w:t>
            </w:r>
          </w:p>
        </w:tc>
      </w:tr>
      <w:tr w:rsidR="002B32A0" w:rsidRPr="00CE1D7F" w14:paraId="309B429B" w14:textId="77777777" w:rsidTr="006258ED">
        <w:trPr>
          <w:trHeight w:val="340"/>
        </w:trPr>
        <w:tc>
          <w:tcPr>
            <w:tcW w:w="1418" w:type="dxa"/>
            <w:shd w:val="clear" w:color="auto" w:fill="auto"/>
            <w:vAlign w:val="center"/>
          </w:tcPr>
          <w:p w14:paraId="0F1C8B20" w14:textId="77777777" w:rsidR="002B32A0" w:rsidRPr="00CE1D7F" w:rsidRDefault="002B32A0" w:rsidP="006258ED">
            <w:pPr>
              <w:pStyle w:val="BodyText"/>
              <w:spacing w:before="60" w:after="60" w:line="240" w:lineRule="auto"/>
            </w:pPr>
            <w:r w:rsidRPr="00CE1D7F">
              <w:rPr>
                <w:rFonts w:cs="Calibri"/>
              </w:rPr>
              <w:t>CE</w:t>
            </w:r>
          </w:p>
        </w:tc>
        <w:tc>
          <w:tcPr>
            <w:tcW w:w="6518" w:type="dxa"/>
            <w:shd w:val="clear" w:color="auto" w:fill="auto"/>
            <w:vAlign w:val="center"/>
          </w:tcPr>
          <w:p w14:paraId="55120D76" w14:textId="77777777" w:rsidR="002B32A0" w:rsidRPr="00CE1D7F" w:rsidRDefault="002B32A0" w:rsidP="006258ED">
            <w:pPr>
              <w:pStyle w:val="BodyText"/>
              <w:spacing w:before="60" w:after="60" w:line="240" w:lineRule="auto"/>
            </w:pPr>
            <w:r w:rsidRPr="00CE1D7F">
              <w:rPr>
                <w:rFonts w:cs="Calibri"/>
              </w:rPr>
              <w:t>ARC Centres of Excellence</w:t>
            </w:r>
          </w:p>
        </w:tc>
      </w:tr>
      <w:tr w:rsidR="002B32A0" w:rsidRPr="00CE1D7F" w14:paraId="604DAE91" w14:textId="77777777" w:rsidTr="006258ED">
        <w:trPr>
          <w:trHeight w:val="340"/>
        </w:trPr>
        <w:tc>
          <w:tcPr>
            <w:tcW w:w="1418" w:type="dxa"/>
            <w:shd w:val="clear" w:color="auto" w:fill="auto"/>
          </w:tcPr>
          <w:p w14:paraId="4F570CE0" w14:textId="77777777" w:rsidR="002B32A0" w:rsidRPr="00CE1D7F" w:rsidRDefault="002B32A0" w:rsidP="006258ED">
            <w:pPr>
              <w:pStyle w:val="BodyText"/>
              <w:spacing w:before="60" w:after="60" w:line="240" w:lineRule="auto"/>
              <w:rPr>
                <w:rFonts w:cs="Calibri"/>
              </w:rPr>
            </w:pPr>
            <w:r w:rsidRPr="00CE1D7F">
              <w:t>CGE</w:t>
            </w:r>
          </w:p>
        </w:tc>
        <w:tc>
          <w:tcPr>
            <w:tcW w:w="6518" w:type="dxa"/>
            <w:shd w:val="clear" w:color="auto" w:fill="auto"/>
          </w:tcPr>
          <w:p w14:paraId="5995BBAD" w14:textId="77777777" w:rsidR="002B32A0" w:rsidRPr="00CE1D7F" w:rsidRDefault="002B32A0" w:rsidP="006258ED">
            <w:pPr>
              <w:pStyle w:val="BodyText"/>
              <w:spacing w:before="60" w:after="60" w:line="240" w:lineRule="auto"/>
              <w:rPr>
                <w:rFonts w:cs="Calibri"/>
              </w:rPr>
            </w:pPr>
            <w:r w:rsidRPr="00CE1D7F">
              <w:t>Computable General Equilibrium</w:t>
            </w:r>
          </w:p>
        </w:tc>
      </w:tr>
      <w:tr w:rsidR="002B32A0" w:rsidRPr="00CE1D7F" w14:paraId="346184C7" w14:textId="77777777" w:rsidTr="006258ED">
        <w:trPr>
          <w:trHeight w:val="340"/>
        </w:trPr>
        <w:tc>
          <w:tcPr>
            <w:tcW w:w="1418" w:type="dxa"/>
            <w:shd w:val="clear" w:color="auto" w:fill="auto"/>
            <w:vAlign w:val="center"/>
          </w:tcPr>
          <w:p w14:paraId="1F2EDEE6" w14:textId="77777777" w:rsidR="002B32A0" w:rsidRPr="00CE1D7F" w:rsidRDefault="002B32A0" w:rsidP="006258ED">
            <w:pPr>
              <w:pStyle w:val="BodyText"/>
              <w:spacing w:before="60" w:after="60" w:line="240" w:lineRule="auto"/>
            </w:pPr>
            <w:r w:rsidRPr="00CE1D7F">
              <w:rPr>
                <w:rFonts w:cs="Calibri"/>
              </w:rPr>
              <w:t>CI</w:t>
            </w:r>
          </w:p>
        </w:tc>
        <w:tc>
          <w:tcPr>
            <w:tcW w:w="6518" w:type="dxa"/>
            <w:shd w:val="clear" w:color="auto" w:fill="auto"/>
            <w:vAlign w:val="center"/>
          </w:tcPr>
          <w:p w14:paraId="6429D872" w14:textId="77777777" w:rsidR="002B32A0" w:rsidRPr="00CE1D7F" w:rsidRDefault="002B32A0" w:rsidP="006258ED">
            <w:pPr>
              <w:pStyle w:val="BodyText"/>
              <w:spacing w:before="60" w:after="60" w:line="240" w:lineRule="auto"/>
            </w:pPr>
            <w:r w:rsidRPr="00CE1D7F">
              <w:rPr>
                <w:rFonts w:cs="Calibri"/>
              </w:rPr>
              <w:t>Chief Investigator</w:t>
            </w:r>
          </w:p>
        </w:tc>
      </w:tr>
      <w:tr w:rsidR="002B32A0" w:rsidRPr="00CE1D7F" w14:paraId="2EC577C3" w14:textId="77777777" w:rsidTr="006258ED">
        <w:trPr>
          <w:trHeight w:val="340"/>
        </w:trPr>
        <w:tc>
          <w:tcPr>
            <w:tcW w:w="1418" w:type="dxa"/>
            <w:shd w:val="clear" w:color="auto" w:fill="auto"/>
            <w:vAlign w:val="center"/>
          </w:tcPr>
          <w:p w14:paraId="1C2F8755" w14:textId="77777777" w:rsidR="002B32A0" w:rsidRPr="00CE1D7F" w:rsidRDefault="002B32A0" w:rsidP="006258ED">
            <w:pPr>
              <w:pStyle w:val="BodyText"/>
              <w:spacing w:before="60" w:after="60" w:line="240" w:lineRule="auto"/>
            </w:pPr>
            <w:r w:rsidRPr="00CE1D7F">
              <w:rPr>
                <w:rFonts w:cs="Calibri"/>
              </w:rPr>
              <w:t>CNRS</w:t>
            </w:r>
          </w:p>
        </w:tc>
        <w:tc>
          <w:tcPr>
            <w:tcW w:w="6518" w:type="dxa"/>
            <w:shd w:val="clear" w:color="auto" w:fill="auto"/>
            <w:vAlign w:val="center"/>
          </w:tcPr>
          <w:p w14:paraId="666794D4" w14:textId="77777777" w:rsidR="002B32A0" w:rsidRPr="00CE1D7F" w:rsidRDefault="002B32A0" w:rsidP="006258ED">
            <w:pPr>
              <w:pStyle w:val="BodyText"/>
              <w:spacing w:before="60" w:after="60" w:line="240" w:lineRule="auto"/>
            </w:pPr>
            <w:r w:rsidRPr="00CE1D7F">
              <w:rPr>
                <w:rFonts w:cs="Calibri"/>
              </w:rPr>
              <w:t>National Centre for Scientific Research, France</w:t>
            </w:r>
          </w:p>
        </w:tc>
      </w:tr>
      <w:tr w:rsidR="002B32A0" w:rsidRPr="00CE1D7F" w14:paraId="4BEFAA73" w14:textId="77777777" w:rsidTr="006258ED">
        <w:trPr>
          <w:trHeight w:val="340"/>
        </w:trPr>
        <w:tc>
          <w:tcPr>
            <w:tcW w:w="1418" w:type="dxa"/>
            <w:shd w:val="clear" w:color="auto" w:fill="auto"/>
            <w:vAlign w:val="center"/>
          </w:tcPr>
          <w:p w14:paraId="68903925" w14:textId="77777777" w:rsidR="002B32A0" w:rsidRPr="00CE1D7F" w:rsidRDefault="002B32A0" w:rsidP="006258ED">
            <w:pPr>
              <w:pStyle w:val="BodyText"/>
              <w:spacing w:before="60" w:after="60" w:line="240" w:lineRule="auto"/>
            </w:pPr>
            <w:r w:rsidRPr="00CE1D7F">
              <w:rPr>
                <w:rFonts w:cs="Calibri"/>
              </w:rPr>
              <w:t>CQC</w:t>
            </w:r>
            <w:r w:rsidRPr="00CE1D7F">
              <w:rPr>
                <w:rFonts w:cs="Calibri"/>
                <w:vertAlign w:val="superscript"/>
              </w:rPr>
              <w:t>2</w:t>
            </w:r>
            <w:r w:rsidRPr="00CE1D7F">
              <w:rPr>
                <w:rFonts w:cs="Calibri"/>
              </w:rPr>
              <w:t>T</w:t>
            </w:r>
          </w:p>
        </w:tc>
        <w:tc>
          <w:tcPr>
            <w:tcW w:w="6518" w:type="dxa"/>
            <w:shd w:val="clear" w:color="auto" w:fill="auto"/>
            <w:vAlign w:val="center"/>
          </w:tcPr>
          <w:p w14:paraId="7FED4151" w14:textId="77777777" w:rsidR="002B32A0" w:rsidRPr="00CE1D7F" w:rsidRDefault="002B32A0" w:rsidP="006258ED">
            <w:pPr>
              <w:pStyle w:val="BodyText"/>
              <w:spacing w:before="60" w:after="60" w:line="240" w:lineRule="auto"/>
            </w:pPr>
            <w:r w:rsidRPr="00CE1D7F">
              <w:rPr>
                <w:rFonts w:cs="Calibri"/>
              </w:rPr>
              <w:t>Centre of Excellence for Quantum Computation &amp; Communications Technology</w:t>
            </w:r>
          </w:p>
        </w:tc>
      </w:tr>
      <w:tr w:rsidR="002B32A0" w:rsidRPr="00CE1D7F" w14:paraId="0F16749F" w14:textId="77777777" w:rsidTr="006258ED">
        <w:trPr>
          <w:trHeight w:val="340"/>
        </w:trPr>
        <w:tc>
          <w:tcPr>
            <w:tcW w:w="1418" w:type="dxa"/>
            <w:shd w:val="clear" w:color="auto" w:fill="auto"/>
            <w:vAlign w:val="center"/>
          </w:tcPr>
          <w:p w14:paraId="446AD884" w14:textId="77777777" w:rsidR="002B32A0" w:rsidRPr="00CE1D7F" w:rsidRDefault="002B32A0" w:rsidP="006258ED">
            <w:pPr>
              <w:pStyle w:val="BodyText"/>
              <w:spacing w:before="60" w:after="60" w:line="240" w:lineRule="auto"/>
            </w:pPr>
            <w:r w:rsidRPr="00CE1D7F">
              <w:rPr>
                <w:rFonts w:cs="Calibri"/>
              </w:rPr>
              <w:t>CQCT</w:t>
            </w:r>
          </w:p>
        </w:tc>
        <w:tc>
          <w:tcPr>
            <w:tcW w:w="6518" w:type="dxa"/>
            <w:shd w:val="clear" w:color="auto" w:fill="auto"/>
            <w:vAlign w:val="center"/>
          </w:tcPr>
          <w:p w14:paraId="52011885" w14:textId="77777777" w:rsidR="002B32A0" w:rsidRPr="00CE1D7F" w:rsidRDefault="002B32A0" w:rsidP="006258ED">
            <w:pPr>
              <w:pStyle w:val="BodyText"/>
              <w:spacing w:before="60" w:after="60" w:line="240" w:lineRule="auto"/>
            </w:pPr>
            <w:r w:rsidRPr="00CE1D7F">
              <w:rPr>
                <w:rFonts w:cs="Calibri"/>
              </w:rPr>
              <w:t>Centre for Quantum Computing Technology</w:t>
            </w:r>
          </w:p>
        </w:tc>
      </w:tr>
      <w:tr w:rsidR="002B32A0" w:rsidRPr="00CE1D7F" w14:paraId="3ACCBD3B" w14:textId="77777777" w:rsidTr="006258ED">
        <w:trPr>
          <w:trHeight w:val="340"/>
        </w:trPr>
        <w:tc>
          <w:tcPr>
            <w:tcW w:w="1418" w:type="dxa"/>
            <w:shd w:val="clear" w:color="auto" w:fill="auto"/>
            <w:vAlign w:val="center"/>
          </w:tcPr>
          <w:p w14:paraId="6B84A41E" w14:textId="77777777" w:rsidR="002B32A0" w:rsidRPr="00CE1D7F" w:rsidRDefault="002B32A0" w:rsidP="006258ED">
            <w:pPr>
              <w:pStyle w:val="BodyText"/>
              <w:spacing w:before="60" w:after="60" w:line="240" w:lineRule="auto"/>
            </w:pPr>
            <w:r w:rsidRPr="00CE1D7F">
              <w:rPr>
                <w:rFonts w:cs="Calibri"/>
              </w:rPr>
              <w:t>CRC</w:t>
            </w:r>
          </w:p>
        </w:tc>
        <w:tc>
          <w:tcPr>
            <w:tcW w:w="6518" w:type="dxa"/>
            <w:shd w:val="clear" w:color="auto" w:fill="auto"/>
            <w:vAlign w:val="center"/>
          </w:tcPr>
          <w:p w14:paraId="5A99011E" w14:textId="77777777" w:rsidR="002B32A0" w:rsidRPr="00CE1D7F" w:rsidRDefault="002B32A0" w:rsidP="006258ED">
            <w:pPr>
              <w:pStyle w:val="BodyText"/>
              <w:spacing w:before="60" w:after="60" w:line="240" w:lineRule="auto"/>
            </w:pPr>
            <w:r w:rsidRPr="00CE1D7F">
              <w:rPr>
                <w:rFonts w:cs="Calibri"/>
              </w:rPr>
              <w:t>Cooperative Research Centre</w:t>
            </w:r>
          </w:p>
        </w:tc>
      </w:tr>
      <w:tr w:rsidR="002B32A0" w:rsidRPr="00CE1D7F" w14:paraId="5ABEC491" w14:textId="77777777" w:rsidTr="006258ED">
        <w:trPr>
          <w:trHeight w:val="340"/>
        </w:trPr>
        <w:tc>
          <w:tcPr>
            <w:tcW w:w="1418" w:type="dxa"/>
            <w:shd w:val="clear" w:color="auto" w:fill="auto"/>
            <w:vAlign w:val="center"/>
          </w:tcPr>
          <w:p w14:paraId="5B845866" w14:textId="77777777" w:rsidR="002B32A0" w:rsidRPr="00CE1D7F" w:rsidRDefault="002B32A0" w:rsidP="006258ED">
            <w:pPr>
              <w:pStyle w:val="BodyText"/>
              <w:spacing w:before="60" w:after="60" w:line="240" w:lineRule="auto"/>
            </w:pPr>
            <w:r w:rsidRPr="00CE1D7F">
              <w:rPr>
                <w:rFonts w:cs="Calibri"/>
              </w:rPr>
              <w:t>CRM</w:t>
            </w:r>
          </w:p>
        </w:tc>
        <w:tc>
          <w:tcPr>
            <w:tcW w:w="6518" w:type="dxa"/>
            <w:shd w:val="clear" w:color="auto" w:fill="auto"/>
            <w:vAlign w:val="center"/>
          </w:tcPr>
          <w:p w14:paraId="7F402455" w14:textId="77777777" w:rsidR="002B32A0" w:rsidRPr="00CE1D7F" w:rsidRDefault="002B32A0" w:rsidP="006258ED">
            <w:pPr>
              <w:pStyle w:val="BodyText"/>
              <w:spacing w:before="60" w:after="60" w:line="240" w:lineRule="auto"/>
            </w:pPr>
            <w:r w:rsidRPr="00CE1D7F">
              <w:rPr>
                <w:rFonts w:cs="Calibri"/>
              </w:rPr>
              <w:t>Customer relationship management</w:t>
            </w:r>
          </w:p>
        </w:tc>
      </w:tr>
      <w:tr w:rsidR="002B32A0" w:rsidRPr="00CE1D7F" w14:paraId="58C66726" w14:textId="77777777" w:rsidTr="006258ED">
        <w:trPr>
          <w:trHeight w:val="340"/>
        </w:trPr>
        <w:tc>
          <w:tcPr>
            <w:tcW w:w="1418" w:type="dxa"/>
            <w:shd w:val="clear" w:color="auto" w:fill="auto"/>
            <w:vAlign w:val="center"/>
          </w:tcPr>
          <w:p w14:paraId="6387D9E5" w14:textId="77777777" w:rsidR="002B32A0" w:rsidRPr="00CE1D7F" w:rsidRDefault="002B32A0" w:rsidP="006258ED">
            <w:pPr>
              <w:pStyle w:val="BodyText"/>
              <w:spacing w:before="60" w:after="60" w:line="240" w:lineRule="auto"/>
            </w:pPr>
            <w:r w:rsidRPr="00CE1D7F">
              <w:rPr>
                <w:rFonts w:cs="Calibri"/>
              </w:rPr>
              <w:t>CS</w:t>
            </w:r>
          </w:p>
        </w:tc>
        <w:tc>
          <w:tcPr>
            <w:tcW w:w="6518" w:type="dxa"/>
            <w:shd w:val="clear" w:color="auto" w:fill="auto"/>
            <w:vAlign w:val="center"/>
          </w:tcPr>
          <w:p w14:paraId="6DBF239E" w14:textId="77777777" w:rsidR="002B32A0" w:rsidRPr="00CE1D7F" w:rsidRDefault="002B32A0" w:rsidP="006258ED">
            <w:pPr>
              <w:pStyle w:val="BodyText"/>
              <w:spacing w:before="60" w:after="60" w:line="240" w:lineRule="auto"/>
            </w:pPr>
            <w:r w:rsidRPr="00CE1D7F">
              <w:rPr>
                <w:rFonts w:cs="Calibri"/>
              </w:rPr>
              <w:t>Supporting Responses to Commonwealth Science Council Priorities</w:t>
            </w:r>
          </w:p>
        </w:tc>
      </w:tr>
      <w:tr w:rsidR="002B32A0" w:rsidRPr="00CE1D7F" w14:paraId="11FC9365" w14:textId="77777777" w:rsidTr="006258ED">
        <w:trPr>
          <w:trHeight w:val="340"/>
        </w:trPr>
        <w:tc>
          <w:tcPr>
            <w:tcW w:w="1418" w:type="dxa"/>
            <w:shd w:val="clear" w:color="auto" w:fill="auto"/>
            <w:vAlign w:val="center"/>
          </w:tcPr>
          <w:p w14:paraId="4E6FF54B" w14:textId="77777777" w:rsidR="002B32A0" w:rsidRPr="00CE1D7F" w:rsidRDefault="002B32A0" w:rsidP="006258ED">
            <w:pPr>
              <w:pStyle w:val="BodyText"/>
              <w:spacing w:before="60" w:after="60" w:line="240" w:lineRule="auto"/>
            </w:pPr>
            <w:r w:rsidRPr="00CE1D7F">
              <w:rPr>
                <w:rFonts w:cs="Calibri"/>
              </w:rPr>
              <w:t>CWQRC</w:t>
            </w:r>
          </w:p>
        </w:tc>
        <w:tc>
          <w:tcPr>
            <w:tcW w:w="6518" w:type="dxa"/>
            <w:shd w:val="clear" w:color="auto" w:fill="auto"/>
            <w:vAlign w:val="center"/>
          </w:tcPr>
          <w:p w14:paraId="38222BF1" w14:textId="77777777" w:rsidR="002B32A0" w:rsidRPr="00CE1D7F" w:rsidRDefault="002B32A0" w:rsidP="006258ED">
            <w:pPr>
              <w:pStyle w:val="BodyText"/>
              <w:spacing w:before="60" w:after="60" w:line="240" w:lineRule="auto"/>
            </w:pPr>
            <w:r w:rsidRPr="00CE1D7F">
              <w:rPr>
                <w:rFonts w:cs="Calibri"/>
              </w:rPr>
              <w:t>Curtin Water Quality Research Centre</w:t>
            </w:r>
          </w:p>
        </w:tc>
      </w:tr>
      <w:tr w:rsidR="002B32A0" w:rsidRPr="00CE1D7F" w14:paraId="2619C372" w14:textId="77777777" w:rsidTr="006258ED">
        <w:trPr>
          <w:trHeight w:val="340"/>
        </w:trPr>
        <w:tc>
          <w:tcPr>
            <w:tcW w:w="1418" w:type="dxa"/>
            <w:shd w:val="clear" w:color="auto" w:fill="auto"/>
            <w:vAlign w:val="center"/>
          </w:tcPr>
          <w:p w14:paraId="21AF512D" w14:textId="77777777" w:rsidR="002B32A0" w:rsidRPr="00CE1D7F" w:rsidRDefault="002B32A0" w:rsidP="006258ED">
            <w:pPr>
              <w:pStyle w:val="BodyText"/>
              <w:spacing w:before="60" w:after="60" w:line="240" w:lineRule="auto"/>
            </w:pPr>
            <w:r w:rsidRPr="00CE1D7F">
              <w:rPr>
                <w:rFonts w:cs="Calibri"/>
              </w:rPr>
              <w:t>DE</w:t>
            </w:r>
          </w:p>
        </w:tc>
        <w:tc>
          <w:tcPr>
            <w:tcW w:w="6518" w:type="dxa"/>
            <w:shd w:val="clear" w:color="auto" w:fill="auto"/>
            <w:vAlign w:val="center"/>
          </w:tcPr>
          <w:p w14:paraId="5DC9E9C3" w14:textId="77777777" w:rsidR="002B32A0" w:rsidRPr="00CE1D7F" w:rsidRDefault="002B32A0" w:rsidP="006258ED">
            <w:pPr>
              <w:pStyle w:val="BodyText"/>
              <w:spacing w:before="60" w:after="60" w:line="240" w:lineRule="auto"/>
            </w:pPr>
            <w:r w:rsidRPr="00CE1D7F">
              <w:rPr>
                <w:rFonts w:cs="Calibri"/>
              </w:rPr>
              <w:t>Discovery Early Career Researcher Award</w:t>
            </w:r>
          </w:p>
        </w:tc>
      </w:tr>
      <w:tr w:rsidR="002B32A0" w:rsidRPr="00CE1D7F" w14:paraId="3E64F1D5" w14:textId="77777777" w:rsidTr="006258ED">
        <w:trPr>
          <w:trHeight w:val="340"/>
        </w:trPr>
        <w:tc>
          <w:tcPr>
            <w:tcW w:w="1418" w:type="dxa"/>
            <w:shd w:val="clear" w:color="auto" w:fill="auto"/>
            <w:vAlign w:val="center"/>
          </w:tcPr>
          <w:p w14:paraId="456BAB94" w14:textId="77777777" w:rsidR="002B32A0" w:rsidRPr="00CE1D7F" w:rsidRDefault="002B32A0" w:rsidP="006258ED">
            <w:pPr>
              <w:pStyle w:val="BodyText"/>
              <w:spacing w:before="60" w:after="60" w:line="240" w:lineRule="auto"/>
            </w:pPr>
            <w:r w:rsidRPr="00CE1D7F">
              <w:rPr>
                <w:rFonts w:cs="Calibri"/>
              </w:rPr>
              <w:t>DECRA</w:t>
            </w:r>
          </w:p>
        </w:tc>
        <w:tc>
          <w:tcPr>
            <w:tcW w:w="6518" w:type="dxa"/>
            <w:shd w:val="clear" w:color="auto" w:fill="auto"/>
            <w:vAlign w:val="center"/>
          </w:tcPr>
          <w:p w14:paraId="4EA22B53" w14:textId="77777777" w:rsidR="002B32A0" w:rsidRPr="00CE1D7F" w:rsidRDefault="002B32A0" w:rsidP="006258ED">
            <w:pPr>
              <w:pStyle w:val="BodyText"/>
              <w:spacing w:before="60" w:after="60" w:line="240" w:lineRule="auto"/>
            </w:pPr>
            <w:r w:rsidRPr="00CE1D7F">
              <w:rPr>
                <w:rFonts w:cs="Calibri"/>
              </w:rPr>
              <w:t>Discovery Early Career Research Award</w:t>
            </w:r>
          </w:p>
        </w:tc>
      </w:tr>
      <w:tr w:rsidR="002B32A0" w:rsidRPr="00CE1D7F" w14:paraId="5AB3307C" w14:textId="77777777" w:rsidTr="006258ED">
        <w:trPr>
          <w:trHeight w:val="340"/>
        </w:trPr>
        <w:tc>
          <w:tcPr>
            <w:tcW w:w="1418" w:type="dxa"/>
            <w:shd w:val="clear" w:color="auto" w:fill="auto"/>
            <w:vAlign w:val="center"/>
          </w:tcPr>
          <w:p w14:paraId="419E5AAF" w14:textId="77777777" w:rsidR="002B32A0" w:rsidRPr="00CE1D7F" w:rsidRDefault="002B32A0" w:rsidP="006258ED">
            <w:pPr>
              <w:pStyle w:val="BodyText"/>
              <w:spacing w:before="60" w:after="60" w:line="240" w:lineRule="auto"/>
            </w:pPr>
            <w:r w:rsidRPr="00CE1D7F">
              <w:rPr>
                <w:rFonts w:cs="Calibri"/>
              </w:rPr>
              <w:t>DFV</w:t>
            </w:r>
          </w:p>
        </w:tc>
        <w:tc>
          <w:tcPr>
            <w:tcW w:w="6518" w:type="dxa"/>
            <w:shd w:val="clear" w:color="auto" w:fill="auto"/>
            <w:vAlign w:val="center"/>
          </w:tcPr>
          <w:p w14:paraId="7309D166" w14:textId="77777777" w:rsidR="002B32A0" w:rsidRPr="00CE1D7F" w:rsidRDefault="002B32A0" w:rsidP="006258ED">
            <w:pPr>
              <w:pStyle w:val="BodyText"/>
              <w:spacing w:before="60" w:after="60" w:line="240" w:lineRule="auto"/>
            </w:pPr>
            <w:r w:rsidRPr="00CE1D7F">
              <w:rPr>
                <w:rFonts w:cs="Calibri"/>
              </w:rPr>
              <w:t>Domestic and family violence</w:t>
            </w:r>
          </w:p>
        </w:tc>
      </w:tr>
      <w:tr w:rsidR="002B32A0" w:rsidRPr="00CE1D7F" w14:paraId="4D0F8F0F" w14:textId="77777777" w:rsidTr="006258ED">
        <w:trPr>
          <w:trHeight w:val="340"/>
        </w:trPr>
        <w:tc>
          <w:tcPr>
            <w:tcW w:w="1418" w:type="dxa"/>
            <w:shd w:val="clear" w:color="auto" w:fill="auto"/>
            <w:vAlign w:val="center"/>
          </w:tcPr>
          <w:p w14:paraId="2757FDC2" w14:textId="77777777" w:rsidR="002B32A0" w:rsidRPr="00CE1D7F" w:rsidRDefault="002B32A0" w:rsidP="006258ED">
            <w:pPr>
              <w:pStyle w:val="BodyText"/>
              <w:spacing w:before="60" w:after="60" w:line="240" w:lineRule="auto"/>
            </w:pPr>
            <w:r w:rsidRPr="00CE1D7F">
              <w:rPr>
                <w:rFonts w:cs="Calibri"/>
              </w:rPr>
              <w:t>DI</w:t>
            </w:r>
          </w:p>
        </w:tc>
        <w:tc>
          <w:tcPr>
            <w:tcW w:w="6518" w:type="dxa"/>
            <w:shd w:val="clear" w:color="auto" w:fill="auto"/>
            <w:vAlign w:val="center"/>
          </w:tcPr>
          <w:p w14:paraId="75AEC6DA" w14:textId="77777777" w:rsidR="002B32A0" w:rsidRPr="00CE1D7F" w:rsidRDefault="002B32A0" w:rsidP="006258ED">
            <w:pPr>
              <w:pStyle w:val="BodyText"/>
              <w:spacing w:before="60" w:after="60" w:line="240" w:lineRule="auto"/>
            </w:pPr>
            <w:r w:rsidRPr="00CE1D7F">
              <w:rPr>
                <w:rFonts w:cs="Calibri"/>
              </w:rPr>
              <w:t>Discovery Indigenous</w:t>
            </w:r>
          </w:p>
        </w:tc>
      </w:tr>
      <w:tr w:rsidR="002B32A0" w:rsidRPr="00CE1D7F" w14:paraId="65881880" w14:textId="77777777" w:rsidTr="006258ED">
        <w:trPr>
          <w:trHeight w:val="340"/>
        </w:trPr>
        <w:tc>
          <w:tcPr>
            <w:tcW w:w="1418" w:type="dxa"/>
            <w:shd w:val="clear" w:color="auto" w:fill="auto"/>
            <w:vAlign w:val="center"/>
          </w:tcPr>
          <w:p w14:paraId="68F001A5" w14:textId="77777777" w:rsidR="002B32A0" w:rsidRPr="00CE1D7F" w:rsidRDefault="002B32A0" w:rsidP="006258ED">
            <w:pPr>
              <w:pStyle w:val="BodyText"/>
              <w:spacing w:before="60" w:after="60" w:line="240" w:lineRule="auto"/>
            </w:pPr>
            <w:r w:rsidRPr="00CE1D7F">
              <w:rPr>
                <w:rFonts w:cs="Calibri"/>
              </w:rPr>
              <w:lastRenderedPageBreak/>
              <w:t>DOI</w:t>
            </w:r>
          </w:p>
        </w:tc>
        <w:tc>
          <w:tcPr>
            <w:tcW w:w="6518" w:type="dxa"/>
            <w:shd w:val="clear" w:color="auto" w:fill="auto"/>
            <w:vAlign w:val="center"/>
          </w:tcPr>
          <w:p w14:paraId="5A7C16EB" w14:textId="77777777" w:rsidR="002B32A0" w:rsidRPr="00CE1D7F" w:rsidRDefault="002B32A0" w:rsidP="006258ED">
            <w:pPr>
              <w:pStyle w:val="BodyText"/>
              <w:spacing w:before="60" w:after="60" w:line="240" w:lineRule="auto"/>
            </w:pPr>
            <w:r w:rsidRPr="00CE1D7F">
              <w:rPr>
                <w:rFonts w:cs="Calibri"/>
              </w:rPr>
              <w:t>Digital Object Identifier</w:t>
            </w:r>
          </w:p>
        </w:tc>
      </w:tr>
      <w:tr w:rsidR="002B32A0" w:rsidRPr="00CE1D7F" w14:paraId="483090CC" w14:textId="77777777" w:rsidTr="006258ED">
        <w:trPr>
          <w:trHeight w:val="340"/>
        </w:trPr>
        <w:tc>
          <w:tcPr>
            <w:tcW w:w="1418" w:type="dxa"/>
            <w:shd w:val="clear" w:color="auto" w:fill="auto"/>
            <w:vAlign w:val="center"/>
          </w:tcPr>
          <w:p w14:paraId="3120CC41" w14:textId="77777777" w:rsidR="002B32A0" w:rsidRPr="00CE1D7F" w:rsidRDefault="002B32A0" w:rsidP="006258ED">
            <w:pPr>
              <w:pStyle w:val="BodyText"/>
              <w:spacing w:before="60" w:after="60" w:line="240" w:lineRule="auto"/>
            </w:pPr>
            <w:r w:rsidRPr="00CE1D7F">
              <w:rPr>
                <w:rFonts w:cs="Calibri"/>
              </w:rPr>
              <w:t>DP</w:t>
            </w:r>
          </w:p>
        </w:tc>
        <w:tc>
          <w:tcPr>
            <w:tcW w:w="6518" w:type="dxa"/>
            <w:shd w:val="clear" w:color="auto" w:fill="auto"/>
            <w:vAlign w:val="center"/>
          </w:tcPr>
          <w:p w14:paraId="5248A6B7" w14:textId="77777777" w:rsidR="002B32A0" w:rsidRPr="00CE1D7F" w:rsidRDefault="002B32A0" w:rsidP="006258ED">
            <w:pPr>
              <w:pStyle w:val="BodyText"/>
              <w:spacing w:before="60" w:after="60" w:line="240" w:lineRule="auto"/>
            </w:pPr>
            <w:r w:rsidRPr="00CE1D7F">
              <w:rPr>
                <w:rFonts w:cs="Calibri"/>
              </w:rPr>
              <w:t>Discovery Projects</w:t>
            </w:r>
          </w:p>
        </w:tc>
      </w:tr>
      <w:tr w:rsidR="002B32A0" w:rsidRPr="00CE1D7F" w14:paraId="2F9377AC" w14:textId="77777777" w:rsidTr="006258ED">
        <w:trPr>
          <w:trHeight w:val="340"/>
        </w:trPr>
        <w:tc>
          <w:tcPr>
            <w:tcW w:w="1418" w:type="dxa"/>
            <w:shd w:val="clear" w:color="auto" w:fill="auto"/>
            <w:vAlign w:val="center"/>
          </w:tcPr>
          <w:p w14:paraId="0A2FC58B" w14:textId="77777777" w:rsidR="002B32A0" w:rsidRPr="00CE1D7F" w:rsidRDefault="002B32A0" w:rsidP="006258ED">
            <w:pPr>
              <w:pStyle w:val="BodyText"/>
              <w:spacing w:before="60" w:after="60" w:line="240" w:lineRule="auto"/>
            </w:pPr>
            <w:r w:rsidRPr="00CE1D7F">
              <w:rPr>
                <w:rFonts w:cs="Calibri"/>
              </w:rPr>
              <w:t>DR</w:t>
            </w:r>
          </w:p>
        </w:tc>
        <w:tc>
          <w:tcPr>
            <w:tcW w:w="6518" w:type="dxa"/>
            <w:shd w:val="clear" w:color="auto" w:fill="auto"/>
            <w:vAlign w:val="center"/>
          </w:tcPr>
          <w:p w14:paraId="65BA1A65" w14:textId="77777777" w:rsidR="002B32A0" w:rsidRPr="00CE1D7F" w:rsidRDefault="002B32A0" w:rsidP="006258ED">
            <w:pPr>
              <w:pStyle w:val="BodyText"/>
              <w:spacing w:before="60" w:after="60" w:line="240" w:lineRule="auto"/>
            </w:pPr>
            <w:r w:rsidRPr="00CE1D7F">
              <w:rPr>
                <w:rFonts w:cs="Calibri"/>
              </w:rPr>
              <w:t>Distribution Ratio</w:t>
            </w:r>
          </w:p>
        </w:tc>
      </w:tr>
      <w:tr w:rsidR="002B32A0" w:rsidRPr="00CE1D7F" w14:paraId="7EDEDCFE" w14:textId="77777777" w:rsidTr="006258ED">
        <w:trPr>
          <w:trHeight w:val="340"/>
        </w:trPr>
        <w:tc>
          <w:tcPr>
            <w:tcW w:w="1418" w:type="dxa"/>
            <w:shd w:val="clear" w:color="auto" w:fill="auto"/>
            <w:vAlign w:val="center"/>
          </w:tcPr>
          <w:p w14:paraId="4762D94D" w14:textId="77777777" w:rsidR="002B32A0" w:rsidRPr="00CE1D7F" w:rsidRDefault="002B32A0" w:rsidP="006258ED">
            <w:pPr>
              <w:pStyle w:val="BodyText"/>
              <w:spacing w:before="60" w:after="60" w:line="240" w:lineRule="auto"/>
            </w:pPr>
            <w:r w:rsidRPr="00CE1D7F">
              <w:rPr>
                <w:rFonts w:cs="Calibri"/>
              </w:rPr>
              <w:t>FT</w:t>
            </w:r>
          </w:p>
        </w:tc>
        <w:tc>
          <w:tcPr>
            <w:tcW w:w="6518" w:type="dxa"/>
            <w:shd w:val="clear" w:color="auto" w:fill="auto"/>
            <w:vAlign w:val="center"/>
          </w:tcPr>
          <w:p w14:paraId="36373451" w14:textId="77777777" w:rsidR="002B32A0" w:rsidRPr="00CE1D7F" w:rsidRDefault="002B32A0" w:rsidP="006258ED">
            <w:pPr>
              <w:pStyle w:val="BodyText"/>
              <w:spacing w:before="60" w:after="60" w:line="240" w:lineRule="auto"/>
            </w:pPr>
            <w:r w:rsidRPr="00CE1D7F">
              <w:rPr>
                <w:rFonts w:cs="Calibri"/>
              </w:rPr>
              <w:t>Future Fellowships</w:t>
            </w:r>
          </w:p>
        </w:tc>
      </w:tr>
      <w:tr w:rsidR="002B32A0" w:rsidRPr="00CE1D7F" w14:paraId="0F95C63F" w14:textId="77777777" w:rsidTr="006258ED">
        <w:trPr>
          <w:trHeight w:val="340"/>
        </w:trPr>
        <w:tc>
          <w:tcPr>
            <w:tcW w:w="1418" w:type="dxa"/>
            <w:shd w:val="clear" w:color="auto" w:fill="auto"/>
            <w:vAlign w:val="center"/>
          </w:tcPr>
          <w:p w14:paraId="46D0E6BF" w14:textId="77777777" w:rsidR="002B32A0" w:rsidRPr="00CE1D7F" w:rsidRDefault="002B32A0" w:rsidP="006258ED">
            <w:pPr>
              <w:pStyle w:val="BodyText"/>
              <w:spacing w:before="60" w:after="60" w:line="240" w:lineRule="auto"/>
            </w:pPr>
            <w:r w:rsidRPr="00CE1D7F">
              <w:rPr>
                <w:rFonts w:cs="Calibri"/>
              </w:rPr>
              <w:t>ECR</w:t>
            </w:r>
          </w:p>
        </w:tc>
        <w:tc>
          <w:tcPr>
            <w:tcW w:w="6518" w:type="dxa"/>
            <w:shd w:val="clear" w:color="auto" w:fill="auto"/>
            <w:vAlign w:val="center"/>
          </w:tcPr>
          <w:p w14:paraId="57310B92" w14:textId="77777777" w:rsidR="002B32A0" w:rsidRPr="00CE1D7F" w:rsidRDefault="002B32A0" w:rsidP="006258ED">
            <w:pPr>
              <w:pStyle w:val="BodyText"/>
              <w:spacing w:before="60" w:after="60" w:line="240" w:lineRule="auto"/>
            </w:pPr>
            <w:r w:rsidRPr="00CE1D7F">
              <w:rPr>
                <w:rFonts w:cs="Calibri"/>
              </w:rPr>
              <w:t>Early career researcher</w:t>
            </w:r>
          </w:p>
        </w:tc>
      </w:tr>
      <w:tr w:rsidR="002B32A0" w:rsidRPr="00CE1D7F" w14:paraId="7DF45699" w14:textId="77777777" w:rsidTr="006258ED">
        <w:trPr>
          <w:trHeight w:val="340"/>
        </w:trPr>
        <w:tc>
          <w:tcPr>
            <w:tcW w:w="1418" w:type="dxa"/>
            <w:shd w:val="clear" w:color="auto" w:fill="auto"/>
            <w:vAlign w:val="center"/>
          </w:tcPr>
          <w:p w14:paraId="7FE30911" w14:textId="77777777" w:rsidR="002B32A0" w:rsidRPr="00CE1D7F" w:rsidRDefault="002B32A0" w:rsidP="006258ED">
            <w:pPr>
              <w:pStyle w:val="BodyText"/>
              <w:spacing w:before="60" w:after="60" w:line="240" w:lineRule="auto"/>
            </w:pPr>
            <w:r w:rsidRPr="00CE1D7F">
              <w:rPr>
                <w:rFonts w:cs="Calibri"/>
              </w:rPr>
              <w:t>ECU</w:t>
            </w:r>
          </w:p>
        </w:tc>
        <w:tc>
          <w:tcPr>
            <w:tcW w:w="6518" w:type="dxa"/>
            <w:shd w:val="clear" w:color="auto" w:fill="auto"/>
            <w:vAlign w:val="center"/>
          </w:tcPr>
          <w:p w14:paraId="43DFDB7E" w14:textId="77777777" w:rsidR="002B32A0" w:rsidRPr="00CE1D7F" w:rsidRDefault="002B32A0" w:rsidP="006258ED">
            <w:pPr>
              <w:pStyle w:val="BodyText"/>
              <w:spacing w:before="60" w:after="60" w:line="240" w:lineRule="auto"/>
            </w:pPr>
            <w:r w:rsidRPr="00CE1D7F">
              <w:rPr>
                <w:rFonts w:cs="Calibri"/>
              </w:rPr>
              <w:t>Edith Cowan University</w:t>
            </w:r>
          </w:p>
        </w:tc>
      </w:tr>
      <w:tr w:rsidR="002B32A0" w:rsidRPr="00CE1D7F" w14:paraId="115C38DB" w14:textId="77777777" w:rsidTr="006258ED">
        <w:trPr>
          <w:trHeight w:val="340"/>
        </w:trPr>
        <w:tc>
          <w:tcPr>
            <w:tcW w:w="1418" w:type="dxa"/>
            <w:shd w:val="clear" w:color="auto" w:fill="auto"/>
            <w:vAlign w:val="center"/>
          </w:tcPr>
          <w:p w14:paraId="21AB2604" w14:textId="77777777" w:rsidR="002B32A0" w:rsidRPr="00A014AC" w:rsidRDefault="002B32A0" w:rsidP="006258ED">
            <w:pPr>
              <w:pStyle w:val="BodyText"/>
              <w:spacing w:before="60" w:after="60" w:line="240" w:lineRule="auto"/>
            </w:pPr>
            <w:r w:rsidRPr="00CE1D7F">
              <w:rPr>
                <w:rFonts w:cs="Calibri"/>
              </w:rPr>
              <w:t>EI</w:t>
            </w:r>
          </w:p>
        </w:tc>
        <w:tc>
          <w:tcPr>
            <w:tcW w:w="6518" w:type="dxa"/>
            <w:shd w:val="clear" w:color="auto" w:fill="auto"/>
            <w:vAlign w:val="center"/>
          </w:tcPr>
          <w:p w14:paraId="3DDE39CD" w14:textId="77777777" w:rsidR="002B32A0" w:rsidRPr="00CE1D7F" w:rsidRDefault="002B32A0" w:rsidP="006258ED">
            <w:pPr>
              <w:pStyle w:val="BodyText"/>
              <w:spacing w:before="60" w:after="60" w:line="240" w:lineRule="auto"/>
            </w:pPr>
            <w:r w:rsidRPr="00CE1D7F">
              <w:rPr>
                <w:rFonts w:cs="Calibri"/>
              </w:rPr>
              <w:t>Engagement and Impact</w:t>
            </w:r>
          </w:p>
        </w:tc>
      </w:tr>
      <w:tr w:rsidR="002B32A0" w:rsidRPr="00CE1D7F" w14:paraId="4F18A907" w14:textId="77777777" w:rsidTr="006258ED">
        <w:trPr>
          <w:trHeight w:val="340"/>
        </w:trPr>
        <w:tc>
          <w:tcPr>
            <w:tcW w:w="1418" w:type="dxa"/>
            <w:shd w:val="clear" w:color="auto" w:fill="auto"/>
            <w:vAlign w:val="center"/>
          </w:tcPr>
          <w:p w14:paraId="19FDD2B2" w14:textId="77777777" w:rsidR="002B32A0" w:rsidRPr="00CE1D7F" w:rsidRDefault="002B32A0" w:rsidP="006258ED">
            <w:pPr>
              <w:pStyle w:val="BodyText"/>
              <w:spacing w:before="60" w:after="60" w:line="240" w:lineRule="auto"/>
            </w:pPr>
            <w:r w:rsidRPr="00CE1D7F">
              <w:rPr>
                <w:rFonts w:cs="Calibri"/>
              </w:rPr>
              <w:t>EQUIS</w:t>
            </w:r>
          </w:p>
        </w:tc>
        <w:tc>
          <w:tcPr>
            <w:tcW w:w="6518" w:type="dxa"/>
            <w:shd w:val="clear" w:color="auto" w:fill="auto"/>
            <w:vAlign w:val="center"/>
          </w:tcPr>
          <w:p w14:paraId="3988C5CA" w14:textId="77777777" w:rsidR="002B32A0" w:rsidRPr="00CE1D7F" w:rsidRDefault="002B32A0" w:rsidP="006258ED">
            <w:pPr>
              <w:pStyle w:val="BodyText"/>
              <w:spacing w:before="60" w:after="60" w:line="240" w:lineRule="auto"/>
            </w:pPr>
            <w:r w:rsidRPr="00CE1D7F">
              <w:rPr>
                <w:rFonts w:cs="Calibri"/>
              </w:rPr>
              <w:t>Environmental Quality Information System</w:t>
            </w:r>
          </w:p>
        </w:tc>
      </w:tr>
      <w:tr w:rsidR="002B32A0" w:rsidRPr="00CE1D7F" w14:paraId="59B2213F" w14:textId="77777777" w:rsidTr="006258ED">
        <w:trPr>
          <w:trHeight w:val="340"/>
        </w:trPr>
        <w:tc>
          <w:tcPr>
            <w:tcW w:w="1418" w:type="dxa"/>
            <w:shd w:val="clear" w:color="auto" w:fill="auto"/>
            <w:vAlign w:val="center"/>
          </w:tcPr>
          <w:p w14:paraId="001958CC" w14:textId="77777777" w:rsidR="002B32A0" w:rsidRPr="00CE1D7F" w:rsidRDefault="002B32A0" w:rsidP="006258ED">
            <w:pPr>
              <w:pStyle w:val="BodyText"/>
              <w:spacing w:before="60" w:after="60" w:line="240" w:lineRule="auto"/>
            </w:pPr>
            <w:r w:rsidRPr="00CE1D7F">
              <w:rPr>
                <w:rFonts w:cs="Calibri"/>
              </w:rPr>
              <w:t>EQUS</w:t>
            </w:r>
          </w:p>
        </w:tc>
        <w:tc>
          <w:tcPr>
            <w:tcW w:w="6518" w:type="dxa"/>
            <w:shd w:val="clear" w:color="auto" w:fill="auto"/>
            <w:vAlign w:val="center"/>
          </w:tcPr>
          <w:p w14:paraId="6770491F" w14:textId="77777777" w:rsidR="002B32A0" w:rsidRPr="00CE1D7F" w:rsidRDefault="002B32A0" w:rsidP="006258ED">
            <w:pPr>
              <w:pStyle w:val="BodyText"/>
              <w:spacing w:before="60" w:after="60" w:line="240" w:lineRule="auto"/>
            </w:pPr>
            <w:r w:rsidRPr="00CE1D7F">
              <w:rPr>
                <w:rFonts w:cs="Calibri"/>
              </w:rPr>
              <w:t>Engineered Quantum Systems</w:t>
            </w:r>
          </w:p>
        </w:tc>
      </w:tr>
      <w:tr w:rsidR="002B32A0" w:rsidRPr="00CE1D7F" w14:paraId="2C4EC716" w14:textId="77777777" w:rsidTr="006258ED">
        <w:trPr>
          <w:trHeight w:val="340"/>
        </w:trPr>
        <w:tc>
          <w:tcPr>
            <w:tcW w:w="1418" w:type="dxa"/>
            <w:shd w:val="clear" w:color="auto" w:fill="auto"/>
            <w:vAlign w:val="center"/>
          </w:tcPr>
          <w:p w14:paraId="21B26673" w14:textId="77777777" w:rsidR="002B32A0" w:rsidRPr="00CE1D7F" w:rsidRDefault="002B32A0" w:rsidP="006258ED">
            <w:pPr>
              <w:pStyle w:val="BodyText"/>
              <w:spacing w:before="60" w:after="60" w:line="240" w:lineRule="auto"/>
            </w:pPr>
            <w:r w:rsidRPr="00CE1D7F">
              <w:rPr>
                <w:rFonts w:cs="Calibri"/>
              </w:rPr>
              <w:t>ERA</w:t>
            </w:r>
          </w:p>
        </w:tc>
        <w:tc>
          <w:tcPr>
            <w:tcW w:w="6518" w:type="dxa"/>
            <w:shd w:val="clear" w:color="auto" w:fill="auto"/>
            <w:vAlign w:val="center"/>
          </w:tcPr>
          <w:p w14:paraId="54110738" w14:textId="77777777" w:rsidR="002B32A0" w:rsidRPr="00CE1D7F" w:rsidRDefault="002B32A0" w:rsidP="006258ED">
            <w:pPr>
              <w:pStyle w:val="BodyText"/>
              <w:spacing w:before="60" w:after="60" w:line="240" w:lineRule="auto"/>
            </w:pPr>
            <w:r w:rsidRPr="00CE1D7F">
              <w:rPr>
                <w:rFonts w:cs="Calibri"/>
              </w:rPr>
              <w:t>Excellence in Research for Australia</w:t>
            </w:r>
          </w:p>
        </w:tc>
      </w:tr>
      <w:tr w:rsidR="002B32A0" w:rsidRPr="00CE1D7F" w14:paraId="6A481BD7" w14:textId="77777777" w:rsidTr="006258ED">
        <w:trPr>
          <w:trHeight w:val="340"/>
        </w:trPr>
        <w:tc>
          <w:tcPr>
            <w:tcW w:w="1418" w:type="dxa"/>
            <w:shd w:val="clear" w:color="auto" w:fill="auto"/>
            <w:vAlign w:val="center"/>
          </w:tcPr>
          <w:p w14:paraId="6538655E" w14:textId="77777777" w:rsidR="002B32A0" w:rsidRPr="00CE1D7F" w:rsidRDefault="002B32A0" w:rsidP="006258ED">
            <w:pPr>
              <w:pStyle w:val="BodyText"/>
              <w:spacing w:before="60" w:after="60" w:line="240" w:lineRule="auto"/>
            </w:pPr>
            <w:r w:rsidRPr="00CE1D7F">
              <w:rPr>
                <w:rFonts w:cs="Calibri"/>
              </w:rPr>
              <w:t>ESA</w:t>
            </w:r>
          </w:p>
        </w:tc>
        <w:tc>
          <w:tcPr>
            <w:tcW w:w="6518" w:type="dxa"/>
            <w:shd w:val="clear" w:color="auto" w:fill="auto"/>
            <w:vAlign w:val="center"/>
          </w:tcPr>
          <w:p w14:paraId="3F95A0D7" w14:textId="77777777" w:rsidR="002B32A0" w:rsidRPr="00CE1D7F" w:rsidRDefault="002B32A0" w:rsidP="006258ED">
            <w:pPr>
              <w:pStyle w:val="BodyText"/>
              <w:spacing w:before="60" w:after="60" w:line="240" w:lineRule="auto"/>
            </w:pPr>
            <w:r w:rsidRPr="00CE1D7F">
              <w:rPr>
                <w:rFonts w:cs="Calibri"/>
              </w:rPr>
              <w:t>European Space Agency</w:t>
            </w:r>
          </w:p>
        </w:tc>
      </w:tr>
      <w:tr w:rsidR="002B32A0" w:rsidRPr="00CE1D7F" w14:paraId="0620D9AA" w14:textId="77777777" w:rsidTr="006258ED">
        <w:trPr>
          <w:trHeight w:val="340"/>
        </w:trPr>
        <w:tc>
          <w:tcPr>
            <w:tcW w:w="1418" w:type="dxa"/>
            <w:shd w:val="clear" w:color="auto" w:fill="auto"/>
            <w:vAlign w:val="center"/>
          </w:tcPr>
          <w:p w14:paraId="6B60E8BC" w14:textId="77777777" w:rsidR="002B32A0" w:rsidRPr="00CE1D7F" w:rsidRDefault="002B32A0" w:rsidP="006258ED">
            <w:pPr>
              <w:pStyle w:val="BodyText"/>
              <w:spacing w:before="60" w:after="60" w:line="240" w:lineRule="auto"/>
            </w:pPr>
            <w:r w:rsidRPr="00CE1D7F">
              <w:rPr>
                <w:rFonts w:cs="Calibri"/>
              </w:rPr>
              <w:t>EU</w:t>
            </w:r>
          </w:p>
        </w:tc>
        <w:tc>
          <w:tcPr>
            <w:tcW w:w="6518" w:type="dxa"/>
            <w:shd w:val="clear" w:color="auto" w:fill="auto"/>
            <w:vAlign w:val="center"/>
          </w:tcPr>
          <w:p w14:paraId="7FCD6822" w14:textId="77777777" w:rsidR="002B32A0" w:rsidRPr="00CE1D7F" w:rsidRDefault="002B32A0" w:rsidP="006258ED">
            <w:pPr>
              <w:pStyle w:val="BodyText"/>
              <w:spacing w:before="60" w:after="60" w:line="240" w:lineRule="auto"/>
            </w:pPr>
            <w:r w:rsidRPr="00CE1D7F">
              <w:rPr>
                <w:rFonts w:cs="Calibri"/>
              </w:rPr>
              <w:t>European Union</w:t>
            </w:r>
          </w:p>
        </w:tc>
      </w:tr>
      <w:tr w:rsidR="002B32A0" w:rsidRPr="00CE1D7F" w14:paraId="2024259D" w14:textId="77777777" w:rsidTr="006258ED">
        <w:trPr>
          <w:trHeight w:val="340"/>
        </w:trPr>
        <w:tc>
          <w:tcPr>
            <w:tcW w:w="1418" w:type="dxa"/>
            <w:shd w:val="clear" w:color="auto" w:fill="auto"/>
            <w:vAlign w:val="center"/>
          </w:tcPr>
          <w:p w14:paraId="354B053B" w14:textId="77777777" w:rsidR="002B32A0" w:rsidRPr="00CE1D7F" w:rsidRDefault="002B32A0" w:rsidP="006258ED">
            <w:pPr>
              <w:pStyle w:val="BodyText"/>
              <w:spacing w:before="60" w:after="60" w:line="240" w:lineRule="auto"/>
            </w:pPr>
            <w:r w:rsidRPr="00CE1D7F">
              <w:rPr>
                <w:rFonts w:cs="Calibri"/>
              </w:rPr>
              <w:t>FL</w:t>
            </w:r>
          </w:p>
        </w:tc>
        <w:tc>
          <w:tcPr>
            <w:tcW w:w="6518" w:type="dxa"/>
            <w:shd w:val="clear" w:color="auto" w:fill="auto"/>
            <w:vAlign w:val="center"/>
          </w:tcPr>
          <w:p w14:paraId="1A14844C" w14:textId="77777777" w:rsidR="002B32A0" w:rsidRPr="00CE1D7F" w:rsidRDefault="002B32A0" w:rsidP="006258ED">
            <w:pPr>
              <w:pStyle w:val="BodyText"/>
              <w:spacing w:before="60" w:after="60" w:line="240" w:lineRule="auto"/>
            </w:pPr>
            <w:r w:rsidRPr="00CE1D7F">
              <w:rPr>
                <w:rFonts w:cs="Calibri"/>
              </w:rPr>
              <w:t>Australian Laureate Fellowships</w:t>
            </w:r>
          </w:p>
        </w:tc>
      </w:tr>
      <w:tr w:rsidR="002B32A0" w:rsidRPr="00CE1D7F" w14:paraId="5A338ACF" w14:textId="77777777" w:rsidTr="006258ED">
        <w:trPr>
          <w:trHeight w:val="340"/>
        </w:trPr>
        <w:tc>
          <w:tcPr>
            <w:tcW w:w="1418" w:type="dxa"/>
            <w:shd w:val="clear" w:color="auto" w:fill="auto"/>
            <w:vAlign w:val="center"/>
          </w:tcPr>
          <w:p w14:paraId="25C3AEE2" w14:textId="77777777" w:rsidR="002B32A0" w:rsidRPr="00CE1D7F" w:rsidRDefault="002B32A0" w:rsidP="006258ED">
            <w:pPr>
              <w:pStyle w:val="BodyText"/>
              <w:spacing w:before="60" w:after="60" w:line="240" w:lineRule="auto"/>
            </w:pPr>
            <w:r w:rsidRPr="00CE1D7F">
              <w:rPr>
                <w:rFonts w:cs="Calibri"/>
              </w:rPr>
              <w:t>FLEET</w:t>
            </w:r>
          </w:p>
        </w:tc>
        <w:tc>
          <w:tcPr>
            <w:tcW w:w="6518" w:type="dxa"/>
            <w:shd w:val="clear" w:color="auto" w:fill="auto"/>
            <w:vAlign w:val="center"/>
          </w:tcPr>
          <w:p w14:paraId="5F18EC71" w14:textId="77777777" w:rsidR="002B32A0" w:rsidRPr="00CE1D7F" w:rsidRDefault="002B32A0" w:rsidP="006258ED">
            <w:pPr>
              <w:pStyle w:val="BodyText"/>
              <w:spacing w:before="60" w:after="60" w:line="240" w:lineRule="auto"/>
            </w:pPr>
            <w:r w:rsidRPr="00CE1D7F">
              <w:rPr>
                <w:rFonts w:cs="Calibri"/>
              </w:rPr>
              <w:t>Future Low-Energy Electronics Technologies</w:t>
            </w:r>
          </w:p>
        </w:tc>
      </w:tr>
      <w:tr w:rsidR="002B32A0" w:rsidRPr="00CE1D7F" w14:paraId="1579B413" w14:textId="77777777" w:rsidTr="006258ED">
        <w:trPr>
          <w:trHeight w:val="340"/>
        </w:trPr>
        <w:tc>
          <w:tcPr>
            <w:tcW w:w="1418" w:type="dxa"/>
            <w:shd w:val="clear" w:color="auto" w:fill="auto"/>
            <w:vAlign w:val="center"/>
          </w:tcPr>
          <w:p w14:paraId="06610649" w14:textId="77777777" w:rsidR="002B32A0" w:rsidRPr="00CE1D7F" w:rsidRDefault="002B32A0" w:rsidP="006258ED">
            <w:pPr>
              <w:pStyle w:val="BodyText"/>
              <w:spacing w:before="60" w:after="60" w:line="240" w:lineRule="auto"/>
            </w:pPr>
            <w:r>
              <w:rPr>
                <w:rFonts w:cs="Calibri"/>
              </w:rPr>
              <w:t>FoR</w:t>
            </w:r>
          </w:p>
        </w:tc>
        <w:tc>
          <w:tcPr>
            <w:tcW w:w="6518" w:type="dxa"/>
            <w:shd w:val="clear" w:color="auto" w:fill="auto"/>
            <w:vAlign w:val="center"/>
          </w:tcPr>
          <w:p w14:paraId="533AE540" w14:textId="77777777" w:rsidR="002B32A0" w:rsidRPr="00CE1D7F" w:rsidRDefault="002B32A0" w:rsidP="006258ED">
            <w:pPr>
              <w:pStyle w:val="BodyText"/>
              <w:spacing w:before="60" w:after="60" w:line="240" w:lineRule="auto"/>
            </w:pPr>
            <w:r w:rsidRPr="00CE1D7F">
              <w:rPr>
                <w:rFonts w:cs="Calibri"/>
              </w:rPr>
              <w:t>Field of Research</w:t>
            </w:r>
          </w:p>
        </w:tc>
      </w:tr>
      <w:tr w:rsidR="002B32A0" w:rsidRPr="00CE1D7F" w14:paraId="0CAF8ECB" w14:textId="77777777" w:rsidTr="006258ED">
        <w:trPr>
          <w:trHeight w:val="340"/>
        </w:trPr>
        <w:tc>
          <w:tcPr>
            <w:tcW w:w="1418" w:type="dxa"/>
            <w:shd w:val="clear" w:color="auto" w:fill="auto"/>
            <w:vAlign w:val="center"/>
          </w:tcPr>
          <w:p w14:paraId="78FDFEFC" w14:textId="77777777" w:rsidR="002B32A0" w:rsidRPr="00CE1D7F" w:rsidRDefault="002B32A0" w:rsidP="006258ED">
            <w:pPr>
              <w:pStyle w:val="BodyText"/>
              <w:spacing w:before="60" w:after="60" w:line="240" w:lineRule="auto"/>
            </w:pPr>
            <w:r w:rsidRPr="00CE1D7F">
              <w:rPr>
                <w:rFonts w:cs="Calibri"/>
              </w:rPr>
              <w:t>FTE</w:t>
            </w:r>
          </w:p>
        </w:tc>
        <w:tc>
          <w:tcPr>
            <w:tcW w:w="6518" w:type="dxa"/>
            <w:shd w:val="clear" w:color="auto" w:fill="auto"/>
            <w:vAlign w:val="center"/>
          </w:tcPr>
          <w:p w14:paraId="432C11B1" w14:textId="77777777" w:rsidR="002B32A0" w:rsidRPr="00CE1D7F" w:rsidRDefault="002B32A0" w:rsidP="006258ED">
            <w:pPr>
              <w:pStyle w:val="BodyText"/>
              <w:spacing w:before="60" w:after="60" w:line="240" w:lineRule="auto"/>
            </w:pPr>
            <w:r w:rsidRPr="00CE1D7F">
              <w:rPr>
                <w:rFonts w:cs="Calibri"/>
              </w:rPr>
              <w:t>Full-time equivalent</w:t>
            </w:r>
          </w:p>
        </w:tc>
      </w:tr>
      <w:tr w:rsidR="002B32A0" w:rsidRPr="00CE1D7F" w14:paraId="091A01C5" w14:textId="77777777" w:rsidTr="006258ED">
        <w:trPr>
          <w:trHeight w:val="340"/>
        </w:trPr>
        <w:tc>
          <w:tcPr>
            <w:tcW w:w="1418" w:type="dxa"/>
            <w:shd w:val="clear" w:color="auto" w:fill="auto"/>
            <w:vAlign w:val="center"/>
          </w:tcPr>
          <w:p w14:paraId="4605ACE8" w14:textId="77777777" w:rsidR="002B32A0" w:rsidRPr="00CE1D7F" w:rsidRDefault="002B32A0" w:rsidP="006258ED">
            <w:pPr>
              <w:pStyle w:val="BodyText"/>
              <w:spacing w:before="60" w:after="60" w:line="240" w:lineRule="auto"/>
            </w:pPr>
            <w:r w:rsidRPr="00CE1D7F">
              <w:rPr>
                <w:rFonts w:cs="Calibri"/>
              </w:rPr>
              <w:t>GBK</w:t>
            </w:r>
          </w:p>
        </w:tc>
        <w:tc>
          <w:tcPr>
            <w:tcW w:w="6518" w:type="dxa"/>
            <w:shd w:val="clear" w:color="auto" w:fill="auto"/>
            <w:vAlign w:val="center"/>
          </w:tcPr>
          <w:p w14:paraId="62C70BBB" w14:textId="77777777" w:rsidR="002B32A0" w:rsidRPr="00CE1D7F" w:rsidRDefault="002B32A0" w:rsidP="006258ED">
            <w:pPr>
              <w:pStyle w:val="BodyText"/>
              <w:spacing w:before="60" w:after="60" w:line="240" w:lineRule="auto"/>
            </w:pPr>
            <w:r w:rsidRPr="00CE1D7F">
              <w:rPr>
                <w:rFonts w:cs="Calibri"/>
              </w:rPr>
              <w:t>Gur A Baradharaw Kod Sea and Land Council Torres Strait Islander Corporation</w:t>
            </w:r>
          </w:p>
        </w:tc>
      </w:tr>
      <w:tr w:rsidR="002B32A0" w:rsidRPr="00CE1D7F" w14:paraId="23219429" w14:textId="77777777" w:rsidTr="006258ED">
        <w:trPr>
          <w:trHeight w:val="340"/>
        </w:trPr>
        <w:tc>
          <w:tcPr>
            <w:tcW w:w="1418" w:type="dxa"/>
            <w:shd w:val="clear" w:color="auto" w:fill="auto"/>
            <w:vAlign w:val="center"/>
          </w:tcPr>
          <w:p w14:paraId="45C28735" w14:textId="77777777" w:rsidR="002B32A0" w:rsidRPr="00CE1D7F" w:rsidRDefault="002B32A0" w:rsidP="006258ED">
            <w:pPr>
              <w:pStyle w:val="BodyText"/>
              <w:spacing w:before="60" w:after="60" w:line="240" w:lineRule="auto"/>
            </w:pPr>
            <w:r w:rsidRPr="00CE1D7F">
              <w:rPr>
                <w:rFonts w:cs="Calibri"/>
              </w:rPr>
              <w:t>GDP</w:t>
            </w:r>
          </w:p>
        </w:tc>
        <w:tc>
          <w:tcPr>
            <w:tcW w:w="6518" w:type="dxa"/>
            <w:shd w:val="clear" w:color="auto" w:fill="auto"/>
            <w:vAlign w:val="center"/>
          </w:tcPr>
          <w:p w14:paraId="52C9CF46" w14:textId="77777777" w:rsidR="002B32A0" w:rsidRPr="00CE1D7F" w:rsidRDefault="002B32A0" w:rsidP="006258ED">
            <w:pPr>
              <w:pStyle w:val="BodyText"/>
              <w:spacing w:before="60" w:after="60" w:line="240" w:lineRule="auto"/>
            </w:pPr>
            <w:r w:rsidRPr="00CE1D7F">
              <w:rPr>
                <w:rFonts w:cs="Calibri"/>
              </w:rPr>
              <w:t>Gross Domestic Product</w:t>
            </w:r>
          </w:p>
        </w:tc>
      </w:tr>
      <w:tr w:rsidR="002B32A0" w:rsidRPr="00CE1D7F" w14:paraId="201331B7" w14:textId="77777777" w:rsidTr="006258ED">
        <w:trPr>
          <w:trHeight w:val="340"/>
        </w:trPr>
        <w:tc>
          <w:tcPr>
            <w:tcW w:w="1418" w:type="dxa"/>
            <w:shd w:val="clear" w:color="auto" w:fill="auto"/>
            <w:vAlign w:val="center"/>
          </w:tcPr>
          <w:p w14:paraId="5A3DB9AA" w14:textId="77777777" w:rsidR="002B32A0" w:rsidRPr="00CE1D7F" w:rsidRDefault="002B32A0" w:rsidP="006258ED">
            <w:pPr>
              <w:pStyle w:val="BodyText"/>
              <w:spacing w:before="60" w:after="60" w:line="240" w:lineRule="auto"/>
            </w:pPr>
            <w:r w:rsidRPr="00CE1D7F">
              <w:rPr>
                <w:rFonts w:cs="Calibri"/>
              </w:rPr>
              <w:t>GMID</w:t>
            </w:r>
          </w:p>
        </w:tc>
        <w:tc>
          <w:tcPr>
            <w:tcW w:w="6518" w:type="dxa"/>
            <w:shd w:val="clear" w:color="auto" w:fill="auto"/>
            <w:vAlign w:val="center"/>
          </w:tcPr>
          <w:p w14:paraId="0D08A79F" w14:textId="77777777" w:rsidR="002B32A0" w:rsidRPr="00CE1D7F" w:rsidRDefault="002B32A0" w:rsidP="006258ED">
            <w:pPr>
              <w:pStyle w:val="BodyText"/>
              <w:spacing w:before="60" w:after="60" w:line="240" w:lineRule="auto"/>
            </w:pPr>
            <w:r w:rsidRPr="00CE1D7F">
              <w:rPr>
                <w:rFonts w:cs="Calibri"/>
              </w:rPr>
              <w:t>Goulburn-Murray Irrigation District</w:t>
            </w:r>
          </w:p>
        </w:tc>
      </w:tr>
      <w:tr w:rsidR="002B32A0" w:rsidRPr="00CE1D7F" w14:paraId="22FDAD60" w14:textId="77777777" w:rsidTr="006258ED">
        <w:trPr>
          <w:trHeight w:val="340"/>
        </w:trPr>
        <w:tc>
          <w:tcPr>
            <w:tcW w:w="1418" w:type="dxa"/>
            <w:shd w:val="clear" w:color="auto" w:fill="auto"/>
            <w:vAlign w:val="center"/>
          </w:tcPr>
          <w:p w14:paraId="1B6700BD" w14:textId="77777777" w:rsidR="002B32A0" w:rsidRPr="00CE1D7F" w:rsidRDefault="002B32A0" w:rsidP="006258ED">
            <w:pPr>
              <w:pStyle w:val="BodyText"/>
              <w:spacing w:before="60" w:after="60" w:line="240" w:lineRule="auto"/>
            </w:pPr>
            <w:r w:rsidRPr="00CE1D7F">
              <w:rPr>
                <w:rFonts w:cs="Calibri"/>
              </w:rPr>
              <w:t>Go8</w:t>
            </w:r>
          </w:p>
        </w:tc>
        <w:tc>
          <w:tcPr>
            <w:tcW w:w="6518" w:type="dxa"/>
            <w:shd w:val="clear" w:color="auto" w:fill="auto"/>
            <w:vAlign w:val="center"/>
          </w:tcPr>
          <w:p w14:paraId="59942288" w14:textId="77777777" w:rsidR="002B32A0" w:rsidRPr="00CE1D7F" w:rsidRDefault="002B32A0" w:rsidP="006258ED">
            <w:pPr>
              <w:pStyle w:val="BodyText"/>
              <w:spacing w:before="60" w:after="60" w:line="240" w:lineRule="auto"/>
            </w:pPr>
            <w:r w:rsidRPr="00CE1D7F">
              <w:rPr>
                <w:rFonts w:cs="Calibri"/>
              </w:rPr>
              <w:t>Group of Eight</w:t>
            </w:r>
          </w:p>
        </w:tc>
      </w:tr>
      <w:tr w:rsidR="002B32A0" w:rsidRPr="00CE1D7F" w14:paraId="3EA43F32" w14:textId="77777777" w:rsidTr="006258ED">
        <w:trPr>
          <w:trHeight w:val="340"/>
        </w:trPr>
        <w:tc>
          <w:tcPr>
            <w:tcW w:w="1418" w:type="dxa"/>
            <w:shd w:val="clear" w:color="auto" w:fill="auto"/>
            <w:vAlign w:val="center"/>
          </w:tcPr>
          <w:p w14:paraId="78F0F9EA" w14:textId="77777777" w:rsidR="002B32A0" w:rsidRPr="00CE1D7F" w:rsidRDefault="002B32A0" w:rsidP="006258ED">
            <w:pPr>
              <w:pStyle w:val="BodyText"/>
              <w:spacing w:before="60" w:after="60" w:line="240" w:lineRule="auto"/>
            </w:pPr>
            <w:r w:rsidRPr="00CE1D7F">
              <w:rPr>
                <w:rFonts w:cs="Calibri"/>
              </w:rPr>
              <w:t>HASS</w:t>
            </w:r>
          </w:p>
        </w:tc>
        <w:tc>
          <w:tcPr>
            <w:tcW w:w="6518" w:type="dxa"/>
            <w:shd w:val="clear" w:color="auto" w:fill="auto"/>
            <w:vAlign w:val="center"/>
          </w:tcPr>
          <w:p w14:paraId="4FB06F22" w14:textId="77777777" w:rsidR="002B32A0" w:rsidRPr="00CE1D7F" w:rsidRDefault="002B32A0" w:rsidP="006258ED">
            <w:pPr>
              <w:pStyle w:val="BodyText"/>
              <w:spacing w:before="60" w:after="60" w:line="240" w:lineRule="auto"/>
            </w:pPr>
            <w:r w:rsidRPr="00CE1D7F">
              <w:rPr>
                <w:rFonts w:cs="Calibri"/>
              </w:rPr>
              <w:t>Humanities and Social Sciences</w:t>
            </w:r>
          </w:p>
        </w:tc>
      </w:tr>
      <w:tr w:rsidR="002B32A0" w:rsidRPr="00CE1D7F" w14:paraId="30FACD56" w14:textId="77777777" w:rsidTr="006258ED">
        <w:trPr>
          <w:trHeight w:val="340"/>
        </w:trPr>
        <w:tc>
          <w:tcPr>
            <w:tcW w:w="1418" w:type="dxa"/>
            <w:shd w:val="clear" w:color="auto" w:fill="auto"/>
            <w:vAlign w:val="center"/>
          </w:tcPr>
          <w:p w14:paraId="3E1944D2" w14:textId="77777777" w:rsidR="002B32A0" w:rsidRPr="00CE1D7F" w:rsidRDefault="002B32A0" w:rsidP="006258ED">
            <w:pPr>
              <w:pStyle w:val="BodyText"/>
              <w:spacing w:before="60" w:after="60" w:line="240" w:lineRule="auto"/>
            </w:pPr>
            <w:r w:rsidRPr="00CE1D7F">
              <w:rPr>
                <w:rFonts w:cs="Calibri"/>
              </w:rPr>
              <w:t>HERD</w:t>
            </w:r>
          </w:p>
        </w:tc>
        <w:tc>
          <w:tcPr>
            <w:tcW w:w="6518" w:type="dxa"/>
            <w:shd w:val="clear" w:color="auto" w:fill="auto"/>
            <w:vAlign w:val="center"/>
          </w:tcPr>
          <w:p w14:paraId="6A71F617" w14:textId="77777777" w:rsidR="002B32A0" w:rsidRPr="00CE1D7F" w:rsidRDefault="002B32A0" w:rsidP="006258ED">
            <w:pPr>
              <w:pStyle w:val="BodyText"/>
              <w:spacing w:before="60" w:after="60" w:line="240" w:lineRule="auto"/>
            </w:pPr>
            <w:r w:rsidRPr="00CE1D7F">
              <w:rPr>
                <w:rFonts w:cs="Calibri"/>
              </w:rPr>
              <w:t>Higher education expenditure on research and development</w:t>
            </w:r>
          </w:p>
        </w:tc>
      </w:tr>
      <w:tr w:rsidR="002B32A0" w:rsidRPr="00CE1D7F" w14:paraId="4A0E8DAD" w14:textId="77777777" w:rsidTr="006258ED">
        <w:trPr>
          <w:trHeight w:val="340"/>
        </w:trPr>
        <w:tc>
          <w:tcPr>
            <w:tcW w:w="1418" w:type="dxa"/>
            <w:shd w:val="clear" w:color="auto" w:fill="auto"/>
            <w:vAlign w:val="center"/>
          </w:tcPr>
          <w:p w14:paraId="20A4352F" w14:textId="77777777" w:rsidR="002B32A0" w:rsidRPr="00CE1D7F" w:rsidRDefault="002B32A0" w:rsidP="006258ED">
            <w:pPr>
              <w:pStyle w:val="BodyText"/>
              <w:spacing w:before="60" w:after="60" w:line="240" w:lineRule="auto"/>
            </w:pPr>
            <w:r w:rsidRPr="00CE1D7F">
              <w:rPr>
                <w:rFonts w:cs="Calibri"/>
              </w:rPr>
              <w:t>ICID</w:t>
            </w:r>
          </w:p>
        </w:tc>
        <w:tc>
          <w:tcPr>
            <w:tcW w:w="6518" w:type="dxa"/>
            <w:shd w:val="clear" w:color="auto" w:fill="auto"/>
            <w:vAlign w:val="center"/>
          </w:tcPr>
          <w:p w14:paraId="569916DA" w14:textId="77777777" w:rsidR="002B32A0" w:rsidRPr="00CE1D7F" w:rsidRDefault="002B32A0" w:rsidP="006258ED">
            <w:pPr>
              <w:pStyle w:val="BodyText"/>
              <w:spacing w:before="60" w:after="60" w:line="240" w:lineRule="auto"/>
            </w:pPr>
            <w:r w:rsidRPr="00CE1D7F">
              <w:rPr>
                <w:rFonts w:cs="Calibri"/>
              </w:rPr>
              <w:t>International Commission of Irrigation and Drainage</w:t>
            </w:r>
          </w:p>
        </w:tc>
      </w:tr>
      <w:tr w:rsidR="002B32A0" w:rsidRPr="00CE1D7F" w14:paraId="5F944F91" w14:textId="77777777" w:rsidTr="006258ED">
        <w:trPr>
          <w:trHeight w:val="340"/>
        </w:trPr>
        <w:tc>
          <w:tcPr>
            <w:tcW w:w="1418" w:type="dxa"/>
            <w:shd w:val="clear" w:color="auto" w:fill="auto"/>
            <w:vAlign w:val="center"/>
          </w:tcPr>
          <w:p w14:paraId="2B5DEF94" w14:textId="77777777" w:rsidR="002B32A0" w:rsidRPr="00CE1D7F" w:rsidRDefault="002B32A0" w:rsidP="006258ED">
            <w:pPr>
              <w:pStyle w:val="BodyText"/>
              <w:spacing w:before="60" w:after="60" w:line="240" w:lineRule="auto"/>
            </w:pPr>
            <w:r w:rsidRPr="00CE1D7F">
              <w:rPr>
                <w:rFonts w:cs="Calibri"/>
              </w:rPr>
              <w:t>IEDM</w:t>
            </w:r>
          </w:p>
        </w:tc>
        <w:tc>
          <w:tcPr>
            <w:tcW w:w="6518" w:type="dxa"/>
            <w:shd w:val="clear" w:color="auto" w:fill="auto"/>
            <w:vAlign w:val="center"/>
          </w:tcPr>
          <w:p w14:paraId="4DBCD06A" w14:textId="77777777" w:rsidR="002B32A0" w:rsidRPr="00CE1D7F" w:rsidRDefault="002B32A0" w:rsidP="006258ED">
            <w:pPr>
              <w:pStyle w:val="BodyText"/>
              <w:spacing w:before="60" w:after="60" w:line="240" w:lineRule="auto"/>
            </w:pPr>
            <w:r w:rsidRPr="00CE1D7F">
              <w:rPr>
                <w:rFonts w:cs="Calibri"/>
              </w:rPr>
              <w:t>International Electron Devices Meeting</w:t>
            </w:r>
          </w:p>
        </w:tc>
      </w:tr>
      <w:tr w:rsidR="002B32A0" w:rsidRPr="00CE1D7F" w14:paraId="36E4BA0F" w14:textId="77777777" w:rsidTr="006258ED">
        <w:trPr>
          <w:trHeight w:val="340"/>
        </w:trPr>
        <w:tc>
          <w:tcPr>
            <w:tcW w:w="1418" w:type="dxa"/>
            <w:shd w:val="clear" w:color="auto" w:fill="auto"/>
            <w:vAlign w:val="center"/>
          </w:tcPr>
          <w:p w14:paraId="57BD5E71" w14:textId="77777777" w:rsidR="002B32A0" w:rsidRPr="00CE1D7F" w:rsidRDefault="002B32A0" w:rsidP="006258ED">
            <w:pPr>
              <w:pStyle w:val="BodyText"/>
              <w:spacing w:before="60" w:after="60" w:line="240" w:lineRule="auto"/>
            </w:pPr>
            <w:r w:rsidRPr="00CE1D7F">
              <w:rPr>
                <w:rFonts w:cs="Calibri"/>
              </w:rPr>
              <w:t>IEEE</w:t>
            </w:r>
          </w:p>
        </w:tc>
        <w:tc>
          <w:tcPr>
            <w:tcW w:w="6518" w:type="dxa"/>
            <w:shd w:val="clear" w:color="auto" w:fill="auto"/>
            <w:vAlign w:val="center"/>
          </w:tcPr>
          <w:p w14:paraId="16DCFD0E" w14:textId="77777777" w:rsidR="002B32A0" w:rsidRPr="00CE1D7F" w:rsidRDefault="002B32A0" w:rsidP="006258ED">
            <w:pPr>
              <w:pStyle w:val="BodyText"/>
              <w:spacing w:before="60" w:after="60" w:line="240" w:lineRule="auto"/>
            </w:pPr>
            <w:r w:rsidRPr="00CE1D7F">
              <w:rPr>
                <w:rFonts w:cs="Calibri"/>
              </w:rPr>
              <w:t>Institute of Electrical and Electronics Engineers</w:t>
            </w:r>
          </w:p>
        </w:tc>
      </w:tr>
      <w:tr w:rsidR="002B32A0" w:rsidRPr="00CE1D7F" w14:paraId="421013A7" w14:textId="77777777" w:rsidTr="006258ED">
        <w:trPr>
          <w:trHeight w:val="340"/>
        </w:trPr>
        <w:tc>
          <w:tcPr>
            <w:tcW w:w="1418" w:type="dxa"/>
            <w:shd w:val="clear" w:color="auto" w:fill="auto"/>
            <w:vAlign w:val="center"/>
          </w:tcPr>
          <w:p w14:paraId="7FC29F39" w14:textId="77777777" w:rsidR="002B32A0" w:rsidRPr="00CE1D7F" w:rsidRDefault="002B32A0" w:rsidP="006258ED">
            <w:pPr>
              <w:pStyle w:val="BodyText"/>
              <w:spacing w:before="60" w:after="60" w:line="240" w:lineRule="auto"/>
            </w:pPr>
            <w:r w:rsidRPr="00CE1D7F">
              <w:rPr>
                <w:rFonts w:cs="Calibri"/>
              </w:rPr>
              <w:t>IH</w:t>
            </w:r>
          </w:p>
        </w:tc>
        <w:tc>
          <w:tcPr>
            <w:tcW w:w="6518" w:type="dxa"/>
            <w:shd w:val="clear" w:color="auto" w:fill="auto"/>
            <w:vAlign w:val="center"/>
          </w:tcPr>
          <w:p w14:paraId="68633C60" w14:textId="77777777" w:rsidR="002B32A0" w:rsidRPr="00CE1D7F" w:rsidRDefault="002B32A0" w:rsidP="006258ED">
            <w:pPr>
              <w:pStyle w:val="BodyText"/>
              <w:spacing w:before="60" w:after="60" w:line="240" w:lineRule="auto"/>
            </w:pPr>
            <w:r w:rsidRPr="00CE1D7F">
              <w:rPr>
                <w:rFonts w:cs="Calibri"/>
              </w:rPr>
              <w:t xml:space="preserve">Industrial Transformation Research </w:t>
            </w:r>
            <w:r>
              <w:rPr>
                <w:rFonts w:cs="Calibri"/>
              </w:rPr>
              <w:t>Hubs</w:t>
            </w:r>
          </w:p>
        </w:tc>
      </w:tr>
      <w:tr w:rsidR="002B32A0" w:rsidRPr="00CE1D7F" w14:paraId="4BA71CDA" w14:textId="77777777" w:rsidTr="006258ED">
        <w:trPr>
          <w:trHeight w:val="340"/>
        </w:trPr>
        <w:tc>
          <w:tcPr>
            <w:tcW w:w="1418" w:type="dxa"/>
            <w:shd w:val="clear" w:color="auto" w:fill="auto"/>
            <w:vAlign w:val="center"/>
          </w:tcPr>
          <w:p w14:paraId="7DCED344" w14:textId="77777777" w:rsidR="002B32A0" w:rsidRPr="00CE1D7F" w:rsidRDefault="002B32A0" w:rsidP="006258ED">
            <w:pPr>
              <w:pStyle w:val="BodyText"/>
              <w:spacing w:before="60" w:after="60" w:line="240" w:lineRule="auto"/>
            </w:pPr>
            <w:r w:rsidRPr="00CE1D7F">
              <w:rPr>
                <w:rFonts w:cs="Calibri"/>
              </w:rPr>
              <w:t>IPO</w:t>
            </w:r>
          </w:p>
        </w:tc>
        <w:tc>
          <w:tcPr>
            <w:tcW w:w="6518" w:type="dxa"/>
            <w:shd w:val="clear" w:color="auto" w:fill="auto"/>
            <w:vAlign w:val="center"/>
          </w:tcPr>
          <w:p w14:paraId="028BE399" w14:textId="77777777" w:rsidR="002B32A0" w:rsidRPr="00CE1D7F" w:rsidRDefault="002B32A0" w:rsidP="006258ED">
            <w:pPr>
              <w:pStyle w:val="BodyText"/>
              <w:spacing w:before="60" w:after="60" w:line="240" w:lineRule="auto"/>
            </w:pPr>
            <w:r w:rsidRPr="00CE1D7F">
              <w:rPr>
                <w:rFonts w:cs="Calibri"/>
              </w:rPr>
              <w:t>Initial Public Offering</w:t>
            </w:r>
          </w:p>
        </w:tc>
      </w:tr>
      <w:tr w:rsidR="002B32A0" w:rsidRPr="00CE1D7F" w14:paraId="3A1FF12B" w14:textId="77777777" w:rsidTr="006258ED">
        <w:trPr>
          <w:trHeight w:val="340"/>
        </w:trPr>
        <w:tc>
          <w:tcPr>
            <w:tcW w:w="1418" w:type="dxa"/>
            <w:shd w:val="clear" w:color="auto" w:fill="auto"/>
            <w:vAlign w:val="center"/>
          </w:tcPr>
          <w:p w14:paraId="650AC0D8" w14:textId="77777777" w:rsidR="002B32A0" w:rsidRPr="00CE1D7F" w:rsidRDefault="002B32A0" w:rsidP="006258ED">
            <w:pPr>
              <w:pStyle w:val="BodyText"/>
              <w:spacing w:before="60" w:after="60" w:line="240" w:lineRule="auto"/>
            </w:pPr>
            <w:r w:rsidRPr="00CE1D7F">
              <w:rPr>
                <w:rFonts w:cs="Calibri"/>
              </w:rPr>
              <w:t>IQC</w:t>
            </w:r>
          </w:p>
        </w:tc>
        <w:tc>
          <w:tcPr>
            <w:tcW w:w="6518" w:type="dxa"/>
            <w:shd w:val="clear" w:color="auto" w:fill="auto"/>
            <w:vAlign w:val="center"/>
          </w:tcPr>
          <w:p w14:paraId="689513A8" w14:textId="77777777" w:rsidR="002B32A0" w:rsidRPr="00CE1D7F" w:rsidRDefault="002B32A0" w:rsidP="006258ED">
            <w:pPr>
              <w:pStyle w:val="BodyText"/>
              <w:spacing w:before="60" w:after="60" w:line="240" w:lineRule="auto"/>
            </w:pPr>
            <w:r w:rsidRPr="00CE1D7F">
              <w:rPr>
                <w:rFonts w:cs="Calibri"/>
              </w:rPr>
              <w:t>Intermediate quantum computing</w:t>
            </w:r>
          </w:p>
        </w:tc>
      </w:tr>
      <w:tr w:rsidR="002B32A0" w:rsidRPr="00CE1D7F" w14:paraId="7E8DE1F3" w14:textId="77777777" w:rsidTr="006258ED">
        <w:trPr>
          <w:trHeight w:val="340"/>
        </w:trPr>
        <w:tc>
          <w:tcPr>
            <w:tcW w:w="1418" w:type="dxa"/>
            <w:shd w:val="clear" w:color="auto" w:fill="auto"/>
            <w:vAlign w:val="center"/>
          </w:tcPr>
          <w:p w14:paraId="7673CFFD" w14:textId="77777777" w:rsidR="002B32A0" w:rsidRPr="00CE1D7F" w:rsidRDefault="002B32A0" w:rsidP="006258ED">
            <w:pPr>
              <w:pStyle w:val="BodyText"/>
              <w:spacing w:before="60" w:after="60" w:line="240" w:lineRule="auto"/>
            </w:pPr>
            <w:r w:rsidRPr="00CE1D7F">
              <w:rPr>
                <w:rFonts w:cs="Calibri"/>
              </w:rPr>
              <w:t>IRDS</w:t>
            </w:r>
          </w:p>
        </w:tc>
        <w:tc>
          <w:tcPr>
            <w:tcW w:w="6518" w:type="dxa"/>
            <w:shd w:val="clear" w:color="auto" w:fill="auto"/>
            <w:vAlign w:val="center"/>
          </w:tcPr>
          <w:p w14:paraId="53FF2727" w14:textId="77777777" w:rsidR="002B32A0" w:rsidRPr="00CE1D7F" w:rsidRDefault="002B32A0" w:rsidP="006258ED">
            <w:pPr>
              <w:pStyle w:val="BodyText"/>
              <w:spacing w:before="60" w:after="60" w:line="240" w:lineRule="auto"/>
            </w:pPr>
            <w:r w:rsidRPr="00CE1D7F">
              <w:rPr>
                <w:rFonts w:cs="Calibri"/>
              </w:rPr>
              <w:t>Indigenous Researchers Development Scheme</w:t>
            </w:r>
          </w:p>
        </w:tc>
      </w:tr>
      <w:tr w:rsidR="002B32A0" w:rsidRPr="00CE1D7F" w14:paraId="3DEECA06" w14:textId="77777777" w:rsidTr="006258ED">
        <w:trPr>
          <w:trHeight w:val="340"/>
        </w:trPr>
        <w:tc>
          <w:tcPr>
            <w:tcW w:w="1418" w:type="dxa"/>
            <w:shd w:val="clear" w:color="auto" w:fill="auto"/>
            <w:vAlign w:val="center"/>
          </w:tcPr>
          <w:p w14:paraId="24221EDD" w14:textId="77777777" w:rsidR="002B32A0" w:rsidRPr="00CE1D7F" w:rsidRDefault="002B32A0" w:rsidP="006258ED">
            <w:pPr>
              <w:pStyle w:val="BodyText"/>
              <w:spacing w:before="60" w:after="60" w:line="240" w:lineRule="auto"/>
            </w:pPr>
            <w:r w:rsidRPr="00CE1D7F">
              <w:rPr>
                <w:rFonts w:cs="Calibri"/>
              </w:rPr>
              <w:t>IWA</w:t>
            </w:r>
          </w:p>
        </w:tc>
        <w:tc>
          <w:tcPr>
            <w:tcW w:w="6518" w:type="dxa"/>
            <w:shd w:val="clear" w:color="auto" w:fill="auto"/>
            <w:vAlign w:val="center"/>
          </w:tcPr>
          <w:p w14:paraId="4C06DA3A" w14:textId="77777777" w:rsidR="002B32A0" w:rsidRPr="00CE1D7F" w:rsidRDefault="002B32A0" w:rsidP="006258ED">
            <w:pPr>
              <w:pStyle w:val="BodyText"/>
              <w:spacing w:before="60" w:after="60" w:line="240" w:lineRule="auto"/>
            </w:pPr>
            <w:r w:rsidRPr="00CE1D7F">
              <w:rPr>
                <w:rFonts w:cs="Calibri"/>
              </w:rPr>
              <w:t>International Water Association</w:t>
            </w:r>
          </w:p>
        </w:tc>
      </w:tr>
      <w:tr w:rsidR="002B32A0" w:rsidRPr="00CE1D7F" w14:paraId="70A2C7A2" w14:textId="77777777" w:rsidTr="006258ED">
        <w:trPr>
          <w:trHeight w:val="340"/>
        </w:trPr>
        <w:tc>
          <w:tcPr>
            <w:tcW w:w="1418" w:type="dxa"/>
            <w:shd w:val="clear" w:color="auto" w:fill="auto"/>
            <w:vAlign w:val="center"/>
          </w:tcPr>
          <w:p w14:paraId="0CC911B0" w14:textId="77777777" w:rsidR="002B32A0" w:rsidRPr="00CE1D7F" w:rsidRDefault="002B32A0" w:rsidP="006258ED">
            <w:pPr>
              <w:pStyle w:val="BodyText"/>
              <w:spacing w:before="60" w:after="60" w:line="240" w:lineRule="auto"/>
            </w:pPr>
            <w:r w:rsidRPr="00CE1D7F">
              <w:rPr>
                <w:rFonts w:cs="Calibri"/>
              </w:rPr>
              <w:t>JCU</w:t>
            </w:r>
          </w:p>
        </w:tc>
        <w:tc>
          <w:tcPr>
            <w:tcW w:w="6518" w:type="dxa"/>
            <w:shd w:val="clear" w:color="auto" w:fill="auto"/>
            <w:vAlign w:val="center"/>
          </w:tcPr>
          <w:p w14:paraId="18B847AF" w14:textId="77777777" w:rsidR="002B32A0" w:rsidRPr="00CE1D7F" w:rsidRDefault="002B32A0" w:rsidP="006258ED">
            <w:pPr>
              <w:pStyle w:val="BodyText"/>
              <w:spacing w:before="60" w:after="60" w:line="240" w:lineRule="auto"/>
            </w:pPr>
            <w:r w:rsidRPr="00CE1D7F">
              <w:rPr>
                <w:rFonts w:cs="Calibri"/>
              </w:rPr>
              <w:t>James Cook University</w:t>
            </w:r>
          </w:p>
        </w:tc>
      </w:tr>
      <w:tr w:rsidR="002B32A0" w:rsidRPr="00CE1D7F" w14:paraId="25E2E5C6" w14:textId="77777777" w:rsidTr="006258ED">
        <w:trPr>
          <w:trHeight w:val="340"/>
        </w:trPr>
        <w:tc>
          <w:tcPr>
            <w:tcW w:w="1418" w:type="dxa"/>
            <w:shd w:val="clear" w:color="auto" w:fill="auto"/>
            <w:vAlign w:val="center"/>
          </w:tcPr>
          <w:p w14:paraId="2FD1817F" w14:textId="77777777" w:rsidR="002B32A0" w:rsidRPr="00CE1D7F" w:rsidRDefault="002B32A0" w:rsidP="006258ED">
            <w:pPr>
              <w:pStyle w:val="BodyText"/>
              <w:spacing w:before="60" w:after="60" w:line="240" w:lineRule="auto"/>
            </w:pPr>
            <w:r w:rsidRPr="00CE1D7F">
              <w:rPr>
                <w:rFonts w:cs="Calibri"/>
              </w:rPr>
              <w:t>KALCC</w:t>
            </w:r>
          </w:p>
        </w:tc>
        <w:tc>
          <w:tcPr>
            <w:tcW w:w="6518" w:type="dxa"/>
            <w:shd w:val="clear" w:color="auto" w:fill="auto"/>
            <w:vAlign w:val="center"/>
          </w:tcPr>
          <w:p w14:paraId="1361B17E" w14:textId="77777777" w:rsidR="002B32A0" w:rsidRPr="00CE1D7F" w:rsidRDefault="002B32A0" w:rsidP="006258ED">
            <w:pPr>
              <w:pStyle w:val="BodyText"/>
              <w:spacing w:before="60" w:after="60" w:line="240" w:lineRule="auto"/>
            </w:pPr>
            <w:r w:rsidRPr="00CE1D7F">
              <w:rPr>
                <w:rFonts w:cs="Calibri"/>
              </w:rPr>
              <w:t>Kimberley Aboriginal Law and Cultural Centre</w:t>
            </w:r>
          </w:p>
        </w:tc>
      </w:tr>
      <w:tr w:rsidR="002B32A0" w:rsidRPr="00CE1D7F" w14:paraId="6A206061" w14:textId="77777777" w:rsidTr="006258ED">
        <w:trPr>
          <w:trHeight w:val="340"/>
        </w:trPr>
        <w:tc>
          <w:tcPr>
            <w:tcW w:w="1418" w:type="dxa"/>
            <w:shd w:val="clear" w:color="auto" w:fill="auto"/>
            <w:vAlign w:val="center"/>
          </w:tcPr>
          <w:p w14:paraId="0C959CD9" w14:textId="77777777" w:rsidR="002B32A0" w:rsidRPr="00CE1D7F" w:rsidRDefault="002B32A0" w:rsidP="006258ED">
            <w:pPr>
              <w:pStyle w:val="BodyText"/>
              <w:spacing w:before="60" w:after="60" w:line="240" w:lineRule="auto"/>
            </w:pPr>
            <w:r w:rsidRPr="00CE1D7F">
              <w:rPr>
                <w:rFonts w:cs="Calibri"/>
              </w:rPr>
              <w:t>KBJNL</w:t>
            </w:r>
          </w:p>
        </w:tc>
        <w:tc>
          <w:tcPr>
            <w:tcW w:w="6518" w:type="dxa"/>
            <w:shd w:val="clear" w:color="auto" w:fill="auto"/>
            <w:vAlign w:val="center"/>
          </w:tcPr>
          <w:p w14:paraId="62AEE1FC" w14:textId="77777777" w:rsidR="002B32A0" w:rsidRPr="00CE1D7F" w:rsidRDefault="002B32A0" w:rsidP="006258ED">
            <w:pPr>
              <w:pStyle w:val="BodyText"/>
              <w:spacing w:before="60" w:after="60" w:line="240" w:lineRule="auto"/>
            </w:pPr>
            <w:r w:rsidRPr="00CE1D7F">
              <w:rPr>
                <w:rFonts w:cs="Calibri"/>
              </w:rPr>
              <w:t>Krishna Bhagya Jala Nigam Ltd</w:t>
            </w:r>
          </w:p>
        </w:tc>
      </w:tr>
      <w:tr w:rsidR="002B32A0" w:rsidRPr="00CE1D7F" w14:paraId="5ADE67D4" w14:textId="77777777" w:rsidTr="006258ED">
        <w:trPr>
          <w:trHeight w:val="340"/>
        </w:trPr>
        <w:tc>
          <w:tcPr>
            <w:tcW w:w="1418" w:type="dxa"/>
            <w:shd w:val="clear" w:color="auto" w:fill="auto"/>
            <w:vAlign w:val="center"/>
          </w:tcPr>
          <w:p w14:paraId="771E4F4A" w14:textId="77777777" w:rsidR="002B32A0" w:rsidRPr="00CE1D7F" w:rsidRDefault="002B32A0" w:rsidP="006258ED">
            <w:pPr>
              <w:pStyle w:val="BodyText"/>
              <w:spacing w:before="60" w:after="60" w:line="240" w:lineRule="auto"/>
            </w:pPr>
            <w:r w:rsidRPr="00CE1D7F">
              <w:rPr>
                <w:rFonts w:cs="Calibri"/>
              </w:rPr>
              <w:t>KMIP</w:t>
            </w:r>
          </w:p>
        </w:tc>
        <w:tc>
          <w:tcPr>
            <w:tcW w:w="6518" w:type="dxa"/>
            <w:shd w:val="clear" w:color="auto" w:fill="auto"/>
            <w:vAlign w:val="center"/>
          </w:tcPr>
          <w:p w14:paraId="60D4B2DB" w14:textId="77777777" w:rsidR="002B32A0" w:rsidRPr="00CE1D7F" w:rsidRDefault="002B32A0" w:rsidP="006258ED">
            <w:pPr>
              <w:pStyle w:val="BodyText"/>
              <w:spacing w:before="60" w:after="60" w:line="240" w:lineRule="auto"/>
            </w:pPr>
            <w:r w:rsidRPr="00CE1D7F">
              <w:rPr>
                <w:rFonts w:cs="Calibri"/>
              </w:rPr>
              <w:t>Key Management Interoperability Protocol</w:t>
            </w:r>
          </w:p>
        </w:tc>
      </w:tr>
      <w:tr w:rsidR="002B32A0" w:rsidRPr="00CE1D7F" w14:paraId="25A3A87A" w14:textId="77777777" w:rsidTr="006258ED">
        <w:trPr>
          <w:trHeight w:val="340"/>
        </w:trPr>
        <w:tc>
          <w:tcPr>
            <w:tcW w:w="1418" w:type="dxa"/>
            <w:shd w:val="clear" w:color="auto" w:fill="auto"/>
            <w:vAlign w:val="center"/>
          </w:tcPr>
          <w:p w14:paraId="21421BEA" w14:textId="77777777" w:rsidR="002B32A0" w:rsidRPr="00CE1D7F" w:rsidRDefault="002B32A0" w:rsidP="006258ED">
            <w:pPr>
              <w:pStyle w:val="BodyText"/>
              <w:spacing w:before="60" w:after="60" w:line="240" w:lineRule="auto"/>
            </w:pPr>
            <w:r w:rsidRPr="00CE1D7F">
              <w:rPr>
                <w:rFonts w:cs="Calibri"/>
              </w:rPr>
              <w:t>LA</w:t>
            </w:r>
          </w:p>
        </w:tc>
        <w:tc>
          <w:tcPr>
            <w:tcW w:w="6518" w:type="dxa"/>
            <w:shd w:val="clear" w:color="auto" w:fill="auto"/>
            <w:vAlign w:val="center"/>
          </w:tcPr>
          <w:p w14:paraId="0035A911" w14:textId="77777777" w:rsidR="002B32A0" w:rsidRPr="00CE1D7F" w:rsidRDefault="002B32A0" w:rsidP="006258ED">
            <w:pPr>
              <w:pStyle w:val="BodyText"/>
              <w:spacing w:before="60" w:after="60" w:line="240" w:lineRule="auto"/>
            </w:pPr>
            <w:r w:rsidRPr="00CE1D7F">
              <w:rPr>
                <w:rFonts w:cs="Calibri"/>
              </w:rPr>
              <w:t>Linkage Learned Academies Special Projects</w:t>
            </w:r>
          </w:p>
        </w:tc>
      </w:tr>
      <w:tr w:rsidR="002B32A0" w:rsidRPr="00CE1D7F" w14:paraId="1F02CC60" w14:textId="77777777" w:rsidTr="006258ED">
        <w:trPr>
          <w:trHeight w:val="340"/>
        </w:trPr>
        <w:tc>
          <w:tcPr>
            <w:tcW w:w="1418" w:type="dxa"/>
            <w:shd w:val="clear" w:color="auto" w:fill="auto"/>
            <w:vAlign w:val="center"/>
          </w:tcPr>
          <w:p w14:paraId="128305C0" w14:textId="77777777" w:rsidR="002B32A0" w:rsidRPr="00CE1D7F" w:rsidRDefault="002B32A0" w:rsidP="006258ED">
            <w:pPr>
              <w:pStyle w:val="BodyText"/>
              <w:spacing w:before="60" w:after="60" w:line="240" w:lineRule="auto"/>
            </w:pPr>
            <w:r w:rsidRPr="00CE1D7F">
              <w:rPr>
                <w:rFonts w:cs="Calibri"/>
              </w:rPr>
              <w:t>LE</w:t>
            </w:r>
          </w:p>
        </w:tc>
        <w:tc>
          <w:tcPr>
            <w:tcW w:w="6518" w:type="dxa"/>
            <w:shd w:val="clear" w:color="auto" w:fill="auto"/>
            <w:vAlign w:val="center"/>
          </w:tcPr>
          <w:p w14:paraId="478045CE" w14:textId="77777777" w:rsidR="002B32A0" w:rsidRPr="00CE1D7F" w:rsidRDefault="002B32A0" w:rsidP="006258ED">
            <w:pPr>
              <w:pStyle w:val="BodyText"/>
              <w:spacing w:before="60" w:after="60" w:line="240" w:lineRule="auto"/>
            </w:pPr>
            <w:r w:rsidRPr="00CE1D7F">
              <w:rPr>
                <w:rFonts w:cs="Calibri"/>
              </w:rPr>
              <w:t>Linkage Infrastructure, Equipment and Facilities</w:t>
            </w:r>
          </w:p>
        </w:tc>
      </w:tr>
      <w:tr w:rsidR="002B32A0" w:rsidRPr="00CE1D7F" w14:paraId="6B1C9B47" w14:textId="77777777" w:rsidTr="006258ED">
        <w:trPr>
          <w:trHeight w:val="340"/>
        </w:trPr>
        <w:tc>
          <w:tcPr>
            <w:tcW w:w="1418" w:type="dxa"/>
            <w:shd w:val="clear" w:color="auto" w:fill="auto"/>
            <w:vAlign w:val="center"/>
          </w:tcPr>
          <w:p w14:paraId="49673EDD" w14:textId="77777777" w:rsidR="002B32A0" w:rsidRPr="00CE1D7F" w:rsidRDefault="002B32A0" w:rsidP="006258ED">
            <w:pPr>
              <w:pStyle w:val="BodyText"/>
              <w:spacing w:before="60" w:after="60" w:line="240" w:lineRule="auto"/>
            </w:pPr>
            <w:r w:rsidRPr="00CE1D7F">
              <w:rPr>
                <w:rFonts w:cs="Calibri"/>
              </w:rPr>
              <w:t>LIEF</w:t>
            </w:r>
          </w:p>
        </w:tc>
        <w:tc>
          <w:tcPr>
            <w:tcW w:w="6518" w:type="dxa"/>
            <w:shd w:val="clear" w:color="auto" w:fill="auto"/>
            <w:vAlign w:val="center"/>
          </w:tcPr>
          <w:p w14:paraId="18E382C6" w14:textId="77777777" w:rsidR="002B32A0" w:rsidRPr="00CE1D7F" w:rsidRDefault="002B32A0" w:rsidP="006258ED">
            <w:pPr>
              <w:pStyle w:val="BodyText"/>
              <w:spacing w:before="60" w:after="60" w:line="240" w:lineRule="auto"/>
            </w:pPr>
            <w:r w:rsidRPr="00CE1D7F">
              <w:rPr>
                <w:rFonts w:cs="Calibri"/>
              </w:rPr>
              <w:t>Linkage Infrastructure, Equipment and Facilities</w:t>
            </w:r>
          </w:p>
        </w:tc>
      </w:tr>
      <w:tr w:rsidR="002B32A0" w:rsidRPr="00CE1D7F" w14:paraId="68C42F92" w14:textId="77777777" w:rsidTr="006258ED">
        <w:trPr>
          <w:trHeight w:val="340"/>
        </w:trPr>
        <w:tc>
          <w:tcPr>
            <w:tcW w:w="1418" w:type="dxa"/>
            <w:shd w:val="clear" w:color="auto" w:fill="auto"/>
            <w:vAlign w:val="center"/>
          </w:tcPr>
          <w:p w14:paraId="437DD938" w14:textId="77777777" w:rsidR="002B32A0" w:rsidRPr="00CE1D7F" w:rsidRDefault="002B32A0" w:rsidP="006258ED">
            <w:pPr>
              <w:pStyle w:val="BodyText"/>
              <w:spacing w:before="60" w:after="60" w:line="240" w:lineRule="auto"/>
            </w:pPr>
            <w:r w:rsidRPr="00CE1D7F">
              <w:rPr>
                <w:rFonts w:cs="Calibri"/>
              </w:rPr>
              <w:t>LP</w:t>
            </w:r>
          </w:p>
        </w:tc>
        <w:tc>
          <w:tcPr>
            <w:tcW w:w="6518" w:type="dxa"/>
            <w:shd w:val="clear" w:color="auto" w:fill="auto"/>
            <w:vAlign w:val="center"/>
          </w:tcPr>
          <w:p w14:paraId="4E031EDF" w14:textId="77777777" w:rsidR="002B32A0" w:rsidRPr="00CE1D7F" w:rsidRDefault="002B32A0" w:rsidP="006258ED">
            <w:pPr>
              <w:pStyle w:val="BodyText"/>
              <w:spacing w:before="60" w:after="60" w:line="240" w:lineRule="auto"/>
            </w:pPr>
            <w:r w:rsidRPr="00CE1D7F">
              <w:rPr>
                <w:rFonts w:cs="Calibri"/>
              </w:rPr>
              <w:t>Linkage Projects</w:t>
            </w:r>
          </w:p>
        </w:tc>
      </w:tr>
      <w:tr w:rsidR="002B32A0" w:rsidRPr="00CE1D7F" w14:paraId="7CF21EA1" w14:textId="77777777" w:rsidTr="006258ED">
        <w:trPr>
          <w:trHeight w:val="340"/>
        </w:trPr>
        <w:tc>
          <w:tcPr>
            <w:tcW w:w="1418" w:type="dxa"/>
            <w:shd w:val="clear" w:color="auto" w:fill="auto"/>
            <w:vAlign w:val="center"/>
          </w:tcPr>
          <w:p w14:paraId="4961D6B8" w14:textId="77777777" w:rsidR="002B32A0" w:rsidRPr="00CE1D7F" w:rsidRDefault="002B32A0" w:rsidP="006258ED">
            <w:pPr>
              <w:pStyle w:val="BodyText"/>
              <w:spacing w:before="60" w:after="60" w:line="240" w:lineRule="auto"/>
            </w:pPr>
            <w:r w:rsidRPr="00CE1D7F">
              <w:rPr>
                <w:rFonts w:cs="Calibri"/>
              </w:rPr>
              <w:t>LQ</w:t>
            </w:r>
          </w:p>
        </w:tc>
        <w:tc>
          <w:tcPr>
            <w:tcW w:w="6518" w:type="dxa"/>
            <w:shd w:val="clear" w:color="auto" w:fill="auto"/>
            <w:vAlign w:val="center"/>
          </w:tcPr>
          <w:p w14:paraId="49773326" w14:textId="77777777" w:rsidR="002B32A0" w:rsidRPr="00CE1D7F" w:rsidRDefault="002B32A0" w:rsidP="006258ED">
            <w:pPr>
              <w:pStyle w:val="BodyText"/>
              <w:spacing w:before="60" w:after="60" w:line="240" w:lineRule="auto"/>
            </w:pPr>
            <w:r w:rsidRPr="00CE1D7F">
              <w:rPr>
                <w:rFonts w:cs="Calibri"/>
              </w:rPr>
              <w:t>Linear Quadratic</w:t>
            </w:r>
          </w:p>
        </w:tc>
      </w:tr>
      <w:tr w:rsidR="002B32A0" w:rsidRPr="00CE1D7F" w14:paraId="0F2F6116" w14:textId="77777777" w:rsidTr="006258ED">
        <w:trPr>
          <w:trHeight w:val="340"/>
        </w:trPr>
        <w:tc>
          <w:tcPr>
            <w:tcW w:w="1418" w:type="dxa"/>
            <w:shd w:val="clear" w:color="auto" w:fill="auto"/>
            <w:vAlign w:val="center"/>
          </w:tcPr>
          <w:p w14:paraId="6F8E00EB" w14:textId="77777777" w:rsidR="002B32A0" w:rsidRPr="00CE1D7F" w:rsidRDefault="002B32A0" w:rsidP="006258ED">
            <w:pPr>
              <w:pStyle w:val="BodyText"/>
              <w:spacing w:before="60" w:after="60" w:line="240" w:lineRule="auto"/>
            </w:pPr>
            <w:r w:rsidRPr="00CE1D7F">
              <w:rPr>
                <w:rFonts w:cs="Calibri"/>
              </w:rPr>
              <w:t>MBIE</w:t>
            </w:r>
          </w:p>
        </w:tc>
        <w:tc>
          <w:tcPr>
            <w:tcW w:w="6518" w:type="dxa"/>
            <w:shd w:val="clear" w:color="auto" w:fill="auto"/>
            <w:vAlign w:val="center"/>
          </w:tcPr>
          <w:p w14:paraId="35C63015" w14:textId="77777777" w:rsidR="002B32A0" w:rsidRPr="00CE1D7F" w:rsidRDefault="002B32A0" w:rsidP="006258ED">
            <w:pPr>
              <w:pStyle w:val="BodyText"/>
              <w:spacing w:before="60" w:after="60" w:line="240" w:lineRule="auto"/>
            </w:pPr>
            <w:r w:rsidRPr="00CE1D7F">
              <w:rPr>
                <w:rFonts w:cs="Calibri"/>
              </w:rPr>
              <w:t>New Zealand Ministry of Business and Employment</w:t>
            </w:r>
          </w:p>
        </w:tc>
      </w:tr>
      <w:tr w:rsidR="002B32A0" w:rsidRPr="00CE1D7F" w14:paraId="37DC0203" w14:textId="77777777" w:rsidTr="006258ED">
        <w:trPr>
          <w:trHeight w:val="340"/>
        </w:trPr>
        <w:tc>
          <w:tcPr>
            <w:tcW w:w="1418" w:type="dxa"/>
            <w:shd w:val="clear" w:color="auto" w:fill="auto"/>
            <w:vAlign w:val="center"/>
          </w:tcPr>
          <w:p w14:paraId="27AC3919" w14:textId="77777777" w:rsidR="002B32A0" w:rsidRPr="00CE1D7F" w:rsidRDefault="002B32A0" w:rsidP="006258ED">
            <w:pPr>
              <w:pStyle w:val="BodyText"/>
              <w:spacing w:before="60" w:after="60" w:line="240" w:lineRule="auto"/>
            </w:pPr>
            <w:r w:rsidRPr="00CE1D7F">
              <w:rPr>
                <w:rFonts w:cs="Calibri"/>
              </w:rPr>
              <w:t>MoU</w:t>
            </w:r>
          </w:p>
        </w:tc>
        <w:tc>
          <w:tcPr>
            <w:tcW w:w="6518" w:type="dxa"/>
            <w:shd w:val="clear" w:color="auto" w:fill="auto"/>
            <w:vAlign w:val="center"/>
          </w:tcPr>
          <w:p w14:paraId="15173F17" w14:textId="77777777" w:rsidR="002B32A0" w:rsidRPr="00CE1D7F" w:rsidRDefault="002B32A0" w:rsidP="006258ED">
            <w:pPr>
              <w:pStyle w:val="BodyText"/>
              <w:spacing w:before="60" w:after="60" w:line="240" w:lineRule="auto"/>
            </w:pPr>
            <w:r w:rsidRPr="00CE1D7F">
              <w:rPr>
                <w:rFonts w:cs="Calibri"/>
              </w:rPr>
              <w:t>Memorandum of Understanding</w:t>
            </w:r>
          </w:p>
        </w:tc>
      </w:tr>
      <w:tr w:rsidR="002B32A0" w:rsidRPr="00CE1D7F" w14:paraId="6BCE4D4E" w14:textId="77777777" w:rsidTr="006258ED">
        <w:trPr>
          <w:trHeight w:val="340"/>
        </w:trPr>
        <w:tc>
          <w:tcPr>
            <w:tcW w:w="1418" w:type="dxa"/>
            <w:shd w:val="clear" w:color="auto" w:fill="auto"/>
            <w:vAlign w:val="center"/>
          </w:tcPr>
          <w:p w14:paraId="0E4610D3" w14:textId="77777777" w:rsidR="002B32A0" w:rsidRPr="00CE1D7F" w:rsidRDefault="002B32A0" w:rsidP="006258ED">
            <w:pPr>
              <w:pStyle w:val="BodyText"/>
              <w:spacing w:before="60" w:after="60" w:line="240" w:lineRule="auto"/>
            </w:pPr>
            <w:r w:rsidRPr="00CE1D7F">
              <w:rPr>
                <w:rFonts w:cs="Calibri"/>
              </w:rPr>
              <w:t>MRFF</w:t>
            </w:r>
          </w:p>
        </w:tc>
        <w:tc>
          <w:tcPr>
            <w:tcW w:w="6518" w:type="dxa"/>
            <w:shd w:val="clear" w:color="auto" w:fill="auto"/>
            <w:vAlign w:val="center"/>
          </w:tcPr>
          <w:p w14:paraId="31001910" w14:textId="77777777" w:rsidR="002B32A0" w:rsidRPr="00CE1D7F" w:rsidRDefault="002B32A0" w:rsidP="006258ED">
            <w:pPr>
              <w:pStyle w:val="BodyText"/>
              <w:spacing w:before="60" w:after="60" w:line="240" w:lineRule="auto"/>
            </w:pPr>
            <w:r w:rsidRPr="00CE1D7F">
              <w:rPr>
                <w:rFonts w:cs="Calibri"/>
              </w:rPr>
              <w:t>Medical Research Future Fund</w:t>
            </w:r>
          </w:p>
        </w:tc>
      </w:tr>
      <w:tr w:rsidR="002B32A0" w:rsidRPr="00CE1D7F" w14:paraId="79C5A6FD" w14:textId="77777777" w:rsidTr="006258ED">
        <w:trPr>
          <w:trHeight w:val="340"/>
        </w:trPr>
        <w:tc>
          <w:tcPr>
            <w:tcW w:w="1418" w:type="dxa"/>
            <w:shd w:val="clear" w:color="auto" w:fill="auto"/>
            <w:vAlign w:val="center"/>
          </w:tcPr>
          <w:p w14:paraId="6478A903" w14:textId="77777777" w:rsidR="002B32A0" w:rsidRPr="00CE1D7F" w:rsidRDefault="002B32A0" w:rsidP="006258ED">
            <w:pPr>
              <w:pStyle w:val="BodyText"/>
              <w:spacing w:before="60" w:after="60" w:line="240" w:lineRule="auto"/>
            </w:pPr>
            <w:r w:rsidRPr="00CE1D7F">
              <w:rPr>
                <w:rFonts w:cs="Calibri"/>
              </w:rPr>
              <w:lastRenderedPageBreak/>
              <w:t>NCGP</w:t>
            </w:r>
          </w:p>
        </w:tc>
        <w:tc>
          <w:tcPr>
            <w:tcW w:w="6518" w:type="dxa"/>
            <w:shd w:val="clear" w:color="auto" w:fill="auto"/>
            <w:vAlign w:val="center"/>
          </w:tcPr>
          <w:p w14:paraId="03F8C5B7" w14:textId="77777777" w:rsidR="002B32A0" w:rsidRPr="00CE1D7F" w:rsidRDefault="002B32A0" w:rsidP="006258ED">
            <w:pPr>
              <w:pStyle w:val="BodyText"/>
              <w:spacing w:before="60" w:after="60" w:line="240" w:lineRule="auto"/>
            </w:pPr>
            <w:r w:rsidRPr="00CE1D7F">
              <w:rPr>
                <w:rFonts w:cs="Calibri"/>
              </w:rPr>
              <w:t>National Competitive Grants Program</w:t>
            </w:r>
          </w:p>
        </w:tc>
      </w:tr>
      <w:tr w:rsidR="002B32A0" w:rsidRPr="00CE1D7F" w14:paraId="48954D4A" w14:textId="77777777" w:rsidTr="006258ED">
        <w:trPr>
          <w:trHeight w:val="340"/>
        </w:trPr>
        <w:tc>
          <w:tcPr>
            <w:tcW w:w="1418" w:type="dxa"/>
            <w:shd w:val="clear" w:color="auto" w:fill="auto"/>
            <w:vAlign w:val="center"/>
          </w:tcPr>
          <w:p w14:paraId="2EA429E1" w14:textId="77777777" w:rsidR="002B32A0" w:rsidRPr="00CE1D7F" w:rsidRDefault="002B32A0" w:rsidP="006258ED">
            <w:pPr>
              <w:pStyle w:val="BodyText"/>
              <w:spacing w:before="60" w:after="60" w:line="240" w:lineRule="auto"/>
            </w:pPr>
            <w:r w:rsidRPr="00CE1D7F">
              <w:rPr>
                <w:rFonts w:cs="Calibri"/>
              </w:rPr>
              <w:t>NCRIS</w:t>
            </w:r>
          </w:p>
        </w:tc>
        <w:tc>
          <w:tcPr>
            <w:tcW w:w="6518" w:type="dxa"/>
            <w:shd w:val="clear" w:color="auto" w:fill="auto"/>
            <w:vAlign w:val="center"/>
          </w:tcPr>
          <w:p w14:paraId="6AE75ADA" w14:textId="77777777" w:rsidR="002B32A0" w:rsidRPr="00CE1D7F" w:rsidRDefault="002B32A0" w:rsidP="006258ED">
            <w:pPr>
              <w:pStyle w:val="BodyText"/>
              <w:spacing w:before="60" w:after="60" w:line="240" w:lineRule="auto"/>
            </w:pPr>
            <w:r w:rsidRPr="00CE1D7F">
              <w:rPr>
                <w:rFonts w:cs="Calibri"/>
              </w:rPr>
              <w:t>National Collaborative Research Infrastructure Strategy</w:t>
            </w:r>
          </w:p>
        </w:tc>
      </w:tr>
      <w:tr w:rsidR="002B32A0" w:rsidRPr="00CE1D7F" w14:paraId="700A62FF" w14:textId="77777777" w:rsidTr="006258ED">
        <w:trPr>
          <w:trHeight w:val="340"/>
        </w:trPr>
        <w:tc>
          <w:tcPr>
            <w:tcW w:w="1418" w:type="dxa"/>
            <w:shd w:val="clear" w:color="auto" w:fill="auto"/>
            <w:vAlign w:val="center"/>
          </w:tcPr>
          <w:p w14:paraId="22C2DF89" w14:textId="77777777" w:rsidR="002B32A0" w:rsidRPr="00CE1D7F" w:rsidRDefault="002B32A0" w:rsidP="006258ED">
            <w:pPr>
              <w:pStyle w:val="BodyText"/>
              <w:spacing w:before="60" w:after="60" w:line="240" w:lineRule="auto"/>
            </w:pPr>
            <w:r w:rsidRPr="00CE1D7F">
              <w:rPr>
                <w:rFonts w:cs="Calibri"/>
              </w:rPr>
              <w:t>NFS</w:t>
            </w:r>
          </w:p>
        </w:tc>
        <w:tc>
          <w:tcPr>
            <w:tcW w:w="6518" w:type="dxa"/>
            <w:shd w:val="clear" w:color="auto" w:fill="auto"/>
            <w:vAlign w:val="center"/>
          </w:tcPr>
          <w:p w14:paraId="29064178" w14:textId="77777777" w:rsidR="002B32A0" w:rsidRPr="00CE1D7F" w:rsidRDefault="002B32A0" w:rsidP="006258ED">
            <w:pPr>
              <w:pStyle w:val="BodyText"/>
              <w:spacing w:before="60" w:after="60" w:line="240" w:lineRule="auto"/>
            </w:pPr>
            <w:r w:rsidRPr="00CE1D7F">
              <w:rPr>
                <w:rFonts w:cs="Calibri"/>
              </w:rPr>
              <w:t>Non-fatal strangulation</w:t>
            </w:r>
          </w:p>
        </w:tc>
      </w:tr>
      <w:tr w:rsidR="002B32A0" w:rsidRPr="00CE1D7F" w14:paraId="0DDCA600" w14:textId="77777777" w:rsidTr="006258ED">
        <w:trPr>
          <w:trHeight w:val="340"/>
        </w:trPr>
        <w:tc>
          <w:tcPr>
            <w:tcW w:w="1418" w:type="dxa"/>
            <w:shd w:val="clear" w:color="auto" w:fill="auto"/>
            <w:vAlign w:val="center"/>
          </w:tcPr>
          <w:p w14:paraId="5984B8A3" w14:textId="77777777" w:rsidR="002B32A0" w:rsidRPr="00CE1D7F" w:rsidRDefault="002B32A0" w:rsidP="006258ED">
            <w:pPr>
              <w:pStyle w:val="BodyText"/>
              <w:spacing w:before="60" w:after="60" w:line="240" w:lineRule="auto"/>
            </w:pPr>
            <w:r w:rsidRPr="00CE1D7F">
              <w:rPr>
                <w:rFonts w:cs="Calibri"/>
              </w:rPr>
              <w:t>NGO</w:t>
            </w:r>
          </w:p>
        </w:tc>
        <w:tc>
          <w:tcPr>
            <w:tcW w:w="6518" w:type="dxa"/>
            <w:shd w:val="clear" w:color="auto" w:fill="auto"/>
            <w:vAlign w:val="center"/>
          </w:tcPr>
          <w:p w14:paraId="53AC238C" w14:textId="77777777" w:rsidR="002B32A0" w:rsidRPr="00CE1D7F" w:rsidRDefault="002B32A0" w:rsidP="006258ED">
            <w:pPr>
              <w:pStyle w:val="BodyText"/>
              <w:spacing w:before="60" w:after="60" w:line="240" w:lineRule="auto"/>
            </w:pPr>
            <w:r w:rsidRPr="00CE1D7F">
              <w:rPr>
                <w:rFonts w:cs="Calibri"/>
              </w:rPr>
              <w:t>Non-governmental organisation</w:t>
            </w:r>
          </w:p>
        </w:tc>
      </w:tr>
      <w:tr w:rsidR="002B32A0" w:rsidRPr="00CE1D7F" w14:paraId="76CAC544" w14:textId="77777777" w:rsidTr="006258ED">
        <w:trPr>
          <w:trHeight w:val="340"/>
        </w:trPr>
        <w:tc>
          <w:tcPr>
            <w:tcW w:w="1418" w:type="dxa"/>
            <w:shd w:val="clear" w:color="auto" w:fill="auto"/>
            <w:vAlign w:val="center"/>
          </w:tcPr>
          <w:p w14:paraId="64D9164E" w14:textId="77777777" w:rsidR="002B32A0" w:rsidRPr="00CE1D7F" w:rsidRDefault="002B32A0" w:rsidP="006258ED">
            <w:pPr>
              <w:pStyle w:val="BodyText"/>
              <w:spacing w:before="60" w:after="60" w:line="240" w:lineRule="auto"/>
            </w:pPr>
            <w:r w:rsidRPr="00CE1D7F">
              <w:rPr>
                <w:rFonts w:cs="Calibri"/>
              </w:rPr>
              <w:t>NHMRC</w:t>
            </w:r>
          </w:p>
        </w:tc>
        <w:tc>
          <w:tcPr>
            <w:tcW w:w="6518" w:type="dxa"/>
            <w:shd w:val="clear" w:color="auto" w:fill="auto"/>
            <w:vAlign w:val="center"/>
          </w:tcPr>
          <w:p w14:paraId="77399309" w14:textId="77777777" w:rsidR="002B32A0" w:rsidRPr="00CE1D7F" w:rsidRDefault="002B32A0" w:rsidP="006258ED">
            <w:pPr>
              <w:pStyle w:val="BodyText"/>
              <w:spacing w:before="60" w:after="60" w:line="240" w:lineRule="auto"/>
            </w:pPr>
            <w:r w:rsidRPr="00CE1D7F">
              <w:rPr>
                <w:rFonts w:cs="Calibri"/>
              </w:rPr>
              <w:t>National Health and Medical Research Council</w:t>
            </w:r>
          </w:p>
        </w:tc>
      </w:tr>
      <w:tr w:rsidR="002B32A0" w:rsidRPr="00CE1D7F" w14:paraId="1F99DCB4" w14:textId="77777777" w:rsidTr="006258ED">
        <w:trPr>
          <w:trHeight w:val="340"/>
        </w:trPr>
        <w:tc>
          <w:tcPr>
            <w:tcW w:w="1418" w:type="dxa"/>
            <w:shd w:val="clear" w:color="auto" w:fill="auto"/>
            <w:vAlign w:val="center"/>
          </w:tcPr>
          <w:p w14:paraId="5BFEAB6D" w14:textId="77777777" w:rsidR="002B32A0" w:rsidRPr="00CE1D7F" w:rsidRDefault="002B32A0" w:rsidP="006258ED">
            <w:pPr>
              <w:pStyle w:val="BodyText"/>
              <w:spacing w:before="60" w:after="60" w:line="240" w:lineRule="auto"/>
            </w:pPr>
            <w:r w:rsidRPr="00CE1D7F">
              <w:rPr>
                <w:rFonts w:cs="Calibri"/>
              </w:rPr>
              <w:t>NHS</w:t>
            </w:r>
          </w:p>
        </w:tc>
        <w:tc>
          <w:tcPr>
            <w:tcW w:w="6518" w:type="dxa"/>
            <w:shd w:val="clear" w:color="auto" w:fill="auto"/>
            <w:vAlign w:val="center"/>
          </w:tcPr>
          <w:p w14:paraId="540359D3" w14:textId="77777777" w:rsidR="002B32A0" w:rsidRPr="00CE1D7F" w:rsidRDefault="002B32A0" w:rsidP="006258ED">
            <w:pPr>
              <w:pStyle w:val="BodyText"/>
              <w:spacing w:before="60" w:after="60" w:line="240" w:lineRule="auto"/>
            </w:pPr>
            <w:r w:rsidRPr="00CE1D7F">
              <w:rPr>
                <w:rFonts w:cs="Calibri"/>
              </w:rPr>
              <w:t>National Health Service</w:t>
            </w:r>
          </w:p>
        </w:tc>
      </w:tr>
      <w:tr w:rsidR="002B32A0" w:rsidRPr="00CE1D7F" w14:paraId="0116483A" w14:textId="77777777" w:rsidTr="006258ED">
        <w:trPr>
          <w:trHeight w:val="340"/>
        </w:trPr>
        <w:tc>
          <w:tcPr>
            <w:tcW w:w="1418" w:type="dxa"/>
            <w:shd w:val="clear" w:color="auto" w:fill="auto"/>
            <w:vAlign w:val="center"/>
          </w:tcPr>
          <w:p w14:paraId="6CB4B231" w14:textId="77777777" w:rsidR="002B32A0" w:rsidRPr="00CE1D7F" w:rsidRDefault="002B32A0" w:rsidP="006258ED">
            <w:pPr>
              <w:pStyle w:val="BodyText"/>
              <w:spacing w:before="60" w:after="60" w:line="240" w:lineRule="auto"/>
            </w:pPr>
            <w:r w:rsidRPr="00CE1D7F">
              <w:rPr>
                <w:rFonts w:cs="Calibri"/>
              </w:rPr>
              <w:t>NICTA</w:t>
            </w:r>
          </w:p>
        </w:tc>
        <w:tc>
          <w:tcPr>
            <w:tcW w:w="6518" w:type="dxa"/>
            <w:shd w:val="clear" w:color="auto" w:fill="auto"/>
            <w:vAlign w:val="center"/>
          </w:tcPr>
          <w:p w14:paraId="6B24E29B" w14:textId="77777777" w:rsidR="002B32A0" w:rsidRPr="00CE1D7F" w:rsidRDefault="002B32A0" w:rsidP="006258ED">
            <w:pPr>
              <w:pStyle w:val="BodyText"/>
              <w:spacing w:before="60" w:after="60" w:line="240" w:lineRule="auto"/>
            </w:pPr>
            <w:r w:rsidRPr="00CE1D7F">
              <w:rPr>
                <w:rFonts w:cs="Calibri"/>
              </w:rPr>
              <w:t>National ICT Australia</w:t>
            </w:r>
          </w:p>
        </w:tc>
      </w:tr>
      <w:tr w:rsidR="002B32A0" w:rsidRPr="00CE1D7F" w14:paraId="6AFF4E42" w14:textId="77777777" w:rsidTr="006258ED">
        <w:trPr>
          <w:trHeight w:val="340"/>
        </w:trPr>
        <w:tc>
          <w:tcPr>
            <w:tcW w:w="1418" w:type="dxa"/>
            <w:shd w:val="clear" w:color="auto" w:fill="auto"/>
            <w:vAlign w:val="center"/>
          </w:tcPr>
          <w:p w14:paraId="4EDD8C8C" w14:textId="77777777" w:rsidR="002B32A0" w:rsidRPr="00CE1D7F" w:rsidRDefault="002B32A0" w:rsidP="006258ED">
            <w:pPr>
              <w:pStyle w:val="BodyText"/>
              <w:spacing w:before="60" w:after="60" w:line="240" w:lineRule="auto"/>
            </w:pPr>
            <w:r w:rsidRPr="00CE1D7F">
              <w:rPr>
                <w:rFonts w:cs="Calibri"/>
              </w:rPr>
              <w:t>NJC</w:t>
            </w:r>
          </w:p>
        </w:tc>
        <w:tc>
          <w:tcPr>
            <w:tcW w:w="6518" w:type="dxa"/>
            <w:shd w:val="clear" w:color="auto" w:fill="auto"/>
            <w:vAlign w:val="center"/>
          </w:tcPr>
          <w:p w14:paraId="2465A889" w14:textId="77777777" w:rsidR="002B32A0" w:rsidRPr="00CE1D7F" w:rsidRDefault="002B32A0" w:rsidP="006258ED">
            <w:pPr>
              <w:pStyle w:val="BodyText"/>
              <w:spacing w:before="60" w:after="60" w:line="240" w:lineRule="auto"/>
            </w:pPr>
            <w:r w:rsidRPr="00CE1D7F">
              <w:rPr>
                <w:rFonts w:cs="Calibri"/>
              </w:rPr>
              <w:t>National Judicial Council</w:t>
            </w:r>
          </w:p>
        </w:tc>
      </w:tr>
      <w:tr w:rsidR="002B32A0" w:rsidRPr="00CE1D7F" w14:paraId="1F74B183" w14:textId="77777777" w:rsidTr="006258ED">
        <w:trPr>
          <w:trHeight w:val="340"/>
        </w:trPr>
        <w:tc>
          <w:tcPr>
            <w:tcW w:w="1418" w:type="dxa"/>
            <w:shd w:val="clear" w:color="auto" w:fill="auto"/>
            <w:vAlign w:val="center"/>
          </w:tcPr>
          <w:p w14:paraId="5F6A268C" w14:textId="77777777" w:rsidR="002B32A0" w:rsidRPr="00CE1D7F" w:rsidRDefault="002B32A0" w:rsidP="006258ED">
            <w:pPr>
              <w:pStyle w:val="BodyText"/>
              <w:spacing w:before="60" w:after="60" w:line="240" w:lineRule="auto"/>
            </w:pPr>
            <w:r w:rsidRPr="00CE1D7F">
              <w:rPr>
                <w:rFonts w:cs="Calibri"/>
              </w:rPr>
              <w:t>NLA</w:t>
            </w:r>
          </w:p>
        </w:tc>
        <w:tc>
          <w:tcPr>
            <w:tcW w:w="6518" w:type="dxa"/>
            <w:shd w:val="clear" w:color="auto" w:fill="auto"/>
            <w:vAlign w:val="center"/>
          </w:tcPr>
          <w:p w14:paraId="0655AA58" w14:textId="77777777" w:rsidR="002B32A0" w:rsidRPr="00CE1D7F" w:rsidRDefault="002B32A0" w:rsidP="006258ED">
            <w:pPr>
              <w:pStyle w:val="BodyText"/>
              <w:spacing w:before="60" w:after="60" w:line="240" w:lineRule="auto"/>
            </w:pPr>
            <w:r w:rsidRPr="00CE1D7F">
              <w:rPr>
                <w:rFonts w:cs="Calibri"/>
              </w:rPr>
              <w:t>Noiseless Linear Amplifier</w:t>
            </w:r>
          </w:p>
        </w:tc>
      </w:tr>
      <w:tr w:rsidR="002B32A0" w:rsidRPr="00CE1D7F" w14:paraId="5CA9F778" w14:textId="77777777" w:rsidTr="006258ED">
        <w:trPr>
          <w:trHeight w:val="340"/>
        </w:trPr>
        <w:tc>
          <w:tcPr>
            <w:tcW w:w="1418" w:type="dxa"/>
            <w:shd w:val="clear" w:color="auto" w:fill="auto"/>
            <w:vAlign w:val="center"/>
          </w:tcPr>
          <w:p w14:paraId="5ACAA343" w14:textId="77777777" w:rsidR="002B32A0" w:rsidRPr="00CE1D7F" w:rsidRDefault="002B32A0" w:rsidP="006258ED">
            <w:pPr>
              <w:pStyle w:val="BodyText"/>
              <w:spacing w:before="60" w:after="60" w:line="240" w:lineRule="auto"/>
            </w:pPr>
            <w:r w:rsidRPr="00CE1D7F">
              <w:rPr>
                <w:rFonts w:cs="Calibri"/>
              </w:rPr>
              <w:t>NLBC</w:t>
            </w:r>
          </w:p>
        </w:tc>
        <w:tc>
          <w:tcPr>
            <w:tcW w:w="6518" w:type="dxa"/>
            <w:shd w:val="clear" w:color="auto" w:fill="auto"/>
            <w:vAlign w:val="center"/>
          </w:tcPr>
          <w:p w14:paraId="2AE635C8" w14:textId="77777777" w:rsidR="002B32A0" w:rsidRPr="00CE1D7F" w:rsidRDefault="002B32A0" w:rsidP="006258ED">
            <w:pPr>
              <w:pStyle w:val="BodyText"/>
              <w:spacing w:before="60" w:after="60" w:line="240" w:lineRule="auto"/>
            </w:pPr>
            <w:r w:rsidRPr="00CE1D7F">
              <w:rPr>
                <w:rFonts w:cs="Calibri"/>
              </w:rPr>
              <w:t>Narayanpur Left Bank Canal</w:t>
            </w:r>
          </w:p>
        </w:tc>
      </w:tr>
      <w:tr w:rsidR="002B32A0" w:rsidRPr="00CE1D7F" w14:paraId="38EAA952" w14:textId="77777777" w:rsidTr="006258ED">
        <w:trPr>
          <w:trHeight w:val="340"/>
        </w:trPr>
        <w:tc>
          <w:tcPr>
            <w:tcW w:w="1418" w:type="dxa"/>
            <w:shd w:val="clear" w:color="auto" w:fill="auto"/>
            <w:vAlign w:val="center"/>
          </w:tcPr>
          <w:p w14:paraId="7F87B12C" w14:textId="77777777" w:rsidR="002B32A0" w:rsidRPr="00CE1D7F" w:rsidRDefault="002B32A0" w:rsidP="006258ED">
            <w:pPr>
              <w:pStyle w:val="BodyText"/>
              <w:spacing w:before="60" w:after="60" w:line="240" w:lineRule="auto"/>
            </w:pPr>
            <w:r w:rsidRPr="00CE1D7F">
              <w:rPr>
                <w:rFonts w:cs="Calibri"/>
              </w:rPr>
              <w:t>NLTK</w:t>
            </w:r>
          </w:p>
        </w:tc>
        <w:tc>
          <w:tcPr>
            <w:tcW w:w="6518" w:type="dxa"/>
            <w:shd w:val="clear" w:color="auto" w:fill="auto"/>
            <w:vAlign w:val="center"/>
          </w:tcPr>
          <w:p w14:paraId="13A4EB7C" w14:textId="77777777" w:rsidR="002B32A0" w:rsidRPr="00CE1D7F" w:rsidRDefault="002B32A0" w:rsidP="006258ED">
            <w:pPr>
              <w:pStyle w:val="BodyText"/>
              <w:spacing w:before="60" w:after="60" w:line="240" w:lineRule="auto"/>
            </w:pPr>
            <w:r w:rsidRPr="00CE1D7F">
              <w:rPr>
                <w:rFonts w:cs="Calibri"/>
              </w:rPr>
              <w:t>National Language Toolkit</w:t>
            </w:r>
          </w:p>
        </w:tc>
      </w:tr>
      <w:tr w:rsidR="002B32A0" w:rsidRPr="00CE1D7F" w14:paraId="703CB615" w14:textId="77777777" w:rsidTr="006258ED">
        <w:trPr>
          <w:trHeight w:val="340"/>
        </w:trPr>
        <w:tc>
          <w:tcPr>
            <w:tcW w:w="1418" w:type="dxa"/>
            <w:shd w:val="clear" w:color="auto" w:fill="auto"/>
            <w:vAlign w:val="center"/>
          </w:tcPr>
          <w:p w14:paraId="1D6E8E40" w14:textId="77777777" w:rsidR="002B32A0" w:rsidRPr="00CE1D7F" w:rsidRDefault="002B32A0" w:rsidP="006258ED">
            <w:pPr>
              <w:pStyle w:val="BodyText"/>
              <w:spacing w:before="60" w:after="60" w:line="240" w:lineRule="auto"/>
              <w:rPr>
                <w:rFonts w:cs="Calibri"/>
              </w:rPr>
            </w:pPr>
            <w:r>
              <w:rPr>
                <w:rFonts w:cs="Calibri"/>
              </w:rPr>
              <w:t>NMA</w:t>
            </w:r>
          </w:p>
        </w:tc>
        <w:tc>
          <w:tcPr>
            <w:tcW w:w="6518" w:type="dxa"/>
            <w:shd w:val="clear" w:color="auto" w:fill="auto"/>
            <w:vAlign w:val="center"/>
          </w:tcPr>
          <w:p w14:paraId="3553F076" w14:textId="77777777" w:rsidR="002B32A0" w:rsidRPr="00CE1D7F" w:rsidRDefault="002B32A0" w:rsidP="006258ED">
            <w:pPr>
              <w:pStyle w:val="BodyText"/>
              <w:spacing w:before="60" w:after="60" w:line="240" w:lineRule="auto"/>
              <w:rPr>
                <w:rFonts w:cs="Calibri"/>
              </w:rPr>
            </w:pPr>
            <w:r>
              <w:t>National Museum Australia</w:t>
            </w:r>
          </w:p>
        </w:tc>
      </w:tr>
      <w:tr w:rsidR="002B32A0" w:rsidRPr="00CE1D7F" w14:paraId="3D6D27E9" w14:textId="77777777" w:rsidTr="006258ED">
        <w:trPr>
          <w:trHeight w:val="340"/>
        </w:trPr>
        <w:tc>
          <w:tcPr>
            <w:tcW w:w="1418" w:type="dxa"/>
            <w:shd w:val="clear" w:color="auto" w:fill="auto"/>
            <w:vAlign w:val="center"/>
          </w:tcPr>
          <w:p w14:paraId="64222DF3" w14:textId="77777777" w:rsidR="002B32A0" w:rsidRPr="00CE1D7F" w:rsidRDefault="002B32A0" w:rsidP="006258ED">
            <w:pPr>
              <w:pStyle w:val="BodyText"/>
              <w:spacing w:before="60" w:after="60" w:line="240" w:lineRule="auto"/>
            </w:pPr>
            <w:r w:rsidRPr="00CE1D7F">
              <w:rPr>
                <w:rFonts w:cs="Calibri"/>
              </w:rPr>
              <w:t>NPV</w:t>
            </w:r>
          </w:p>
        </w:tc>
        <w:tc>
          <w:tcPr>
            <w:tcW w:w="6518" w:type="dxa"/>
            <w:shd w:val="clear" w:color="auto" w:fill="auto"/>
            <w:vAlign w:val="center"/>
          </w:tcPr>
          <w:p w14:paraId="0E49B9E4" w14:textId="77777777" w:rsidR="002B32A0" w:rsidRPr="00CE1D7F" w:rsidRDefault="002B32A0" w:rsidP="006258ED">
            <w:pPr>
              <w:pStyle w:val="BodyText"/>
              <w:spacing w:before="60" w:after="60" w:line="240" w:lineRule="auto"/>
            </w:pPr>
            <w:r w:rsidRPr="00CE1D7F">
              <w:rPr>
                <w:rFonts w:cs="Calibri"/>
              </w:rPr>
              <w:t>Net Present Value</w:t>
            </w:r>
          </w:p>
        </w:tc>
      </w:tr>
      <w:tr w:rsidR="002B32A0" w:rsidRPr="00CE1D7F" w14:paraId="5CA7B3E2" w14:textId="77777777" w:rsidTr="006258ED">
        <w:trPr>
          <w:trHeight w:val="340"/>
        </w:trPr>
        <w:tc>
          <w:tcPr>
            <w:tcW w:w="1418" w:type="dxa"/>
            <w:shd w:val="clear" w:color="auto" w:fill="auto"/>
            <w:vAlign w:val="center"/>
          </w:tcPr>
          <w:p w14:paraId="1FA0E572" w14:textId="77777777" w:rsidR="002B32A0" w:rsidRPr="00CE1D7F" w:rsidRDefault="002B32A0" w:rsidP="006258ED">
            <w:pPr>
              <w:pStyle w:val="BodyText"/>
              <w:spacing w:before="60" w:after="60" w:line="240" w:lineRule="auto"/>
            </w:pPr>
            <w:r w:rsidRPr="00CE1D7F">
              <w:rPr>
                <w:rFonts w:cs="Calibri"/>
              </w:rPr>
              <w:t>NRA</w:t>
            </w:r>
          </w:p>
        </w:tc>
        <w:tc>
          <w:tcPr>
            <w:tcW w:w="6518" w:type="dxa"/>
            <w:shd w:val="clear" w:color="auto" w:fill="auto"/>
            <w:vAlign w:val="center"/>
          </w:tcPr>
          <w:p w14:paraId="7A8F0B0C" w14:textId="77777777" w:rsidR="002B32A0" w:rsidRPr="00CE1D7F" w:rsidRDefault="002B32A0" w:rsidP="006258ED">
            <w:pPr>
              <w:pStyle w:val="BodyText"/>
              <w:spacing w:before="60" w:after="60" w:line="240" w:lineRule="auto"/>
            </w:pPr>
            <w:r w:rsidRPr="00CE1D7F">
              <w:rPr>
                <w:rFonts w:cs="Calibri"/>
              </w:rPr>
              <w:t>Ngarrindjeri Regional Authority</w:t>
            </w:r>
          </w:p>
        </w:tc>
      </w:tr>
      <w:tr w:rsidR="002B32A0" w:rsidRPr="00CE1D7F" w14:paraId="20401F3B" w14:textId="77777777" w:rsidTr="006258ED">
        <w:trPr>
          <w:trHeight w:val="340"/>
        </w:trPr>
        <w:tc>
          <w:tcPr>
            <w:tcW w:w="1418" w:type="dxa"/>
            <w:shd w:val="clear" w:color="auto" w:fill="auto"/>
            <w:vAlign w:val="center"/>
          </w:tcPr>
          <w:p w14:paraId="28ACCDEE" w14:textId="77777777" w:rsidR="002B32A0" w:rsidRPr="00CE1D7F" w:rsidRDefault="002B32A0" w:rsidP="006258ED">
            <w:pPr>
              <w:pStyle w:val="BodyText"/>
              <w:spacing w:before="60" w:after="60" w:line="240" w:lineRule="auto"/>
            </w:pPr>
            <w:r w:rsidRPr="00CE1D7F">
              <w:rPr>
                <w:rFonts w:cs="Calibri"/>
              </w:rPr>
              <w:t>NRIS</w:t>
            </w:r>
          </w:p>
        </w:tc>
        <w:tc>
          <w:tcPr>
            <w:tcW w:w="6518" w:type="dxa"/>
            <w:shd w:val="clear" w:color="auto" w:fill="auto"/>
            <w:vAlign w:val="center"/>
          </w:tcPr>
          <w:p w14:paraId="0864DB5C" w14:textId="77777777" w:rsidR="002B32A0" w:rsidRPr="00CE1D7F" w:rsidRDefault="002B32A0" w:rsidP="006258ED">
            <w:pPr>
              <w:pStyle w:val="BodyText"/>
              <w:spacing w:before="60" w:after="60" w:line="240" w:lineRule="auto"/>
            </w:pPr>
            <w:r w:rsidRPr="00CE1D7F">
              <w:rPr>
                <w:rFonts w:cs="Calibri"/>
              </w:rPr>
              <w:t>New Zealand Research Information System</w:t>
            </w:r>
          </w:p>
        </w:tc>
      </w:tr>
      <w:tr w:rsidR="002B32A0" w:rsidRPr="00CE1D7F" w14:paraId="6A33FB67" w14:textId="77777777" w:rsidTr="006258ED">
        <w:trPr>
          <w:trHeight w:val="340"/>
        </w:trPr>
        <w:tc>
          <w:tcPr>
            <w:tcW w:w="1418" w:type="dxa"/>
            <w:shd w:val="clear" w:color="auto" w:fill="auto"/>
            <w:vAlign w:val="center"/>
          </w:tcPr>
          <w:p w14:paraId="56FAE6DC" w14:textId="77777777" w:rsidR="002B32A0" w:rsidRPr="00CE1D7F" w:rsidRDefault="002B32A0" w:rsidP="006258ED">
            <w:pPr>
              <w:pStyle w:val="BodyText"/>
              <w:spacing w:before="60" w:after="60" w:line="240" w:lineRule="auto"/>
            </w:pPr>
            <w:r w:rsidRPr="00CE1D7F">
              <w:rPr>
                <w:rFonts w:cs="Calibri"/>
              </w:rPr>
              <w:t>NTRO</w:t>
            </w:r>
          </w:p>
        </w:tc>
        <w:tc>
          <w:tcPr>
            <w:tcW w:w="6518" w:type="dxa"/>
            <w:shd w:val="clear" w:color="auto" w:fill="auto"/>
            <w:vAlign w:val="center"/>
          </w:tcPr>
          <w:p w14:paraId="72776A40" w14:textId="77777777" w:rsidR="002B32A0" w:rsidRPr="00CE1D7F" w:rsidRDefault="002B32A0" w:rsidP="006258ED">
            <w:pPr>
              <w:pStyle w:val="BodyText"/>
              <w:spacing w:before="60" w:after="60" w:line="240" w:lineRule="auto"/>
            </w:pPr>
            <w:r w:rsidRPr="00CE1D7F">
              <w:rPr>
                <w:rFonts w:cs="Calibri"/>
              </w:rPr>
              <w:t>Non-traditional Research Outputs</w:t>
            </w:r>
          </w:p>
        </w:tc>
      </w:tr>
      <w:tr w:rsidR="002B32A0" w:rsidRPr="00CE1D7F" w14:paraId="39B38D57" w14:textId="77777777" w:rsidTr="006258ED">
        <w:trPr>
          <w:trHeight w:val="340"/>
        </w:trPr>
        <w:tc>
          <w:tcPr>
            <w:tcW w:w="1418" w:type="dxa"/>
            <w:shd w:val="clear" w:color="auto" w:fill="auto"/>
            <w:vAlign w:val="center"/>
          </w:tcPr>
          <w:p w14:paraId="67409CD2" w14:textId="77777777" w:rsidR="002B32A0" w:rsidRPr="00CE1D7F" w:rsidRDefault="002B32A0" w:rsidP="006258ED">
            <w:pPr>
              <w:pStyle w:val="BodyText"/>
              <w:spacing w:before="60" w:after="60" w:line="240" w:lineRule="auto"/>
            </w:pPr>
            <w:r w:rsidRPr="00CE1D7F">
              <w:rPr>
                <w:rFonts w:cs="Calibri"/>
              </w:rPr>
              <w:t>OFTA</w:t>
            </w:r>
          </w:p>
        </w:tc>
        <w:tc>
          <w:tcPr>
            <w:tcW w:w="6518" w:type="dxa"/>
            <w:shd w:val="clear" w:color="auto" w:fill="auto"/>
            <w:vAlign w:val="center"/>
          </w:tcPr>
          <w:p w14:paraId="34CD0E8A" w14:textId="77777777" w:rsidR="002B32A0" w:rsidRPr="00CE1D7F" w:rsidRDefault="002B32A0" w:rsidP="006258ED">
            <w:pPr>
              <w:pStyle w:val="BodyText"/>
              <w:spacing w:before="60" w:after="60" w:line="240" w:lineRule="auto"/>
            </w:pPr>
            <w:r w:rsidRPr="00CE1D7F">
              <w:rPr>
                <w:rFonts w:cs="Calibri"/>
              </w:rPr>
              <w:t>Office of the Arts</w:t>
            </w:r>
          </w:p>
        </w:tc>
      </w:tr>
      <w:tr w:rsidR="002B32A0" w:rsidRPr="00CE1D7F" w14:paraId="4E274C73" w14:textId="77777777" w:rsidTr="006258ED">
        <w:trPr>
          <w:trHeight w:val="340"/>
        </w:trPr>
        <w:tc>
          <w:tcPr>
            <w:tcW w:w="1418" w:type="dxa"/>
            <w:shd w:val="clear" w:color="auto" w:fill="auto"/>
            <w:vAlign w:val="center"/>
          </w:tcPr>
          <w:p w14:paraId="384207D7" w14:textId="77777777" w:rsidR="002B32A0" w:rsidRPr="00CE1D7F" w:rsidRDefault="002B32A0" w:rsidP="006258ED">
            <w:pPr>
              <w:pStyle w:val="BodyText"/>
              <w:spacing w:before="60" w:after="60" w:line="240" w:lineRule="auto"/>
            </w:pPr>
            <w:r w:rsidRPr="00CE1D7F">
              <w:rPr>
                <w:rFonts w:cs="Calibri"/>
              </w:rPr>
              <w:t>PI</w:t>
            </w:r>
          </w:p>
        </w:tc>
        <w:tc>
          <w:tcPr>
            <w:tcW w:w="6518" w:type="dxa"/>
            <w:shd w:val="clear" w:color="auto" w:fill="auto"/>
            <w:vAlign w:val="center"/>
          </w:tcPr>
          <w:p w14:paraId="583396A6" w14:textId="77777777" w:rsidR="002B32A0" w:rsidRPr="00CE1D7F" w:rsidRDefault="002B32A0" w:rsidP="006258ED">
            <w:pPr>
              <w:pStyle w:val="BodyText"/>
              <w:spacing w:before="60" w:after="60" w:line="240" w:lineRule="auto"/>
            </w:pPr>
            <w:r w:rsidRPr="00CE1D7F">
              <w:rPr>
                <w:rFonts w:cs="Calibri"/>
              </w:rPr>
              <w:t>Partner Investigator</w:t>
            </w:r>
          </w:p>
        </w:tc>
      </w:tr>
      <w:tr w:rsidR="002B32A0" w:rsidRPr="00CE1D7F" w14:paraId="01162347" w14:textId="77777777" w:rsidTr="006258ED">
        <w:trPr>
          <w:trHeight w:val="340"/>
        </w:trPr>
        <w:tc>
          <w:tcPr>
            <w:tcW w:w="1418" w:type="dxa"/>
            <w:shd w:val="clear" w:color="auto" w:fill="auto"/>
            <w:vAlign w:val="center"/>
          </w:tcPr>
          <w:p w14:paraId="54ACB211" w14:textId="77777777" w:rsidR="002B32A0" w:rsidRPr="00CE1D7F" w:rsidRDefault="002B32A0" w:rsidP="006258ED">
            <w:pPr>
              <w:pStyle w:val="BodyText"/>
              <w:spacing w:before="60" w:after="60" w:line="240" w:lineRule="auto"/>
            </w:pPr>
            <w:r w:rsidRPr="00CE1D7F">
              <w:rPr>
                <w:rFonts w:cs="Calibri"/>
              </w:rPr>
              <w:t>QKD</w:t>
            </w:r>
          </w:p>
        </w:tc>
        <w:tc>
          <w:tcPr>
            <w:tcW w:w="6518" w:type="dxa"/>
            <w:shd w:val="clear" w:color="auto" w:fill="auto"/>
            <w:vAlign w:val="center"/>
          </w:tcPr>
          <w:p w14:paraId="00380B4C" w14:textId="77777777" w:rsidR="002B32A0" w:rsidRPr="00CE1D7F" w:rsidRDefault="002B32A0" w:rsidP="006258ED">
            <w:pPr>
              <w:pStyle w:val="BodyText"/>
              <w:spacing w:before="60" w:after="60" w:line="240" w:lineRule="auto"/>
            </w:pPr>
            <w:r w:rsidRPr="00CE1D7F">
              <w:rPr>
                <w:rFonts w:cs="Calibri"/>
              </w:rPr>
              <w:t>Quantum key distribution</w:t>
            </w:r>
          </w:p>
        </w:tc>
      </w:tr>
      <w:tr w:rsidR="002B32A0" w:rsidRPr="00CE1D7F" w14:paraId="1F9D6669" w14:textId="77777777" w:rsidTr="006258ED">
        <w:trPr>
          <w:trHeight w:val="340"/>
        </w:trPr>
        <w:tc>
          <w:tcPr>
            <w:tcW w:w="1418" w:type="dxa"/>
            <w:shd w:val="clear" w:color="auto" w:fill="auto"/>
            <w:vAlign w:val="center"/>
          </w:tcPr>
          <w:p w14:paraId="495404E7" w14:textId="77777777" w:rsidR="002B32A0" w:rsidRPr="00CE1D7F" w:rsidRDefault="002B32A0" w:rsidP="006258ED">
            <w:pPr>
              <w:pStyle w:val="BodyText"/>
              <w:spacing w:before="60" w:after="60" w:line="240" w:lineRule="auto"/>
            </w:pPr>
            <w:r w:rsidRPr="00CE1D7F">
              <w:rPr>
                <w:rFonts w:cs="Calibri"/>
              </w:rPr>
              <w:t>RCMP</w:t>
            </w:r>
          </w:p>
        </w:tc>
        <w:tc>
          <w:tcPr>
            <w:tcW w:w="6518" w:type="dxa"/>
            <w:shd w:val="clear" w:color="auto" w:fill="auto"/>
            <w:vAlign w:val="center"/>
          </w:tcPr>
          <w:p w14:paraId="374CFD47" w14:textId="77777777" w:rsidR="002B32A0" w:rsidRPr="00CE1D7F" w:rsidRDefault="002B32A0" w:rsidP="006258ED">
            <w:pPr>
              <w:pStyle w:val="BodyText"/>
              <w:spacing w:before="60" w:after="60" w:line="240" w:lineRule="auto"/>
            </w:pPr>
            <w:r w:rsidRPr="00CE1D7F">
              <w:rPr>
                <w:rFonts w:cs="Calibri"/>
              </w:rPr>
              <w:t>Royal Canadian Mounted Police</w:t>
            </w:r>
          </w:p>
        </w:tc>
      </w:tr>
      <w:tr w:rsidR="002B32A0" w:rsidRPr="00CE1D7F" w14:paraId="120FDC4F" w14:textId="77777777" w:rsidTr="006258ED">
        <w:trPr>
          <w:trHeight w:val="340"/>
        </w:trPr>
        <w:tc>
          <w:tcPr>
            <w:tcW w:w="1418" w:type="dxa"/>
            <w:shd w:val="clear" w:color="auto" w:fill="auto"/>
            <w:vAlign w:val="center"/>
          </w:tcPr>
          <w:p w14:paraId="746E86E9" w14:textId="77777777" w:rsidR="002B32A0" w:rsidRPr="00CE1D7F" w:rsidRDefault="002B32A0" w:rsidP="006258ED">
            <w:pPr>
              <w:pStyle w:val="BodyText"/>
              <w:spacing w:before="60" w:after="60" w:line="240" w:lineRule="auto"/>
            </w:pPr>
            <w:r w:rsidRPr="00CE1D7F">
              <w:rPr>
                <w:rFonts w:cs="Calibri"/>
              </w:rPr>
              <w:t>RDC</w:t>
            </w:r>
          </w:p>
        </w:tc>
        <w:tc>
          <w:tcPr>
            <w:tcW w:w="6518" w:type="dxa"/>
            <w:shd w:val="clear" w:color="auto" w:fill="auto"/>
            <w:vAlign w:val="center"/>
          </w:tcPr>
          <w:p w14:paraId="4F3A7E66" w14:textId="77777777" w:rsidR="002B32A0" w:rsidRPr="00CE1D7F" w:rsidRDefault="002B32A0" w:rsidP="006258ED">
            <w:pPr>
              <w:pStyle w:val="BodyText"/>
              <w:spacing w:before="60" w:after="60" w:line="240" w:lineRule="auto"/>
            </w:pPr>
            <w:r w:rsidRPr="00CE1D7F">
              <w:rPr>
                <w:rFonts w:cs="Calibri"/>
              </w:rPr>
              <w:t>Research and Development Corporation</w:t>
            </w:r>
          </w:p>
        </w:tc>
      </w:tr>
      <w:tr w:rsidR="002B32A0" w:rsidRPr="00CE1D7F" w14:paraId="251A0E03" w14:textId="77777777" w:rsidTr="006258ED">
        <w:trPr>
          <w:trHeight w:val="340"/>
        </w:trPr>
        <w:tc>
          <w:tcPr>
            <w:tcW w:w="1418" w:type="dxa"/>
            <w:shd w:val="clear" w:color="auto" w:fill="auto"/>
            <w:vAlign w:val="center"/>
          </w:tcPr>
          <w:p w14:paraId="05838098" w14:textId="77777777" w:rsidR="002B32A0" w:rsidRPr="00CE1D7F" w:rsidRDefault="002B32A0" w:rsidP="006258ED">
            <w:pPr>
              <w:pStyle w:val="BodyText"/>
              <w:spacing w:before="60" w:after="60" w:line="240" w:lineRule="auto"/>
            </w:pPr>
            <w:r w:rsidRPr="00CE1D7F">
              <w:rPr>
                <w:rFonts w:cs="Calibri"/>
              </w:rPr>
              <w:t>RDTI</w:t>
            </w:r>
          </w:p>
        </w:tc>
        <w:tc>
          <w:tcPr>
            <w:tcW w:w="6518" w:type="dxa"/>
            <w:shd w:val="clear" w:color="auto" w:fill="auto"/>
            <w:vAlign w:val="center"/>
          </w:tcPr>
          <w:p w14:paraId="20E8FC0C" w14:textId="77777777" w:rsidR="002B32A0" w:rsidRPr="00CE1D7F" w:rsidRDefault="002B32A0" w:rsidP="006258ED">
            <w:pPr>
              <w:pStyle w:val="BodyText"/>
              <w:spacing w:before="60" w:after="60" w:line="240" w:lineRule="auto"/>
            </w:pPr>
            <w:r w:rsidRPr="00CE1D7F">
              <w:rPr>
                <w:rFonts w:cs="Calibri"/>
              </w:rPr>
              <w:t>Research and Development Tax Incentive</w:t>
            </w:r>
          </w:p>
        </w:tc>
      </w:tr>
      <w:tr w:rsidR="002B32A0" w:rsidRPr="00CE1D7F" w14:paraId="11F5BCD0" w14:textId="77777777" w:rsidTr="006258ED">
        <w:trPr>
          <w:trHeight w:val="340"/>
        </w:trPr>
        <w:tc>
          <w:tcPr>
            <w:tcW w:w="1418" w:type="dxa"/>
            <w:shd w:val="clear" w:color="auto" w:fill="auto"/>
            <w:vAlign w:val="center"/>
          </w:tcPr>
          <w:p w14:paraId="73983EA9" w14:textId="77777777" w:rsidR="002B32A0" w:rsidRPr="00CE1D7F" w:rsidRDefault="002B32A0" w:rsidP="006258ED">
            <w:pPr>
              <w:pStyle w:val="BodyText"/>
              <w:spacing w:before="60" w:after="60" w:line="240" w:lineRule="auto"/>
            </w:pPr>
            <w:r w:rsidRPr="00CE1D7F">
              <w:rPr>
                <w:rFonts w:cs="Calibri"/>
              </w:rPr>
              <w:t>RMS</w:t>
            </w:r>
          </w:p>
        </w:tc>
        <w:tc>
          <w:tcPr>
            <w:tcW w:w="6518" w:type="dxa"/>
            <w:shd w:val="clear" w:color="auto" w:fill="auto"/>
            <w:vAlign w:val="center"/>
          </w:tcPr>
          <w:p w14:paraId="32A8D4BA" w14:textId="77777777" w:rsidR="002B32A0" w:rsidRPr="00CE1D7F" w:rsidRDefault="002B32A0" w:rsidP="006258ED">
            <w:pPr>
              <w:pStyle w:val="BodyText"/>
              <w:spacing w:before="60" w:after="60" w:line="240" w:lineRule="auto"/>
            </w:pPr>
            <w:r w:rsidRPr="00CE1D7F">
              <w:rPr>
                <w:rFonts w:cs="Calibri"/>
              </w:rPr>
              <w:t>Research Management System</w:t>
            </w:r>
          </w:p>
        </w:tc>
      </w:tr>
      <w:tr w:rsidR="002B32A0" w:rsidRPr="00CE1D7F" w14:paraId="1B1C7508" w14:textId="77777777" w:rsidTr="006258ED">
        <w:trPr>
          <w:trHeight w:val="340"/>
        </w:trPr>
        <w:tc>
          <w:tcPr>
            <w:tcW w:w="1418" w:type="dxa"/>
            <w:shd w:val="clear" w:color="auto" w:fill="auto"/>
          </w:tcPr>
          <w:p w14:paraId="1B5937DB" w14:textId="77777777" w:rsidR="002B32A0" w:rsidRPr="00CE1D7F" w:rsidRDefault="002B32A0" w:rsidP="006258ED">
            <w:pPr>
              <w:pStyle w:val="BodyText"/>
              <w:spacing w:before="60" w:after="60" w:line="240" w:lineRule="auto"/>
              <w:rPr>
                <w:rFonts w:cs="Calibri"/>
              </w:rPr>
            </w:pPr>
            <w:r w:rsidRPr="00CE1D7F">
              <w:t>ROR</w:t>
            </w:r>
          </w:p>
        </w:tc>
        <w:tc>
          <w:tcPr>
            <w:tcW w:w="6518" w:type="dxa"/>
            <w:shd w:val="clear" w:color="auto" w:fill="auto"/>
          </w:tcPr>
          <w:p w14:paraId="48C07A31" w14:textId="77777777" w:rsidR="002B32A0" w:rsidRPr="00CE1D7F" w:rsidRDefault="002B32A0" w:rsidP="006258ED">
            <w:pPr>
              <w:pStyle w:val="BodyText"/>
              <w:spacing w:before="60" w:after="60" w:line="240" w:lineRule="auto"/>
              <w:rPr>
                <w:rFonts w:cs="Calibri"/>
              </w:rPr>
            </w:pPr>
            <w:r w:rsidRPr="00CE1D7F">
              <w:t>Rate of return</w:t>
            </w:r>
          </w:p>
        </w:tc>
      </w:tr>
      <w:tr w:rsidR="002B32A0" w:rsidRPr="00CE1D7F" w14:paraId="519ED643" w14:textId="77777777" w:rsidTr="006258ED">
        <w:trPr>
          <w:trHeight w:val="340"/>
        </w:trPr>
        <w:tc>
          <w:tcPr>
            <w:tcW w:w="1418" w:type="dxa"/>
            <w:shd w:val="clear" w:color="auto" w:fill="auto"/>
            <w:vAlign w:val="center"/>
          </w:tcPr>
          <w:p w14:paraId="2DC27578" w14:textId="77777777" w:rsidR="002B32A0" w:rsidRPr="00CE1D7F" w:rsidRDefault="002B32A0" w:rsidP="006258ED">
            <w:pPr>
              <w:pStyle w:val="BodyText"/>
              <w:spacing w:before="60" w:after="60" w:line="240" w:lineRule="auto"/>
            </w:pPr>
            <w:r w:rsidRPr="00CE1D7F">
              <w:rPr>
                <w:rFonts w:cs="Calibri"/>
              </w:rPr>
              <w:t>RRR</w:t>
            </w:r>
          </w:p>
        </w:tc>
        <w:tc>
          <w:tcPr>
            <w:tcW w:w="6518" w:type="dxa"/>
            <w:shd w:val="clear" w:color="auto" w:fill="auto"/>
            <w:vAlign w:val="center"/>
          </w:tcPr>
          <w:p w14:paraId="182153F7" w14:textId="77777777" w:rsidR="002B32A0" w:rsidRPr="00CE1D7F" w:rsidRDefault="002B32A0" w:rsidP="006258ED">
            <w:pPr>
              <w:pStyle w:val="BodyText"/>
              <w:spacing w:before="60" w:after="60" w:line="240" w:lineRule="auto"/>
            </w:pPr>
            <w:r w:rsidRPr="00CE1D7F">
              <w:rPr>
                <w:rFonts w:cs="Calibri"/>
              </w:rPr>
              <w:t>Return Reconcile Renew</w:t>
            </w:r>
          </w:p>
        </w:tc>
      </w:tr>
      <w:tr w:rsidR="002B32A0" w:rsidRPr="00CE1D7F" w14:paraId="4FF6C524" w14:textId="77777777" w:rsidTr="006258ED">
        <w:trPr>
          <w:trHeight w:val="340"/>
        </w:trPr>
        <w:tc>
          <w:tcPr>
            <w:tcW w:w="1418" w:type="dxa"/>
            <w:shd w:val="clear" w:color="auto" w:fill="auto"/>
            <w:vAlign w:val="center"/>
          </w:tcPr>
          <w:p w14:paraId="558EB6A2" w14:textId="77777777" w:rsidR="002B32A0" w:rsidRPr="00CE1D7F" w:rsidRDefault="002B32A0" w:rsidP="006258ED">
            <w:pPr>
              <w:pStyle w:val="BodyText"/>
              <w:spacing w:before="60" w:after="60" w:line="240" w:lineRule="auto"/>
            </w:pPr>
            <w:r w:rsidRPr="00CE1D7F">
              <w:rPr>
                <w:rFonts w:cs="Calibri"/>
              </w:rPr>
              <w:t>RUN</w:t>
            </w:r>
          </w:p>
        </w:tc>
        <w:tc>
          <w:tcPr>
            <w:tcW w:w="6518" w:type="dxa"/>
            <w:shd w:val="clear" w:color="auto" w:fill="auto"/>
            <w:vAlign w:val="center"/>
          </w:tcPr>
          <w:p w14:paraId="5F014D13" w14:textId="77777777" w:rsidR="002B32A0" w:rsidRPr="00CE1D7F" w:rsidRDefault="002B32A0" w:rsidP="006258ED">
            <w:pPr>
              <w:pStyle w:val="BodyText"/>
              <w:spacing w:before="60" w:after="60" w:line="240" w:lineRule="auto"/>
            </w:pPr>
            <w:r w:rsidRPr="00CE1D7F">
              <w:rPr>
                <w:rFonts w:cs="Calibri"/>
              </w:rPr>
              <w:t>Regional Universities Network</w:t>
            </w:r>
          </w:p>
        </w:tc>
      </w:tr>
      <w:tr w:rsidR="002B32A0" w:rsidRPr="00CE1D7F" w14:paraId="6FD33B0C" w14:textId="77777777" w:rsidTr="006258ED">
        <w:trPr>
          <w:trHeight w:val="340"/>
        </w:trPr>
        <w:tc>
          <w:tcPr>
            <w:tcW w:w="1418" w:type="dxa"/>
            <w:shd w:val="clear" w:color="auto" w:fill="auto"/>
            <w:vAlign w:val="center"/>
          </w:tcPr>
          <w:p w14:paraId="48F5DDDB" w14:textId="77777777" w:rsidR="002B32A0" w:rsidRPr="00CE1D7F" w:rsidRDefault="002B32A0" w:rsidP="006258ED">
            <w:pPr>
              <w:pStyle w:val="BodyText"/>
              <w:spacing w:before="60" w:after="60" w:line="240" w:lineRule="auto"/>
            </w:pPr>
            <w:r w:rsidRPr="00CE1D7F">
              <w:rPr>
                <w:rFonts w:cs="Calibri"/>
              </w:rPr>
              <w:t>RWQI</w:t>
            </w:r>
          </w:p>
        </w:tc>
        <w:tc>
          <w:tcPr>
            <w:tcW w:w="6518" w:type="dxa"/>
            <w:shd w:val="clear" w:color="auto" w:fill="auto"/>
            <w:vAlign w:val="center"/>
          </w:tcPr>
          <w:p w14:paraId="1B4CE3FE" w14:textId="77777777" w:rsidR="002B32A0" w:rsidRPr="00CE1D7F" w:rsidRDefault="002B32A0" w:rsidP="006258ED">
            <w:pPr>
              <w:pStyle w:val="BodyText"/>
              <w:spacing w:before="60" w:after="60" w:line="240" w:lineRule="auto"/>
            </w:pPr>
            <w:r w:rsidRPr="00CE1D7F">
              <w:rPr>
                <w:rFonts w:cs="Calibri"/>
              </w:rPr>
              <w:t>Recycled Water Quality Indicators</w:t>
            </w:r>
          </w:p>
        </w:tc>
      </w:tr>
      <w:tr w:rsidR="002B32A0" w:rsidRPr="00CE1D7F" w14:paraId="04AA61E8" w14:textId="77777777" w:rsidTr="006258ED">
        <w:trPr>
          <w:trHeight w:val="340"/>
        </w:trPr>
        <w:tc>
          <w:tcPr>
            <w:tcW w:w="1418" w:type="dxa"/>
            <w:shd w:val="clear" w:color="auto" w:fill="auto"/>
            <w:vAlign w:val="center"/>
          </w:tcPr>
          <w:p w14:paraId="158D28E8" w14:textId="77777777" w:rsidR="002B32A0" w:rsidRPr="00CE1D7F" w:rsidRDefault="002B32A0" w:rsidP="006258ED">
            <w:pPr>
              <w:pStyle w:val="BodyText"/>
              <w:spacing w:before="60" w:after="60" w:line="240" w:lineRule="auto"/>
            </w:pPr>
            <w:r w:rsidRPr="00CE1D7F">
              <w:rPr>
                <w:rFonts w:cs="Calibri"/>
              </w:rPr>
              <w:t>RWQP</w:t>
            </w:r>
          </w:p>
        </w:tc>
        <w:tc>
          <w:tcPr>
            <w:tcW w:w="6518" w:type="dxa"/>
            <w:shd w:val="clear" w:color="auto" w:fill="auto"/>
            <w:vAlign w:val="center"/>
          </w:tcPr>
          <w:p w14:paraId="63671556" w14:textId="77777777" w:rsidR="002B32A0" w:rsidRPr="00CE1D7F" w:rsidRDefault="002B32A0" w:rsidP="006258ED">
            <w:pPr>
              <w:pStyle w:val="BodyText"/>
              <w:spacing w:before="60" w:after="60" w:line="240" w:lineRule="auto"/>
            </w:pPr>
            <w:r w:rsidRPr="00CE1D7F">
              <w:rPr>
                <w:rFonts w:cs="Calibri"/>
              </w:rPr>
              <w:t>Recycled Water Quality Parameters</w:t>
            </w:r>
          </w:p>
        </w:tc>
      </w:tr>
      <w:tr w:rsidR="002B32A0" w:rsidRPr="00CE1D7F" w14:paraId="3684745A" w14:textId="77777777" w:rsidTr="006258ED">
        <w:trPr>
          <w:trHeight w:val="340"/>
        </w:trPr>
        <w:tc>
          <w:tcPr>
            <w:tcW w:w="1418" w:type="dxa"/>
            <w:shd w:val="clear" w:color="auto" w:fill="auto"/>
            <w:vAlign w:val="center"/>
          </w:tcPr>
          <w:p w14:paraId="177AB6B5" w14:textId="77777777" w:rsidR="002B32A0" w:rsidRPr="00CE1D7F" w:rsidRDefault="002B32A0" w:rsidP="006258ED">
            <w:pPr>
              <w:pStyle w:val="BodyText"/>
              <w:spacing w:before="60" w:after="60" w:line="240" w:lineRule="auto"/>
            </w:pPr>
            <w:r w:rsidRPr="00CE1D7F">
              <w:rPr>
                <w:rFonts w:cs="Calibri"/>
              </w:rPr>
              <w:t>SEO</w:t>
            </w:r>
          </w:p>
        </w:tc>
        <w:tc>
          <w:tcPr>
            <w:tcW w:w="6518" w:type="dxa"/>
            <w:shd w:val="clear" w:color="auto" w:fill="auto"/>
            <w:vAlign w:val="center"/>
          </w:tcPr>
          <w:p w14:paraId="59C004C9" w14:textId="77777777" w:rsidR="002B32A0" w:rsidRPr="00CE1D7F" w:rsidRDefault="002B32A0" w:rsidP="006258ED">
            <w:pPr>
              <w:pStyle w:val="BodyText"/>
              <w:spacing w:before="60" w:after="60" w:line="240" w:lineRule="auto"/>
            </w:pPr>
            <w:r w:rsidRPr="00CE1D7F">
              <w:rPr>
                <w:rFonts w:cs="Calibri"/>
              </w:rPr>
              <w:t>Socio-economic Objectives</w:t>
            </w:r>
          </w:p>
        </w:tc>
      </w:tr>
      <w:tr w:rsidR="002B32A0" w:rsidRPr="00CE1D7F" w14:paraId="2EF2902D" w14:textId="77777777" w:rsidTr="006258ED">
        <w:trPr>
          <w:trHeight w:val="340"/>
        </w:trPr>
        <w:tc>
          <w:tcPr>
            <w:tcW w:w="1418" w:type="dxa"/>
            <w:shd w:val="clear" w:color="auto" w:fill="auto"/>
            <w:vAlign w:val="center"/>
          </w:tcPr>
          <w:p w14:paraId="127078AA" w14:textId="77777777" w:rsidR="002B32A0" w:rsidRPr="00CE1D7F" w:rsidRDefault="002B32A0" w:rsidP="006258ED">
            <w:pPr>
              <w:pStyle w:val="BodyText"/>
              <w:spacing w:before="60" w:after="60" w:line="240" w:lineRule="auto"/>
            </w:pPr>
            <w:r w:rsidRPr="00CE1D7F">
              <w:rPr>
                <w:rFonts w:cs="Calibri"/>
              </w:rPr>
              <w:t>SFI</w:t>
            </w:r>
          </w:p>
        </w:tc>
        <w:tc>
          <w:tcPr>
            <w:tcW w:w="6518" w:type="dxa"/>
            <w:shd w:val="clear" w:color="auto" w:fill="auto"/>
            <w:vAlign w:val="center"/>
          </w:tcPr>
          <w:p w14:paraId="7FD1CEAC" w14:textId="77777777" w:rsidR="002B32A0" w:rsidRPr="00CE1D7F" w:rsidRDefault="002B32A0" w:rsidP="006258ED">
            <w:pPr>
              <w:pStyle w:val="BodyText"/>
              <w:spacing w:before="60" w:after="60" w:line="240" w:lineRule="auto"/>
            </w:pPr>
            <w:r w:rsidRPr="00CE1D7F">
              <w:rPr>
                <w:rFonts w:cs="Calibri"/>
              </w:rPr>
              <w:t>Science Foundation Ireland</w:t>
            </w:r>
          </w:p>
        </w:tc>
      </w:tr>
      <w:tr w:rsidR="002B32A0" w:rsidRPr="00CE1D7F" w14:paraId="099B792E" w14:textId="77777777" w:rsidTr="006258ED">
        <w:trPr>
          <w:trHeight w:val="340"/>
        </w:trPr>
        <w:tc>
          <w:tcPr>
            <w:tcW w:w="1418" w:type="dxa"/>
            <w:shd w:val="clear" w:color="auto" w:fill="auto"/>
            <w:vAlign w:val="center"/>
          </w:tcPr>
          <w:p w14:paraId="2A91D335" w14:textId="77777777" w:rsidR="002B32A0" w:rsidRPr="00CE1D7F" w:rsidRDefault="002B32A0" w:rsidP="006258ED">
            <w:pPr>
              <w:pStyle w:val="BodyText"/>
              <w:spacing w:before="60" w:after="60" w:line="240" w:lineRule="auto"/>
            </w:pPr>
            <w:r w:rsidRPr="00CE1D7F">
              <w:rPr>
                <w:rFonts w:cs="Calibri"/>
              </w:rPr>
              <w:t>SME</w:t>
            </w:r>
          </w:p>
        </w:tc>
        <w:tc>
          <w:tcPr>
            <w:tcW w:w="6518" w:type="dxa"/>
            <w:shd w:val="clear" w:color="auto" w:fill="auto"/>
            <w:vAlign w:val="center"/>
          </w:tcPr>
          <w:p w14:paraId="37606F52" w14:textId="77777777" w:rsidR="002B32A0" w:rsidRPr="00CE1D7F" w:rsidRDefault="002B32A0" w:rsidP="006258ED">
            <w:pPr>
              <w:pStyle w:val="BodyText"/>
              <w:spacing w:before="60" w:after="60" w:line="240" w:lineRule="auto"/>
            </w:pPr>
            <w:r w:rsidRPr="00CE1D7F">
              <w:rPr>
                <w:rFonts w:cs="Calibri"/>
              </w:rPr>
              <w:t>Small-medium enterprise</w:t>
            </w:r>
          </w:p>
        </w:tc>
      </w:tr>
      <w:tr w:rsidR="002B32A0" w:rsidRPr="00CE1D7F" w14:paraId="3DB9FBA4" w14:textId="77777777" w:rsidTr="006258ED">
        <w:trPr>
          <w:trHeight w:val="340"/>
        </w:trPr>
        <w:tc>
          <w:tcPr>
            <w:tcW w:w="1418" w:type="dxa"/>
            <w:shd w:val="clear" w:color="auto" w:fill="auto"/>
            <w:vAlign w:val="center"/>
          </w:tcPr>
          <w:p w14:paraId="2C848BC4" w14:textId="77777777" w:rsidR="002B32A0" w:rsidRPr="00CE1D7F" w:rsidRDefault="002B32A0" w:rsidP="006258ED">
            <w:pPr>
              <w:pStyle w:val="BodyText"/>
              <w:spacing w:before="60" w:after="60" w:line="240" w:lineRule="auto"/>
            </w:pPr>
            <w:r w:rsidRPr="00CE1D7F">
              <w:rPr>
                <w:rFonts w:cs="Calibri"/>
              </w:rPr>
              <w:t>SQC</w:t>
            </w:r>
          </w:p>
        </w:tc>
        <w:tc>
          <w:tcPr>
            <w:tcW w:w="6518" w:type="dxa"/>
            <w:shd w:val="clear" w:color="auto" w:fill="auto"/>
            <w:vAlign w:val="center"/>
          </w:tcPr>
          <w:p w14:paraId="73F29E90" w14:textId="77777777" w:rsidR="002B32A0" w:rsidRPr="00CE1D7F" w:rsidRDefault="002B32A0" w:rsidP="006258ED">
            <w:pPr>
              <w:pStyle w:val="BodyText"/>
              <w:spacing w:before="60" w:after="60" w:line="240" w:lineRule="auto"/>
            </w:pPr>
            <w:r w:rsidRPr="00CE1D7F">
              <w:rPr>
                <w:rFonts w:cs="Calibri"/>
              </w:rPr>
              <w:t>Silicon Quantum Computing Pty. Ltd.</w:t>
            </w:r>
          </w:p>
        </w:tc>
      </w:tr>
      <w:tr w:rsidR="002B32A0" w:rsidRPr="00CE1D7F" w14:paraId="0F57C701" w14:textId="77777777" w:rsidTr="006258ED">
        <w:trPr>
          <w:trHeight w:val="340"/>
        </w:trPr>
        <w:tc>
          <w:tcPr>
            <w:tcW w:w="1418" w:type="dxa"/>
            <w:shd w:val="clear" w:color="auto" w:fill="auto"/>
            <w:vAlign w:val="center"/>
          </w:tcPr>
          <w:p w14:paraId="22F789D6" w14:textId="77777777" w:rsidR="002B32A0" w:rsidRPr="00CE1D7F" w:rsidRDefault="002B32A0" w:rsidP="006258ED">
            <w:pPr>
              <w:pStyle w:val="BodyText"/>
              <w:spacing w:before="60" w:after="60" w:line="240" w:lineRule="auto"/>
            </w:pPr>
            <w:r w:rsidRPr="00CE1D7F">
              <w:rPr>
                <w:rFonts w:cs="Calibri"/>
              </w:rPr>
              <w:t>SR</w:t>
            </w:r>
          </w:p>
        </w:tc>
        <w:tc>
          <w:tcPr>
            <w:tcW w:w="6518" w:type="dxa"/>
            <w:shd w:val="clear" w:color="auto" w:fill="auto"/>
            <w:vAlign w:val="center"/>
          </w:tcPr>
          <w:p w14:paraId="0D6FA69F" w14:textId="77777777" w:rsidR="002B32A0" w:rsidRPr="00CE1D7F" w:rsidRDefault="002B32A0" w:rsidP="006258ED">
            <w:pPr>
              <w:pStyle w:val="BodyText"/>
              <w:spacing w:before="60" w:after="60" w:line="240" w:lineRule="auto"/>
            </w:pPr>
            <w:r w:rsidRPr="00CE1D7F">
              <w:rPr>
                <w:rFonts w:cs="Calibri"/>
              </w:rPr>
              <w:t>Special Research Initiatives</w:t>
            </w:r>
          </w:p>
        </w:tc>
      </w:tr>
      <w:tr w:rsidR="002B32A0" w:rsidRPr="00CE1D7F" w14:paraId="6C1F8743" w14:textId="77777777" w:rsidTr="006258ED">
        <w:trPr>
          <w:trHeight w:val="340"/>
        </w:trPr>
        <w:tc>
          <w:tcPr>
            <w:tcW w:w="1418" w:type="dxa"/>
            <w:shd w:val="clear" w:color="auto" w:fill="auto"/>
            <w:vAlign w:val="center"/>
          </w:tcPr>
          <w:p w14:paraId="357A2F68" w14:textId="77777777" w:rsidR="002B32A0" w:rsidRPr="00CE1D7F" w:rsidRDefault="002B32A0" w:rsidP="006258ED">
            <w:pPr>
              <w:pStyle w:val="BodyText"/>
              <w:spacing w:before="60" w:after="60" w:line="240" w:lineRule="auto"/>
            </w:pPr>
            <w:r w:rsidRPr="00CE1D7F">
              <w:rPr>
                <w:rFonts w:cs="Calibri"/>
              </w:rPr>
              <w:t>STEM</w:t>
            </w:r>
          </w:p>
        </w:tc>
        <w:tc>
          <w:tcPr>
            <w:tcW w:w="6518" w:type="dxa"/>
            <w:shd w:val="clear" w:color="auto" w:fill="auto"/>
            <w:vAlign w:val="center"/>
          </w:tcPr>
          <w:p w14:paraId="2B796B8B" w14:textId="77777777" w:rsidR="002B32A0" w:rsidRPr="00CE1D7F" w:rsidRDefault="002B32A0" w:rsidP="006258ED">
            <w:pPr>
              <w:pStyle w:val="BodyText"/>
              <w:spacing w:before="60" w:after="60" w:line="240" w:lineRule="auto"/>
            </w:pPr>
            <w:r w:rsidRPr="00CE1D7F">
              <w:rPr>
                <w:rFonts w:cs="Calibri"/>
              </w:rPr>
              <w:t>Science, Technology, Engineering and Mathematics</w:t>
            </w:r>
          </w:p>
        </w:tc>
      </w:tr>
      <w:tr w:rsidR="002B32A0" w:rsidRPr="00CE1D7F" w14:paraId="13F5ADBB" w14:textId="77777777" w:rsidTr="006258ED">
        <w:trPr>
          <w:trHeight w:val="340"/>
        </w:trPr>
        <w:tc>
          <w:tcPr>
            <w:tcW w:w="1418" w:type="dxa"/>
            <w:shd w:val="clear" w:color="auto" w:fill="auto"/>
            <w:vAlign w:val="center"/>
          </w:tcPr>
          <w:p w14:paraId="10951865" w14:textId="77777777" w:rsidR="002B32A0" w:rsidRPr="00CE1D7F" w:rsidRDefault="002B32A0" w:rsidP="006258ED">
            <w:pPr>
              <w:pStyle w:val="BodyText"/>
              <w:spacing w:before="60" w:after="60" w:line="240" w:lineRule="auto"/>
            </w:pPr>
            <w:r w:rsidRPr="00CE1D7F">
              <w:rPr>
                <w:rFonts w:cs="Calibri"/>
              </w:rPr>
              <w:t>TAPS</w:t>
            </w:r>
          </w:p>
        </w:tc>
        <w:tc>
          <w:tcPr>
            <w:tcW w:w="6518" w:type="dxa"/>
            <w:shd w:val="clear" w:color="auto" w:fill="auto"/>
            <w:vAlign w:val="center"/>
          </w:tcPr>
          <w:p w14:paraId="42D58254" w14:textId="77777777" w:rsidR="002B32A0" w:rsidRPr="00CE1D7F" w:rsidRDefault="002B32A0" w:rsidP="006258ED">
            <w:pPr>
              <w:pStyle w:val="BodyText"/>
              <w:spacing w:before="60" w:after="60" w:line="240" w:lineRule="auto"/>
            </w:pPr>
            <w:r w:rsidRPr="00CE1D7F">
              <w:rPr>
                <w:rFonts w:cs="Calibri"/>
              </w:rPr>
              <w:t>Transitional Academic Pastoral Support</w:t>
            </w:r>
          </w:p>
        </w:tc>
      </w:tr>
      <w:tr w:rsidR="002B32A0" w:rsidRPr="00CE1D7F" w14:paraId="687BC080" w14:textId="77777777" w:rsidTr="006258ED">
        <w:trPr>
          <w:trHeight w:val="340"/>
        </w:trPr>
        <w:tc>
          <w:tcPr>
            <w:tcW w:w="1418" w:type="dxa"/>
            <w:shd w:val="clear" w:color="auto" w:fill="auto"/>
            <w:vAlign w:val="center"/>
          </w:tcPr>
          <w:p w14:paraId="531690E9" w14:textId="77777777" w:rsidR="002B32A0" w:rsidRPr="00CE1D7F" w:rsidRDefault="002B32A0" w:rsidP="006258ED">
            <w:pPr>
              <w:pStyle w:val="BodyText"/>
              <w:spacing w:before="60" w:after="60" w:line="240" w:lineRule="auto"/>
            </w:pPr>
            <w:r w:rsidRPr="00CE1D7F">
              <w:rPr>
                <w:rFonts w:cs="Calibri"/>
              </w:rPr>
              <w:t>TCC</w:t>
            </w:r>
          </w:p>
        </w:tc>
        <w:tc>
          <w:tcPr>
            <w:tcW w:w="6518" w:type="dxa"/>
            <w:shd w:val="clear" w:color="auto" w:fill="auto"/>
            <w:vAlign w:val="center"/>
          </w:tcPr>
          <w:p w14:paraId="23C21A68" w14:textId="77777777" w:rsidR="002B32A0" w:rsidRPr="00CE1D7F" w:rsidRDefault="002B32A0" w:rsidP="006258ED">
            <w:pPr>
              <w:pStyle w:val="BodyText"/>
              <w:spacing w:before="60" w:after="60" w:line="240" w:lineRule="auto"/>
            </w:pPr>
            <w:r w:rsidRPr="00CE1D7F">
              <w:rPr>
                <w:rFonts w:cs="Calibri"/>
              </w:rPr>
              <w:t>Total Channel Control</w:t>
            </w:r>
          </w:p>
        </w:tc>
      </w:tr>
      <w:tr w:rsidR="002B32A0" w:rsidRPr="00CE1D7F" w14:paraId="61276228" w14:textId="77777777" w:rsidTr="006258ED">
        <w:trPr>
          <w:trHeight w:val="340"/>
        </w:trPr>
        <w:tc>
          <w:tcPr>
            <w:tcW w:w="1418" w:type="dxa"/>
            <w:shd w:val="clear" w:color="auto" w:fill="auto"/>
            <w:vAlign w:val="center"/>
          </w:tcPr>
          <w:p w14:paraId="6E94DB98" w14:textId="77777777" w:rsidR="002B32A0" w:rsidRPr="00CE1D7F" w:rsidRDefault="002B32A0" w:rsidP="006258ED">
            <w:pPr>
              <w:pStyle w:val="BodyText"/>
              <w:spacing w:before="60" w:after="60" w:line="240" w:lineRule="auto"/>
            </w:pPr>
            <w:r w:rsidRPr="00CE1D7F">
              <w:rPr>
                <w:rFonts w:cs="Calibri"/>
              </w:rPr>
              <w:t>TRL</w:t>
            </w:r>
          </w:p>
        </w:tc>
        <w:tc>
          <w:tcPr>
            <w:tcW w:w="6518" w:type="dxa"/>
            <w:shd w:val="clear" w:color="auto" w:fill="auto"/>
            <w:vAlign w:val="center"/>
          </w:tcPr>
          <w:p w14:paraId="5FB9420A" w14:textId="77777777" w:rsidR="002B32A0" w:rsidRPr="00CE1D7F" w:rsidRDefault="002B32A0" w:rsidP="006258ED">
            <w:pPr>
              <w:pStyle w:val="BodyText"/>
              <w:spacing w:before="60" w:after="60" w:line="240" w:lineRule="auto"/>
            </w:pPr>
            <w:r w:rsidRPr="00CE1D7F">
              <w:rPr>
                <w:rFonts w:cs="Calibri"/>
              </w:rPr>
              <w:t>Technology Readiness Level</w:t>
            </w:r>
          </w:p>
        </w:tc>
      </w:tr>
      <w:tr w:rsidR="002B32A0" w:rsidRPr="00CE1D7F" w14:paraId="7450CCB4" w14:textId="77777777" w:rsidTr="006258ED">
        <w:trPr>
          <w:trHeight w:val="340"/>
        </w:trPr>
        <w:tc>
          <w:tcPr>
            <w:tcW w:w="1418" w:type="dxa"/>
            <w:shd w:val="clear" w:color="auto" w:fill="auto"/>
            <w:vAlign w:val="center"/>
          </w:tcPr>
          <w:p w14:paraId="3EED8148" w14:textId="77777777" w:rsidR="002B32A0" w:rsidRPr="00CE1D7F" w:rsidRDefault="002B32A0" w:rsidP="006258ED">
            <w:pPr>
              <w:pStyle w:val="BodyText"/>
              <w:spacing w:before="60" w:after="60" w:line="240" w:lineRule="auto"/>
            </w:pPr>
            <w:r w:rsidRPr="00CE1D7F">
              <w:rPr>
                <w:rFonts w:cs="Calibri"/>
              </w:rPr>
              <w:t>UA</w:t>
            </w:r>
          </w:p>
        </w:tc>
        <w:tc>
          <w:tcPr>
            <w:tcW w:w="6518" w:type="dxa"/>
            <w:shd w:val="clear" w:color="auto" w:fill="auto"/>
            <w:vAlign w:val="center"/>
          </w:tcPr>
          <w:p w14:paraId="38857E73" w14:textId="77777777" w:rsidR="002B32A0" w:rsidRPr="00CE1D7F" w:rsidRDefault="002B32A0" w:rsidP="006258ED">
            <w:pPr>
              <w:pStyle w:val="BodyText"/>
              <w:spacing w:before="60" w:after="60" w:line="240" w:lineRule="auto"/>
            </w:pPr>
            <w:r w:rsidRPr="00CE1D7F">
              <w:rPr>
                <w:rFonts w:cs="Calibri"/>
              </w:rPr>
              <w:t>Universities Australia</w:t>
            </w:r>
          </w:p>
        </w:tc>
      </w:tr>
      <w:tr w:rsidR="002B32A0" w:rsidRPr="00CE1D7F" w14:paraId="223F7D35" w14:textId="77777777" w:rsidTr="006258ED">
        <w:trPr>
          <w:trHeight w:val="340"/>
        </w:trPr>
        <w:tc>
          <w:tcPr>
            <w:tcW w:w="1418" w:type="dxa"/>
            <w:shd w:val="clear" w:color="auto" w:fill="auto"/>
            <w:vAlign w:val="center"/>
          </w:tcPr>
          <w:p w14:paraId="5ACA07CE" w14:textId="77777777" w:rsidR="002B32A0" w:rsidRPr="00CE1D7F" w:rsidRDefault="002B32A0" w:rsidP="006258ED">
            <w:pPr>
              <w:pStyle w:val="BodyText"/>
              <w:spacing w:before="60" w:after="60" w:line="240" w:lineRule="auto"/>
            </w:pPr>
            <w:r w:rsidRPr="00CE1D7F">
              <w:rPr>
                <w:rFonts w:cs="Calibri"/>
              </w:rPr>
              <w:t>UKRI</w:t>
            </w:r>
          </w:p>
        </w:tc>
        <w:tc>
          <w:tcPr>
            <w:tcW w:w="6518" w:type="dxa"/>
            <w:shd w:val="clear" w:color="auto" w:fill="auto"/>
            <w:vAlign w:val="center"/>
          </w:tcPr>
          <w:p w14:paraId="139A51C4" w14:textId="77777777" w:rsidR="002B32A0" w:rsidRPr="00CE1D7F" w:rsidRDefault="002B32A0" w:rsidP="006258ED">
            <w:pPr>
              <w:pStyle w:val="BodyText"/>
              <w:spacing w:before="60" w:after="60" w:line="240" w:lineRule="auto"/>
            </w:pPr>
            <w:r w:rsidRPr="00CE1D7F">
              <w:rPr>
                <w:rFonts w:cs="Calibri"/>
              </w:rPr>
              <w:t>United Kingdom Research and Innovation</w:t>
            </w:r>
          </w:p>
        </w:tc>
      </w:tr>
    </w:tbl>
    <w:p w14:paraId="78B32C26" w14:textId="77777777" w:rsidR="002B32A0" w:rsidRPr="00CE1D7F" w:rsidRDefault="002B32A0" w:rsidP="002B32A0">
      <w:pPr>
        <w:pStyle w:val="BodyText"/>
      </w:pPr>
    </w:p>
    <w:p w14:paraId="0CB19C1A" w14:textId="77777777" w:rsidR="002B32A0" w:rsidRPr="00CE1D7F" w:rsidRDefault="002B32A0" w:rsidP="002B32A0">
      <w:pPr>
        <w:pStyle w:val="BodyText"/>
        <w:sectPr w:rsidR="002B32A0" w:rsidRPr="00CE1D7F" w:rsidSect="000F0EC9">
          <w:headerReference w:type="even" r:id="rId24"/>
          <w:headerReference w:type="default" r:id="rId25"/>
          <w:footerReference w:type="even" r:id="rId26"/>
          <w:footerReference w:type="default" r:id="rId27"/>
          <w:headerReference w:type="first" r:id="rId28"/>
          <w:footerReference w:type="first" r:id="rId29"/>
          <w:pgSz w:w="11906" w:h="16838" w:code="9"/>
          <w:pgMar w:top="1134" w:right="851" w:bottom="1134" w:left="3119" w:header="454" w:footer="159" w:gutter="0"/>
          <w:pgNumType w:fmt="lowerRoman" w:start="1"/>
          <w:cols w:space="708"/>
          <w:docGrid w:linePitch="360"/>
        </w:sectPr>
      </w:pPr>
    </w:p>
    <w:p w14:paraId="779A6735" w14:textId="77777777" w:rsidR="000B0AC7" w:rsidRPr="00CE1D7F" w:rsidRDefault="000B0AC7" w:rsidP="006258ED">
      <w:pPr>
        <w:pStyle w:val="Heading1ES"/>
      </w:pPr>
      <w:bookmarkStart w:id="2" w:name="_Toc135323673"/>
      <w:r w:rsidRPr="00CE1D7F">
        <w:lastRenderedPageBreak/>
        <w:t>Executive summary</w:t>
      </w:r>
      <w:bookmarkEnd w:id="2"/>
    </w:p>
    <w:p w14:paraId="503D46B1" w14:textId="77777777" w:rsidR="00F6577E" w:rsidRDefault="00F6577E" w:rsidP="00F6577E">
      <w:pPr>
        <w:pStyle w:val="Heading2ES"/>
      </w:pPr>
      <w:r>
        <w:t>Introduction</w:t>
      </w:r>
    </w:p>
    <w:p w14:paraId="59CDE3B8" w14:textId="77777777" w:rsidR="00F6577E" w:rsidRDefault="00F6577E" w:rsidP="00F6577E">
      <w:pPr>
        <w:pStyle w:val="BodyText"/>
      </w:pPr>
      <w:r>
        <w:t xml:space="preserve">The Australian Research Council (ARC) has a key role in Australia’s innovation and research system in supporting Australia's universities to produce high-quality and impactful research through the delivery of the National Competitive Grants Program (NCGP). It achieves this by allocating funding on a competitive basis to universities undertaking world-class research. </w:t>
      </w:r>
    </w:p>
    <w:p w14:paraId="5FEF7730" w14:textId="4AA5E781" w:rsidR="002B32A0" w:rsidRPr="00CE1D7F" w:rsidRDefault="00F6577E" w:rsidP="00F6577E">
      <w:pPr>
        <w:pStyle w:val="BodyText"/>
      </w:pPr>
      <w:r>
        <w:t>The ARC also has the national responsibility for assessing the quality, engagement and impact of university research and working in partnership with the sector to safeguard research integrity.</w:t>
      </w:r>
    </w:p>
    <w:p w14:paraId="643DADCE" w14:textId="4C250A15" w:rsidR="00F6577E" w:rsidRDefault="00F6577E" w:rsidP="00F6577E">
      <w:pPr>
        <w:pStyle w:val="Heading2ES"/>
      </w:pPr>
      <w:r>
        <w:t xml:space="preserve">The </w:t>
      </w:r>
      <w:r w:rsidRPr="001F6F88">
        <w:t>National</w:t>
      </w:r>
      <w:r>
        <w:t xml:space="preserve"> </w:t>
      </w:r>
      <w:r w:rsidRPr="001F6F88">
        <w:t>Competitive</w:t>
      </w:r>
      <w:r>
        <w:t xml:space="preserve"> </w:t>
      </w:r>
      <w:r w:rsidRPr="001F6F88">
        <w:t>Grants</w:t>
      </w:r>
      <w:r>
        <w:t xml:space="preserve"> </w:t>
      </w:r>
      <w:r w:rsidRPr="001F6F88">
        <w:t>Program</w:t>
      </w:r>
      <w:r>
        <w:t xml:space="preserve"> </w:t>
      </w:r>
    </w:p>
    <w:p w14:paraId="2D419353" w14:textId="77777777" w:rsidR="00F6577E" w:rsidRDefault="00F6577E" w:rsidP="00F6577E">
      <w:pPr>
        <w:pStyle w:val="BodyText"/>
      </w:pPr>
      <w:r>
        <w:t xml:space="preserve">This evaluation is focused on the </w:t>
      </w:r>
      <w:r w:rsidRPr="005310ED">
        <w:t>NCGP</w:t>
      </w:r>
      <w:r>
        <w:t xml:space="preserve">, which </w:t>
      </w:r>
      <w:r w:rsidRPr="005310ED">
        <w:t>allocates</w:t>
      </w:r>
      <w:r>
        <w:t xml:space="preserve"> </w:t>
      </w:r>
      <w:r w:rsidRPr="005310ED">
        <w:t>research</w:t>
      </w:r>
      <w:r>
        <w:t xml:space="preserve"> </w:t>
      </w:r>
      <w:r w:rsidRPr="005310ED">
        <w:t>grant</w:t>
      </w:r>
      <w:r>
        <w:t xml:space="preserve"> </w:t>
      </w:r>
      <w:r w:rsidRPr="005310ED">
        <w:t>funding</w:t>
      </w:r>
      <w:r>
        <w:t xml:space="preserve"> via </w:t>
      </w:r>
      <w:r w:rsidRPr="005310ED">
        <w:t>a</w:t>
      </w:r>
      <w:r>
        <w:t xml:space="preserve"> </w:t>
      </w:r>
      <w:r w:rsidRPr="005310ED">
        <w:t>competitive</w:t>
      </w:r>
      <w:r>
        <w:t xml:space="preserve"> </w:t>
      </w:r>
      <w:r w:rsidRPr="005310ED">
        <w:t>peer</w:t>
      </w:r>
      <w:r>
        <w:t xml:space="preserve"> </w:t>
      </w:r>
      <w:r w:rsidRPr="005310ED">
        <w:t>review</w:t>
      </w:r>
      <w:r>
        <w:t xml:space="preserve"> </w:t>
      </w:r>
      <w:r w:rsidRPr="005310ED">
        <w:t>process</w:t>
      </w:r>
      <w:r>
        <w:t xml:space="preserve"> through the Discovery Program and the Linkage Program. </w:t>
      </w:r>
      <w:r w:rsidRPr="009C745D">
        <w:t xml:space="preserve">The Discovery Program </w:t>
      </w:r>
      <w:r>
        <w:t xml:space="preserve">plays a crucial role in </w:t>
      </w:r>
      <w:r w:rsidRPr="009C745D">
        <w:t>funding blue-sky research in Australia, while the Linkage Program focuses</w:t>
      </w:r>
      <w:r>
        <w:t xml:space="preserve"> on collaborative </w:t>
      </w:r>
      <w:r w:rsidRPr="00191E7F">
        <w:t>research that links universities, industry and other research users</w:t>
      </w:r>
      <w:r>
        <w:t xml:space="preserve">. </w:t>
      </w:r>
    </w:p>
    <w:p w14:paraId="47BDA8AD" w14:textId="77777777" w:rsidR="00F6577E" w:rsidRDefault="00F6577E" w:rsidP="00F6577E">
      <w:pPr>
        <w:pStyle w:val="BodyText"/>
      </w:pPr>
      <w:r>
        <w:t xml:space="preserve">Under these programs, the ARC funds a range </w:t>
      </w:r>
      <w:r w:rsidRPr="00EC7E6D">
        <w:t>of complementary schemes</w:t>
      </w:r>
      <w:r>
        <w:t>. The aim is</w:t>
      </w:r>
      <w:r w:rsidRPr="00EC7E6D">
        <w:t xml:space="preserve"> to</w:t>
      </w:r>
      <w:r>
        <w:t xml:space="preserve"> support researchers at different stages of their careers, build Australia’s research capability, expand and enhance research networks and collaborations, and develop centres of excellence. ARC funding </w:t>
      </w:r>
      <w:r w:rsidRPr="00172FA1">
        <w:t>ensure</w:t>
      </w:r>
      <w:r>
        <w:t>s</w:t>
      </w:r>
      <w:r w:rsidRPr="00172FA1">
        <w:t xml:space="preserve"> Australia can </w:t>
      </w:r>
      <w:r w:rsidRPr="00CE4CF9">
        <w:rPr>
          <w:b/>
          <w:bCs/>
        </w:rPr>
        <w:t>maximise the benefits of having a strong and vibrant research sector</w:t>
      </w:r>
      <w:r w:rsidRPr="00172FA1">
        <w:t>.</w:t>
      </w:r>
    </w:p>
    <w:p w14:paraId="51FCC04D" w14:textId="77777777" w:rsidR="00F6577E" w:rsidRDefault="00F6577E" w:rsidP="00F6577E">
      <w:pPr>
        <w:pStyle w:val="BodyText"/>
        <w:spacing w:after="90"/>
      </w:pPr>
      <w:r w:rsidRPr="00ED2DAC">
        <w:t>The</w:t>
      </w:r>
      <w:r>
        <w:t xml:space="preserve"> </w:t>
      </w:r>
      <w:r w:rsidRPr="00ED2DAC">
        <w:t>intended</w:t>
      </w:r>
      <w:r>
        <w:t xml:space="preserve"> </w:t>
      </w:r>
      <w:r w:rsidRPr="00ED2DAC">
        <w:t>outcome</w:t>
      </w:r>
      <w:r>
        <w:t xml:space="preserve"> </w:t>
      </w:r>
      <w:r w:rsidRPr="00ED2DAC">
        <w:t>of</w:t>
      </w:r>
      <w:r>
        <w:t xml:space="preserve"> </w:t>
      </w:r>
      <w:r w:rsidRPr="00ED2DAC">
        <w:t>the</w:t>
      </w:r>
      <w:r>
        <w:t xml:space="preserve"> Programs is </w:t>
      </w:r>
      <w:r w:rsidRPr="00ED2DAC">
        <w:t>to</w:t>
      </w:r>
      <w:r>
        <w:t xml:space="preserve"> </w:t>
      </w:r>
      <w:r w:rsidRPr="00DF125A">
        <w:rPr>
          <w:b/>
          <w:bCs/>
        </w:rPr>
        <w:t>contribute to the growth of</w:t>
      </w:r>
      <w:r>
        <w:rPr>
          <w:b/>
          <w:bCs/>
        </w:rPr>
        <w:t xml:space="preserve"> </w:t>
      </w:r>
      <w:r w:rsidRPr="00DF125A">
        <w:rPr>
          <w:b/>
          <w:bCs/>
        </w:rPr>
        <w:t>Australia’s research and innovation capacity</w:t>
      </w:r>
      <w:r>
        <w:t xml:space="preserve">, which </w:t>
      </w:r>
      <w:r w:rsidRPr="00CE4CF9">
        <w:t>generates new knowledge and</w:t>
      </w:r>
      <w:r w:rsidRPr="00DB6C94">
        <w:t xml:space="preserve"> results in the development of new </w:t>
      </w:r>
      <w:r w:rsidRPr="00CE4CF9">
        <w:t>technologies</w:t>
      </w:r>
      <w:r w:rsidRPr="00DB6C94">
        <w:t xml:space="preserve">, </w:t>
      </w:r>
      <w:r w:rsidRPr="00CE4CF9">
        <w:t>products and ideas</w:t>
      </w:r>
      <w:r w:rsidRPr="00DB6C94">
        <w:t xml:space="preserve">, the </w:t>
      </w:r>
      <w:r w:rsidRPr="00CE4CF9">
        <w:t>creation of jobs, economic growth</w:t>
      </w:r>
      <w:r w:rsidRPr="00DB6C94">
        <w:t xml:space="preserve">, and an </w:t>
      </w:r>
      <w:r w:rsidRPr="00CE4CF9">
        <w:t>enhanced quality of life in Australia</w:t>
      </w:r>
      <w:r w:rsidRPr="00DB6C94">
        <w:t>.</w:t>
      </w:r>
      <w:r w:rsidRPr="00AB38D4">
        <w:t xml:space="preserve"> </w:t>
      </w:r>
    </w:p>
    <w:p w14:paraId="01ED7174" w14:textId="11DF55D6" w:rsidR="00A80D08" w:rsidRDefault="00A80D08" w:rsidP="00F6577E">
      <w:pPr>
        <w:pStyle w:val="BodyText"/>
        <w:spacing w:after="90"/>
      </w:pPr>
      <w:r>
        <w:t xml:space="preserve">An overview of ARC funding awarded through the NCGP is provided in </w:t>
      </w:r>
      <w:r>
        <w:fldChar w:fldCharType="begin"/>
      </w:r>
      <w:r>
        <w:instrText xml:space="preserve"> REF _Ref132904641 \h </w:instrText>
      </w:r>
      <w:r>
        <w:fldChar w:fldCharType="separate"/>
      </w:r>
      <w:r w:rsidR="000B0AC7" w:rsidRPr="00481C22">
        <w:rPr>
          <w:rStyle w:val="CaptionLabel"/>
        </w:rPr>
        <w:t>Figure ES </w:t>
      </w:r>
      <w:r w:rsidR="000B0AC7">
        <w:rPr>
          <w:rStyle w:val="CaptionLabel"/>
          <w:noProof/>
        </w:rPr>
        <w:t>1</w:t>
      </w:r>
      <w:r>
        <w:fldChar w:fldCharType="end"/>
      </w:r>
      <w:r>
        <w:t>.</w:t>
      </w:r>
    </w:p>
    <w:p w14:paraId="294CEAA6" w14:textId="6F39914F" w:rsidR="000B0AC7" w:rsidRDefault="000B0AC7" w:rsidP="000B0AC7">
      <w:pPr>
        <w:pStyle w:val="Caption"/>
        <w:ind w:left="-665" w:hanging="1308"/>
      </w:pPr>
      <w:bookmarkStart w:id="3" w:name="_Ref132904641"/>
      <w:r w:rsidRPr="00481C22">
        <w:rPr>
          <w:rStyle w:val="CaptionLabel"/>
        </w:rPr>
        <w:t>Figure ES </w:t>
      </w:r>
      <w:r w:rsidRPr="00481C22">
        <w:rPr>
          <w:rStyle w:val="CaptionLabel"/>
        </w:rPr>
        <w:fldChar w:fldCharType="begin"/>
      </w:r>
      <w:r w:rsidRPr="00481C22">
        <w:rPr>
          <w:rStyle w:val="CaptionLabel"/>
        </w:rPr>
        <w:instrText xml:space="preserve"> SEQ Figure_ES \* ARABIC  \* MERGEFORMAT </w:instrText>
      </w:r>
      <w:r w:rsidRPr="00481C22">
        <w:rPr>
          <w:rStyle w:val="CaptionLabel"/>
        </w:rPr>
        <w:fldChar w:fldCharType="separate"/>
      </w:r>
      <w:r>
        <w:rPr>
          <w:rStyle w:val="CaptionLabel"/>
          <w:noProof/>
        </w:rPr>
        <w:t>1</w:t>
      </w:r>
      <w:r w:rsidRPr="00481C22">
        <w:rPr>
          <w:rStyle w:val="CaptionLabel"/>
        </w:rPr>
        <w:fldChar w:fldCharType="end"/>
      </w:r>
      <w:bookmarkEnd w:id="3"/>
      <w:r>
        <w:tab/>
        <w:t>ARC funding awarded through the NCGP</w:t>
      </w:r>
    </w:p>
    <w:tbl>
      <w:tblPr>
        <w:tblStyle w:val="aacTableFigure-Wide"/>
        <w:tblW w:w="9909" w:type="dxa"/>
        <w:tblBorders>
          <w:top w:val="single" w:sz="4" w:space="0" w:color="000000"/>
          <w:bottom w:val="single" w:sz="4" w:space="0" w:color="000000"/>
        </w:tblBorders>
        <w:tblLayout w:type="fixed"/>
        <w:tblLook w:val="04A0" w:firstRow="1" w:lastRow="0" w:firstColumn="1" w:lastColumn="0" w:noHBand="0" w:noVBand="1"/>
      </w:tblPr>
      <w:tblGrid>
        <w:gridCol w:w="9909"/>
      </w:tblGrid>
      <w:tr w:rsidR="00481C22" w14:paraId="60DCA84C" w14:textId="77777777" w:rsidTr="000B0AC7">
        <w:tc>
          <w:tcPr>
            <w:tcW w:w="9909" w:type="dxa"/>
            <w:shd w:val="clear" w:color="auto" w:fill="auto"/>
          </w:tcPr>
          <w:p w14:paraId="7C4792EE" w14:textId="6B2EB330" w:rsidR="00481C22" w:rsidRDefault="00481C22" w:rsidP="00481C22">
            <w:pPr>
              <w:pStyle w:val="Figure"/>
            </w:pPr>
            <w:r>
              <w:rPr>
                <w:noProof/>
              </w:rPr>
              <w:drawing>
                <wp:inline distT="0" distB="0" distL="0" distR="0" wp14:anchorId="799D1918" wp14:editId="721225A2">
                  <wp:extent cx="6283043" cy="1371600"/>
                  <wp:effectExtent l="0" t="0" r="3810" b="0"/>
                  <wp:docPr id="691595876" name="Picture 691595876" descr="FROM 2002–21 ARC awarded $13.7 billion in funding – $8.37 billion awarded through the Discovery Program  (61%); $5.35 billion awarded through the Linkage Program (39%); 29,303 projects fun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595876" name="Picture 691595876" descr="FROM 2002–21 ARC awarded $13.7 billion in funding – $8.37 billion awarded through the Discovery Program  (61%); $5.35 billion awarded through the Linkage Program (39%); 29,303 projects funded"/>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341702" cy="1384405"/>
                          </a:xfrm>
                          <a:prstGeom prst="rect">
                            <a:avLst/>
                          </a:prstGeom>
                          <a:noFill/>
                        </pic:spPr>
                      </pic:pic>
                    </a:graphicData>
                  </a:graphic>
                </wp:inline>
              </w:drawing>
            </w:r>
          </w:p>
        </w:tc>
      </w:tr>
    </w:tbl>
    <w:p w14:paraId="5FD91746" w14:textId="77777777" w:rsidR="000B0AC7" w:rsidRDefault="000B0AC7" w:rsidP="000B0AC7">
      <w:pPr>
        <w:pStyle w:val="Source"/>
        <w:ind w:left="-665" w:hanging="1308"/>
      </w:pPr>
      <w:r>
        <w:t>Source: ACIL Allen</w:t>
      </w:r>
    </w:p>
    <w:p w14:paraId="265ED08B" w14:textId="77777777" w:rsidR="000B0AC7" w:rsidRDefault="000B0AC7" w:rsidP="00481C22">
      <w:pPr>
        <w:pStyle w:val="spacer"/>
      </w:pPr>
    </w:p>
    <w:p w14:paraId="4A6B5A0E" w14:textId="77777777" w:rsidR="00F6577E" w:rsidRPr="00D109EC" w:rsidRDefault="00F6577E" w:rsidP="00F6577E">
      <w:pPr>
        <w:pStyle w:val="Heading2ES"/>
      </w:pPr>
      <w:r w:rsidRPr="00D109EC">
        <w:t>This evaluation</w:t>
      </w:r>
    </w:p>
    <w:p w14:paraId="136A9E1C" w14:textId="77777777" w:rsidR="00F6577E" w:rsidRDefault="00F6577E" w:rsidP="00F6577E">
      <w:pPr>
        <w:pStyle w:val="BodyText"/>
      </w:pPr>
      <w:r>
        <w:t xml:space="preserve">The ARC commissioned ACIL Allen </w:t>
      </w:r>
      <w:r w:rsidRPr="009A05C4">
        <w:t xml:space="preserve">to </w:t>
      </w:r>
      <w:r w:rsidRPr="00CE4CF9">
        <w:t xml:space="preserve">independently evaluate the outcomes and impacts </w:t>
      </w:r>
      <w:r w:rsidRPr="009A05C4">
        <w:t>of NCGP-funded research over the past</w:t>
      </w:r>
      <w:r w:rsidRPr="00CE4CF9">
        <w:t xml:space="preserve"> 2 decades</w:t>
      </w:r>
      <w:r>
        <w:t xml:space="preserve"> and consider the </w:t>
      </w:r>
      <w:r w:rsidRPr="00CE4CF9">
        <w:t>potential future benefits</w:t>
      </w:r>
      <w:r>
        <w:t xml:space="preserve"> </w:t>
      </w:r>
      <w:r>
        <w:lastRenderedPageBreak/>
        <w:t xml:space="preserve">delivered from the funding. In addition, ACIL Allen was asked to assess the effectiveness with which the ARC supports, monitors, and reports on research impact and identify opportunities for improvement. </w:t>
      </w:r>
    </w:p>
    <w:p w14:paraId="7C405589" w14:textId="77777777" w:rsidR="00F6577E" w:rsidRDefault="00F6577E" w:rsidP="00F6577E">
      <w:pPr>
        <w:pStyle w:val="BodyText"/>
      </w:pPr>
      <w:r>
        <w:t>In assessing the outcomes and impact of NCGP-funded research, ACIL Allen has drawn on data provided by the ARC from 2002-2021. Thi</w:t>
      </w:r>
      <w:r w:rsidRPr="00DF481E">
        <w:t xml:space="preserve">s includes </w:t>
      </w:r>
      <w:r w:rsidRPr="00CE4CF9">
        <w:t>funding data for 29,303 projects, 22,352 grant final reports</w:t>
      </w:r>
      <w:r w:rsidRPr="00DF481E">
        <w:t xml:space="preserve">, a </w:t>
      </w:r>
      <w:r w:rsidRPr="00CE4CF9">
        <w:t>survey of 3,361 researchers</w:t>
      </w:r>
      <w:r w:rsidRPr="00DF481E">
        <w:t xml:space="preserve">, </w:t>
      </w:r>
      <w:r>
        <w:t xml:space="preserve">and </w:t>
      </w:r>
      <w:r w:rsidRPr="00CE4CF9">
        <w:t>consultation with system leaders</w:t>
      </w:r>
      <w:r w:rsidRPr="00DF481E">
        <w:t xml:space="preserve"> in Australia and </w:t>
      </w:r>
      <w:r w:rsidRPr="00CE4CF9">
        <w:t>international funding agencies</w:t>
      </w:r>
      <w:r w:rsidRPr="00DF481E">
        <w:t xml:space="preserve">. The evidence was analysed and synthesised using </w:t>
      </w:r>
      <w:r w:rsidRPr="00006436">
        <w:rPr>
          <w:bCs/>
        </w:rPr>
        <w:t xml:space="preserve">whole of economy modelling, impact </w:t>
      </w:r>
      <w:r w:rsidRPr="00CE4CF9">
        <w:rPr>
          <w:bCs/>
        </w:rPr>
        <w:t>case studies</w:t>
      </w:r>
      <w:r w:rsidRPr="00006436">
        <w:rPr>
          <w:bCs/>
        </w:rPr>
        <w:t xml:space="preserve"> and </w:t>
      </w:r>
      <w:r w:rsidRPr="00CE4CF9">
        <w:rPr>
          <w:bCs/>
        </w:rPr>
        <w:t>qualitative and quantitative analysis</w:t>
      </w:r>
      <w:r w:rsidRPr="00006436">
        <w:rPr>
          <w:bCs/>
        </w:rPr>
        <w:t>.</w:t>
      </w:r>
      <w:r>
        <w:t xml:space="preserve"> </w:t>
      </w:r>
    </w:p>
    <w:p w14:paraId="00BC54D1" w14:textId="4B1E5FE8" w:rsidR="002B32A0" w:rsidRDefault="00F6577E" w:rsidP="00F6577E">
      <w:pPr>
        <w:pStyle w:val="BodyText"/>
      </w:pPr>
      <w:r>
        <w:t xml:space="preserve">There are several challenges in assessing the impact of a research program such as the NCGP. These challenges include </w:t>
      </w:r>
      <w:r w:rsidRPr="004054F2">
        <w:t>the large number of projects funded, the time lags to impact, the diverse range of research activities supported and impacts delivered</w:t>
      </w:r>
      <w:r>
        <w:t xml:space="preserve">, and </w:t>
      </w:r>
      <w:r w:rsidRPr="004054F2">
        <w:t>the attribution of impact</w:t>
      </w:r>
      <w:r>
        <w:t xml:space="preserve"> when there is more than one source of funding</w:t>
      </w:r>
      <w:r w:rsidRPr="004054F2">
        <w:t>.</w:t>
      </w:r>
    </w:p>
    <w:p w14:paraId="144AB107" w14:textId="518EE138" w:rsidR="00F6577E" w:rsidRDefault="00F6577E" w:rsidP="00F6577E">
      <w:pPr>
        <w:pStyle w:val="Heading2ES"/>
      </w:pPr>
      <w:r>
        <w:t xml:space="preserve">Key findings </w:t>
      </w:r>
    </w:p>
    <w:p w14:paraId="726904A4" w14:textId="698E5C7C" w:rsidR="00F6577E" w:rsidRDefault="00F6577E" w:rsidP="00F6577E">
      <w:pPr>
        <w:pStyle w:val="BodyText"/>
      </w:pPr>
      <w:r w:rsidRPr="005F1A55" w:rsidDel="005F1A55">
        <w:t xml:space="preserve">This report demonstrates that </w:t>
      </w:r>
      <w:r w:rsidRPr="00CE4CF9" w:rsidDel="005F1A55">
        <w:rPr>
          <w:b/>
          <w:bCs/>
        </w:rPr>
        <w:t xml:space="preserve">ARC-funded research has delivered </w:t>
      </w:r>
      <w:r w:rsidRPr="005F1A55" w:rsidDel="005F1A55">
        <w:rPr>
          <w:b/>
          <w:bCs/>
        </w:rPr>
        <w:t xml:space="preserve">significant </w:t>
      </w:r>
      <w:r>
        <w:rPr>
          <w:b/>
          <w:bCs/>
        </w:rPr>
        <w:t xml:space="preserve">and diverse </w:t>
      </w:r>
      <w:r w:rsidRPr="005F1A55" w:rsidDel="005F1A55">
        <w:rPr>
          <w:b/>
          <w:bCs/>
        </w:rPr>
        <w:t>benefits</w:t>
      </w:r>
      <w:r w:rsidRPr="005F1A55" w:rsidDel="005F1A55">
        <w:t xml:space="preserve"> to</w:t>
      </w:r>
      <w:r w:rsidRPr="005F1A55">
        <w:t xml:space="preserve"> a broad range of end-users and beneficiaries </w:t>
      </w:r>
      <w:r>
        <w:t xml:space="preserve">in </w:t>
      </w:r>
      <w:r w:rsidRPr="005F1A55" w:rsidDel="005F1A55">
        <w:t xml:space="preserve">Australia and internationally that will continue into the future. </w:t>
      </w:r>
    </w:p>
    <w:p w14:paraId="0C063590" w14:textId="77777777" w:rsidR="00481C22" w:rsidRDefault="00481C22" w:rsidP="003508F0">
      <w:pPr>
        <w:pStyle w:val="Heading3ES"/>
      </w:pPr>
      <w:r>
        <w:t>Economic impacts of NCGP-funded research</w:t>
      </w:r>
    </w:p>
    <w:p w14:paraId="4260FDB8" w14:textId="65417F7F" w:rsidR="00F6577E" w:rsidRDefault="00481C22" w:rsidP="00481C22">
      <w:pPr>
        <w:pStyle w:val="BodyText"/>
      </w:pPr>
      <w:r>
        <w:t>The impact of ARC-funded research from 2002-21 was estimated using a model of the Australian economy (Tasman Global). This model is a high-level representation of the Australian economy that enables measurement of the wider effects of changes in economic activity in key industries and regions due to ARC-funded research.  Economy-wide models like Tasman Global are widely known and have been used by the Productivity Commission, the Commonwealth Treasury and other government agencies to evaluate economy-wide impacts of industry and policy changes.</w:t>
      </w:r>
    </w:p>
    <w:p w14:paraId="4D4D4CA9" w14:textId="77777777" w:rsidR="00481C22" w:rsidRDefault="00481C22" w:rsidP="00481C22">
      <w:pPr>
        <w:pStyle w:val="BodyText"/>
      </w:pPr>
      <w:r>
        <w:t xml:space="preserve">Research funded by the ARC is varied and has a range of </w:t>
      </w:r>
      <w:r w:rsidRPr="00CD61AD">
        <w:rPr>
          <w:b/>
          <w:bCs/>
        </w:rPr>
        <w:t>economic, social, environmental, cultural and research capacity impacts</w:t>
      </w:r>
      <w:r>
        <w:t xml:space="preserve">. Some of these impacts are very difficult to quantify and monetise. The </w:t>
      </w:r>
      <w:r w:rsidRPr="00CD61AD">
        <w:rPr>
          <w:b/>
          <w:bCs/>
        </w:rPr>
        <w:t>economic analysis only captures the direct and indirect economic impacts</w:t>
      </w:r>
      <w:r>
        <w:t xml:space="preserve"> of ARC-funded research. R</w:t>
      </w:r>
      <w:r w:rsidRPr="00DB2AB7">
        <w:t xml:space="preserve">esearch capacity, social, environmental and cultural impacts associated with research projects funded by the ARC </w:t>
      </w:r>
      <w:r>
        <w:t>have been qualitatively assessed.</w:t>
      </w:r>
      <w:r w:rsidRPr="00AE3C4C">
        <w:t xml:space="preserve"> </w:t>
      </w:r>
      <w:r>
        <w:t xml:space="preserve">Once these (and other) non-quantified impacts of ARC-funded research are considered, </w:t>
      </w:r>
      <w:r w:rsidRPr="00CD61AD">
        <w:rPr>
          <w:b/>
          <w:bCs/>
        </w:rPr>
        <w:t>the value of the NCGP is likely much higher than the estimates provided in this section</w:t>
      </w:r>
      <w:r>
        <w:t xml:space="preserve">. </w:t>
      </w:r>
    </w:p>
    <w:p w14:paraId="2982CE55" w14:textId="0156EB70" w:rsidR="00481C22" w:rsidRDefault="00481C22" w:rsidP="00481C22">
      <w:pPr>
        <w:pStyle w:val="BodyText"/>
      </w:pPr>
      <w:r>
        <w:t xml:space="preserve">The key findings of the economic modelling are shown </w:t>
      </w:r>
      <w:r w:rsidR="00054253">
        <w:t xml:space="preserve">in </w:t>
      </w:r>
      <w:r w:rsidR="00054253">
        <w:fldChar w:fldCharType="begin"/>
      </w:r>
      <w:r w:rsidR="00054253">
        <w:instrText xml:space="preserve"> REF _Ref132904670 \h </w:instrText>
      </w:r>
      <w:r w:rsidR="00054253">
        <w:fldChar w:fldCharType="separate"/>
      </w:r>
      <w:r w:rsidR="000B0AC7" w:rsidRPr="00481C22">
        <w:rPr>
          <w:rStyle w:val="CaptionLabel"/>
        </w:rPr>
        <w:t>Figure ES </w:t>
      </w:r>
      <w:r w:rsidR="000B0AC7">
        <w:rPr>
          <w:rStyle w:val="CaptionLabel"/>
          <w:noProof/>
        </w:rPr>
        <w:t>2</w:t>
      </w:r>
      <w:r w:rsidR="00054253">
        <w:fldChar w:fldCharType="end"/>
      </w:r>
      <w:r>
        <w:t xml:space="preserve"> and more details of the methodology used to estimate the impact of ARC-funded research are provided in chapters 1 and</w:t>
      </w:r>
      <w:r w:rsidR="007745C0">
        <w:t> </w:t>
      </w:r>
      <w:r>
        <w:t xml:space="preserve">2. </w:t>
      </w:r>
    </w:p>
    <w:p w14:paraId="7AAD93FA" w14:textId="0461B0BE" w:rsidR="000B0AC7" w:rsidRDefault="000B0AC7" w:rsidP="000B0AC7">
      <w:pPr>
        <w:pStyle w:val="Caption"/>
        <w:ind w:left="1308" w:hanging="1308"/>
      </w:pPr>
      <w:bookmarkStart w:id="4" w:name="_Ref132904670"/>
      <w:r w:rsidRPr="00481C22">
        <w:rPr>
          <w:rStyle w:val="CaptionLabel"/>
        </w:rPr>
        <w:lastRenderedPageBreak/>
        <w:t>Figure ES </w:t>
      </w:r>
      <w:r w:rsidRPr="00481C22">
        <w:rPr>
          <w:rStyle w:val="CaptionLabel"/>
        </w:rPr>
        <w:fldChar w:fldCharType="begin"/>
      </w:r>
      <w:r w:rsidRPr="00481C22">
        <w:rPr>
          <w:rStyle w:val="CaptionLabel"/>
        </w:rPr>
        <w:instrText xml:space="preserve"> SEQ Figure_ES \* ARABIC  \* MERGEFORMAT </w:instrText>
      </w:r>
      <w:r w:rsidRPr="00481C22">
        <w:rPr>
          <w:rStyle w:val="CaptionLabel"/>
        </w:rPr>
        <w:fldChar w:fldCharType="separate"/>
      </w:r>
      <w:r>
        <w:rPr>
          <w:rStyle w:val="CaptionLabel"/>
          <w:noProof/>
        </w:rPr>
        <w:t>2</w:t>
      </w:r>
      <w:r w:rsidRPr="00481C22">
        <w:rPr>
          <w:rStyle w:val="CaptionLabel"/>
        </w:rPr>
        <w:fldChar w:fldCharType="end"/>
      </w:r>
      <w:bookmarkEnd w:id="4"/>
      <w:r>
        <w:tab/>
      </w:r>
      <w:r w:rsidRPr="00481C22">
        <w:t>ARC-funded research: large gains for the Australian economy</w:t>
      </w:r>
    </w:p>
    <w:tbl>
      <w:tblPr>
        <w:tblStyle w:val="aacTableFigure"/>
        <w:tblW w:w="7936" w:type="dxa"/>
        <w:tblBorders>
          <w:top w:val="single" w:sz="4" w:space="0" w:color="000000"/>
          <w:bottom w:val="single" w:sz="4" w:space="0" w:color="000000"/>
        </w:tblBorders>
        <w:tblLayout w:type="fixed"/>
        <w:tblLook w:val="04A0" w:firstRow="1" w:lastRow="0" w:firstColumn="1" w:lastColumn="0" w:noHBand="0" w:noVBand="1"/>
      </w:tblPr>
      <w:tblGrid>
        <w:gridCol w:w="7936"/>
      </w:tblGrid>
      <w:tr w:rsidR="00481C22" w14:paraId="07660B96" w14:textId="77777777" w:rsidTr="000B0AC7">
        <w:tc>
          <w:tcPr>
            <w:tcW w:w="7936" w:type="dxa"/>
            <w:shd w:val="clear" w:color="auto" w:fill="auto"/>
          </w:tcPr>
          <w:p w14:paraId="454872B9" w14:textId="14C56984" w:rsidR="00481C22" w:rsidRDefault="00481C22" w:rsidP="00481C22">
            <w:pPr>
              <w:pStyle w:val="Figure"/>
              <w:jc w:val="center"/>
            </w:pPr>
            <w:r w:rsidRPr="00731810">
              <w:rPr>
                <w:noProof/>
              </w:rPr>
              <w:drawing>
                <wp:inline distT="0" distB="0" distL="0" distR="0" wp14:anchorId="746DA2D3" wp14:editId="1091E4FA">
                  <wp:extent cx="4819555" cy="4159571"/>
                  <wp:effectExtent l="0" t="0" r="635" b="0"/>
                  <wp:docPr id="9" name="Picture 8" descr="$1 generated $3.32 in additional economic output (GDP) for funding awarded through the NCGP from 2002-21. &#10;The NCGP provides significant value for money and benefits to the Australian economy. &#10;GENERATES SUBSTANTIAL ECONOMIC ACTIVITY: $184.3 billion higher economic output (GDP) for Australia (from NCGP funding awarded 2002-21) - equivalent to $33.6 billion increase in present value and ~1.5% of Australia’s current GDP.&#10;RAISES AUSTRALIA’S ECONOMIC WELFARE:  $152.5 billion cumulative increase in the real income of Australians (from NCGP funding awarded 2002-21) - the value of this impact is equivalent to a one-time increase in the average income of Australians by approximately $1,171 per person.&#10;GENERATES SIGNIFICANT EMPLOYMENT OPPORTUNITIES:  6,570 FTE jobs created per year across Australia (from NCGP funding awarded 2002-21) - It is projected that a total of 295,673 employee years of direct and indirect jobs will be created in Australia by the NCGP.&#10;Leveraged co-contributions total $7.9 billion cash and $9 billion in-kind ($1.23 per $1 of ARC funding).&#10;">
                    <a:extLst xmlns:a="http://schemas.openxmlformats.org/drawingml/2006/main">
                      <a:ext uri="{FF2B5EF4-FFF2-40B4-BE49-F238E27FC236}">
                        <a16:creationId xmlns:a16="http://schemas.microsoft.com/office/drawing/2014/main" id="{73185E99-1D97-88F3-D63D-B7BF64B466B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1 generated $3.32 in additional economic output (GDP) for funding awarded through the NCGP from 2002-21. &#10;The NCGP provides significant value for money and benefits to the Australian economy. &#10;GENERATES SUBSTANTIAL ECONOMIC ACTIVITY: $184.3 billion higher economic output (GDP) for Australia (from NCGP funding awarded 2002-21) - equivalent to $33.6 billion increase in present value and ~1.5% of Australia’s current GDP.&#10;RAISES AUSTRALIA’S ECONOMIC WELFARE:  $152.5 billion cumulative increase in the real income of Australians (from NCGP funding awarded 2002-21) - the value of this impact is equivalent to a one-time increase in the average income of Australians by approximately $1,171 per person.&#10;GENERATES SIGNIFICANT EMPLOYMENT OPPORTUNITIES:  6,570 FTE jobs created per year across Australia (from NCGP funding awarded 2002-21) - It is projected that a total of 295,673 employee years of direct and indirect jobs will be created in Australia by the NCGP.&#10;Leveraged co-contributions total $7.9 billion cash and $9 billion in-kind ($1.23 per $1 of ARC funding).&#10;">
                            <a:extLst>
                              <a:ext uri="{FF2B5EF4-FFF2-40B4-BE49-F238E27FC236}">
                                <a16:creationId xmlns:a16="http://schemas.microsoft.com/office/drawing/2014/main" id="{73185E99-1D97-88F3-D63D-B7BF64B466BF}"/>
                              </a:ext>
                            </a:extLst>
                          </pic:cNvPr>
                          <pic:cNvPicPr>
                            <a:picLocks noChangeAspect="1"/>
                          </pic:cNvPicPr>
                        </pic:nvPicPr>
                        <pic:blipFill>
                          <a:blip r:embed="rId31"/>
                          <a:stretch>
                            <a:fillRect/>
                          </a:stretch>
                        </pic:blipFill>
                        <pic:spPr>
                          <a:xfrm>
                            <a:off x="0" y="0"/>
                            <a:ext cx="4824741" cy="4164046"/>
                          </a:xfrm>
                          <a:prstGeom prst="rect">
                            <a:avLst/>
                          </a:prstGeom>
                        </pic:spPr>
                      </pic:pic>
                    </a:graphicData>
                  </a:graphic>
                </wp:inline>
              </w:drawing>
            </w:r>
          </w:p>
        </w:tc>
      </w:tr>
    </w:tbl>
    <w:p w14:paraId="2C2B030B" w14:textId="77777777" w:rsidR="000B0AC7" w:rsidRDefault="000B0AC7" w:rsidP="000B0AC7">
      <w:pPr>
        <w:pStyle w:val="Source"/>
        <w:ind w:left="1308" w:hanging="1308"/>
      </w:pPr>
      <w:r>
        <w:t>Source: ACIL Allen</w:t>
      </w:r>
    </w:p>
    <w:p w14:paraId="07C69817" w14:textId="77777777" w:rsidR="00F6577E" w:rsidRDefault="00F6577E" w:rsidP="0024686A">
      <w:pPr>
        <w:pStyle w:val="BodyText"/>
        <w:spacing w:before="0" w:after="0"/>
      </w:pPr>
    </w:p>
    <w:p w14:paraId="189B04B7" w14:textId="419AA5BC" w:rsidR="000B0AC7" w:rsidRDefault="000B0AC7" w:rsidP="000B0AC7">
      <w:pPr>
        <w:pStyle w:val="Caption"/>
        <w:ind w:left="1308" w:hanging="1308"/>
      </w:pPr>
      <w:r w:rsidRPr="00481C22">
        <w:rPr>
          <w:rStyle w:val="CaptionLabel"/>
        </w:rPr>
        <w:t>Figure ES </w:t>
      </w:r>
      <w:r w:rsidRPr="00481C22">
        <w:rPr>
          <w:rStyle w:val="CaptionLabel"/>
        </w:rPr>
        <w:fldChar w:fldCharType="begin"/>
      </w:r>
      <w:r w:rsidRPr="00481C22">
        <w:rPr>
          <w:rStyle w:val="CaptionLabel"/>
        </w:rPr>
        <w:instrText xml:space="preserve"> SEQ Figure_ES \* ARABIC  \* MERGEFORMAT </w:instrText>
      </w:r>
      <w:r w:rsidRPr="00481C22">
        <w:rPr>
          <w:rStyle w:val="CaptionLabel"/>
        </w:rPr>
        <w:fldChar w:fldCharType="separate"/>
      </w:r>
      <w:r>
        <w:rPr>
          <w:rStyle w:val="CaptionLabel"/>
          <w:noProof/>
        </w:rPr>
        <w:t>3</w:t>
      </w:r>
      <w:r w:rsidRPr="00481C22">
        <w:rPr>
          <w:rStyle w:val="CaptionLabel"/>
        </w:rPr>
        <w:fldChar w:fldCharType="end"/>
      </w:r>
      <w:r>
        <w:tab/>
      </w:r>
      <w:r w:rsidRPr="00481C22">
        <w:t>Researcher perspectives on economic impact</w:t>
      </w:r>
    </w:p>
    <w:tbl>
      <w:tblPr>
        <w:tblStyle w:val="aacTableFigure"/>
        <w:tblW w:w="7936" w:type="dxa"/>
        <w:tblBorders>
          <w:top w:val="single" w:sz="4" w:space="0" w:color="000000"/>
          <w:bottom w:val="single" w:sz="4" w:space="0" w:color="000000"/>
        </w:tblBorders>
        <w:tblLayout w:type="fixed"/>
        <w:tblLook w:val="04A0" w:firstRow="1" w:lastRow="0" w:firstColumn="1" w:lastColumn="0" w:noHBand="0" w:noVBand="1"/>
      </w:tblPr>
      <w:tblGrid>
        <w:gridCol w:w="7936"/>
      </w:tblGrid>
      <w:tr w:rsidR="00481C22" w14:paraId="1FCC8F30" w14:textId="77777777" w:rsidTr="000B0AC7">
        <w:tc>
          <w:tcPr>
            <w:tcW w:w="7936" w:type="dxa"/>
            <w:shd w:val="clear" w:color="auto" w:fill="auto"/>
          </w:tcPr>
          <w:p w14:paraId="1F1FBE19" w14:textId="77055E89" w:rsidR="00481C22" w:rsidRDefault="00481C22" w:rsidP="006258ED">
            <w:pPr>
              <w:pStyle w:val="Figure"/>
              <w:jc w:val="center"/>
            </w:pPr>
            <w:r w:rsidRPr="007427A0">
              <w:rPr>
                <w:noProof/>
              </w:rPr>
              <w:drawing>
                <wp:inline distT="0" distB="0" distL="0" distR="0" wp14:anchorId="2408B58B" wp14:editId="3F7B71EA">
                  <wp:extent cx="4982875" cy="1123200"/>
                  <wp:effectExtent l="0" t="0" r="0" b="1270"/>
                  <wp:docPr id="497330144" name="Picture 497330144" descr="53% of Linkage Project survey respondents report they have or are likely to deliver economic impacts;  30% of Discovery Project survey respondents report they have or are likely to deliver economic impacts;  216 start-up/spin-out companies were formed by NCGP-funded research">
                    <a:extLst xmlns:a="http://schemas.openxmlformats.org/drawingml/2006/main">
                      <a:ext uri="{FF2B5EF4-FFF2-40B4-BE49-F238E27FC236}">
                        <a16:creationId xmlns:a16="http://schemas.microsoft.com/office/drawing/2014/main" id="{B85E1369-7815-6B73-318B-23F4B6A1D9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330144" name="Picture 497330144" descr="53% of Linkage Project survey respondents report they have or are likely to deliver economic impacts;  30% of Discovery Project survey respondents report they have or are likely to deliver economic impacts;  216 start-up/spin-out companies were formed by NCGP-funded research">
                            <a:extLst>
                              <a:ext uri="{FF2B5EF4-FFF2-40B4-BE49-F238E27FC236}">
                                <a16:creationId xmlns:a16="http://schemas.microsoft.com/office/drawing/2014/main" id="{B85E1369-7815-6B73-318B-23F4B6A1D958}"/>
                              </a:ext>
                            </a:extLst>
                          </pic:cNvPr>
                          <pic:cNvPicPr>
                            <a:picLocks noChangeAspect="1"/>
                          </pic:cNvPicPr>
                        </pic:nvPicPr>
                        <pic:blipFill rotWithShape="1">
                          <a:blip r:embed="rId32"/>
                          <a:srcRect t="10327" b="4852"/>
                          <a:stretch/>
                        </pic:blipFill>
                        <pic:spPr bwMode="auto">
                          <a:xfrm>
                            <a:off x="0" y="0"/>
                            <a:ext cx="5013248" cy="1130046"/>
                          </a:xfrm>
                          <a:prstGeom prst="rect">
                            <a:avLst/>
                          </a:prstGeom>
                          <a:ln>
                            <a:noFill/>
                          </a:ln>
                          <a:extLst>
                            <a:ext uri="{53640926-AAD7-44D8-BBD7-CCE9431645EC}">
                              <a14:shadowObscured xmlns:a14="http://schemas.microsoft.com/office/drawing/2010/main"/>
                            </a:ext>
                          </a:extLst>
                        </pic:spPr>
                      </pic:pic>
                    </a:graphicData>
                  </a:graphic>
                </wp:inline>
              </w:drawing>
            </w:r>
          </w:p>
        </w:tc>
      </w:tr>
    </w:tbl>
    <w:p w14:paraId="3138D140" w14:textId="77777777" w:rsidR="000B0AC7" w:rsidRDefault="000B0AC7" w:rsidP="000B0AC7">
      <w:pPr>
        <w:pStyle w:val="Source"/>
        <w:ind w:left="1308" w:hanging="1308"/>
      </w:pPr>
      <w:r>
        <w:t>Source: ACIL Allen</w:t>
      </w:r>
    </w:p>
    <w:p w14:paraId="6BC051CC" w14:textId="77777777" w:rsidR="000B0AC7" w:rsidRDefault="000B0AC7" w:rsidP="006258ED">
      <w:pPr>
        <w:pStyle w:val="spacer"/>
      </w:pPr>
    </w:p>
    <w:p w14:paraId="18E842C1" w14:textId="77777777" w:rsidR="00481C22" w:rsidRDefault="00481C22" w:rsidP="003508F0">
      <w:pPr>
        <w:pStyle w:val="Heading3ES"/>
      </w:pPr>
      <w:r>
        <w:t xml:space="preserve">Building research capacity and capability </w:t>
      </w:r>
    </w:p>
    <w:p w14:paraId="2155B04B" w14:textId="77777777" w:rsidR="00481C22" w:rsidRDefault="00481C22" w:rsidP="00481C22">
      <w:pPr>
        <w:pStyle w:val="BodyText"/>
      </w:pPr>
      <w:r>
        <w:t>Contribution to the stock of knowledge and the longer-term research capability of Australia are core purposes of the NCGP. This evaluation found that the Discovery and Linkage Programs have improved research capacity by enabling new research directions, research training (e.g. researchers and graduates) and new partnerships (in Australia and internationally), which in turn leads to improved understanding and new knowledge. NCGP-funded research projects across a number of publication types produced almost 400,000 outputs. This is exemplified by the case studies in terms of publications, monitoring indicators and training materials.</w:t>
      </w:r>
    </w:p>
    <w:p w14:paraId="0D78A5BC" w14:textId="3E0ABAD3" w:rsidR="00481C22" w:rsidRDefault="00481C22" w:rsidP="00B92365">
      <w:pPr>
        <w:pStyle w:val="BodyText"/>
        <w:keepNext/>
        <w:keepLines/>
      </w:pPr>
      <w:r w:rsidRPr="006C3430">
        <w:lastRenderedPageBreak/>
        <w:t xml:space="preserve">NCGP-funded research </w:t>
      </w:r>
      <w:r w:rsidRPr="001819FD">
        <w:t xml:space="preserve">has </w:t>
      </w:r>
      <w:r w:rsidRPr="00CE4CF9">
        <w:t>increased Australia’s research capacity</w:t>
      </w:r>
      <w:r w:rsidRPr="00CE4CF9" w:rsidDel="00853A83">
        <w:t xml:space="preserve"> </w:t>
      </w:r>
      <w:r w:rsidRPr="00CE4CF9">
        <w:t>and capability</w:t>
      </w:r>
      <w:r w:rsidRPr="001819FD">
        <w:t xml:space="preserve"> by</w:t>
      </w:r>
      <w:r w:rsidRPr="006C3430">
        <w:t xml:space="preserve"> enabling </w:t>
      </w:r>
      <w:r w:rsidRPr="00CD61AD">
        <w:rPr>
          <w:b/>
          <w:bCs/>
        </w:rPr>
        <w:t xml:space="preserve">new research directions, research training </w:t>
      </w:r>
      <w:r w:rsidRPr="006C3430">
        <w:t xml:space="preserve">(e.g. researchers and graduates) and </w:t>
      </w:r>
      <w:r w:rsidRPr="00CD61AD">
        <w:rPr>
          <w:b/>
          <w:bCs/>
        </w:rPr>
        <w:t xml:space="preserve">new partnerships </w:t>
      </w:r>
      <w:r w:rsidRPr="006C3430">
        <w:t xml:space="preserve">(in Australia and internationally). This is helping </w:t>
      </w:r>
      <w:r>
        <w:t>to</w:t>
      </w:r>
      <w:r w:rsidRPr="006C3430">
        <w:t xml:space="preserve"> </w:t>
      </w:r>
      <w:r>
        <w:t>inform further excellent research</w:t>
      </w:r>
      <w:r w:rsidRPr="006C3430">
        <w:t xml:space="preserve">, </w:t>
      </w:r>
      <w:r>
        <w:t>support a strong and sustainable research workforce and promote the adoption and translation of research by industry and others</w:t>
      </w:r>
      <w:r w:rsidRPr="006C3430">
        <w:t>.</w:t>
      </w:r>
    </w:p>
    <w:p w14:paraId="687AD93D" w14:textId="04998634" w:rsidR="00481C22" w:rsidRDefault="00481C22" w:rsidP="00481C22">
      <w:pPr>
        <w:pStyle w:val="BodyText"/>
      </w:pPr>
      <w:r w:rsidRPr="00DB568D">
        <w:t xml:space="preserve">ARC grants increase research capacity </w:t>
      </w:r>
      <w:r>
        <w:t>by</w:t>
      </w:r>
      <w:r w:rsidRPr="00DB568D">
        <w:t xml:space="preserve"> </w:t>
      </w:r>
      <w:r w:rsidRPr="00CE4CF9">
        <w:rPr>
          <w:b/>
        </w:rPr>
        <w:t xml:space="preserve">supporting students and researchers </w:t>
      </w:r>
      <w:r w:rsidRPr="00DB568D">
        <w:t>to participate in excellent projects with world-class research leaders</w:t>
      </w:r>
      <w:r>
        <w:t xml:space="preserve">. </w:t>
      </w:r>
      <w:r w:rsidRPr="000467DA">
        <w:t>These researchers go on to be employed in different sectors</w:t>
      </w:r>
      <w:r w:rsidRPr="001819FD">
        <w:t>, boosting the capacity of Australia's innovation system.</w:t>
      </w:r>
      <w:r>
        <w:t xml:space="preserve"> The </w:t>
      </w:r>
      <w:r w:rsidRPr="00476205">
        <w:rPr>
          <w:i/>
          <w:iCs/>
        </w:rPr>
        <w:t>Quantum Computation and Communication Technology</w:t>
      </w:r>
      <w:r w:rsidRPr="00476205">
        <w:t xml:space="preserve"> </w:t>
      </w:r>
      <w:r>
        <w:t xml:space="preserve">case study (page </w:t>
      </w:r>
      <w:r w:rsidR="00967283">
        <w:t>vi</w:t>
      </w:r>
      <w:r>
        <w:t>) shows that hundreds of students and researchers have gained important skills for emerging industries through participation in ARC-supported quantum Centres of Excellence.</w:t>
      </w:r>
    </w:p>
    <w:p w14:paraId="4BECDEFD" w14:textId="00FC1B7F" w:rsidR="00481C22" w:rsidRDefault="00481C22" w:rsidP="00481C22">
      <w:pPr>
        <w:pStyle w:val="BodyText"/>
      </w:pPr>
      <w:r>
        <w:t>The c</w:t>
      </w:r>
      <w:r w:rsidRPr="00476205">
        <w:t xml:space="preserve">ase studies </w:t>
      </w:r>
      <w:r>
        <w:t xml:space="preserve">(pages </w:t>
      </w:r>
      <w:r w:rsidR="00967283">
        <w:t>vi to xiv</w:t>
      </w:r>
      <w:r>
        <w:t xml:space="preserve">) </w:t>
      </w:r>
      <w:r w:rsidRPr="00476205">
        <w:t xml:space="preserve">highlight examples of </w:t>
      </w:r>
      <w:r>
        <w:t xml:space="preserve">ARC grants promoting collaboration between universities, industry and other research users, thus </w:t>
      </w:r>
      <w:r w:rsidRPr="00476205">
        <w:t>supporting the delivery of impact</w:t>
      </w:r>
      <w:r>
        <w:t xml:space="preserve">. The </w:t>
      </w:r>
      <w:r w:rsidRPr="000B58C2">
        <w:rPr>
          <w:i/>
          <w:iCs/>
        </w:rPr>
        <w:t>Return, reconcile, renew (RRR): Indigenous remains repatriation</w:t>
      </w:r>
      <w:r>
        <w:t xml:space="preserve"> case study </w:t>
      </w:r>
      <w:r w:rsidRPr="00476205">
        <w:t xml:space="preserve">involved major multi-sector </w:t>
      </w:r>
      <w:r>
        <w:t xml:space="preserve">global </w:t>
      </w:r>
      <w:r w:rsidRPr="00476205">
        <w:t>partnerships between researchers, institutions, governments and community</w:t>
      </w:r>
      <w:r>
        <w:t xml:space="preserve"> that expedited repatriation activities</w:t>
      </w:r>
      <w:r w:rsidRPr="00476205">
        <w:t>. </w:t>
      </w:r>
    </w:p>
    <w:p w14:paraId="43AA7459" w14:textId="0361BF90" w:rsidR="000B0AC7" w:rsidRDefault="000B0AC7" w:rsidP="000B0AC7">
      <w:pPr>
        <w:pStyle w:val="Caption"/>
        <w:ind w:left="-110" w:hanging="1308"/>
      </w:pPr>
      <w:bookmarkStart w:id="5" w:name="_Ref132904679"/>
      <w:r w:rsidRPr="00481C22">
        <w:rPr>
          <w:rStyle w:val="CaptionLabel"/>
        </w:rPr>
        <w:t>Figure ES </w:t>
      </w:r>
      <w:r w:rsidRPr="00481C22">
        <w:rPr>
          <w:rStyle w:val="CaptionLabel"/>
        </w:rPr>
        <w:fldChar w:fldCharType="begin"/>
      </w:r>
      <w:r w:rsidRPr="00481C22">
        <w:rPr>
          <w:rStyle w:val="CaptionLabel"/>
        </w:rPr>
        <w:instrText xml:space="preserve"> SEQ Figure_ES \* ARABIC  \* MERGEFORMAT </w:instrText>
      </w:r>
      <w:r w:rsidRPr="00481C22">
        <w:rPr>
          <w:rStyle w:val="CaptionLabel"/>
        </w:rPr>
        <w:fldChar w:fldCharType="separate"/>
      </w:r>
      <w:r>
        <w:rPr>
          <w:rStyle w:val="CaptionLabel"/>
          <w:noProof/>
        </w:rPr>
        <w:t>4</w:t>
      </w:r>
      <w:r w:rsidRPr="00481C22">
        <w:rPr>
          <w:rStyle w:val="CaptionLabel"/>
        </w:rPr>
        <w:fldChar w:fldCharType="end"/>
      </w:r>
      <w:bookmarkEnd w:id="5"/>
      <w:r>
        <w:tab/>
      </w:r>
      <w:r w:rsidRPr="00481C22">
        <w:t>NCGP delivers strong research capacity and capability</w:t>
      </w:r>
    </w:p>
    <w:tbl>
      <w:tblPr>
        <w:tblStyle w:val="aacTableFigure-Wide"/>
        <w:tblW w:w="9354" w:type="dxa"/>
        <w:tblBorders>
          <w:top w:val="single" w:sz="4" w:space="0" w:color="000000"/>
          <w:bottom w:val="single" w:sz="4" w:space="0" w:color="000000"/>
        </w:tblBorders>
        <w:tblLayout w:type="fixed"/>
        <w:tblLook w:val="04A0" w:firstRow="1" w:lastRow="0" w:firstColumn="1" w:lastColumn="0" w:noHBand="0" w:noVBand="1"/>
      </w:tblPr>
      <w:tblGrid>
        <w:gridCol w:w="9354"/>
      </w:tblGrid>
      <w:tr w:rsidR="00481C22" w14:paraId="1CA003E3" w14:textId="77777777" w:rsidTr="000B0AC7">
        <w:tc>
          <w:tcPr>
            <w:tcW w:w="9354" w:type="dxa"/>
            <w:shd w:val="clear" w:color="auto" w:fill="auto"/>
          </w:tcPr>
          <w:p w14:paraId="5C329C38" w14:textId="2AEBC0FC" w:rsidR="00481C22" w:rsidRDefault="00481C22" w:rsidP="006258ED">
            <w:pPr>
              <w:pStyle w:val="Figure"/>
              <w:jc w:val="center"/>
            </w:pPr>
            <w:r>
              <w:rPr>
                <w:noProof/>
              </w:rPr>
              <w:drawing>
                <wp:inline distT="0" distB="0" distL="0" distR="0" wp14:anchorId="31575332" wp14:editId="0DFAB626">
                  <wp:extent cx="6064250" cy="3117600"/>
                  <wp:effectExtent l="0" t="0" r="0" b="6985"/>
                  <wp:docPr id="774318983" name="Picture 1" descr="88%  survey respondents reported increasing research capacity by identifying new research directions that have informed/may inform further research;  From 2002-21: 74,971 Chief Investigators and 25,696 Partner Investigators were named on NCGP-funded grants;  398,666 publications reported across some 22,352 grant final reports;  39% of Linkage Program students were later employed by universities, 19% by industry;  46% of Linkage Program  postdoctoral researchers were later employed by universities, 20% by overseas organisations and 9% by industry;  81% of projects align with National Science and Research Priorities (2004-21);  75% of survey respondents reported that their NCGP research had established or strengthened research networks in Australia and/or internationally;  95% of partner organisations on Linkage projects reported their participation to be beneficial or very beneficial suggesting outcomes that are applicable and usefu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318983" name="Picture 1" descr="88%  survey respondents reported increasing research capacity by identifying new research directions that have informed/may inform further research;  From 2002-21: 74,971 Chief Investigators and 25,696 Partner Investigators were named on NCGP-funded grants;  398,666 publications reported across some 22,352 grant final reports;  39% of Linkage Program students were later employed by universities, 19% by industry;  46% of Linkage Program  postdoctoral researchers were later employed by universities, 20% by overseas organisations and 9% by industry;  81% of projects align with National Science and Research Priorities (2004-21);  75% of survey respondents reported that their NCGP research had established or strengthened research networks in Australia and/or internationally;  95% of partner organisations on Linkage projects reported their participation to be beneficial or very beneficial suggesting outcomes that are applicable and useful"/>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3643" b="3557"/>
                          <a:stretch/>
                        </pic:blipFill>
                        <pic:spPr bwMode="auto">
                          <a:xfrm>
                            <a:off x="0" y="0"/>
                            <a:ext cx="6066000" cy="31185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4813DA22" w14:textId="77777777" w:rsidR="000B0AC7" w:rsidRDefault="000B0AC7" w:rsidP="000B0AC7">
      <w:pPr>
        <w:pStyle w:val="Source"/>
        <w:ind w:left="-110" w:hanging="1308"/>
      </w:pPr>
      <w:r>
        <w:t>Source: ACIL Allen</w:t>
      </w:r>
    </w:p>
    <w:p w14:paraId="3CA4144E" w14:textId="77777777" w:rsidR="000B0AC7" w:rsidRDefault="000B0AC7" w:rsidP="006258ED">
      <w:pPr>
        <w:pStyle w:val="spacer"/>
      </w:pPr>
    </w:p>
    <w:p w14:paraId="10B8B7C5" w14:textId="77777777" w:rsidR="00481C22" w:rsidRDefault="00481C22" w:rsidP="003508F0">
      <w:pPr>
        <w:pStyle w:val="Heading3ES"/>
      </w:pPr>
      <w:r>
        <w:t>Social, cultural and environmental impacts</w:t>
      </w:r>
    </w:p>
    <w:p w14:paraId="1F058324" w14:textId="196EC667" w:rsidR="00481C22" w:rsidRDefault="00481C22" w:rsidP="00481C22">
      <w:pPr>
        <w:pStyle w:val="BodyText"/>
      </w:pPr>
      <w:r>
        <w:t>Contribution to society, culture and the environment is a core purpose of the NCGP and aligns with the intended outcome of enhancing the quality of life in Australia. NCGP-funded research has produced a broad range of impacts that have benefited many across Australia, including government, academic, industry, business and non-profit sectors as well as the general public, schools, hospitals and others.</w:t>
      </w:r>
    </w:p>
    <w:p w14:paraId="5824EC1B" w14:textId="5CDBAC32" w:rsidR="00481C22" w:rsidRPr="00D109EC" w:rsidRDefault="00481C22" w:rsidP="003508F0">
      <w:pPr>
        <w:pStyle w:val="Heading3ES"/>
      </w:pPr>
      <w:r>
        <w:lastRenderedPageBreak/>
        <w:t xml:space="preserve">Data on social, cultural and environmental impact </w:t>
      </w:r>
    </w:p>
    <w:p w14:paraId="1B82BE7F" w14:textId="44107CB8" w:rsidR="00481C22" w:rsidRDefault="00481C22" w:rsidP="00B92365">
      <w:pPr>
        <w:pStyle w:val="BodyText"/>
        <w:keepNext/>
        <w:keepLines/>
      </w:pPr>
      <w:r w:rsidRPr="00CE1D7F">
        <w:t xml:space="preserve">It is challenging to </w:t>
      </w:r>
      <w:r>
        <w:t xml:space="preserve">quantify the </w:t>
      </w:r>
      <w:r w:rsidRPr="00CE1D7F">
        <w:t xml:space="preserve">aggregate </w:t>
      </w:r>
      <w:r>
        <w:t xml:space="preserve">social, cultural, environmental and other </w:t>
      </w:r>
      <w:r w:rsidRPr="00CE1D7F">
        <w:t xml:space="preserve">impacts </w:t>
      </w:r>
      <w:r>
        <w:t xml:space="preserve">of ARC-funded research, which have been </w:t>
      </w:r>
      <w:r w:rsidRPr="00CE1D7F">
        <w:t>delivered to a</w:t>
      </w:r>
      <w:r>
        <w:t xml:space="preserve"> wide range </w:t>
      </w:r>
      <w:r w:rsidRPr="00CE1D7F">
        <w:t>of beneficiaries and end-users</w:t>
      </w:r>
      <w:r>
        <w:t>. However, t</w:t>
      </w:r>
      <w:r w:rsidRPr="00911BD7">
        <w:t xml:space="preserve">he </w:t>
      </w:r>
      <w:r>
        <w:t xml:space="preserve">data collected in this evaluation </w:t>
      </w:r>
      <w:r w:rsidRPr="00911BD7">
        <w:t>illustrate</w:t>
      </w:r>
      <w:r>
        <w:t>s</w:t>
      </w:r>
      <w:r w:rsidRPr="00911BD7">
        <w:t xml:space="preserve"> the </w:t>
      </w:r>
      <w:r>
        <w:rPr>
          <w:b/>
          <w:bCs/>
        </w:rPr>
        <w:t>important</w:t>
      </w:r>
      <w:r w:rsidRPr="00911BD7">
        <w:rPr>
          <w:b/>
          <w:bCs/>
        </w:rPr>
        <w:t xml:space="preserve"> role of ARC funding in the innovation ecosystem</w:t>
      </w:r>
      <w:r w:rsidRPr="00911BD7">
        <w:t xml:space="preserve"> in terms of delivering impact</w:t>
      </w:r>
      <w:r w:rsidRPr="00573AA6">
        <w:t>. Over 80% of survey respondents considered that the impacts delivered by their research would be unlikely or very unlikely to have occurred without the ARC’s support.</w:t>
      </w:r>
      <w:r>
        <w:t xml:space="preserve"> </w:t>
      </w:r>
      <w:r w:rsidRPr="001967B2">
        <w:t xml:space="preserve">The proportion of researchers surveyed for this evaluation who report delivering </w:t>
      </w:r>
      <w:r>
        <w:t>social, cultural and environmental</w:t>
      </w:r>
      <w:r w:rsidRPr="001967B2">
        <w:t xml:space="preserve"> impact is shown </w:t>
      </w:r>
      <w:r>
        <w:t xml:space="preserve">in </w:t>
      </w:r>
      <w:r>
        <w:fldChar w:fldCharType="begin"/>
      </w:r>
      <w:r>
        <w:instrText xml:space="preserve"> REF _Ref129355501 \h </w:instrText>
      </w:r>
      <w:r>
        <w:fldChar w:fldCharType="separate"/>
      </w:r>
      <w:r w:rsidR="000B0AC7" w:rsidRPr="00CE1D7F">
        <w:rPr>
          <w:rStyle w:val="CaptionLabel"/>
        </w:rPr>
        <w:t>Figure </w:t>
      </w:r>
      <w:r w:rsidR="000B0AC7">
        <w:rPr>
          <w:rStyle w:val="CaptionLabel"/>
          <w:noProof/>
        </w:rPr>
        <w:t>C</w:t>
      </w:r>
      <w:r w:rsidR="000B0AC7">
        <w:rPr>
          <w:rStyle w:val="CaptionLabel"/>
        </w:rPr>
        <w:t>.</w:t>
      </w:r>
      <w:r w:rsidR="000B0AC7">
        <w:rPr>
          <w:rStyle w:val="CaptionLabel"/>
          <w:noProof/>
        </w:rPr>
        <w:t>2</w:t>
      </w:r>
      <w:r>
        <w:fldChar w:fldCharType="end"/>
      </w:r>
      <w:r w:rsidRPr="001967B2">
        <w:t>.</w:t>
      </w:r>
    </w:p>
    <w:p w14:paraId="5A06446E" w14:textId="77777777" w:rsidR="00481C22" w:rsidRDefault="00481C22" w:rsidP="00481C22">
      <w:pPr>
        <w:pStyle w:val="BodyText"/>
      </w:pPr>
      <w:r>
        <w:t>B</w:t>
      </w:r>
      <w:r w:rsidRPr="00CE1D7F">
        <w:t>oth Discovery and Linkage Program projects commonly report</w:t>
      </w:r>
      <w:r>
        <w:t xml:space="preserve">ed </w:t>
      </w:r>
      <w:r w:rsidRPr="00CE4CF9">
        <w:rPr>
          <w:b/>
        </w:rPr>
        <w:t>social impacts</w:t>
      </w:r>
      <w:r>
        <w:t>, including</w:t>
      </w:r>
      <w:r w:rsidRPr="00CE1D7F">
        <w:t xml:space="preserve"> contributing to improved health and wellbeing</w:t>
      </w:r>
      <w:r>
        <w:t>,</w:t>
      </w:r>
      <w:r w:rsidRPr="00CE1D7F">
        <w:t xml:space="preserve"> informed decision-making</w:t>
      </w:r>
      <w:r>
        <w:t xml:space="preserve">, </w:t>
      </w:r>
      <w:r w:rsidRPr="001C69C8">
        <w:t xml:space="preserve">improved safety and security, and reduced social problems. </w:t>
      </w:r>
    </w:p>
    <w:p w14:paraId="3D7C1377" w14:textId="77777777" w:rsidR="00481C22" w:rsidRDefault="00481C22" w:rsidP="00481C22">
      <w:pPr>
        <w:pStyle w:val="BodyText"/>
      </w:pPr>
      <w:r w:rsidRPr="001C69C8">
        <w:t xml:space="preserve">NCGP-funded research has also </w:t>
      </w:r>
      <w:r w:rsidRPr="00CE4CF9">
        <w:rPr>
          <w:b/>
        </w:rPr>
        <w:t>improved cultural understanding and preservation</w:t>
      </w:r>
      <w:r w:rsidRPr="001C69C8">
        <w:t xml:space="preserve">, leading to improved social cohesion within and beyond Australia. </w:t>
      </w:r>
    </w:p>
    <w:p w14:paraId="5C039E76" w14:textId="77777777" w:rsidR="00481C22" w:rsidRDefault="00481C22" w:rsidP="00481C22">
      <w:pPr>
        <w:pStyle w:val="BodyText"/>
      </w:pPr>
      <w:r w:rsidRPr="001C69C8">
        <w:t xml:space="preserve">Environmental impacts included contributing to </w:t>
      </w:r>
      <w:r w:rsidRPr="00CE4CF9">
        <w:rPr>
          <w:b/>
        </w:rPr>
        <w:t>better natural resource management and reduced environmental damage</w:t>
      </w:r>
      <w:r w:rsidRPr="001C69C8">
        <w:t>.</w:t>
      </w:r>
    </w:p>
    <w:p w14:paraId="11E2F3BB" w14:textId="77777777" w:rsidR="00481C22" w:rsidRPr="00D92158" w:rsidRDefault="00481C22" w:rsidP="00481C22">
      <w:r>
        <w:t>I</w:t>
      </w:r>
      <w:r w:rsidRPr="00CE1D7F">
        <w:t xml:space="preserve">nformation </w:t>
      </w:r>
      <w:r>
        <w:t xml:space="preserve">on the broader impacts of ARC-funded research </w:t>
      </w:r>
      <w:r w:rsidRPr="00CE1D7F">
        <w:t xml:space="preserve">is more meaningful at the individual project level, as evidenced by the insights from the case studies </w:t>
      </w:r>
      <w:r>
        <w:t>on the following pages</w:t>
      </w:r>
      <w:r w:rsidRPr="00CE1D7F">
        <w:t>.</w:t>
      </w:r>
    </w:p>
    <w:p w14:paraId="2856322C" w14:textId="77777777" w:rsidR="00481C22" w:rsidRPr="009837EE" w:rsidRDefault="00481C22" w:rsidP="003508F0">
      <w:pPr>
        <w:pStyle w:val="Heading3ES"/>
      </w:pPr>
      <w:r>
        <w:t>C</w:t>
      </w:r>
      <w:r w:rsidRPr="009837EE">
        <w:t>ase studies of impact</w:t>
      </w:r>
    </w:p>
    <w:p w14:paraId="725141D6" w14:textId="4F5BD4B7" w:rsidR="00481C22" w:rsidRDefault="00481C22" w:rsidP="00EE276E">
      <w:pPr>
        <w:pStyle w:val="BodyText"/>
        <w:spacing w:before="240"/>
      </w:pPr>
      <w:r>
        <w:t xml:space="preserve">To illustrate the diverse nature of the impact delivered by NCGP-funded research, 7 examples of exceptional impact were chosen for deeper analysis in the form of case studies. These case studies show major benefits for </w:t>
      </w:r>
      <w:r w:rsidR="00EE276E">
        <w:t>Australia.</w:t>
      </w:r>
      <w:r>
        <w:t xml:space="preserve"> </w:t>
      </w:r>
      <w:r w:rsidR="003260C9">
        <w:t xml:space="preserve">They are overviewed below and presented in chapters </w:t>
      </w:r>
      <w:r w:rsidR="003260C9">
        <w:fldChar w:fldCharType="begin"/>
      </w:r>
      <w:r w:rsidR="003260C9">
        <w:instrText xml:space="preserve"> REF _Ref131081145 \r \h </w:instrText>
      </w:r>
      <w:r w:rsidR="003260C9">
        <w:fldChar w:fldCharType="separate"/>
      </w:r>
      <w:r w:rsidR="000B0AC7">
        <w:t>7</w:t>
      </w:r>
      <w:r w:rsidR="003260C9">
        <w:fldChar w:fldCharType="end"/>
      </w:r>
      <w:r w:rsidR="003260C9">
        <w:t xml:space="preserve"> to </w:t>
      </w:r>
      <w:r w:rsidR="003260C9">
        <w:fldChar w:fldCharType="begin"/>
      </w:r>
      <w:r w:rsidR="003260C9">
        <w:instrText xml:space="preserve"> REF _Ref131081387 \r \h </w:instrText>
      </w:r>
      <w:r w:rsidR="003260C9">
        <w:fldChar w:fldCharType="separate"/>
      </w:r>
      <w:r w:rsidR="000B0AC7">
        <w:t>13</w:t>
      </w:r>
      <w:r w:rsidR="003260C9">
        <w:fldChar w:fldCharType="end"/>
      </w:r>
      <w:r w:rsidR="003260C9">
        <w:t>.</w:t>
      </w:r>
    </w:p>
    <w:p w14:paraId="4863E2C2" w14:textId="77777777" w:rsidR="003508F0" w:rsidRPr="00A13C9C" w:rsidRDefault="003508F0" w:rsidP="00A13C9C">
      <w:pPr>
        <w:pStyle w:val="ListBullet"/>
      </w:pPr>
      <w:bookmarkStart w:id="6" w:name="_Hlk132801828"/>
      <w:r w:rsidRPr="00A13C9C">
        <w:t>The</w:t>
      </w:r>
      <w:r w:rsidRPr="00A13C9C">
        <w:rPr>
          <w:i/>
          <w:iCs/>
        </w:rPr>
        <w:t xml:space="preserve"> </w:t>
      </w:r>
      <w:r w:rsidRPr="00A13C9C">
        <w:rPr>
          <w:b/>
          <w:bCs/>
          <w:i/>
          <w:iCs/>
        </w:rPr>
        <w:t>Quantum Computation and Communication</w:t>
      </w:r>
      <w:r w:rsidRPr="00A13C9C">
        <w:rPr>
          <w:i/>
          <w:iCs/>
        </w:rPr>
        <w:t xml:space="preserve"> </w:t>
      </w:r>
      <w:r w:rsidRPr="00A13C9C">
        <w:rPr>
          <w:b/>
          <w:bCs/>
          <w:i/>
          <w:iCs/>
        </w:rPr>
        <w:t xml:space="preserve">Technology </w:t>
      </w:r>
      <w:r w:rsidRPr="00A13C9C">
        <w:t>case study shows how Australia is delivering world-leading quantum research to develop full-scale quantum systems – encompassing ultra-fast computation and secure communication. Quantum technologies work by controlling the world at its smallest scale using principles of quantum mechanics. While the ARC has funded several quantum programs, this study focuses on the Centre of Excellence for Quantum Computation and Communications Technology (CQC2T). This has fundamentally shaped quantum research in Australia and internationally and will continue to deliver broad impacts across most economic sectors.</w:t>
      </w:r>
    </w:p>
    <w:bookmarkEnd w:id="6"/>
    <w:p w14:paraId="3AFF1214" w14:textId="77777777" w:rsidR="003508F0" w:rsidRPr="00A13C9C" w:rsidRDefault="003508F0" w:rsidP="00A13C9C">
      <w:pPr>
        <w:pStyle w:val="ListBullet"/>
      </w:pPr>
      <w:r w:rsidRPr="00A13C9C">
        <w:rPr>
          <w:i/>
          <w:iCs/>
        </w:rPr>
        <w:t xml:space="preserve">The </w:t>
      </w:r>
      <w:r w:rsidRPr="00A13C9C">
        <w:rPr>
          <w:b/>
          <w:bCs/>
          <w:i/>
          <w:iCs/>
        </w:rPr>
        <w:t xml:space="preserve">Aquifer Reinjection </w:t>
      </w:r>
      <w:r w:rsidRPr="00A13C9C">
        <w:t>project led to Australia’s first full-scale groundwater replenishment scheme. The project demonstrated that treated wastewater can be reinjected into Perth’s aquifers (underground layers of groundwater-bearing, permeable rock). This water can then be extracted further downstream, creating additional safe water supplies that are essential for Perth’s communities, wetlands and lakes.</w:t>
      </w:r>
    </w:p>
    <w:p w14:paraId="66656ECB" w14:textId="77777777" w:rsidR="003508F0" w:rsidRPr="00A13C9C" w:rsidRDefault="003508F0" w:rsidP="00A13C9C">
      <w:pPr>
        <w:pStyle w:val="ListBullet"/>
      </w:pPr>
      <w:r w:rsidRPr="00A13C9C">
        <w:t>The</w:t>
      </w:r>
      <w:r w:rsidRPr="00A13C9C">
        <w:rPr>
          <w:i/>
          <w:iCs/>
        </w:rPr>
        <w:t xml:space="preserve"> </w:t>
      </w:r>
      <w:r w:rsidRPr="00A13C9C">
        <w:rPr>
          <w:b/>
          <w:bCs/>
          <w:i/>
          <w:iCs/>
        </w:rPr>
        <w:t>Irrigation automation</w:t>
      </w:r>
      <w:r w:rsidRPr="00A13C9C">
        <w:rPr>
          <w:i/>
          <w:iCs/>
        </w:rPr>
        <w:t xml:space="preserve"> </w:t>
      </w:r>
      <w:r w:rsidRPr="00A13C9C">
        <w:t xml:space="preserve">case study focuses on a partnership developed between </w:t>
      </w:r>
      <w:r w:rsidRPr="00A13C9C">
        <w:rPr>
          <w:lang w:val="en-US"/>
        </w:rPr>
        <w:t>Rubicon Water Ltd and the University of Melbourne over 20 years, which involves research on irrigation automation and the efficiency of large-scale gravity-fed irrigation systems.</w:t>
      </w:r>
      <w:r w:rsidRPr="00A13C9C">
        <w:t xml:space="preserve"> </w:t>
      </w:r>
      <w:r w:rsidRPr="00A13C9C">
        <w:rPr>
          <w:lang w:val="en-US"/>
        </w:rPr>
        <w:t>This research has enabled the delivery of significant annual water savings to Victoria through the Goulburn-Murray Irrigation District Connections Project.</w:t>
      </w:r>
    </w:p>
    <w:p w14:paraId="5C58404E" w14:textId="77777777" w:rsidR="003508F0" w:rsidRPr="00A13C9C" w:rsidRDefault="003508F0" w:rsidP="00A13C9C">
      <w:pPr>
        <w:pStyle w:val="ListBullet"/>
      </w:pPr>
      <w:r w:rsidRPr="00A13C9C">
        <w:t xml:space="preserve">The </w:t>
      </w:r>
      <w:r w:rsidRPr="00A13C9C">
        <w:rPr>
          <w:b/>
          <w:bCs/>
          <w:i/>
          <w:iCs/>
        </w:rPr>
        <w:t>Onshore Lobster Aquaculture</w:t>
      </w:r>
      <w:r w:rsidRPr="00A13C9C">
        <w:t xml:space="preserve"> research project demonstrated that it was possible to close the complex and protracted life cycle of spiny lobsters in captivity. The lobster aquaculture project developed and demonstrated the technology for hatching, raising and </w:t>
      </w:r>
      <w:r w:rsidRPr="00A13C9C">
        <w:lastRenderedPageBreak/>
        <w:t>growing out lobsters in captivity. This technology is being commercialised through a start-up company to create a new and more sustainable onshore lobster aquaculture industry.</w:t>
      </w:r>
    </w:p>
    <w:p w14:paraId="06DD524F" w14:textId="7CB1F47E" w:rsidR="003508F0" w:rsidRPr="00A13C9C" w:rsidRDefault="003508F0" w:rsidP="00C55F67">
      <w:pPr>
        <w:pStyle w:val="ListBullet"/>
        <w:rPr>
          <w:b/>
          <w:bCs/>
          <w:i/>
          <w:iCs/>
        </w:rPr>
      </w:pPr>
      <w:r w:rsidRPr="00A13C9C">
        <w:rPr>
          <w:i/>
          <w:iCs/>
          <w:color w:val="6C3F99" w:themeColor="text2"/>
          <w:shd w:val="clear" w:color="auto" w:fill="EBE6F2" w:themeFill="accent1" w:themeFillTint="33"/>
        </w:rPr>
        <w:t>The following case study presents a body of research focused on domestic and family violence (DFV). Some information may be sensitive and confronting to some readers, caution is advised.</w:t>
      </w:r>
      <w:r w:rsidR="00A13C9C">
        <w:br/>
      </w:r>
      <w:r w:rsidRPr="00A13C9C">
        <w:t>The</w:t>
      </w:r>
      <w:r w:rsidRPr="00A13C9C">
        <w:rPr>
          <w:i/>
          <w:iCs/>
        </w:rPr>
        <w:t xml:space="preserve"> </w:t>
      </w:r>
      <w:r w:rsidRPr="00A13C9C">
        <w:rPr>
          <w:b/>
          <w:bCs/>
          <w:i/>
          <w:iCs/>
        </w:rPr>
        <w:t>Changing the law to protect survivors of DFV</w:t>
      </w:r>
      <w:r w:rsidRPr="00A13C9C">
        <w:rPr>
          <w:b/>
          <w:bCs/>
        </w:rPr>
        <w:t xml:space="preserve"> </w:t>
      </w:r>
      <w:r w:rsidRPr="00A13C9C">
        <w:t xml:space="preserve">case study focuses on women experiencing DFV and the legal and justice system responses to DFV. The research has significantly influenced state laws and culture around DFV across Australia, which aims to improve legal system responsiveness and efficiency, and outcomes for women. </w:t>
      </w:r>
    </w:p>
    <w:p w14:paraId="73AB4E67" w14:textId="77777777" w:rsidR="003508F0" w:rsidRPr="00A13C9C" w:rsidRDefault="003508F0" w:rsidP="00A13C9C">
      <w:pPr>
        <w:pStyle w:val="ListBullet"/>
        <w:rPr>
          <w:b/>
          <w:bCs/>
          <w:i/>
          <w:iCs/>
        </w:rPr>
      </w:pPr>
      <w:r w:rsidRPr="00A13C9C">
        <w:t xml:space="preserve">The </w:t>
      </w:r>
      <w:r w:rsidRPr="00A13C9C">
        <w:rPr>
          <w:b/>
          <w:bCs/>
          <w:i/>
          <w:iCs/>
        </w:rPr>
        <w:t>Indigenous persistence in formal learning</w:t>
      </w:r>
      <w:r w:rsidRPr="00A13C9C">
        <w:rPr>
          <w:b/>
          <w:bCs/>
        </w:rPr>
        <w:t xml:space="preserve"> </w:t>
      </w:r>
      <w:r w:rsidRPr="00A13C9C">
        <w:t>case study</w:t>
      </w:r>
      <w:r w:rsidRPr="00A13C9C">
        <w:rPr>
          <w:b/>
          <w:bCs/>
        </w:rPr>
        <w:t xml:space="preserve"> </w:t>
      </w:r>
      <w:r w:rsidRPr="00A13C9C">
        <w:t>focuses on better understanding how Indigenous students persist in higher education and developing models to support retention and graduation rates. This has had a profound impact on student engagement and completion rates at selected universities, which has the potential to be scaled across Australian universities, schools and other student cohorts.</w:t>
      </w:r>
    </w:p>
    <w:p w14:paraId="299D3FE3" w14:textId="5BD75302" w:rsidR="003508F0" w:rsidRDefault="003508F0" w:rsidP="00ED3EDC">
      <w:pPr>
        <w:pStyle w:val="ListBullet"/>
      </w:pPr>
      <w:r w:rsidRPr="00A13C9C">
        <w:rPr>
          <w:i/>
          <w:iCs/>
          <w:color w:val="6C3F99" w:themeColor="text2"/>
          <w:shd w:val="clear" w:color="auto" w:fill="EBE6F2" w:themeFill="accent1" w:themeFillTint="33"/>
        </w:rPr>
        <w:t>First Nations readers should be aware that the following case study contains information about the theft and return of ancestral remains that can be confronting and distressing.</w:t>
      </w:r>
      <w:bookmarkStart w:id="7" w:name="_Hlk132797202"/>
      <w:r w:rsidR="00A13C9C">
        <w:br/>
      </w:r>
      <w:r w:rsidRPr="00A13C9C">
        <w:t xml:space="preserve">The </w:t>
      </w:r>
      <w:r w:rsidRPr="00A13C9C">
        <w:rPr>
          <w:b/>
          <w:bCs/>
          <w:i/>
          <w:iCs/>
        </w:rPr>
        <w:t>Return, reconcile, renew (RRR): Indigenous remains repatriation</w:t>
      </w:r>
      <w:r w:rsidRPr="00A13C9C">
        <w:t xml:space="preserve"> case study focuses on developing and implementing a centralised archive of repatriation information to support repatriation of Indigenous remains. Repatriation is a declaration of respect for ancestors and cultural beliefs. This research has benefited Australian Indigenous Communities, First Nations Peoples in other countries, and supported a global network of repatriation practitioners and researchers.</w:t>
      </w:r>
    </w:p>
    <w:bookmarkEnd w:id="7"/>
    <w:p w14:paraId="7B89E6C7" w14:textId="77777777" w:rsidR="003260C9" w:rsidRDefault="003260C9" w:rsidP="003260C9">
      <w:pPr>
        <w:pStyle w:val="BodyText"/>
      </w:pPr>
      <w:r>
        <w:t xml:space="preserve">The </w:t>
      </w:r>
      <w:r w:rsidRPr="00911BD7">
        <w:t>case studies demonstrate how the</w:t>
      </w:r>
      <w:r w:rsidRPr="00CD61AD">
        <w:rPr>
          <w:b/>
          <w:bCs/>
        </w:rPr>
        <w:t xml:space="preserve"> NCGP's support for curiosity-led</w:t>
      </w:r>
      <w:r>
        <w:rPr>
          <w:b/>
          <w:bCs/>
        </w:rPr>
        <w:t xml:space="preserve">, </w:t>
      </w:r>
      <w:r w:rsidRPr="00CE4CF9">
        <w:t>excellent research</w:t>
      </w:r>
      <w:r w:rsidRPr="00D92158">
        <w:t>,</w:t>
      </w:r>
      <w:r w:rsidRPr="00911BD7">
        <w:t xml:space="preserve"> across the spectrum of</w:t>
      </w:r>
      <w:r w:rsidRPr="00CE4CF9">
        <w:rPr>
          <w:b/>
          <w:bCs/>
        </w:rPr>
        <w:t xml:space="preserve"> basic to applied research</w:t>
      </w:r>
      <w:r w:rsidRPr="00911BD7">
        <w:t>,</w:t>
      </w:r>
      <w:r>
        <w:rPr>
          <w:b/>
          <w:bCs/>
        </w:rPr>
        <w:t xml:space="preserve"> </w:t>
      </w:r>
      <w:r w:rsidRPr="00CE4CF9">
        <w:t>can generate new knowledge that over time delivers substantial impacts</w:t>
      </w:r>
      <w:r w:rsidRPr="00D92158">
        <w:t>.</w:t>
      </w:r>
      <w:r>
        <w:t xml:space="preserve"> The case studies </w:t>
      </w:r>
      <w:r w:rsidRPr="00573AA6">
        <w:t>highli</w:t>
      </w:r>
      <w:r w:rsidRPr="00D92158">
        <w:t xml:space="preserve">ght how </w:t>
      </w:r>
      <w:r w:rsidRPr="00CE4CF9">
        <w:t xml:space="preserve">researchers have used different ARC schemes across their careers to </w:t>
      </w:r>
      <w:r>
        <w:t xml:space="preserve">progress </w:t>
      </w:r>
      <w:r w:rsidRPr="00CE4CF9">
        <w:t xml:space="preserve">research and deliver impact </w:t>
      </w:r>
      <w:r w:rsidRPr="00D92158">
        <w:t xml:space="preserve">to a broad range of end-users and beneficiaries. They also exemplify excellent research that </w:t>
      </w:r>
      <w:r w:rsidRPr="00CE4CF9">
        <w:t xml:space="preserve">delivers on Australia’s Science and Research Priorities and other government priorities </w:t>
      </w:r>
      <w:r w:rsidRPr="00D92158">
        <w:t>such as ending domestic and family violence and Closing the Gap.</w:t>
      </w:r>
    </w:p>
    <w:p w14:paraId="74675CAC" w14:textId="77777777" w:rsidR="003260C9" w:rsidRDefault="003260C9" w:rsidP="003260C9">
      <w:pPr>
        <w:pStyle w:val="BodyText"/>
      </w:pPr>
      <w:r>
        <w:t>Where possible and appropriate, the economic impact of the case studies has been assessed by calculating the costs and benefits (present value, PV), along with the net present and anticipated economic impacts (NPV) and benefit cost-ratio (BCR).</w:t>
      </w:r>
    </w:p>
    <w:p w14:paraId="0D7D2270" w14:textId="77777777" w:rsidR="001D76E6" w:rsidRDefault="001D76E6" w:rsidP="001D76E6">
      <w:pPr>
        <w:pStyle w:val="Heading2ES"/>
      </w:pPr>
      <w:r>
        <w:t>Future considerations</w:t>
      </w:r>
    </w:p>
    <w:p w14:paraId="149ECCA6" w14:textId="77777777" w:rsidR="001D76E6" w:rsidRDefault="001D76E6" w:rsidP="001D76E6">
      <w:pPr>
        <w:pStyle w:val="BodyText"/>
      </w:pPr>
      <w:r>
        <w:t>Our analysis shows there is no ‘silver bullet’ solution to research impact analysis, as many countries around the world struggle to systematically understand all impacts generated by their research funding programs. However, international practices for supporting, monitoring and reporting on research impact could be explored, noting that consultation with the Australian sector to determine appropriateness is critical.</w:t>
      </w:r>
    </w:p>
    <w:p w14:paraId="2B1DCB5B" w14:textId="77777777" w:rsidR="001D76E6" w:rsidRDefault="001D76E6" w:rsidP="001D76E6">
      <w:pPr>
        <w:pStyle w:val="BodyText"/>
      </w:pPr>
      <w:r>
        <w:t>Stakeholders consulted for this evaluation have expressed a desire for improved communication of impact, noting this is a shared responsibility across the sector (including ARC, universities and researchers). Further, most survey respondents reported that it was somewhat or very important that the ARC monitor and communicate the impact of funded research (71%), with a view to justifying the use of public funds and promoting the value of the investment.</w:t>
      </w:r>
    </w:p>
    <w:p w14:paraId="3331112C" w14:textId="77777777" w:rsidR="001D76E6" w:rsidRDefault="001D76E6" w:rsidP="001D76E6">
      <w:pPr>
        <w:pStyle w:val="Heading3ES"/>
      </w:pPr>
      <w:r>
        <w:lastRenderedPageBreak/>
        <w:t>Opportunities to better support and assess the impact of NCGP-funded research</w:t>
      </w:r>
    </w:p>
    <w:p w14:paraId="7C6C9BF9" w14:textId="77777777" w:rsidR="001D76E6" w:rsidRDefault="001D76E6" w:rsidP="001D76E6">
      <w:pPr>
        <w:pStyle w:val="BodyText"/>
      </w:pPr>
      <w:r>
        <w:t xml:space="preserve">As part of this evaluation, ACIL Allen was asked to assess the effectiveness with which the ARC is supporting, monitoring and reporting on NCGP research impact and identify opportunities for how these activities could be improved in the future. </w:t>
      </w:r>
    </w:p>
    <w:p w14:paraId="6DA89B3C" w14:textId="179A2847" w:rsidR="001D76E6" w:rsidRDefault="001D76E6" w:rsidP="001D76E6">
      <w:pPr>
        <w:pStyle w:val="BodyText"/>
      </w:pPr>
      <w:r>
        <w:t xml:space="preserve">The ARC’s approach to improving NCGP impact assessment and communication needs to be carefully considered and tailored to </w:t>
      </w:r>
      <w:r w:rsidRPr="00FC7E87">
        <w:rPr>
          <w:b/>
          <w:bCs/>
        </w:rPr>
        <w:t>reflect the purpose</w:t>
      </w:r>
      <w:r>
        <w:t xml:space="preserve"> of the impact assessment, </w:t>
      </w:r>
      <w:r w:rsidRPr="00FC7E87">
        <w:rPr>
          <w:b/>
          <w:bCs/>
        </w:rPr>
        <w:t>reduce the burden</w:t>
      </w:r>
      <w:r>
        <w:t xml:space="preserve"> on the sector and </w:t>
      </w:r>
      <w:r w:rsidRPr="00FC7E87">
        <w:rPr>
          <w:b/>
          <w:bCs/>
        </w:rPr>
        <w:t>employ the best available tools and techniques</w:t>
      </w:r>
      <w:r>
        <w:t xml:space="preserve"> to capture an understanding of the breadth of impact. Given </w:t>
      </w:r>
      <w:r w:rsidRPr="00FC7E87">
        <w:rPr>
          <w:b/>
          <w:bCs/>
        </w:rPr>
        <w:t xml:space="preserve">there </w:t>
      </w:r>
      <w:r>
        <w:rPr>
          <w:b/>
          <w:bCs/>
        </w:rPr>
        <w:t xml:space="preserve">is </w:t>
      </w:r>
      <w:r w:rsidRPr="00FC7E87">
        <w:rPr>
          <w:b/>
          <w:bCs/>
        </w:rPr>
        <w:t>no one-size-fits-all solution</w:t>
      </w:r>
      <w:r>
        <w:t xml:space="preserve"> to impact assessment, ACIL Allen has identified a range of opportunities to enhance </w:t>
      </w:r>
      <w:r w:rsidRPr="00C446B2">
        <w:t>how the ARC supports, monitors and reports on the impact of the research it funds</w:t>
      </w:r>
      <w:r>
        <w:t xml:space="preserve">, which are summarised </w:t>
      </w:r>
      <w:r w:rsidR="00A80D08">
        <w:t xml:space="preserve">in </w:t>
      </w:r>
      <w:r w:rsidR="00A80D08">
        <w:fldChar w:fldCharType="begin"/>
      </w:r>
      <w:r w:rsidR="00A80D08">
        <w:instrText xml:space="preserve"> REF _Ref132904512 \h </w:instrText>
      </w:r>
      <w:r w:rsidR="00A80D08">
        <w:fldChar w:fldCharType="separate"/>
      </w:r>
      <w:r w:rsidR="000B0AC7" w:rsidRPr="00A80D08">
        <w:rPr>
          <w:rStyle w:val="CaptionLabel"/>
        </w:rPr>
        <w:t>Table ES </w:t>
      </w:r>
      <w:r w:rsidR="000B0AC7">
        <w:rPr>
          <w:rStyle w:val="CaptionLabel"/>
          <w:noProof/>
        </w:rPr>
        <w:t>1</w:t>
      </w:r>
      <w:r w:rsidR="00A80D08">
        <w:fldChar w:fldCharType="end"/>
      </w:r>
      <w:r>
        <w:t>.</w:t>
      </w:r>
      <w:r w:rsidRPr="00C446B2">
        <w:t xml:space="preserve"> </w:t>
      </w:r>
      <w:r>
        <w:t xml:space="preserve">These opportunities are based on stakeholder feedback gained through this evaluation that there is a benefit in improving the assessment of impact in the future and an appetite to capture this benefit. </w:t>
      </w:r>
    </w:p>
    <w:p w14:paraId="78584FB2" w14:textId="1F104E3F" w:rsidR="001D76E6" w:rsidRDefault="001D76E6" w:rsidP="001D76E6">
      <w:pPr>
        <w:pStyle w:val="BodyText"/>
        <w:spacing w:before="0" w:after="120"/>
      </w:pPr>
      <w:r>
        <w:t xml:space="preserve">The </w:t>
      </w:r>
      <w:r w:rsidRPr="00CE4CF9">
        <w:t>opportunities provide flexibility for ARC to design an NCGP impact assessment framework in consultation with the research community. They will need to be considered within the broader context</w:t>
      </w:r>
      <w:r w:rsidRPr="00FC7E87">
        <w:rPr>
          <w:b/>
          <w:bCs/>
        </w:rPr>
        <w:t xml:space="preserve"> </w:t>
      </w:r>
      <w:r w:rsidRPr="00874FA7">
        <w:t xml:space="preserve">of the independent review </w:t>
      </w:r>
      <w:r>
        <w:t>of</w:t>
      </w:r>
      <w:r w:rsidRPr="00874FA7">
        <w:t xml:space="preserve"> the ARC and its enabling legislation, </w:t>
      </w:r>
      <w:r>
        <w:t>refresh</w:t>
      </w:r>
      <w:r w:rsidRPr="00874FA7">
        <w:t xml:space="preserve"> </w:t>
      </w:r>
      <w:r>
        <w:t xml:space="preserve">of </w:t>
      </w:r>
      <w:r w:rsidRPr="00874FA7">
        <w:t xml:space="preserve">the National Science and Research Priorities and National Science Statement, </w:t>
      </w:r>
      <w:r>
        <w:t xml:space="preserve">the </w:t>
      </w:r>
      <w:r w:rsidRPr="006804B5">
        <w:t>policy review of NCGP programs</w:t>
      </w:r>
      <w:r>
        <w:t xml:space="preserve">, the Excellence in Research for Australia (ERA) transition plan, </w:t>
      </w:r>
      <w:r w:rsidRPr="00874FA7">
        <w:t>and data analytics capability building within the ARC.</w:t>
      </w:r>
    </w:p>
    <w:p w14:paraId="174AD932" w14:textId="36023846" w:rsidR="00014BAA" w:rsidRDefault="00A80D08" w:rsidP="000B0AC7">
      <w:pPr>
        <w:pStyle w:val="Caption"/>
        <w:ind w:left="1308" w:hanging="1308"/>
      </w:pPr>
      <w:bookmarkStart w:id="8" w:name="_Ref132904512"/>
      <w:r w:rsidRPr="00A80D08">
        <w:rPr>
          <w:rStyle w:val="CaptionLabel"/>
        </w:rPr>
        <w:t>Table ES </w:t>
      </w:r>
      <w:r w:rsidRPr="00A80D08">
        <w:rPr>
          <w:rStyle w:val="CaptionLabel"/>
        </w:rPr>
        <w:fldChar w:fldCharType="begin"/>
      </w:r>
      <w:r w:rsidRPr="00A80D08">
        <w:rPr>
          <w:rStyle w:val="CaptionLabel"/>
        </w:rPr>
        <w:instrText xml:space="preserve"> SEQ Table_ES \* ARABIC  \* MERGEFORMAT </w:instrText>
      </w:r>
      <w:r w:rsidRPr="00A80D08">
        <w:rPr>
          <w:rStyle w:val="CaptionLabel"/>
        </w:rPr>
        <w:fldChar w:fldCharType="separate"/>
      </w:r>
      <w:r w:rsidR="000B0AC7">
        <w:rPr>
          <w:rStyle w:val="CaptionLabel"/>
          <w:noProof/>
        </w:rPr>
        <w:t>1</w:t>
      </w:r>
      <w:r w:rsidRPr="00A80D08">
        <w:rPr>
          <w:rStyle w:val="CaptionLabel"/>
        </w:rPr>
        <w:fldChar w:fldCharType="end"/>
      </w:r>
      <w:bookmarkEnd w:id="8"/>
      <w:r>
        <w:tab/>
        <w:t>Opportunities to better support and assess the impact of NCGP-funded research</w:t>
      </w:r>
    </w:p>
    <w:tbl>
      <w:tblPr>
        <w:tblStyle w:val="aacTableBasic"/>
        <w:tblW w:w="10346" w:type="dxa"/>
        <w:tblInd w:w="-2410" w:type="dxa"/>
        <w:tblLayout w:type="fixed"/>
        <w:tblLook w:val="04A0" w:firstRow="1" w:lastRow="0" w:firstColumn="1" w:lastColumn="0" w:noHBand="0" w:noVBand="1"/>
        <w:tblCaption w:val="Table ES 1"/>
        <w:tblDescription w:val="Opportunities to better support and assess the impact of NCGP-funded research"/>
      </w:tblPr>
      <w:tblGrid>
        <w:gridCol w:w="4962"/>
        <w:gridCol w:w="5384"/>
      </w:tblGrid>
      <w:tr w:rsidR="00A80D08" w14:paraId="1F5549D2" w14:textId="77777777" w:rsidTr="00A30A31">
        <w:trPr>
          <w:cnfStyle w:val="100000000000" w:firstRow="1" w:lastRow="0" w:firstColumn="0" w:lastColumn="0" w:oddVBand="0" w:evenVBand="0" w:oddHBand="0" w:evenHBand="0" w:firstRowFirstColumn="0" w:firstRowLastColumn="0" w:lastRowFirstColumn="0" w:lastRowLastColumn="0"/>
        </w:trPr>
        <w:tc>
          <w:tcPr>
            <w:tcW w:w="4962" w:type="dxa"/>
            <w:tcBorders>
              <w:top w:val="nil"/>
            </w:tcBorders>
            <w:shd w:val="solid" w:color="140034" w:fill="140034"/>
            <w:tcMar>
              <w:left w:w="80" w:type="dxa"/>
            </w:tcMar>
          </w:tcPr>
          <w:p w14:paraId="4B296A68" w14:textId="176D6147" w:rsidR="00A80D08" w:rsidRDefault="00A80D08" w:rsidP="00A80D08">
            <w:pPr>
              <w:pStyle w:val="Tablecolumnheadings"/>
            </w:pPr>
            <w:r w:rsidRPr="00665A31">
              <w:rPr>
                <w:bCs/>
              </w:rPr>
              <w:t>Opportunity</w:t>
            </w:r>
          </w:p>
        </w:tc>
        <w:tc>
          <w:tcPr>
            <w:tcW w:w="5384" w:type="dxa"/>
            <w:tcBorders>
              <w:top w:val="nil"/>
            </w:tcBorders>
            <w:shd w:val="solid" w:color="140034" w:fill="140034"/>
          </w:tcPr>
          <w:p w14:paraId="5846631E" w14:textId="5A39A5E0" w:rsidR="00A80D08" w:rsidRDefault="00A80D08" w:rsidP="00A80D08">
            <w:pPr>
              <w:pStyle w:val="Tablecolumnheadings"/>
            </w:pPr>
            <w:r w:rsidRPr="00665A31">
              <w:rPr>
                <w:bCs/>
              </w:rPr>
              <w:t>Potential benefits</w:t>
            </w:r>
          </w:p>
        </w:tc>
      </w:tr>
      <w:tr w:rsidR="00A80D08" w14:paraId="0A8CFCDA" w14:textId="77777777" w:rsidTr="00A30A31">
        <w:tc>
          <w:tcPr>
            <w:tcW w:w="4962" w:type="dxa"/>
            <w:tcMar>
              <w:left w:w="80" w:type="dxa"/>
            </w:tcMar>
          </w:tcPr>
          <w:p w14:paraId="709D6E58" w14:textId="77777777" w:rsidR="00A80D08" w:rsidRDefault="00A80D08" w:rsidP="00A80D08">
            <w:pPr>
              <w:pStyle w:val="BodyText"/>
              <w:spacing w:before="0" w:after="40" w:line="240" w:lineRule="auto"/>
              <w:ind w:left="284" w:right="278" w:hanging="284"/>
              <w:contextualSpacing/>
              <w:rPr>
                <w:b/>
                <w:bCs/>
              </w:rPr>
            </w:pPr>
            <w:r>
              <w:rPr>
                <w:b/>
                <w:bCs/>
              </w:rPr>
              <w:t>1</w:t>
            </w:r>
            <w:r w:rsidRPr="00FC7E87">
              <w:rPr>
                <w:b/>
                <w:bCs/>
              </w:rPr>
              <w:t>.</w:t>
            </w:r>
            <w:r w:rsidRPr="00FC7E87">
              <w:rPr>
                <w:b/>
                <w:bCs/>
              </w:rPr>
              <w:tab/>
            </w:r>
            <w:r>
              <w:rPr>
                <w:b/>
                <w:bCs/>
              </w:rPr>
              <w:t xml:space="preserve">Develop an NCGP impact evaluation framework </w:t>
            </w:r>
          </w:p>
          <w:p w14:paraId="629F1C5B" w14:textId="77777777" w:rsidR="00A80D08" w:rsidRDefault="00A80D08" w:rsidP="00A80D08">
            <w:pPr>
              <w:pStyle w:val="Tablelistbullet"/>
            </w:pPr>
            <w:r>
              <w:t>Develop agreed metrics with stakeholders, drawing on existing research and innovation metrics</w:t>
            </w:r>
          </w:p>
          <w:p w14:paraId="25FDC18D" w14:textId="0D0FA89A" w:rsidR="00A80D08" w:rsidRDefault="00A80D08" w:rsidP="00A80D08">
            <w:pPr>
              <w:pStyle w:val="Tablelistbullet"/>
            </w:pPr>
            <w:r>
              <w:t>Align with the national research evaluations (such as ERA and Engagement and Impact)</w:t>
            </w:r>
          </w:p>
        </w:tc>
        <w:tc>
          <w:tcPr>
            <w:tcW w:w="5384" w:type="dxa"/>
          </w:tcPr>
          <w:p w14:paraId="295DB246" w14:textId="2CC3D1BF" w:rsidR="00A80D08" w:rsidRDefault="00A80D08" w:rsidP="00A80D08">
            <w:pPr>
              <w:pStyle w:val="Tablelistbullet"/>
            </w:pPr>
            <w:r>
              <w:t>Greater clarity and consistency on impact reporting requirements for the research sector</w:t>
            </w:r>
          </w:p>
        </w:tc>
      </w:tr>
      <w:tr w:rsidR="00A80D08" w14:paraId="35037843" w14:textId="77777777" w:rsidTr="00A30A31">
        <w:tc>
          <w:tcPr>
            <w:tcW w:w="4962" w:type="dxa"/>
            <w:tcMar>
              <w:left w:w="80" w:type="dxa"/>
            </w:tcMar>
          </w:tcPr>
          <w:p w14:paraId="6F524FE5" w14:textId="77777777" w:rsidR="00A80D08" w:rsidRDefault="00A80D08" w:rsidP="00A80D08">
            <w:pPr>
              <w:pStyle w:val="BodyText"/>
              <w:spacing w:before="0" w:after="40" w:line="240" w:lineRule="auto"/>
              <w:ind w:left="284" w:right="278" w:hanging="284"/>
              <w:contextualSpacing/>
              <w:rPr>
                <w:b/>
                <w:bCs/>
              </w:rPr>
            </w:pPr>
            <w:r>
              <w:rPr>
                <w:b/>
                <w:bCs/>
              </w:rPr>
              <w:t>2</w:t>
            </w:r>
            <w:r w:rsidRPr="00FC7E87">
              <w:rPr>
                <w:b/>
                <w:bCs/>
              </w:rPr>
              <w:t>.</w:t>
            </w:r>
            <w:r w:rsidRPr="00FC7E87">
              <w:rPr>
                <w:b/>
                <w:bCs/>
              </w:rPr>
              <w:tab/>
            </w:r>
            <w:r>
              <w:rPr>
                <w:b/>
                <w:bCs/>
              </w:rPr>
              <w:t>Strengthen</w:t>
            </w:r>
            <w:r w:rsidRPr="00FC7E87">
              <w:rPr>
                <w:b/>
                <w:bCs/>
              </w:rPr>
              <w:t xml:space="preserve"> NCGP </w:t>
            </w:r>
            <w:r>
              <w:rPr>
                <w:b/>
                <w:bCs/>
              </w:rPr>
              <w:t>impact data collection and reporting</w:t>
            </w:r>
          </w:p>
          <w:p w14:paraId="43CFF748" w14:textId="77777777" w:rsidR="00A80D08" w:rsidRDefault="00A80D08" w:rsidP="00A80D08">
            <w:pPr>
              <w:pStyle w:val="Tablelistbullet"/>
            </w:pPr>
            <w:r>
              <w:t xml:space="preserve">Capture case-studies of the impact of major projects </w:t>
            </w:r>
          </w:p>
          <w:p w14:paraId="5DCCED5E" w14:textId="1C4E5EFF" w:rsidR="00A80D08" w:rsidRDefault="00A80D08" w:rsidP="00A80D08">
            <w:pPr>
              <w:pStyle w:val="Tablelistbullet"/>
            </w:pPr>
            <w:r>
              <w:t>Capture impact data that can highlight trends for the ARC, researchers and the sector</w:t>
            </w:r>
          </w:p>
        </w:tc>
        <w:tc>
          <w:tcPr>
            <w:tcW w:w="5384" w:type="dxa"/>
          </w:tcPr>
          <w:p w14:paraId="059F2E50" w14:textId="77777777" w:rsidR="00A80D08" w:rsidRDefault="00A80D08" w:rsidP="00A80D08">
            <w:pPr>
              <w:pStyle w:val="Tablelistbullet"/>
            </w:pPr>
            <w:r>
              <w:t>Improved evidence base that can better support the delivery of impact across the spectrum of basic to applied research</w:t>
            </w:r>
          </w:p>
          <w:p w14:paraId="46C06617" w14:textId="77777777" w:rsidR="00A80D08" w:rsidRDefault="00A80D08" w:rsidP="00A80D08">
            <w:pPr>
              <w:pStyle w:val="Tablelistbullet"/>
            </w:pPr>
            <w:r>
              <w:t xml:space="preserve">Improved data and narratives for communicating research impact </w:t>
            </w:r>
          </w:p>
          <w:p w14:paraId="3934ADFC" w14:textId="5E194E94" w:rsidR="00A80D08" w:rsidRDefault="00A80D08" w:rsidP="00A80D08">
            <w:pPr>
              <w:pStyle w:val="Tablelistbullet"/>
            </w:pPr>
            <w:r>
              <w:t xml:space="preserve">Greater ability for universities and government to demonstrate the value of research funding for both basic and applied research </w:t>
            </w:r>
          </w:p>
        </w:tc>
      </w:tr>
      <w:tr w:rsidR="00A80D08" w14:paraId="385ED2BF" w14:textId="77777777" w:rsidTr="00A30A31">
        <w:tc>
          <w:tcPr>
            <w:tcW w:w="4962" w:type="dxa"/>
            <w:tcMar>
              <w:left w:w="80" w:type="dxa"/>
            </w:tcMar>
          </w:tcPr>
          <w:p w14:paraId="0BE875E3" w14:textId="77777777" w:rsidR="00A80D08" w:rsidRDefault="00A80D08" w:rsidP="00A80D08">
            <w:pPr>
              <w:pStyle w:val="BodyText"/>
              <w:spacing w:before="0" w:after="40" w:line="240" w:lineRule="auto"/>
              <w:ind w:left="284" w:right="278" w:hanging="284"/>
              <w:contextualSpacing/>
              <w:rPr>
                <w:b/>
                <w:bCs/>
              </w:rPr>
            </w:pPr>
            <w:r w:rsidRPr="00FC7E87">
              <w:rPr>
                <w:b/>
                <w:bCs/>
              </w:rPr>
              <w:t>3.</w:t>
            </w:r>
            <w:r w:rsidRPr="00FC7E87">
              <w:rPr>
                <w:b/>
                <w:bCs/>
              </w:rPr>
              <w:tab/>
              <w:t>Explore data-driven approaches to impact assessment</w:t>
            </w:r>
          </w:p>
          <w:p w14:paraId="6FFF2B14" w14:textId="77777777" w:rsidR="00A80D08" w:rsidRDefault="00A80D08" w:rsidP="00A80D08">
            <w:pPr>
              <w:pStyle w:val="Tablelistbullet"/>
            </w:pPr>
            <w:r>
              <w:t>Connect to external data sources and metrics to supplement ARC impact data collection</w:t>
            </w:r>
          </w:p>
          <w:p w14:paraId="61296267" w14:textId="2B247F26" w:rsidR="00A80D08" w:rsidRDefault="00A80D08" w:rsidP="00A80D08">
            <w:pPr>
              <w:pStyle w:val="Tablelistbullet"/>
            </w:pPr>
            <w:r>
              <w:t>Adapt approaches over time as metrics and data sources improve</w:t>
            </w:r>
          </w:p>
        </w:tc>
        <w:tc>
          <w:tcPr>
            <w:tcW w:w="5384" w:type="dxa"/>
          </w:tcPr>
          <w:p w14:paraId="322EA966" w14:textId="77777777" w:rsidR="00A80D08" w:rsidRDefault="00A80D08" w:rsidP="00A80D08">
            <w:pPr>
              <w:pStyle w:val="Tablelistbullet"/>
            </w:pPr>
            <w:r>
              <w:t>Improved capabilities to develop deep insights into the impact delivered by ARC-funded research</w:t>
            </w:r>
          </w:p>
          <w:p w14:paraId="1DC8B89B" w14:textId="43258AAB" w:rsidR="00A80D08" w:rsidRDefault="00A80D08" w:rsidP="00A80D08">
            <w:pPr>
              <w:pStyle w:val="Tablelistbullet"/>
            </w:pPr>
            <w:r>
              <w:t xml:space="preserve">Reduced </w:t>
            </w:r>
            <w:r w:rsidRPr="00FF0D0F">
              <w:t xml:space="preserve">burden </w:t>
            </w:r>
            <w:r>
              <w:t xml:space="preserve">on the research sector </w:t>
            </w:r>
            <w:r w:rsidRPr="00FF0D0F">
              <w:t>of manual data assembly associated with impact assessment</w:t>
            </w:r>
          </w:p>
        </w:tc>
      </w:tr>
      <w:tr w:rsidR="00A80D08" w14:paraId="7915AFCB" w14:textId="77777777" w:rsidTr="00A30A31">
        <w:tc>
          <w:tcPr>
            <w:tcW w:w="4962" w:type="dxa"/>
            <w:tcMar>
              <w:left w:w="80" w:type="dxa"/>
            </w:tcMar>
          </w:tcPr>
          <w:p w14:paraId="12458915" w14:textId="77777777" w:rsidR="00A80D08" w:rsidRDefault="00A80D08" w:rsidP="00A80D08">
            <w:pPr>
              <w:pStyle w:val="BodyText"/>
              <w:spacing w:before="0" w:after="40" w:line="240" w:lineRule="auto"/>
              <w:ind w:left="284" w:right="278" w:hanging="284"/>
              <w:contextualSpacing/>
              <w:rPr>
                <w:b/>
                <w:bCs/>
              </w:rPr>
            </w:pPr>
            <w:r w:rsidRPr="00FC7E87">
              <w:rPr>
                <w:b/>
                <w:bCs/>
              </w:rPr>
              <w:t>4.</w:t>
            </w:r>
            <w:r w:rsidRPr="00FC7E87">
              <w:rPr>
                <w:b/>
                <w:bCs/>
              </w:rPr>
              <w:tab/>
              <w:t xml:space="preserve">Enhance the communication and understanding of </w:t>
            </w:r>
            <w:r>
              <w:rPr>
                <w:b/>
                <w:bCs/>
              </w:rPr>
              <w:t xml:space="preserve">research </w:t>
            </w:r>
            <w:r w:rsidRPr="00FC7E87">
              <w:rPr>
                <w:b/>
                <w:bCs/>
              </w:rPr>
              <w:t>impact</w:t>
            </w:r>
          </w:p>
          <w:p w14:paraId="1E0F542F" w14:textId="10A89EA2" w:rsidR="00A80D08" w:rsidRDefault="00A80D08" w:rsidP="00A80D08">
            <w:pPr>
              <w:pStyle w:val="Tablelistbullet"/>
            </w:pPr>
            <w:r>
              <w:t>Regularly communicate the impact of research in an engaging, and targeted way for audiences using data and case studies</w:t>
            </w:r>
          </w:p>
        </w:tc>
        <w:tc>
          <w:tcPr>
            <w:tcW w:w="5384" w:type="dxa"/>
          </w:tcPr>
          <w:p w14:paraId="2FDA6294" w14:textId="77777777" w:rsidR="00A80D08" w:rsidRDefault="00A80D08" w:rsidP="00A80D08">
            <w:pPr>
              <w:pStyle w:val="Tablelistbullet"/>
            </w:pPr>
            <w:r>
              <w:t>Improved understanding of the value of research among all stakeholders, increasing social license for government investment</w:t>
            </w:r>
          </w:p>
          <w:p w14:paraId="4D1D5369" w14:textId="6804844E" w:rsidR="00A80D08" w:rsidRDefault="00A80D08" w:rsidP="00A80D08">
            <w:pPr>
              <w:pStyle w:val="Tablelistbullet"/>
            </w:pPr>
            <w:r>
              <w:t xml:space="preserve">Improved </w:t>
            </w:r>
            <w:r w:rsidRPr="00FF0D0F">
              <w:t xml:space="preserve">early-stage extension, translation </w:t>
            </w:r>
            <w:r>
              <w:t>and</w:t>
            </w:r>
            <w:r w:rsidRPr="00FF0D0F">
              <w:t xml:space="preserve"> adoption of excellent research</w:t>
            </w:r>
            <w:r>
              <w:t>, leading to increased collaboration and impact</w:t>
            </w:r>
          </w:p>
        </w:tc>
      </w:tr>
    </w:tbl>
    <w:p w14:paraId="53322452" w14:textId="77777777" w:rsidR="000B0AC7" w:rsidRDefault="000B0AC7" w:rsidP="000B0AC7">
      <w:pPr>
        <w:pStyle w:val="Source"/>
      </w:pPr>
      <w:r>
        <w:t>Source: ACIL Allen</w:t>
      </w:r>
    </w:p>
    <w:p w14:paraId="45A8524D" w14:textId="77777777" w:rsidR="000B0AC7" w:rsidRDefault="000B0AC7" w:rsidP="000B0AC7">
      <w:pPr>
        <w:pStyle w:val="spacer"/>
      </w:pPr>
    </w:p>
    <w:p w14:paraId="1FA81B44" w14:textId="77777777" w:rsidR="001D76E6" w:rsidRPr="00CE1D7F" w:rsidRDefault="001D76E6" w:rsidP="002B32A0">
      <w:pPr>
        <w:pStyle w:val="BodyText"/>
      </w:pPr>
    </w:p>
    <w:p w14:paraId="4CDF6469" w14:textId="77777777" w:rsidR="002B32A0" w:rsidRPr="00CE1D7F" w:rsidRDefault="002B32A0" w:rsidP="002B32A0">
      <w:pPr>
        <w:pStyle w:val="BodyText"/>
        <w:sectPr w:rsidR="002B32A0" w:rsidRPr="00CE1D7F" w:rsidSect="00A66275">
          <w:headerReference w:type="even" r:id="rId34"/>
          <w:headerReference w:type="default" r:id="rId35"/>
          <w:footerReference w:type="even" r:id="rId36"/>
          <w:footerReference w:type="default" r:id="rId37"/>
          <w:headerReference w:type="first" r:id="rId38"/>
          <w:footerReference w:type="first" r:id="rId39"/>
          <w:pgSz w:w="11906" w:h="16838" w:code="9"/>
          <w:pgMar w:top="1134" w:right="851" w:bottom="1134" w:left="3119" w:header="454" w:footer="159" w:gutter="0"/>
          <w:pgNumType w:fmt="lowerRoman"/>
          <w:cols w:space="708"/>
          <w:docGrid w:linePitch="360"/>
        </w:sectPr>
      </w:pPr>
    </w:p>
    <w:p w14:paraId="3618CE8D" w14:textId="77777777" w:rsidR="000B0AC7" w:rsidRPr="00CE1D7F" w:rsidRDefault="000B0AC7" w:rsidP="000B0AC7">
      <w:pPr>
        <w:pStyle w:val="Heading1"/>
        <w:pageBreakBefore/>
        <w:ind w:left="0" w:hanging="600"/>
      </w:pPr>
      <w:bookmarkStart w:id="9" w:name="_Toc135323674"/>
      <w:r w:rsidRPr="00CE1D7F">
        <w:lastRenderedPageBreak/>
        <w:t>Introduction</w:t>
      </w:r>
      <w:bookmarkEnd w:id="9"/>
    </w:p>
    <w:p w14:paraId="0DDEF28D" w14:textId="77777777" w:rsidR="002B32A0" w:rsidRPr="00CE1D7F" w:rsidRDefault="002B32A0" w:rsidP="002B32A0">
      <w:pPr>
        <w:pStyle w:val="Heading2"/>
      </w:pPr>
      <w:bookmarkStart w:id="10" w:name="_Ref129605653"/>
      <w:bookmarkStart w:id="11" w:name="_Toc129963945"/>
      <w:bookmarkStart w:id="12" w:name="_Toc131174584"/>
      <w:bookmarkStart w:id="13" w:name="_Toc132970636"/>
      <w:bookmarkStart w:id="14" w:name="_Toc135323675"/>
      <w:r w:rsidRPr="00CE1D7F">
        <w:t>The Australian Research Council</w:t>
      </w:r>
      <w:bookmarkEnd w:id="10"/>
      <w:bookmarkEnd w:id="11"/>
      <w:bookmarkEnd w:id="12"/>
      <w:bookmarkEnd w:id="13"/>
      <w:bookmarkEnd w:id="14"/>
    </w:p>
    <w:p w14:paraId="3D0BBB07" w14:textId="77777777" w:rsidR="002B32A0" w:rsidRDefault="002B32A0" w:rsidP="002B32A0">
      <w:pPr>
        <w:pStyle w:val="BodyText"/>
      </w:pPr>
      <w:bookmarkStart w:id="15" w:name="_Hlk109900409"/>
      <w:r w:rsidRPr="00F514F4">
        <w:t xml:space="preserve">The Australian Research Council (ARC) has a key role in Australia’s innovation and research system in supporting universities to produce high-quality and impactful research through the delivery of the National Competitive Grants Program (NCGP). </w:t>
      </w:r>
      <w:r>
        <w:t>ARC funding for blue-sky research and for practical research that links universities, industry and other research end-users helps ensure Australia can maximise the benefits of having a strong and vibrant research sector.</w:t>
      </w:r>
    </w:p>
    <w:p w14:paraId="0612D10A" w14:textId="77777777" w:rsidR="002B32A0" w:rsidRPr="00CE1D7F" w:rsidRDefault="002B32A0" w:rsidP="002B32A0">
      <w:pPr>
        <w:pStyle w:val="BodyText"/>
      </w:pPr>
      <w:r>
        <w:t>The ARC also</w:t>
      </w:r>
      <w:r w:rsidRPr="00F514F4">
        <w:t xml:space="preserve"> has the national responsibility for assessing the quality, engagement and impact of university research</w:t>
      </w:r>
      <w:r>
        <w:t>, providing grant services to other agencies,</w:t>
      </w:r>
      <w:r w:rsidRPr="00F514F4">
        <w:t xml:space="preserve"> and working in partnership with the sector to safeguard research integrity</w:t>
      </w:r>
      <w:r w:rsidRPr="00CE1D7F">
        <w:t>.</w:t>
      </w:r>
      <w:r w:rsidRPr="00CE1D7F">
        <w:rPr>
          <w:rStyle w:val="FootnoteReference"/>
        </w:rPr>
        <w:footnoteReference w:id="1"/>
      </w:r>
      <w:r w:rsidRPr="00CE1D7F">
        <w:t xml:space="preserve"> </w:t>
      </w:r>
    </w:p>
    <w:p w14:paraId="1AEA29C7" w14:textId="77777777" w:rsidR="002B32A0" w:rsidRDefault="002B32A0" w:rsidP="002B32A0">
      <w:pPr>
        <w:pStyle w:val="BodyText"/>
      </w:pPr>
      <w:r w:rsidRPr="00CE1D7F">
        <w:t>The AR</w:t>
      </w:r>
      <w:r>
        <w:t xml:space="preserve">C </w:t>
      </w:r>
      <w:r w:rsidRPr="00CE1D7F">
        <w:t>was founded in 19</w:t>
      </w:r>
      <w:r>
        <w:t>8</w:t>
      </w:r>
      <w:r w:rsidRPr="00CE1D7F">
        <w:t xml:space="preserve">8, became an independent statutory authority in 2001 under the </w:t>
      </w:r>
      <w:r w:rsidRPr="00CE1D7F">
        <w:rPr>
          <w:i/>
          <w:iCs/>
        </w:rPr>
        <w:t xml:space="preserve">Australian Research Council Act 2001 </w:t>
      </w:r>
      <w:r w:rsidRPr="00CE1D7F">
        <w:t>and is directly descended from the</w:t>
      </w:r>
      <w:r>
        <w:t xml:space="preserve"> </w:t>
      </w:r>
      <w:r w:rsidRPr="00CE1D7F">
        <w:t>Australian Research Grants Committee (1965-1987).</w:t>
      </w:r>
    </w:p>
    <w:p w14:paraId="2451732A" w14:textId="77777777" w:rsidR="002B32A0" w:rsidRPr="00CE1D7F" w:rsidRDefault="002B32A0" w:rsidP="002B32A0">
      <w:pPr>
        <w:pStyle w:val="Heading3"/>
      </w:pPr>
      <w:bookmarkStart w:id="16" w:name="_Toc110607106"/>
      <w:bookmarkStart w:id="17" w:name="_Ref129184846"/>
      <w:bookmarkStart w:id="18" w:name="_Ref129184898"/>
      <w:bookmarkStart w:id="19" w:name="_Ref129357726"/>
      <w:bookmarkStart w:id="20" w:name="_Ref129851768"/>
      <w:bookmarkEnd w:id="15"/>
      <w:r w:rsidRPr="00CE1D7F">
        <w:t>The National Competitive Grants Program</w:t>
      </w:r>
      <w:bookmarkEnd w:id="16"/>
      <w:bookmarkEnd w:id="17"/>
      <w:bookmarkEnd w:id="18"/>
      <w:bookmarkEnd w:id="19"/>
      <w:bookmarkEnd w:id="20"/>
      <w:r w:rsidRPr="00CE1D7F">
        <w:t xml:space="preserve"> </w:t>
      </w:r>
    </w:p>
    <w:p w14:paraId="63BBCAC0" w14:textId="77777777" w:rsidR="002B32A0" w:rsidRPr="00CE1D7F" w:rsidRDefault="002B32A0" w:rsidP="002B32A0">
      <w:pPr>
        <w:pStyle w:val="BodyText"/>
      </w:pPr>
      <w:r w:rsidRPr="00CE1D7F">
        <w:t xml:space="preserve">The NCGP is the focus of this evaluation. The NCGP </w:t>
      </w:r>
      <w:r>
        <w:t>awards</w:t>
      </w:r>
      <w:r w:rsidRPr="00CE1D7F">
        <w:t xml:space="preserve"> research grant funding </w:t>
      </w:r>
      <w:r>
        <w:t>based on</w:t>
      </w:r>
      <w:r w:rsidRPr="00CE1D7F">
        <w:t xml:space="preserve"> a competitive peer review process through 2 main programs, the Discovery Program and the Linkage Program, described below. </w:t>
      </w:r>
      <w:r>
        <w:t>Under these programs, t</w:t>
      </w:r>
      <w:r w:rsidRPr="00CE1D7F">
        <w:t>he ARC funds a range of complementary schemes to support researchers at different stages of their careers, build Australia’s research capability</w:t>
      </w:r>
      <w:r>
        <w:t xml:space="preserve"> and infrastructure</w:t>
      </w:r>
      <w:r w:rsidRPr="00CE1D7F">
        <w:t xml:space="preserve">, expand and enhance research networks and collaborations, and develop centres of research excellence. </w:t>
      </w:r>
    </w:p>
    <w:p w14:paraId="365E264E" w14:textId="77777777" w:rsidR="002B32A0" w:rsidRPr="00CE1D7F" w:rsidRDefault="002B32A0" w:rsidP="002B32A0">
      <w:pPr>
        <w:pStyle w:val="Heading4"/>
      </w:pPr>
      <w:r w:rsidRPr="00CE1D7F">
        <w:t>The Discovery Program</w:t>
      </w:r>
    </w:p>
    <w:p w14:paraId="54F05028" w14:textId="77777777" w:rsidR="002B32A0" w:rsidRPr="00CE1D7F" w:rsidRDefault="002B32A0" w:rsidP="002B32A0">
      <w:pPr>
        <w:pStyle w:val="BodyText"/>
      </w:pPr>
      <w:r w:rsidRPr="00CE1D7F">
        <w:t xml:space="preserve">The ARC </w:t>
      </w:r>
      <w:r>
        <w:t xml:space="preserve">currently </w:t>
      </w:r>
      <w:r w:rsidRPr="00CE1D7F">
        <w:t>delivers 5 schemes</w:t>
      </w:r>
      <w:r w:rsidRPr="00CE1D7F">
        <w:rPr>
          <w:rStyle w:val="FootnoteReference"/>
        </w:rPr>
        <w:footnoteReference w:id="2"/>
      </w:r>
      <w:r w:rsidRPr="00CE1D7F">
        <w:t xml:space="preserve"> under the Discovery Program, </w:t>
      </w:r>
      <w:r>
        <w:t>which play a crucial role</w:t>
      </w:r>
      <w:r w:rsidRPr="00CE1D7F">
        <w:t xml:space="preserve"> </w:t>
      </w:r>
      <w:r>
        <w:t>in funding blue-sk</w:t>
      </w:r>
      <w:r w:rsidRPr="00CE1D7F">
        <w:t xml:space="preserve">y </w:t>
      </w:r>
      <w:r>
        <w:t xml:space="preserve">(basic) </w:t>
      </w:r>
      <w:r w:rsidRPr="00CE1D7F">
        <w:t xml:space="preserve">research </w:t>
      </w:r>
      <w:r>
        <w:t>in</w:t>
      </w:r>
      <w:r w:rsidRPr="00CE1D7F">
        <w:t xml:space="preserve"> Australia. The Discovery Program benefits Australia by supporting research training and career opportunities for the best Australian and international researchers. It builds the nation’s research capacity, supports the production of internationally competitive research, and encourages international collaboration. The Discovery Program also funds research in priority areas.</w:t>
      </w:r>
    </w:p>
    <w:p w14:paraId="223FF5DC" w14:textId="77777777" w:rsidR="002B32A0" w:rsidRPr="00CE1D7F" w:rsidRDefault="002B32A0" w:rsidP="002B32A0">
      <w:pPr>
        <w:pStyle w:val="BodyText"/>
      </w:pPr>
      <w:r w:rsidRPr="00CE1D7F">
        <w:t>The intended outcome of the Discovery Program is to contribute to the growth of Australia’s research and innovation capacity. This generates new knowledge, technologies, products and ideas, the creation of jobs, economic growth, and an enhanced quality of life in Australia.</w:t>
      </w:r>
      <w:r w:rsidRPr="00CE1D7F">
        <w:rPr>
          <w:rStyle w:val="FootnoteReference"/>
        </w:rPr>
        <w:footnoteReference w:id="3"/>
      </w:r>
    </w:p>
    <w:p w14:paraId="0AC7BEE9" w14:textId="77777777" w:rsidR="002B32A0" w:rsidRPr="00CE1D7F" w:rsidRDefault="002B32A0" w:rsidP="002B32A0">
      <w:pPr>
        <w:pStyle w:val="Heading4"/>
      </w:pPr>
      <w:r w:rsidRPr="00CE1D7F">
        <w:lastRenderedPageBreak/>
        <w:t>The Linkage Program</w:t>
      </w:r>
    </w:p>
    <w:p w14:paraId="2BF396C9" w14:textId="77777777" w:rsidR="002B32A0" w:rsidRPr="00CE1D7F" w:rsidRDefault="002B32A0" w:rsidP="002B32A0">
      <w:pPr>
        <w:pStyle w:val="BodyText"/>
      </w:pPr>
      <w:r w:rsidRPr="00CE1D7F">
        <w:t xml:space="preserve">The ARC </w:t>
      </w:r>
      <w:r>
        <w:t xml:space="preserve">currently </w:t>
      </w:r>
      <w:r w:rsidRPr="00CE1D7F">
        <w:t>delivers 8 schemes</w:t>
      </w:r>
      <w:r w:rsidRPr="00CE1D7F">
        <w:rPr>
          <w:rStyle w:val="FootnoteReference"/>
        </w:rPr>
        <w:footnoteReference w:id="4"/>
      </w:r>
      <w:r w:rsidRPr="00CE1D7F">
        <w:t xml:space="preserve"> under the Linkage Program. The objectives of the Linkage Program are to deliver outcomes of benefit to Australia and build Australia’s research and innovation capacity. This is achieved by supporting collaborative research between university-based researchers and researchers in other sectors in Australia and internationally, and funding training and career opportunities that enable researchers and students to work with industry and other end-users. The Linkage Program also funds research in priority areas. By supporting collaboration, the ARC encourages the transfer of skills, knowledge and ideas to secure commercial and other benefits from research. </w:t>
      </w:r>
    </w:p>
    <w:p w14:paraId="3AEC61F4" w14:textId="77777777" w:rsidR="002B32A0" w:rsidRPr="00CE1D7F" w:rsidRDefault="002B32A0" w:rsidP="002B32A0">
      <w:pPr>
        <w:pStyle w:val="BodyText"/>
      </w:pPr>
      <w:r w:rsidRPr="00CE1D7F">
        <w:t>The intended outcomes of the Linkage Program are to increase Australia’s research and innovation capacity to generate new knowledge and result in the development of new technologies, products and ideas, the creation of jobs, economic growth and an enhanced quality of life in Australia. This includes developing commercial products, licences and revenue; new companies; and new programs and policies.</w:t>
      </w:r>
      <w:r w:rsidRPr="00CE1D7F">
        <w:rPr>
          <w:rStyle w:val="FootnoteReference"/>
        </w:rPr>
        <w:footnoteReference w:id="5"/>
      </w:r>
    </w:p>
    <w:p w14:paraId="1976ABAE" w14:textId="77777777" w:rsidR="002B32A0" w:rsidRPr="00CE1D7F" w:rsidRDefault="002B32A0" w:rsidP="002B32A0">
      <w:pPr>
        <w:pStyle w:val="Heading3"/>
      </w:pPr>
      <w:bookmarkStart w:id="21" w:name="_Ref110262842"/>
      <w:bookmarkStart w:id="22" w:name="_Toc110607107"/>
      <w:r w:rsidRPr="00CE1D7F">
        <w:t>Australian Government Science and Research Priorities</w:t>
      </w:r>
      <w:bookmarkEnd w:id="21"/>
      <w:bookmarkEnd w:id="22"/>
    </w:p>
    <w:p w14:paraId="78A4E41C" w14:textId="77777777" w:rsidR="002B32A0" w:rsidRPr="00CE1D7F" w:rsidRDefault="002B32A0" w:rsidP="002B32A0">
      <w:pPr>
        <w:pStyle w:val="BodyText"/>
        <w:rPr>
          <w:vertAlign w:val="superscript"/>
        </w:rPr>
      </w:pPr>
      <w:r w:rsidRPr="00CE1D7F">
        <w:t xml:space="preserve">The Commonwealth Government </w:t>
      </w:r>
      <w:r>
        <w:t>i</w:t>
      </w:r>
      <w:r w:rsidRPr="00CE1D7F">
        <w:t xml:space="preserve">s responsible for setting research priorities </w:t>
      </w:r>
      <w:r>
        <w:t xml:space="preserve">to </w:t>
      </w:r>
      <w:r w:rsidRPr="00CE1D7F">
        <w:t xml:space="preserve">establish </w:t>
      </w:r>
      <w:r>
        <w:t>a national vision</w:t>
      </w:r>
      <w:r w:rsidRPr="00CE1D7F">
        <w:t xml:space="preserve"> and coordinat</w:t>
      </w:r>
      <w:r>
        <w:t>e</w:t>
      </w:r>
      <w:r w:rsidRPr="00CE1D7F">
        <w:t xml:space="preserve"> national science policy.</w:t>
      </w:r>
      <w:r w:rsidRPr="00CE1D7F">
        <w:rPr>
          <w:rStyle w:val="FootnoteReference"/>
        </w:rPr>
        <w:footnoteReference w:id="6"/>
      </w:r>
      <w:r w:rsidRPr="00CE1D7F">
        <w:t xml:space="preserve"> Australia has </w:t>
      </w:r>
      <w:r>
        <w:t>had</w:t>
      </w:r>
      <w:r w:rsidRPr="00CE1D7F">
        <w:t xml:space="preserve"> </w:t>
      </w:r>
      <w:r>
        <w:t>3</w:t>
      </w:r>
      <w:r w:rsidRPr="00CE1D7F">
        <w:t xml:space="preserve"> </w:t>
      </w:r>
      <w:r>
        <w:t>sets</w:t>
      </w:r>
      <w:r w:rsidRPr="00CE1D7F">
        <w:t xml:space="preserve"> of national science and research priorities. The first priorities were the National Research Priorities (2003-12), followed by Strategic Research Priorities (2012-15) and National Science and Research Priorities (2015-present).</w:t>
      </w:r>
      <w:r w:rsidRPr="00CE1D7F">
        <w:rPr>
          <w:rStyle w:val="FootnoteReference"/>
        </w:rPr>
        <w:footnoteReference w:id="7"/>
      </w:r>
      <w:r w:rsidRPr="00CE1D7F">
        <w:rPr>
          <w:vertAlign w:val="superscript"/>
        </w:rPr>
        <w:t>,</w:t>
      </w:r>
      <w:r w:rsidRPr="00CE1D7F">
        <w:rPr>
          <w:rStyle w:val="FootnoteReference"/>
        </w:rPr>
        <w:footnoteReference w:id="8"/>
      </w:r>
    </w:p>
    <w:p w14:paraId="68D00553" w14:textId="77777777" w:rsidR="002B32A0" w:rsidRPr="00CE1D7F" w:rsidRDefault="002B32A0" w:rsidP="002B32A0">
      <w:pPr>
        <w:pStyle w:val="BodyText"/>
      </w:pPr>
      <w:r w:rsidRPr="00CE1D7F">
        <w:t>The priorities, developed in consultation with industry and research, focus Australian Government support for science and research on Australia's most important challenges.</w:t>
      </w:r>
      <w:r w:rsidRPr="00CE1D7F">
        <w:rPr>
          <w:rStyle w:val="FootnoteReference"/>
        </w:rPr>
        <w:footnoteReference w:id="9"/>
      </w:r>
    </w:p>
    <w:p w14:paraId="0F692470" w14:textId="77777777" w:rsidR="002B32A0" w:rsidRPr="00CE1D7F" w:rsidRDefault="002B32A0" w:rsidP="002B32A0">
      <w:pPr>
        <w:pStyle w:val="BodyText"/>
      </w:pPr>
      <w:r w:rsidRPr="00CE1D7F">
        <w:t xml:space="preserve">The ARC’s role regarding the National Science and Research Priorities is to support the highest-quality research and research training across all disciplines, including research outside the priority areas. Funding applicants are asked to identify whether their proposed research relates to the priorities and, where relevant, </w:t>
      </w:r>
      <w:r>
        <w:t xml:space="preserve">grant assessors </w:t>
      </w:r>
      <w:r w:rsidRPr="00CE1D7F">
        <w:t>assess the potential of the research to contribute to the priorities.</w:t>
      </w:r>
      <w:r w:rsidRPr="00CE1D7F">
        <w:rPr>
          <w:rStyle w:val="FootnoteReference"/>
        </w:rPr>
        <w:footnoteReference w:id="10"/>
      </w:r>
    </w:p>
    <w:p w14:paraId="4FA783A6" w14:textId="77777777" w:rsidR="002B32A0" w:rsidRPr="00CE1D7F" w:rsidRDefault="002B32A0" w:rsidP="002B32A0">
      <w:pPr>
        <w:pStyle w:val="BodyText"/>
      </w:pPr>
      <w:r w:rsidRPr="00CE1D7F">
        <w:lastRenderedPageBreak/>
        <w:t xml:space="preserve">The Australian Government announced plans to refresh the National Science and Research Priorities and National Science Statement (published </w:t>
      </w:r>
      <w:r>
        <w:t xml:space="preserve">in </w:t>
      </w:r>
      <w:r w:rsidRPr="00CE1D7F">
        <w:t>2017) on 27 September 2022.</w:t>
      </w:r>
      <w:r w:rsidRPr="00CE1D7F">
        <w:rPr>
          <w:rStyle w:val="FootnoteReference"/>
        </w:rPr>
        <w:footnoteReference w:id="11"/>
      </w:r>
    </w:p>
    <w:p w14:paraId="68726286" w14:textId="77777777" w:rsidR="002B32A0" w:rsidRPr="00CE1D7F" w:rsidRDefault="002B32A0" w:rsidP="002B32A0">
      <w:pPr>
        <w:pStyle w:val="Heading3"/>
      </w:pPr>
      <w:r w:rsidRPr="00CE1D7F">
        <w:t>Independent review into the ARC and its enabling legislation</w:t>
      </w:r>
    </w:p>
    <w:p w14:paraId="073AAC1D" w14:textId="77777777" w:rsidR="002B32A0" w:rsidRPr="00CE1D7F" w:rsidRDefault="002B32A0" w:rsidP="002B32A0">
      <w:pPr>
        <w:pStyle w:val="BodyText"/>
      </w:pPr>
      <w:bookmarkStart w:id="23" w:name="_Hlk128146643"/>
      <w:r w:rsidRPr="00CE1D7F">
        <w:t xml:space="preserve">The Minister for Education announced a review of the ARC and its enabling legislation, the </w:t>
      </w:r>
      <w:r w:rsidRPr="00CE1D7F">
        <w:rPr>
          <w:i/>
          <w:iCs/>
        </w:rPr>
        <w:t>Australian Research Council Act 2001</w:t>
      </w:r>
      <w:r w:rsidRPr="00CE1D7F">
        <w:t xml:space="preserve">, on 30 August 2022. </w:t>
      </w:r>
      <w:bookmarkEnd w:id="23"/>
      <w:r w:rsidRPr="00CE1D7F">
        <w:t>The review will run from 5 September 2022 to 31 March 2023.</w:t>
      </w:r>
      <w:r w:rsidRPr="00CE1D7F">
        <w:rPr>
          <w:rStyle w:val="FootnoteReference"/>
        </w:rPr>
        <w:footnoteReference w:id="12"/>
      </w:r>
      <w:bookmarkStart w:id="24" w:name="_Hlk128146651"/>
      <w:r w:rsidRPr="00CE1D7F">
        <w:t xml:space="preserve"> While the review is critical to ARC’s future operations, it is distinct from ACIL Allen’s evaluation, which focuses on the impact of NCGP-funded research</w:t>
      </w:r>
      <w:bookmarkEnd w:id="24"/>
      <w:r w:rsidRPr="00CE1D7F">
        <w:t>.</w:t>
      </w:r>
    </w:p>
    <w:p w14:paraId="70E98A8E" w14:textId="77777777" w:rsidR="002B32A0" w:rsidRPr="00CE1D7F" w:rsidRDefault="002B32A0" w:rsidP="002B32A0">
      <w:pPr>
        <w:pStyle w:val="Heading2"/>
      </w:pPr>
      <w:bookmarkStart w:id="25" w:name="_Ref129110334"/>
      <w:bookmarkStart w:id="26" w:name="_Toc129963946"/>
      <w:bookmarkStart w:id="27" w:name="_Toc131174585"/>
      <w:bookmarkStart w:id="28" w:name="_Toc132970637"/>
      <w:bookmarkStart w:id="29" w:name="_Toc135323676"/>
      <w:r w:rsidRPr="00CE1D7F">
        <w:t>Australian Government research funding</w:t>
      </w:r>
      <w:bookmarkEnd w:id="25"/>
      <w:bookmarkEnd w:id="26"/>
      <w:bookmarkEnd w:id="27"/>
      <w:bookmarkEnd w:id="28"/>
      <w:bookmarkEnd w:id="29"/>
    </w:p>
    <w:p w14:paraId="4A75685D" w14:textId="77777777" w:rsidR="002B32A0" w:rsidRPr="00CE1D7F" w:rsidRDefault="002B32A0" w:rsidP="002B32A0">
      <w:pPr>
        <w:pStyle w:val="BodyText"/>
      </w:pPr>
      <w:r w:rsidRPr="00CE1D7F">
        <w:t>The Australian Government’s science, research and innovation funding is distributed across multiple portfolios. In 2021-22, the Australian Government invested an estimated $11.8</w:t>
      </w:r>
      <w:r>
        <w:t> billion</w:t>
      </w:r>
      <w:r w:rsidRPr="00CE1D7F">
        <w:t xml:space="preserve"> in science, research and innovation,</w:t>
      </w:r>
      <w:r w:rsidRPr="00CE1D7F">
        <w:rPr>
          <w:rStyle w:val="FootnoteReference"/>
        </w:rPr>
        <w:footnoteReference w:id="13"/>
      </w:r>
      <w:r w:rsidRPr="00CE1D7F">
        <w:t xml:space="preserve"> with an estimated $830</w:t>
      </w:r>
      <w:r>
        <w:t> million</w:t>
      </w:r>
      <w:r w:rsidRPr="00CE1D7F">
        <w:t xml:space="preserve"> delivered by the ARC.</w:t>
      </w:r>
      <w:r w:rsidRPr="00CE1D7F">
        <w:rPr>
          <w:rStyle w:val="FootnoteReference"/>
        </w:rPr>
        <w:footnoteReference w:id="14"/>
      </w:r>
      <w:r w:rsidRPr="00CE1D7F">
        <w:t xml:space="preserve"> In 2020</w:t>
      </w:r>
      <w:r>
        <w:noBreakHyphen/>
      </w:r>
      <w:r w:rsidRPr="00CE1D7F">
        <w:t xml:space="preserve">21, the ARC’s investment represented around 7% of the total Australian Government investment in R&amp;D and 0.04% of Australia’s Gross Domestic Product (GDP). </w:t>
      </w:r>
    </w:p>
    <w:p w14:paraId="15319E84" w14:textId="2963AE20" w:rsidR="002B32A0" w:rsidRPr="00CE1D7F" w:rsidRDefault="002B32A0" w:rsidP="002B32A0">
      <w:pPr>
        <w:pStyle w:val="BodyText"/>
      </w:pPr>
      <w:r w:rsidRPr="00CE1D7F">
        <w:t>From 2002 to 2021, the ARC awarded $13.7</w:t>
      </w:r>
      <w:r>
        <w:t> billion</w:t>
      </w:r>
      <w:r w:rsidRPr="00CE1D7F">
        <w:t xml:space="preserve"> in funding. $8.37</w:t>
      </w:r>
      <w:r>
        <w:t> billion</w:t>
      </w:r>
      <w:r w:rsidRPr="00CE1D7F">
        <w:t xml:space="preserve"> (61%) was awarded through the Discovery Program and $5.35</w:t>
      </w:r>
      <w:r>
        <w:t> billion</w:t>
      </w:r>
      <w:r w:rsidRPr="00CE1D7F">
        <w:t xml:space="preserve"> (39%) through the Linkage Program (see </w:t>
      </w:r>
      <w:r w:rsidR="005556F2" w:rsidRPr="008C0C17">
        <w:rPr>
          <w:b/>
          <w:bCs/>
        </w:rPr>
        <w:fldChar w:fldCharType="begin"/>
      </w:r>
      <w:r w:rsidR="005556F2" w:rsidRPr="008C0C17">
        <w:rPr>
          <w:b/>
          <w:bCs/>
        </w:rPr>
        <w:instrText xml:space="preserve"> REF _Ref129355645 \h </w:instrText>
      </w:r>
      <w:r w:rsidR="005556F2">
        <w:rPr>
          <w:b/>
          <w:bCs/>
        </w:rPr>
        <w:instrText xml:space="preserve"> \* MERGEFORMAT </w:instrText>
      </w:r>
      <w:r w:rsidR="005556F2" w:rsidRPr="008C0C17">
        <w:rPr>
          <w:b/>
          <w:bCs/>
        </w:rPr>
      </w:r>
      <w:r w:rsidR="005556F2" w:rsidRPr="008C0C17">
        <w:rPr>
          <w:b/>
          <w:bCs/>
        </w:rPr>
        <w:fldChar w:fldCharType="separate"/>
      </w:r>
      <w:r w:rsidR="000B0AC7" w:rsidRPr="000B0AC7">
        <w:rPr>
          <w:rStyle w:val="CaptionLabel"/>
          <w:b w:val="0"/>
          <w:bCs/>
        </w:rPr>
        <w:t>Figure D.</w:t>
      </w:r>
      <w:r w:rsidR="000B0AC7" w:rsidRPr="000B0AC7">
        <w:rPr>
          <w:rStyle w:val="CaptionLabel"/>
          <w:b w:val="0"/>
          <w:bCs/>
          <w:noProof/>
        </w:rPr>
        <w:t>1</w:t>
      </w:r>
      <w:r w:rsidR="005556F2" w:rsidRPr="008C0C17">
        <w:rPr>
          <w:b/>
          <w:bCs/>
        </w:rPr>
        <w:fldChar w:fldCharType="end"/>
      </w:r>
      <w:r>
        <w:t xml:space="preserve">, </w:t>
      </w:r>
      <w:r w:rsidRPr="00CE1D7F">
        <w:rPr>
          <w:iCs/>
        </w:rPr>
        <w:t>funding amounts are</w:t>
      </w:r>
      <w:r>
        <w:rPr>
          <w:iCs/>
        </w:rPr>
        <w:t xml:space="preserve"> for the funding allocated in the award year</w:t>
      </w:r>
      <w:r w:rsidRPr="00CE1D7F">
        <w:t>)</w:t>
      </w:r>
      <w:r>
        <w:t>.</w:t>
      </w:r>
      <w:r w:rsidRPr="00CE1D7F">
        <w:rPr>
          <w:rStyle w:val="FootnoteReference"/>
        </w:rPr>
        <w:footnoteReference w:id="15"/>
      </w:r>
      <w:r w:rsidRPr="00CE1D7F">
        <w:t xml:space="preserve">  </w:t>
      </w:r>
    </w:p>
    <w:p w14:paraId="2B9AE28E" w14:textId="5E2832D2" w:rsidR="002B32A0" w:rsidRPr="00CE1D7F" w:rsidRDefault="002B32A0" w:rsidP="002B32A0">
      <w:pPr>
        <w:pStyle w:val="BodyText"/>
      </w:pPr>
      <w:r w:rsidRPr="00CE1D7F">
        <w:t>Across the individual schemes, most funding ($5.26</w:t>
      </w:r>
      <w:r>
        <w:t> billion</w:t>
      </w:r>
      <w:r w:rsidRPr="00CE1D7F">
        <w:t xml:space="preserve">) and grants (16,638) were awarded to DP (see </w:t>
      </w:r>
      <w:r w:rsidRPr="00F87D0E">
        <w:fldChar w:fldCharType="begin"/>
      </w:r>
      <w:r w:rsidRPr="00F87D0E">
        <w:instrText xml:space="preserve"> REF _Ref122532028 \h  \* MERGEFORMAT </w:instrText>
      </w:r>
      <w:r w:rsidRPr="00F87D0E">
        <w:fldChar w:fldCharType="separate"/>
      </w:r>
      <w:r w:rsidR="000B0AC7" w:rsidRPr="000B0AC7">
        <w:t>Figure 1.1</w:t>
      </w:r>
      <w:r w:rsidRPr="00F87D0E">
        <w:fldChar w:fldCharType="end"/>
      </w:r>
      <w:r w:rsidRPr="00CE1D7F">
        <w:t>), followed by LP ($1.96</w:t>
      </w:r>
      <w:r>
        <w:t> billion</w:t>
      </w:r>
      <w:r w:rsidRPr="00CE1D7F">
        <w:t xml:space="preserve"> and 6,762 grants) and CE ($1.91</w:t>
      </w:r>
      <w:r>
        <w:t> billion</w:t>
      </w:r>
      <w:r w:rsidRPr="00CE1D7F">
        <w:t xml:space="preserve"> and 74 grants). The amount of funding and grants awarded varies across years due mainly to the periodic funding awarded for CE (see </w:t>
      </w:r>
      <w:r w:rsidRPr="00F87D0E">
        <w:fldChar w:fldCharType="begin"/>
      </w:r>
      <w:r w:rsidRPr="00F87D0E">
        <w:instrText xml:space="preserve"> REF _Ref129355645 \h  \* MERGEFORMAT </w:instrText>
      </w:r>
      <w:r w:rsidRPr="00F87D0E">
        <w:fldChar w:fldCharType="separate"/>
      </w:r>
      <w:r w:rsidR="000B0AC7" w:rsidRPr="000B0AC7">
        <w:t>Figure D.1</w:t>
      </w:r>
      <w:r w:rsidRPr="00F87D0E">
        <w:fldChar w:fldCharType="end"/>
      </w:r>
      <w:r w:rsidRPr="00CE1D7F">
        <w:t>).</w:t>
      </w:r>
    </w:p>
    <w:p w14:paraId="6FF228B1" w14:textId="70F05A53" w:rsidR="002B32A0" w:rsidRPr="00CE1D7F" w:rsidRDefault="002B32A0" w:rsidP="002B32A0">
      <w:pPr>
        <w:pStyle w:val="BodyText"/>
      </w:pPr>
      <w:r w:rsidRPr="00CE1D7F">
        <w:t xml:space="preserve">The ARC does not prescribe the amount of funding awarded to research disciplines. </w:t>
      </w:r>
      <w:r w:rsidRPr="000E5D7A">
        <w:t xml:space="preserve">Applications are assessed based on relevant </w:t>
      </w:r>
      <w:r w:rsidRPr="00CE1D7F">
        <w:t>criteria, for example, investigator capability, project quality and innovation, benefit and feasibility.</w:t>
      </w:r>
      <w:r w:rsidRPr="00CE1D7F">
        <w:rPr>
          <w:rStyle w:val="FootnoteReference"/>
        </w:rPr>
        <w:footnoteReference w:id="16"/>
      </w:r>
      <w:r w:rsidRPr="00CE1D7F">
        <w:t xml:space="preserve"> The largest funding by primary Field of Research (FoR) was awarded to Engineering ($2</w:t>
      </w:r>
      <w:r>
        <w:t> billion</w:t>
      </w:r>
      <w:r w:rsidRPr="00CE1D7F">
        <w:t>) and then Biological Sciences ($1.96</w:t>
      </w:r>
      <w:r>
        <w:t> billion</w:t>
      </w:r>
      <w:r w:rsidRPr="00CE1D7F">
        <w:t xml:space="preserve">). By primary Socio-Economic Objective (SEOs), the largest value of funding </w:t>
      </w:r>
      <w:r w:rsidRPr="00CE1D7F">
        <w:lastRenderedPageBreak/>
        <w:t>aligned with Expanding Knowledge, at $5.32</w:t>
      </w:r>
      <w:r>
        <w:t> billion</w:t>
      </w:r>
      <w:r w:rsidRPr="00CE1D7F">
        <w:t xml:space="preserve"> (see </w:t>
      </w:r>
      <w:r w:rsidRPr="00F87D0E">
        <w:fldChar w:fldCharType="begin"/>
      </w:r>
      <w:r w:rsidRPr="00F87D0E">
        <w:instrText xml:space="preserve"> REF _Ref129606809 \h  \* MERGEFORMAT </w:instrText>
      </w:r>
      <w:r w:rsidRPr="00F87D0E">
        <w:fldChar w:fldCharType="separate"/>
      </w:r>
      <w:r w:rsidR="000B0AC7" w:rsidRPr="000B0AC7">
        <w:t>Figure D.2</w:t>
      </w:r>
      <w:r w:rsidRPr="00F87D0E">
        <w:fldChar w:fldCharType="end"/>
      </w:r>
      <w:r w:rsidRPr="00CE1D7F">
        <w:t xml:space="preserve">). </w:t>
      </w:r>
      <w:r w:rsidRPr="000E5D7A">
        <w:t>The most common participating organisation type is Australian universities</w:t>
      </w:r>
      <w:r w:rsidRPr="00CE1D7F">
        <w:t xml:space="preserve">, which contribute most cash and in-kind contributions to projects (see </w:t>
      </w:r>
      <w:r w:rsidRPr="00F87D0E">
        <w:fldChar w:fldCharType="begin"/>
      </w:r>
      <w:r w:rsidRPr="00F87D0E">
        <w:instrText xml:space="preserve"> REF _Ref128758200 \h  \* MERGEFORMAT </w:instrText>
      </w:r>
      <w:r w:rsidRPr="00F87D0E">
        <w:fldChar w:fldCharType="separate"/>
      </w:r>
      <w:r w:rsidR="000B0AC7" w:rsidRPr="000B0AC7">
        <w:t>Figure D.3</w:t>
      </w:r>
      <w:r w:rsidRPr="00F87D0E">
        <w:fldChar w:fldCharType="end"/>
      </w:r>
      <w:r w:rsidRPr="00CE1D7F">
        <w:t xml:space="preserve">). </w:t>
      </w:r>
    </w:p>
    <w:p w14:paraId="6F6C5134" w14:textId="040B381E" w:rsidR="000B0AC7" w:rsidRPr="00CE1D7F" w:rsidRDefault="000B0AC7" w:rsidP="000B0AC7">
      <w:pPr>
        <w:pStyle w:val="Caption"/>
        <w:ind w:left="1308" w:hanging="1308"/>
      </w:pPr>
      <w:bookmarkStart w:id="30" w:name="_Ref122532028"/>
      <w:r w:rsidRPr="00CE1D7F">
        <w:rPr>
          <w:rStyle w:val="CaptionLabel"/>
        </w:rPr>
        <w:t>Figure </w:t>
      </w:r>
      <w:r w:rsidRPr="00CE1D7F">
        <w:rPr>
          <w:rStyle w:val="CaptionLabel"/>
        </w:rPr>
        <w:fldChar w:fldCharType="begin"/>
      </w:r>
      <w:r w:rsidRPr="00CE1D7F">
        <w:rPr>
          <w:rStyle w:val="CaptionLabel"/>
        </w:rPr>
        <w:instrText xml:space="preserve"> STYLEREF 1 \s </w:instrText>
      </w:r>
      <w:r w:rsidRPr="00CE1D7F">
        <w:rPr>
          <w:rStyle w:val="CaptionLabel"/>
        </w:rPr>
        <w:fldChar w:fldCharType="separate"/>
      </w:r>
      <w:r>
        <w:rPr>
          <w:rStyle w:val="CaptionLabel"/>
          <w:noProof/>
        </w:rPr>
        <w:t>1</w:t>
      </w:r>
      <w:r w:rsidRPr="00CE1D7F">
        <w:rPr>
          <w:rStyle w:val="CaptionLabel"/>
        </w:rPr>
        <w:fldChar w:fldCharType="end"/>
      </w:r>
      <w:r w:rsidRPr="00CE1D7F">
        <w:rPr>
          <w:rStyle w:val="CaptionLabel"/>
        </w:rPr>
        <w:t>.</w:t>
      </w:r>
      <w:r w:rsidRPr="00CE1D7F">
        <w:rPr>
          <w:rStyle w:val="CaptionLabel"/>
        </w:rPr>
        <w:fldChar w:fldCharType="begin"/>
      </w:r>
      <w:r w:rsidRPr="00CE1D7F">
        <w:rPr>
          <w:rStyle w:val="CaptionLabel"/>
        </w:rPr>
        <w:instrText xml:space="preserve"> SEQ Figure \* ARABIC \s 1 </w:instrText>
      </w:r>
      <w:r w:rsidRPr="00CE1D7F">
        <w:rPr>
          <w:rStyle w:val="CaptionLabel"/>
        </w:rPr>
        <w:fldChar w:fldCharType="separate"/>
      </w:r>
      <w:r>
        <w:rPr>
          <w:rStyle w:val="CaptionLabel"/>
          <w:noProof/>
        </w:rPr>
        <w:t>1</w:t>
      </w:r>
      <w:r w:rsidRPr="00CE1D7F">
        <w:rPr>
          <w:rStyle w:val="CaptionLabel"/>
        </w:rPr>
        <w:fldChar w:fldCharType="end"/>
      </w:r>
      <w:bookmarkEnd w:id="30"/>
      <w:r w:rsidRPr="00CE1D7F">
        <w:tab/>
        <w:t>Funding data on funding awarded and number of grants by scheme</w:t>
      </w:r>
    </w:p>
    <w:tbl>
      <w:tblPr>
        <w:tblW w:w="0" w:type="auto"/>
        <w:tblLayout w:type="fixed"/>
        <w:tblLook w:val="0000" w:firstRow="0" w:lastRow="0" w:firstColumn="0" w:lastColumn="0" w:noHBand="0" w:noVBand="0"/>
      </w:tblPr>
      <w:tblGrid>
        <w:gridCol w:w="7936"/>
      </w:tblGrid>
      <w:tr w:rsidR="002B32A0" w:rsidRPr="00CE1D7F" w14:paraId="5E0D5B70" w14:textId="77777777" w:rsidTr="006258ED">
        <w:tc>
          <w:tcPr>
            <w:tcW w:w="7936" w:type="dxa"/>
            <w:tcBorders>
              <w:top w:val="single" w:sz="4" w:space="0" w:color="000100"/>
            </w:tcBorders>
            <w:shd w:val="clear" w:color="auto" w:fill="auto"/>
          </w:tcPr>
          <w:p w14:paraId="22A63A0A" w14:textId="77777777" w:rsidR="002B32A0" w:rsidRPr="00CE1D7F" w:rsidRDefault="002B32A0" w:rsidP="00632809">
            <w:pPr>
              <w:pStyle w:val="Figure"/>
              <w:spacing w:before="120"/>
            </w:pPr>
            <w:r w:rsidRPr="00CE1D7F">
              <w:rPr>
                <w:noProof/>
              </w:rPr>
              <w:drawing>
                <wp:inline distT="0" distB="0" distL="0" distR="0" wp14:anchorId="67B697BE" wp14:editId="349D5779">
                  <wp:extent cx="4965325" cy="2005533"/>
                  <wp:effectExtent l="0" t="0" r="6985" b="0"/>
                  <wp:docPr id="536" name="Picture 536" descr="Funding data on funding awarded and number of grants by sche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Picture 536" descr="Funding data on funding awarded and number of grants by scheme"/>
                          <pic:cNvPicPr>
                            <a:picLocks noChangeAspect="1" noChangeArrowheads="1"/>
                          </pic:cNvPicPr>
                        </pic:nvPicPr>
                        <pic:blipFill rotWithShape="1">
                          <a:blip r:embed="rId40">
                            <a:extLst>
                              <a:ext uri="{28A0092B-C50C-407E-A947-70E740481C1C}">
                                <a14:useLocalDpi xmlns:a14="http://schemas.microsoft.com/office/drawing/2010/main" val="0"/>
                              </a:ext>
                            </a:extLst>
                          </a:blip>
                          <a:srcRect l="1724" r="2007"/>
                          <a:stretch/>
                        </pic:blipFill>
                        <pic:spPr bwMode="auto">
                          <a:xfrm>
                            <a:off x="0" y="0"/>
                            <a:ext cx="4978708" cy="201093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B32A0" w:rsidRPr="00CE1D7F" w14:paraId="2756D193" w14:textId="77777777" w:rsidTr="006258ED">
        <w:tblPrEx>
          <w:tblCellMar>
            <w:left w:w="0" w:type="dxa"/>
            <w:right w:w="0" w:type="dxa"/>
          </w:tblCellMar>
        </w:tblPrEx>
        <w:trPr>
          <w:trHeight w:val="137"/>
        </w:trPr>
        <w:tc>
          <w:tcPr>
            <w:tcW w:w="7936" w:type="dxa"/>
            <w:tcBorders>
              <w:bottom w:val="single" w:sz="4" w:space="0" w:color="000100"/>
            </w:tcBorders>
            <w:shd w:val="clear" w:color="auto" w:fill="auto"/>
            <w:tcMar>
              <w:top w:w="12" w:type="dxa"/>
              <w:bottom w:w="113" w:type="dxa"/>
            </w:tcMar>
          </w:tcPr>
          <w:p w14:paraId="4179AE4E" w14:textId="77777777" w:rsidR="002B32A0" w:rsidRPr="00CE1D7F" w:rsidRDefault="002B32A0" w:rsidP="006258ED">
            <w:pPr>
              <w:pStyle w:val="Source"/>
              <w:rPr>
                <w:i w:val="0"/>
                <w:iCs/>
              </w:rPr>
            </w:pPr>
            <w:r w:rsidRPr="00CE1D7F">
              <w:rPr>
                <w:i w:val="0"/>
                <w:iCs/>
              </w:rPr>
              <w:t>N=29,303 projects. Note: funding amounts are in current dollars (i.e. the value of the funding allocated in the award year.</w:t>
            </w:r>
            <w:r>
              <w:rPr>
                <w:i w:val="0"/>
                <w:iCs/>
              </w:rPr>
              <w:t xml:space="preserve"> Not all of these schemes are still in operation, and some have not been active over the entire analysis period (2002-21).</w:t>
            </w:r>
          </w:p>
          <w:p w14:paraId="7420BF46" w14:textId="77777777" w:rsidR="002B32A0" w:rsidRPr="00CE1D7F" w:rsidRDefault="002B32A0" w:rsidP="006258ED">
            <w:pPr>
              <w:pStyle w:val="Source"/>
            </w:pPr>
            <w:r>
              <w:t xml:space="preserve">Source: </w:t>
            </w:r>
            <w:r w:rsidRPr="00CE1D7F">
              <w:t>ACIL Allen’s analysis of ARC funding data for grants awarded between 2002 and 2021.</w:t>
            </w:r>
          </w:p>
        </w:tc>
      </w:tr>
      <w:tr w:rsidR="002B32A0" w:rsidRPr="00CE1D7F" w14:paraId="0A7D21CA" w14:textId="77777777" w:rsidTr="006258ED">
        <w:tblPrEx>
          <w:tblCellMar>
            <w:left w:w="0" w:type="dxa"/>
            <w:right w:w="0" w:type="dxa"/>
          </w:tblCellMar>
        </w:tblPrEx>
        <w:trPr>
          <w:trHeight w:hRule="exact" w:val="160"/>
        </w:trPr>
        <w:tc>
          <w:tcPr>
            <w:tcW w:w="7936" w:type="dxa"/>
            <w:tcBorders>
              <w:top w:val="single" w:sz="4" w:space="0" w:color="000100"/>
            </w:tcBorders>
            <w:shd w:val="clear" w:color="auto" w:fill="auto"/>
            <w:tcMar>
              <w:top w:w="0" w:type="dxa"/>
              <w:bottom w:w="40" w:type="dxa"/>
            </w:tcMar>
          </w:tcPr>
          <w:p w14:paraId="48B2B2AB" w14:textId="77777777" w:rsidR="002B32A0" w:rsidRPr="00CE1D7F" w:rsidRDefault="002B32A0" w:rsidP="006258ED">
            <w:pPr>
              <w:pStyle w:val="spacer"/>
            </w:pPr>
          </w:p>
        </w:tc>
      </w:tr>
    </w:tbl>
    <w:p w14:paraId="7D8609C9" w14:textId="77777777" w:rsidR="002B32A0" w:rsidRPr="00CE1D7F" w:rsidRDefault="002B32A0" w:rsidP="002B32A0">
      <w:pPr>
        <w:pStyle w:val="Heading2"/>
      </w:pPr>
      <w:bookmarkStart w:id="31" w:name="_Toc129963947"/>
      <w:bookmarkStart w:id="32" w:name="_Toc131174586"/>
      <w:bookmarkStart w:id="33" w:name="_Toc132970638"/>
      <w:bookmarkStart w:id="34" w:name="_Toc135323677"/>
      <w:bookmarkStart w:id="35" w:name="_Hlk129705115"/>
      <w:r w:rsidRPr="00CE1D7F">
        <w:t>This evaluation</w:t>
      </w:r>
      <w:bookmarkEnd w:id="31"/>
      <w:bookmarkEnd w:id="32"/>
      <w:bookmarkEnd w:id="33"/>
      <w:bookmarkEnd w:id="34"/>
    </w:p>
    <w:p w14:paraId="1A326832" w14:textId="714B5692" w:rsidR="002B32A0" w:rsidRPr="00CE1D7F" w:rsidRDefault="002B32A0" w:rsidP="002B32A0">
      <w:pPr>
        <w:pStyle w:val="BodyText"/>
      </w:pPr>
      <w:r w:rsidRPr="00CE1D7F">
        <w:t xml:space="preserve">This evaluation provides an independent assessment of the outcomes and impact of NCGP-funded research over the past 2 decades. It also considers the potential future benefits of the Linkage and Discovery Programs. The terms of reference for this evaluation are provided in </w:t>
      </w:r>
      <w:r w:rsidRPr="00F87D0E">
        <w:fldChar w:fldCharType="begin"/>
      </w:r>
      <w:r w:rsidRPr="00F87D0E">
        <w:instrText xml:space="preserve"> REF _Ref129001659 \h  \* MERGEFORMAT </w:instrText>
      </w:r>
      <w:r w:rsidRPr="00F87D0E">
        <w:fldChar w:fldCharType="separate"/>
      </w:r>
      <w:r w:rsidR="000B0AC7" w:rsidRPr="000B0AC7">
        <w:t>Box 1.1</w:t>
      </w:r>
      <w:r w:rsidRPr="00F87D0E">
        <w:fldChar w:fldCharType="end"/>
      </w:r>
      <w:r w:rsidRPr="00CE1D7F">
        <w:t>.</w:t>
      </w:r>
    </w:p>
    <w:p w14:paraId="1AD40987" w14:textId="77777777" w:rsidR="002B32A0" w:rsidRPr="00CE1D7F" w:rsidRDefault="002B32A0" w:rsidP="002B32A0">
      <w:pPr>
        <w:pStyle w:val="BodyText"/>
      </w:pPr>
      <w:r w:rsidRPr="00CE1D7F">
        <w:t>This evaluation is important because the impact of research funding programs in Australia is poorly understood</w:t>
      </w:r>
      <w:r>
        <w:t xml:space="preserve">, and an independent </w:t>
      </w:r>
      <w:r w:rsidRPr="000E5D7A">
        <w:t xml:space="preserve">whole-of-program impact assessment </w:t>
      </w:r>
      <w:r>
        <w:t xml:space="preserve">of the NCGP </w:t>
      </w:r>
      <w:r w:rsidRPr="000E5D7A">
        <w:t>has</w:t>
      </w:r>
      <w:r>
        <w:t xml:space="preserve"> not been completed</w:t>
      </w:r>
      <w:r w:rsidRPr="000E5D7A">
        <w:t xml:space="preserve"> for 20 years</w:t>
      </w:r>
      <w:r w:rsidRPr="00CE1D7F">
        <w:t xml:space="preserve">. </w:t>
      </w:r>
    </w:p>
    <w:p w14:paraId="17D9B1D3" w14:textId="0A68EA82" w:rsidR="000B0AC7" w:rsidRPr="00CE1D7F" w:rsidRDefault="000B0AC7" w:rsidP="006258ED">
      <w:pPr>
        <w:pStyle w:val="Caption"/>
      </w:pPr>
      <w:bookmarkStart w:id="36" w:name="_Ref129001659"/>
      <w:r w:rsidRPr="00CE1D7F">
        <w:rPr>
          <w:rStyle w:val="CaptionLabel"/>
        </w:rPr>
        <w:t>Box </w:t>
      </w:r>
      <w:r w:rsidRPr="00CE1D7F">
        <w:rPr>
          <w:rStyle w:val="CaptionLabel"/>
        </w:rPr>
        <w:fldChar w:fldCharType="begin"/>
      </w:r>
      <w:r w:rsidRPr="00CE1D7F">
        <w:rPr>
          <w:rStyle w:val="CaptionLabel"/>
        </w:rPr>
        <w:instrText xml:space="preserve"> STYLEREF 1 \S \* MERGEFORMAT </w:instrText>
      </w:r>
      <w:r w:rsidRPr="00CE1D7F">
        <w:rPr>
          <w:rStyle w:val="CaptionLabel"/>
        </w:rPr>
        <w:fldChar w:fldCharType="separate"/>
      </w:r>
      <w:r>
        <w:rPr>
          <w:rStyle w:val="CaptionLabel"/>
          <w:noProof/>
        </w:rPr>
        <w:t>1</w:t>
      </w:r>
      <w:r w:rsidRPr="00CE1D7F">
        <w:rPr>
          <w:rStyle w:val="CaptionLabel"/>
        </w:rPr>
        <w:fldChar w:fldCharType="end"/>
      </w:r>
      <w:r w:rsidRPr="00CE1D7F">
        <w:rPr>
          <w:rStyle w:val="CaptionLabel"/>
        </w:rPr>
        <w:t>.</w:t>
      </w:r>
      <w:r w:rsidRPr="00CE1D7F">
        <w:rPr>
          <w:rStyle w:val="CaptionLabel"/>
        </w:rPr>
        <w:fldChar w:fldCharType="begin"/>
      </w:r>
      <w:r w:rsidRPr="00CE1D7F">
        <w:rPr>
          <w:rStyle w:val="CaptionLabel"/>
        </w:rPr>
        <w:instrText xml:space="preserve"> SEQ Box \* ARABIC \S 1 \* MERGEFORMAT </w:instrText>
      </w:r>
      <w:r w:rsidRPr="00CE1D7F">
        <w:rPr>
          <w:rStyle w:val="CaptionLabel"/>
        </w:rPr>
        <w:fldChar w:fldCharType="separate"/>
      </w:r>
      <w:r>
        <w:rPr>
          <w:rStyle w:val="CaptionLabel"/>
          <w:noProof/>
        </w:rPr>
        <w:t>1</w:t>
      </w:r>
      <w:r w:rsidRPr="00CE1D7F">
        <w:rPr>
          <w:rStyle w:val="CaptionLabel"/>
        </w:rPr>
        <w:fldChar w:fldCharType="end"/>
      </w:r>
      <w:bookmarkEnd w:id="36"/>
      <w:r w:rsidRPr="00CE1D7F">
        <w:tab/>
        <w:t>Terms of reference</w:t>
      </w:r>
    </w:p>
    <w:tbl>
      <w:tblPr>
        <w:tblStyle w:val="aacTableBox"/>
        <w:tblW w:w="0" w:type="auto"/>
        <w:tblLayout w:type="fixed"/>
        <w:tblLook w:val="04A0" w:firstRow="1" w:lastRow="0" w:firstColumn="1" w:lastColumn="0" w:noHBand="0" w:noVBand="1"/>
        <w:tblCaption w:val="Box 1.1 "/>
        <w:tblDescription w:val="Terms of reference"/>
      </w:tblPr>
      <w:tblGrid>
        <w:gridCol w:w="7936"/>
      </w:tblGrid>
      <w:tr w:rsidR="002B32A0" w:rsidRPr="00CE1D7F" w14:paraId="4EE9EE8A" w14:textId="77777777" w:rsidTr="000B0AC7">
        <w:tc>
          <w:tcPr>
            <w:tcW w:w="7936" w:type="dxa"/>
          </w:tcPr>
          <w:p w14:paraId="24B7A6CB" w14:textId="77777777" w:rsidR="002B32A0" w:rsidRPr="00CE1D7F" w:rsidRDefault="002B32A0" w:rsidP="006258ED">
            <w:pPr>
              <w:pStyle w:val="BoxText"/>
            </w:pPr>
            <w:r w:rsidRPr="00CE1D7F">
              <w:t>The evaluation is required to:</w:t>
            </w:r>
          </w:p>
          <w:p w14:paraId="348673D1" w14:textId="77777777" w:rsidR="002B32A0" w:rsidRPr="00CE1D7F" w:rsidRDefault="002B32A0" w:rsidP="006258ED">
            <w:pPr>
              <w:pStyle w:val="BoxListNumber"/>
            </w:pPr>
            <w:r w:rsidRPr="00CE1D7F">
              <w:t>assess the outcomes of NCGP-funded research, including those relevant to the Government’s broad strategic priorities</w:t>
            </w:r>
            <w:r w:rsidRPr="00CE1D7F">
              <w:rPr>
                <w:rStyle w:val="FootnoteReference"/>
              </w:rPr>
              <w:footnoteReference w:id="17"/>
            </w:r>
          </w:p>
          <w:p w14:paraId="2515EA00" w14:textId="77777777" w:rsidR="002B32A0" w:rsidRPr="00CE1D7F" w:rsidRDefault="002B32A0" w:rsidP="006258ED">
            <w:pPr>
              <w:pStyle w:val="BoxListNumber"/>
            </w:pPr>
            <w:r w:rsidRPr="00CE1D7F">
              <w:t>assess the economic impact of NCGP-funded research</w:t>
            </w:r>
          </w:p>
          <w:p w14:paraId="54BECA01" w14:textId="77777777" w:rsidR="002B32A0" w:rsidRPr="00CE1D7F" w:rsidRDefault="002B32A0" w:rsidP="006258ED">
            <w:pPr>
              <w:pStyle w:val="BoxListNumber"/>
            </w:pPr>
            <w:r w:rsidRPr="00CE1D7F">
              <w:t>assess the broader impacts of NCGP-funded research, including environmental, social and other impacts</w:t>
            </w:r>
          </w:p>
          <w:p w14:paraId="3658778F" w14:textId="77777777" w:rsidR="002B32A0" w:rsidRPr="00CE1D7F" w:rsidRDefault="002B32A0" w:rsidP="006258ED">
            <w:pPr>
              <w:pStyle w:val="BoxListNumber"/>
            </w:pPr>
            <w:bookmarkStart w:id="37" w:name="_Hlk129947301"/>
            <w:r w:rsidRPr="00CE1D7F">
              <w:t>assess the effectiveness with which the ARC is supporting, monitoring and reporting on NCGP research impact</w:t>
            </w:r>
          </w:p>
          <w:bookmarkEnd w:id="37"/>
          <w:p w14:paraId="7AEF71B4" w14:textId="77777777" w:rsidR="002B32A0" w:rsidRPr="00CE1D7F" w:rsidRDefault="002B32A0" w:rsidP="006258ED">
            <w:pPr>
              <w:pStyle w:val="BoxListNumber"/>
            </w:pPr>
            <w:r w:rsidRPr="00CE1D7F">
              <w:t>identify lessons and recommendations on how the impact of ARC-funded research could be better supported, monitored and communicated in the future.</w:t>
            </w:r>
          </w:p>
        </w:tc>
      </w:tr>
    </w:tbl>
    <w:p w14:paraId="79B0CE14" w14:textId="77777777" w:rsidR="000B0AC7" w:rsidRPr="00CE1D7F" w:rsidRDefault="000B0AC7" w:rsidP="006258ED">
      <w:pPr>
        <w:pStyle w:val="Source"/>
      </w:pPr>
      <w:r w:rsidRPr="00CE1D7F">
        <w:t>Source: ARC’s 2022 RFQ</w:t>
      </w:r>
    </w:p>
    <w:bookmarkEnd w:id="35"/>
    <w:p w14:paraId="7F0A5F69" w14:textId="77777777" w:rsidR="002B32A0" w:rsidRPr="00CE1D7F" w:rsidRDefault="002B32A0" w:rsidP="00632809">
      <w:pPr>
        <w:pStyle w:val="Heading3"/>
      </w:pPr>
      <w:r w:rsidRPr="00CE1D7F">
        <w:lastRenderedPageBreak/>
        <w:t>Evaluation approach and data sources</w:t>
      </w:r>
    </w:p>
    <w:p w14:paraId="4BFB2B7E" w14:textId="7A6A89A6" w:rsidR="002B32A0" w:rsidRPr="00CE1D7F" w:rsidRDefault="002B32A0" w:rsidP="00632809">
      <w:pPr>
        <w:pStyle w:val="BodyText"/>
        <w:keepNext/>
        <w:keepLines/>
      </w:pPr>
      <w:r w:rsidRPr="00CE1D7F">
        <w:t xml:space="preserve">The evaluation used a mixed methods approach to gather and analyse qualitative and quantitative data (see </w:t>
      </w:r>
      <w:r w:rsidRPr="00F87D0E">
        <w:fldChar w:fldCharType="begin"/>
      </w:r>
      <w:r w:rsidRPr="00F87D0E">
        <w:instrText xml:space="preserve"> REF _Ref129006019 \h  \* MERGEFORMAT </w:instrText>
      </w:r>
      <w:r w:rsidRPr="00F87D0E">
        <w:fldChar w:fldCharType="separate"/>
      </w:r>
      <w:r w:rsidR="000B0AC7" w:rsidRPr="000B0AC7">
        <w:t>Figure 1.2</w:t>
      </w:r>
      <w:r w:rsidRPr="00F87D0E">
        <w:fldChar w:fldCharType="end"/>
      </w:r>
      <w:r w:rsidRPr="00CE1D7F">
        <w:t xml:space="preserve">). Core analytical components of the method are described below, along with data limitations. These analytical components have informed an assessment of the pathway to impact for NCGP-funded research. The report (and case studies) maps the relationship between inputs, activities, outputs, outcomes and impacts (which are economic, research capacity, social, environmental and cultural in nature). In doing so, it considers the benefits </w:t>
      </w:r>
      <w:r>
        <w:t xml:space="preserve">that are distributed (for the Computable General Equilibrium (CGE) modelling this is benefits delivered to each </w:t>
      </w:r>
      <w:r w:rsidRPr="00CE1D7F">
        <w:t>industr</w:t>
      </w:r>
      <w:r>
        <w:t>y</w:t>
      </w:r>
      <w:r w:rsidRPr="00CE1D7F">
        <w:t xml:space="preserve"> </w:t>
      </w:r>
      <w:r>
        <w:t xml:space="preserve">and for the case studies this is benefits delivered to </w:t>
      </w:r>
      <w:r w:rsidRPr="00CE1D7F">
        <w:t>beneficiaries), attribution issues, and the counterfactual. See the appendices in Part III for more detail</w:t>
      </w:r>
      <w:r>
        <w:t>, as well as chapters 2 (rates of return on research literature review), 3 (CGE modelling approach), and 4 (</w:t>
      </w:r>
      <w:r w:rsidRPr="00B85AD4">
        <w:rPr>
          <w:i/>
          <w:iCs/>
        </w:rPr>
        <w:t>Tasman Global</w:t>
      </w:r>
      <w:r>
        <w:t>)</w:t>
      </w:r>
      <w:r w:rsidR="00C0356E">
        <w:t xml:space="preserve"> </w:t>
      </w:r>
      <w:r w:rsidR="002B2A62">
        <w:t>of the technical supplement to this report</w:t>
      </w:r>
      <w:r w:rsidRPr="00CE1D7F">
        <w:t xml:space="preserve">. </w:t>
      </w:r>
    </w:p>
    <w:p w14:paraId="0C64C92C" w14:textId="12BAE157" w:rsidR="000B0AC7" w:rsidRPr="00CE1D7F" w:rsidRDefault="000B0AC7" w:rsidP="000B0AC7">
      <w:pPr>
        <w:pStyle w:val="Caption"/>
        <w:ind w:left="599" w:hanging="1308"/>
      </w:pPr>
      <w:bookmarkStart w:id="38" w:name="_Ref129006019"/>
      <w:r w:rsidRPr="00CE1D7F">
        <w:rPr>
          <w:rStyle w:val="CaptionLabel"/>
        </w:rPr>
        <w:t>Figure </w:t>
      </w:r>
      <w:r w:rsidRPr="00CE1D7F">
        <w:rPr>
          <w:rStyle w:val="CaptionLabel"/>
        </w:rPr>
        <w:fldChar w:fldCharType="begin"/>
      </w:r>
      <w:r w:rsidRPr="00CE1D7F">
        <w:rPr>
          <w:rStyle w:val="CaptionLabel"/>
        </w:rPr>
        <w:instrText xml:space="preserve"> STYLEREF 1 \S \* MERGEFORMAT </w:instrText>
      </w:r>
      <w:r w:rsidRPr="00CE1D7F">
        <w:rPr>
          <w:rStyle w:val="CaptionLabel"/>
        </w:rPr>
        <w:fldChar w:fldCharType="separate"/>
      </w:r>
      <w:r>
        <w:rPr>
          <w:rStyle w:val="CaptionLabel"/>
          <w:noProof/>
        </w:rPr>
        <w:t>1</w:t>
      </w:r>
      <w:r w:rsidRPr="00CE1D7F">
        <w:rPr>
          <w:rStyle w:val="CaptionLabel"/>
        </w:rPr>
        <w:fldChar w:fldCharType="end"/>
      </w:r>
      <w:r w:rsidRPr="00CE1D7F">
        <w:rPr>
          <w:rStyle w:val="CaptionLabel"/>
        </w:rPr>
        <w:t>.</w:t>
      </w:r>
      <w:r w:rsidRPr="00CE1D7F">
        <w:rPr>
          <w:rStyle w:val="CaptionLabel"/>
        </w:rPr>
        <w:fldChar w:fldCharType="begin"/>
      </w:r>
      <w:r w:rsidRPr="00CE1D7F">
        <w:rPr>
          <w:rStyle w:val="CaptionLabel"/>
        </w:rPr>
        <w:instrText xml:space="preserve"> SEQ Figure \* ARABIC \S 1 \* MERGEFORMAT </w:instrText>
      </w:r>
      <w:r w:rsidRPr="00CE1D7F">
        <w:rPr>
          <w:rStyle w:val="CaptionLabel"/>
        </w:rPr>
        <w:fldChar w:fldCharType="separate"/>
      </w:r>
      <w:r>
        <w:rPr>
          <w:rStyle w:val="CaptionLabel"/>
          <w:noProof/>
        </w:rPr>
        <w:t>2</w:t>
      </w:r>
      <w:r w:rsidRPr="00CE1D7F">
        <w:rPr>
          <w:rStyle w:val="CaptionLabel"/>
        </w:rPr>
        <w:fldChar w:fldCharType="end"/>
      </w:r>
      <w:bookmarkEnd w:id="38"/>
      <w:r w:rsidRPr="00CE1D7F">
        <w:tab/>
        <w:t>Impact assessment approach</w:t>
      </w:r>
    </w:p>
    <w:tbl>
      <w:tblPr>
        <w:tblStyle w:val="aacTableFigure-Wide"/>
        <w:tblW w:w="5447" w:type="pct"/>
        <w:tblInd w:w="-709" w:type="dxa"/>
        <w:tblBorders>
          <w:top w:val="single" w:sz="4" w:space="0" w:color="000000"/>
          <w:bottom w:val="single" w:sz="4" w:space="0" w:color="000000"/>
        </w:tblBorders>
        <w:tblLook w:val="04A0" w:firstRow="1" w:lastRow="0" w:firstColumn="1" w:lastColumn="0" w:noHBand="0" w:noVBand="1"/>
      </w:tblPr>
      <w:tblGrid>
        <w:gridCol w:w="8645"/>
      </w:tblGrid>
      <w:tr w:rsidR="002B32A0" w:rsidRPr="00CE1D7F" w14:paraId="58AF44B8" w14:textId="77777777" w:rsidTr="00A30A31">
        <w:tc>
          <w:tcPr>
            <w:tcW w:w="5000" w:type="pct"/>
            <w:shd w:val="clear" w:color="auto" w:fill="auto"/>
          </w:tcPr>
          <w:p w14:paraId="707BCE89" w14:textId="77777777" w:rsidR="002B32A0" w:rsidRPr="00CE1D7F" w:rsidRDefault="002B32A0" w:rsidP="006258ED">
            <w:pPr>
              <w:pStyle w:val="Figure"/>
              <w:jc w:val="center"/>
            </w:pPr>
            <w:r w:rsidRPr="00CE1D7F">
              <w:rPr>
                <w:noProof/>
              </w:rPr>
              <w:drawing>
                <wp:inline distT="0" distB="0" distL="0" distR="0" wp14:anchorId="0613A553" wp14:editId="45A6478F">
                  <wp:extent cx="5377180" cy="2969260"/>
                  <wp:effectExtent l="0" t="0" r="0" b="2540"/>
                  <wp:docPr id="814" name="Picture 814" descr="Impact assessment approach, see description in text abov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 name="Picture 814" descr="Impact assessment approach, see description in text above figure."/>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377180" cy="2969260"/>
                          </a:xfrm>
                          <a:prstGeom prst="rect">
                            <a:avLst/>
                          </a:prstGeom>
                          <a:noFill/>
                        </pic:spPr>
                      </pic:pic>
                    </a:graphicData>
                  </a:graphic>
                </wp:inline>
              </w:drawing>
            </w:r>
          </w:p>
        </w:tc>
      </w:tr>
    </w:tbl>
    <w:p w14:paraId="65CE776E" w14:textId="77777777" w:rsidR="000B0AC7" w:rsidRPr="00CE1D7F" w:rsidRDefault="000B0AC7" w:rsidP="000B0AC7">
      <w:pPr>
        <w:pStyle w:val="Source"/>
        <w:ind w:left="599" w:hanging="1308"/>
      </w:pPr>
      <w:r w:rsidRPr="00CE1D7F">
        <w:t>Source: ACIL Allen</w:t>
      </w:r>
    </w:p>
    <w:p w14:paraId="3CC8B07F" w14:textId="77777777" w:rsidR="000B0AC7" w:rsidRPr="00CE1D7F" w:rsidRDefault="000B0AC7" w:rsidP="006258ED">
      <w:pPr>
        <w:pStyle w:val="spacer"/>
      </w:pPr>
    </w:p>
    <w:p w14:paraId="179A6BCB" w14:textId="77777777" w:rsidR="002B32A0" w:rsidRPr="00CE1D7F" w:rsidRDefault="002B32A0" w:rsidP="002B32A0">
      <w:pPr>
        <w:pStyle w:val="Heading4"/>
      </w:pPr>
      <w:r w:rsidRPr="00CE1D7F">
        <w:t>Computable General Equilibrium (CGE) modelling</w:t>
      </w:r>
    </w:p>
    <w:p w14:paraId="1A261766" w14:textId="77777777" w:rsidR="002B32A0" w:rsidRPr="00CE1D7F" w:rsidRDefault="002B32A0" w:rsidP="002B32A0">
      <w:pPr>
        <w:pStyle w:val="BodyText"/>
      </w:pPr>
      <w:r w:rsidRPr="00CE1D7F">
        <w:t xml:space="preserve">CGE modelling estimates the average direct and indirect cumulative impacts of ARC-funded research on the Australian economy over the </w:t>
      </w:r>
      <w:r>
        <w:t>NCGP’s</w:t>
      </w:r>
      <w:r w:rsidRPr="00CE1D7F">
        <w:t xml:space="preserve"> life. This generates figures on the contribution of ARC-funded research to the economy, incomes, and employment. The CGE modelling draws on funding data provided by the ARC (described below).</w:t>
      </w:r>
    </w:p>
    <w:p w14:paraId="425C76ED" w14:textId="77777777" w:rsidR="002B32A0" w:rsidRPr="00CE1D7F" w:rsidRDefault="002B32A0" w:rsidP="002B32A0">
      <w:pPr>
        <w:pStyle w:val="Heading4"/>
      </w:pPr>
      <w:r w:rsidRPr="00CE1D7F">
        <w:t>Case studies</w:t>
      </w:r>
    </w:p>
    <w:p w14:paraId="704B37E3" w14:textId="77777777" w:rsidR="002B32A0" w:rsidRPr="00CE1D7F" w:rsidRDefault="002B32A0" w:rsidP="002B32A0">
      <w:pPr>
        <w:pStyle w:val="BodyText"/>
      </w:pPr>
      <w:r w:rsidRPr="00CE1D7F">
        <w:t xml:space="preserve">The case studies involved desktop research, analysis and consultation with researchers, research partners and end-users on a sample of 7 projects/key initiatives. 7 examples of exceptional impact were chosen </w:t>
      </w:r>
      <w:r w:rsidRPr="003E49D7">
        <w:t xml:space="preserve">to demonstrate </w:t>
      </w:r>
      <w:r>
        <w:t xml:space="preserve">the </w:t>
      </w:r>
      <w:r w:rsidRPr="003E49D7">
        <w:t xml:space="preserve">diversity of impact types, beneficiaries, disciplines, participating organisations and NCGP schemes, noting that 7 case studies cannot illustrate the full diversity of </w:t>
      </w:r>
      <w:r>
        <w:t>ARC-funded</w:t>
      </w:r>
      <w:r w:rsidRPr="003E49D7">
        <w:t xml:space="preserve"> research and its impacts</w:t>
      </w:r>
      <w:r>
        <w:t>. 7 case studies</w:t>
      </w:r>
      <w:r w:rsidRPr="00CE1D7F">
        <w:t xml:space="preserve"> were </w:t>
      </w:r>
      <w:r>
        <w:t xml:space="preserve">also </w:t>
      </w:r>
      <w:r w:rsidRPr="00CE1D7F">
        <w:t xml:space="preserve">a manageable number within the available timeframes. These illustrate the pathways to impact and highlight the diversity of impact delivered by NCGP-funded research. This includes impact on society, culture, environment and research capacity, </w:t>
      </w:r>
      <w:r>
        <w:t>which</w:t>
      </w:r>
      <w:r w:rsidRPr="00CE1D7F">
        <w:t xml:space="preserve"> may not be as readily quantified nor generate a market return. The case studies are provided in full in Part II and overviewed below: </w:t>
      </w:r>
    </w:p>
    <w:p w14:paraId="10ABFED9" w14:textId="77777777" w:rsidR="002B32A0" w:rsidRPr="00CE1D7F" w:rsidRDefault="002B32A0" w:rsidP="00D47779">
      <w:pPr>
        <w:pStyle w:val="ListBullet"/>
      </w:pPr>
      <w:bookmarkStart w:id="39" w:name="_Hlk129947202"/>
      <w:r w:rsidRPr="00CE1D7F">
        <w:rPr>
          <w:i/>
          <w:iCs/>
        </w:rPr>
        <w:lastRenderedPageBreak/>
        <w:t>Quantum Computation and Communication Technology</w:t>
      </w:r>
      <w:r w:rsidRPr="00CE1D7F">
        <w:t xml:space="preserve"> </w:t>
      </w:r>
      <w:bookmarkEnd w:id="39"/>
      <w:r w:rsidRPr="00CE1D7F">
        <w:t>focuses on delivering world-leading quantum research to develop full-scale quantum systems – encompassing ultra-fast computation, secure communication and distributed information processing.</w:t>
      </w:r>
      <w:r>
        <w:t xml:space="preserve"> </w:t>
      </w:r>
    </w:p>
    <w:p w14:paraId="315C7637" w14:textId="77777777" w:rsidR="002B32A0" w:rsidRPr="00CE1D7F" w:rsidRDefault="002B32A0" w:rsidP="00D47779">
      <w:pPr>
        <w:pStyle w:val="ListBullet"/>
      </w:pPr>
      <w:r w:rsidRPr="00CE1D7F">
        <w:rPr>
          <w:i/>
          <w:iCs/>
        </w:rPr>
        <w:t>Aquifer Reinjection, Australia’s first full-scale groundwater replenishment scheme</w:t>
      </w:r>
      <w:r w:rsidRPr="00CE1D7F">
        <w:t xml:space="preserve"> focuses on developing an approach to reinject treated wastewater into Perth’s aquifers.</w:t>
      </w:r>
      <w:r>
        <w:t xml:space="preserve"> </w:t>
      </w:r>
    </w:p>
    <w:p w14:paraId="432FFC57" w14:textId="77777777" w:rsidR="002B32A0" w:rsidRPr="00CE1D7F" w:rsidRDefault="002B32A0" w:rsidP="00D47779">
      <w:pPr>
        <w:pStyle w:val="ListBullet"/>
      </w:pPr>
      <w:r w:rsidRPr="00CE1D7F">
        <w:rPr>
          <w:i/>
          <w:iCs/>
        </w:rPr>
        <w:t xml:space="preserve">Irrigation Automation </w:t>
      </w:r>
      <w:r w:rsidRPr="00CE1D7F">
        <w:t xml:space="preserve">focuses on a partnership developed between </w:t>
      </w:r>
      <w:r w:rsidRPr="00CE1D7F">
        <w:rPr>
          <w:lang w:val="en-US"/>
        </w:rPr>
        <w:t>Rubicon Water Ltd and the University of Melbourne over 20 years, which involves research on irrigation automation and the efficiency of large-scale gravity-fed irrigation systems.</w:t>
      </w:r>
    </w:p>
    <w:p w14:paraId="22F05FB6" w14:textId="77777777" w:rsidR="002B32A0" w:rsidRPr="00CE1D7F" w:rsidRDefault="002B32A0" w:rsidP="00D47779">
      <w:pPr>
        <w:pStyle w:val="ListBullet"/>
      </w:pPr>
      <w:r w:rsidRPr="00CE1D7F">
        <w:rPr>
          <w:i/>
          <w:iCs/>
        </w:rPr>
        <w:t>Onshore Lobster Aquaculture</w:t>
      </w:r>
      <w:r w:rsidRPr="00CE1D7F">
        <w:t xml:space="preserve"> focuses on closing the complex and protracted life cycle of spiny lobsters in captivity to enable a sustainable supply of lobsters.</w:t>
      </w:r>
      <w:r>
        <w:t xml:space="preserve"> </w:t>
      </w:r>
    </w:p>
    <w:p w14:paraId="7A94953E" w14:textId="77777777" w:rsidR="002B32A0" w:rsidRPr="00CE1D7F" w:rsidRDefault="002B32A0" w:rsidP="00D47779">
      <w:pPr>
        <w:pStyle w:val="ListBullet"/>
      </w:pPr>
      <w:r w:rsidRPr="00CE1D7F">
        <w:rPr>
          <w:i/>
          <w:iCs/>
        </w:rPr>
        <w:t>Changing the Law to Protect Survivors of Domestic and Family</w:t>
      </w:r>
      <w:r w:rsidRPr="00CE1D7F">
        <w:t xml:space="preserve"> </w:t>
      </w:r>
      <w:r w:rsidRPr="00CE1D7F">
        <w:rPr>
          <w:i/>
          <w:iCs/>
        </w:rPr>
        <w:t>Violence (DFV)</w:t>
      </w:r>
      <w:r w:rsidRPr="00CE1D7F">
        <w:t xml:space="preserve"> focuses on women experiencing DFV and the legal and justice system responses to DFV. </w:t>
      </w:r>
    </w:p>
    <w:p w14:paraId="312E5A58" w14:textId="77777777" w:rsidR="002B32A0" w:rsidRPr="00CE1D7F" w:rsidRDefault="002B32A0" w:rsidP="00D47779">
      <w:pPr>
        <w:pStyle w:val="ListBullet"/>
      </w:pPr>
      <w:r w:rsidRPr="00CE1D7F">
        <w:rPr>
          <w:i/>
          <w:iCs/>
        </w:rPr>
        <w:t>Indigenous Persistence in Formal Learning</w:t>
      </w:r>
      <w:r w:rsidRPr="00CE1D7F">
        <w:t xml:space="preserve"> focuses on better understanding how Indigenous students persist in higher education and developing models to support retention and graduation rates. </w:t>
      </w:r>
    </w:p>
    <w:p w14:paraId="5A4CAE52" w14:textId="77777777" w:rsidR="002B32A0" w:rsidRPr="00CE1D7F" w:rsidRDefault="002B32A0" w:rsidP="00D47779">
      <w:pPr>
        <w:pStyle w:val="ListBullet"/>
      </w:pPr>
      <w:r w:rsidRPr="00CE1D7F">
        <w:rPr>
          <w:i/>
          <w:iCs/>
        </w:rPr>
        <w:t>Return, Reconcile, Renew (RRR): Indigenous Remains Repatriation</w:t>
      </w:r>
      <w:r w:rsidRPr="00CE1D7F">
        <w:t xml:space="preserve"> focuses on developing and implementing a centralised archive of repatriation information to support the repatriation of Indigenous remains.</w:t>
      </w:r>
      <w:r>
        <w:t xml:space="preserve"> </w:t>
      </w:r>
    </w:p>
    <w:p w14:paraId="4AC85D26" w14:textId="77777777" w:rsidR="002B32A0" w:rsidRPr="00CE1D7F" w:rsidRDefault="002B32A0" w:rsidP="002B32A0">
      <w:pPr>
        <w:pStyle w:val="Heading4"/>
      </w:pPr>
      <w:r w:rsidRPr="00CE1D7F">
        <w:t xml:space="preserve">Consultation with system leaders in Australia </w:t>
      </w:r>
    </w:p>
    <w:p w14:paraId="03AA6116" w14:textId="77777777" w:rsidR="002B32A0" w:rsidRPr="00CE1D7F" w:rsidRDefault="002B32A0" w:rsidP="002B32A0">
      <w:pPr>
        <w:pStyle w:val="BodyText"/>
      </w:pPr>
      <w:r w:rsidRPr="00CE1D7F">
        <w:t xml:space="preserve">Stakeholders were consulted from the following Australian organisations: Australian Technology Network of Universities (ATN), Universities Australia (UA), Regional Universities Network (RUN), Group of Eight (Go8), Australian Council of Learned Academies (ACOLA) and the Commonwealth Department of Education. </w:t>
      </w:r>
    </w:p>
    <w:p w14:paraId="3A5B3A25" w14:textId="77777777" w:rsidR="002B32A0" w:rsidRPr="00CE1D7F" w:rsidRDefault="002B32A0" w:rsidP="002B32A0">
      <w:pPr>
        <w:pStyle w:val="Heading4"/>
      </w:pPr>
      <w:r w:rsidRPr="00CE1D7F">
        <w:t>Consultation and comparison with international comparator programs</w:t>
      </w:r>
    </w:p>
    <w:p w14:paraId="58D27D46" w14:textId="77777777" w:rsidR="002B32A0" w:rsidRPr="00CE1D7F" w:rsidRDefault="002B32A0" w:rsidP="002B32A0">
      <w:pPr>
        <w:pStyle w:val="BodyText"/>
      </w:pPr>
      <w:r w:rsidRPr="00CE1D7F">
        <w:t>Four international organisations were selected for comparison with the NCGP and ARC. This focused on the structure and logic of the funding; research impacts; and efforts to monitor, measure and report on impact. This comparison aimed to identify lessons that could be applied to the ARC.</w:t>
      </w:r>
    </w:p>
    <w:p w14:paraId="1E1CCC7C" w14:textId="77777777" w:rsidR="002B32A0" w:rsidRPr="00CE1D7F" w:rsidRDefault="002B32A0" w:rsidP="002B32A0">
      <w:pPr>
        <w:pStyle w:val="BodyText"/>
      </w:pPr>
      <w:r w:rsidRPr="00CE1D7F">
        <w:t>Stakeholders were consulted from Horizon Europe, European Commission (Horizon Europe), Science Foundation Ireland (SFI), United Kingdom Research and Innovation (UKRI) and the New Zealand Ministry of Business, Innovation and Employment (MBIE).</w:t>
      </w:r>
    </w:p>
    <w:p w14:paraId="51DD73A8" w14:textId="77777777" w:rsidR="002B32A0" w:rsidRPr="00CE1D7F" w:rsidRDefault="002B32A0" w:rsidP="002B32A0">
      <w:pPr>
        <w:pStyle w:val="Heading4"/>
      </w:pPr>
      <w:r w:rsidRPr="00CE1D7F">
        <w:t>Grant final report data and funding data</w:t>
      </w:r>
    </w:p>
    <w:p w14:paraId="37AAE03B" w14:textId="77777777" w:rsidR="002B32A0" w:rsidRPr="00CE1D7F" w:rsidRDefault="002B32A0" w:rsidP="002B32A0">
      <w:pPr>
        <w:pStyle w:val="BodyText"/>
      </w:pPr>
      <w:r w:rsidRPr="00CE1D7F">
        <w:t>ARC provided 22,352 grant final reports for grants awarded between 2002 and 2021</w:t>
      </w:r>
      <w:r>
        <w:t xml:space="preserve"> that had been </w:t>
      </w:r>
      <w:r w:rsidRPr="00CE1D7F">
        <w:t>approved by 30 June 2022. These contained information on the number and value of grants, co-contributions, outputs, outcomes and impacts.</w:t>
      </w:r>
    </w:p>
    <w:p w14:paraId="3168F600" w14:textId="77777777" w:rsidR="002B32A0" w:rsidRPr="00CE1D7F" w:rsidRDefault="002B32A0" w:rsidP="002B32A0">
      <w:pPr>
        <w:pStyle w:val="BodyText"/>
      </w:pPr>
      <w:r w:rsidRPr="00CE1D7F">
        <w:t xml:space="preserve">Funding data was provided for 29,303 projects. This included funding commencement year and project duration, announced funding value, allocation to </w:t>
      </w:r>
      <w:r>
        <w:t>FoR</w:t>
      </w:r>
      <w:r w:rsidRPr="00CE1D7F">
        <w:t>s, SEOs, government priorities, number of and funding provided by participating and partner organisations, and the number of Chief Investigators (CIs) and Partner Investigators (PIs).</w:t>
      </w:r>
    </w:p>
    <w:p w14:paraId="22B22B2E" w14:textId="77777777" w:rsidR="002B32A0" w:rsidRPr="00CE1D7F" w:rsidRDefault="002B32A0" w:rsidP="002B32A0">
      <w:pPr>
        <w:pStyle w:val="Heading4"/>
      </w:pPr>
      <w:r w:rsidRPr="00CE1D7F">
        <w:t xml:space="preserve">Survey of researchers </w:t>
      </w:r>
    </w:p>
    <w:p w14:paraId="282F3AA3" w14:textId="2B488821" w:rsidR="002B32A0" w:rsidRPr="00CE1D7F" w:rsidRDefault="002B32A0" w:rsidP="002B32A0">
      <w:pPr>
        <w:pStyle w:val="BodyText"/>
      </w:pPr>
      <w:r w:rsidRPr="00CE1D7F">
        <w:t>A survey was distributed to 25,707 CIs and PIs awarded NCGP grants from 2010-20. 3,361 responses were received</w:t>
      </w:r>
      <w:r>
        <w:t>, approximately 13% of the potential respondents. This is a sample of the population and is not necessarily representative</w:t>
      </w:r>
      <w:r w:rsidRPr="00CE1D7F">
        <w:t xml:space="preserve">. </w:t>
      </w:r>
      <w:r>
        <w:t xml:space="preserve">The final report data does not fully </w:t>
      </w:r>
      <w:r>
        <w:lastRenderedPageBreak/>
        <w:t xml:space="preserve">address all of the issues considered by the evaluation, and the data is limited to information available up to 1 year following the completion of the grant. </w:t>
      </w:r>
      <w:r w:rsidRPr="00CE1D7F">
        <w:t xml:space="preserve">The survey aimed to address </w:t>
      </w:r>
      <w:r>
        <w:t xml:space="preserve">these </w:t>
      </w:r>
      <w:r w:rsidRPr="00CE1D7F">
        <w:t xml:space="preserve">gaps and provide an updated summary of the impacts delivered from NCGP-funded research following an extended lag time for impacts to emerge. It asked questions about involvement in NCGP-funded research, the nature of the research, the nature and extent of impacts delivered/likely to be delivered, the lag time to and duration of impact, beneficiaries, other funding sources, and the way the ARC monitors and communicates about impact. The survey population is overviewed in </w:t>
      </w:r>
      <w:r w:rsidRPr="00F87D0E">
        <w:fldChar w:fldCharType="begin"/>
      </w:r>
      <w:r w:rsidRPr="00F87D0E">
        <w:instrText xml:space="preserve"> REF _Ref126233668 \h  \* MERGEFORMAT </w:instrText>
      </w:r>
      <w:r w:rsidRPr="00F87D0E">
        <w:fldChar w:fldCharType="separate"/>
      </w:r>
      <w:r w:rsidR="000B0AC7" w:rsidRPr="000B0AC7">
        <w:t>Figure 1.3</w:t>
      </w:r>
      <w:r w:rsidRPr="00F87D0E">
        <w:fldChar w:fldCharType="end"/>
      </w:r>
      <w:r w:rsidRPr="00CE1D7F">
        <w:t>.</w:t>
      </w:r>
    </w:p>
    <w:p w14:paraId="36E93829" w14:textId="77777777" w:rsidR="002B32A0" w:rsidRPr="00CE1D7F" w:rsidRDefault="002B32A0" w:rsidP="002B32A0">
      <w:pPr>
        <w:pStyle w:val="BodyText"/>
      </w:pPr>
      <w:r w:rsidRPr="00CE1D7F">
        <w:t>Free text questions were qualitatively analysed using software (Python</w:t>
      </w:r>
      <w:r w:rsidRPr="00CE1D7F">
        <w:rPr>
          <w:rStyle w:val="FootnoteReference"/>
        </w:rPr>
        <w:footnoteReference w:id="18"/>
      </w:r>
      <w:r w:rsidRPr="00CE1D7F">
        <w:t xml:space="preserve">) and manual processes. Python was used to analyse the frequency of individual and groups of words and themes. Additional sentiment analysis was conducted using Python, which assessed the polarity (degree of positive or negative sentiment) and subjectivity (degree of personal opinion expressed). </w:t>
      </w:r>
    </w:p>
    <w:p w14:paraId="5ED894E8" w14:textId="3A6D2F66" w:rsidR="000B0AC7" w:rsidRPr="00CE1D7F" w:rsidRDefault="000B0AC7" w:rsidP="000B0AC7">
      <w:pPr>
        <w:pStyle w:val="Caption"/>
        <w:ind w:left="-393" w:hanging="1308"/>
      </w:pPr>
      <w:bookmarkStart w:id="40" w:name="_Ref126233668"/>
      <w:r w:rsidRPr="00CE1D7F">
        <w:rPr>
          <w:rStyle w:val="CaptionLabel"/>
        </w:rPr>
        <w:t>Figure </w:t>
      </w:r>
      <w:r w:rsidRPr="00CE1D7F">
        <w:rPr>
          <w:rStyle w:val="CaptionLabel"/>
        </w:rPr>
        <w:fldChar w:fldCharType="begin"/>
      </w:r>
      <w:r w:rsidRPr="00CE1D7F">
        <w:rPr>
          <w:rStyle w:val="CaptionLabel"/>
        </w:rPr>
        <w:instrText xml:space="preserve"> STYLEREF 1 \s </w:instrText>
      </w:r>
      <w:r w:rsidRPr="00CE1D7F">
        <w:rPr>
          <w:rStyle w:val="CaptionLabel"/>
        </w:rPr>
        <w:fldChar w:fldCharType="separate"/>
      </w:r>
      <w:r>
        <w:rPr>
          <w:rStyle w:val="CaptionLabel"/>
          <w:noProof/>
        </w:rPr>
        <w:t>1</w:t>
      </w:r>
      <w:r w:rsidRPr="00CE1D7F">
        <w:rPr>
          <w:rStyle w:val="CaptionLabel"/>
        </w:rPr>
        <w:fldChar w:fldCharType="end"/>
      </w:r>
      <w:r w:rsidRPr="00CE1D7F">
        <w:rPr>
          <w:rStyle w:val="CaptionLabel"/>
        </w:rPr>
        <w:t>.</w:t>
      </w:r>
      <w:r w:rsidRPr="00CE1D7F">
        <w:rPr>
          <w:rStyle w:val="CaptionLabel"/>
        </w:rPr>
        <w:fldChar w:fldCharType="begin"/>
      </w:r>
      <w:r w:rsidRPr="00CE1D7F">
        <w:rPr>
          <w:rStyle w:val="CaptionLabel"/>
        </w:rPr>
        <w:instrText xml:space="preserve"> SEQ Figure \* ARABIC \s 1 </w:instrText>
      </w:r>
      <w:r w:rsidRPr="00CE1D7F">
        <w:rPr>
          <w:rStyle w:val="CaptionLabel"/>
        </w:rPr>
        <w:fldChar w:fldCharType="separate"/>
      </w:r>
      <w:r>
        <w:rPr>
          <w:rStyle w:val="CaptionLabel"/>
          <w:noProof/>
        </w:rPr>
        <w:t>3</w:t>
      </w:r>
      <w:r w:rsidRPr="00CE1D7F">
        <w:rPr>
          <w:rStyle w:val="CaptionLabel"/>
        </w:rPr>
        <w:fldChar w:fldCharType="end"/>
      </w:r>
      <w:bookmarkEnd w:id="40"/>
      <w:r w:rsidRPr="00CE1D7F">
        <w:tab/>
        <w:t xml:space="preserve">Overview of the survey population </w:t>
      </w:r>
    </w:p>
    <w:tbl>
      <w:tblPr>
        <w:tblStyle w:val="aacTableFigure-Wide"/>
        <w:tblW w:w="0" w:type="auto"/>
        <w:tblBorders>
          <w:top w:val="single" w:sz="4" w:space="0" w:color="000000"/>
          <w:bottom w:val="single" w:sz="4" w:space="0" w:color="000000"/>
        </w:tblBorders>
        <w:tblLayout w:type="fixed"/>
        <w:tblLook w:val="04A0" w:firstRow="1" w:lastRow="0" w:firstColumn="1" w:lastColumn="0" w:noHBand="0" w:noVBand="1"/>
      </w:tblPr>
      <w:tblGrid>
        <w:gridCol w:w="9637"/>
      </w:tblGrid>
      <w:tr w:rsidR="002B32A0" w:rsidRPr="00CE1D7F" w14:paraId="72995223" w14:textId="77777777" w:rsidTr="000B0AC7">
        <w:tc>
          <w:tcPr>
            <w:tcW w:w="9637" w:type="dxa"/>
            <w:shd w:val="clear" w:color="auto" w:fill="auto"/>
          </w:tcPr>
          <w:p w14:paraId="1CFB5FDD" w14:textId="77777777" w:rsidR="002B32A0" w:rsidRPr="00CE1D7F" w:rsidRDefault="002B32A0" w:rsidP="006258ED">
            <w:pPr>
              <w:pStyle w:val="Figure"/>
            </w:pPr>
            <w:r>
              <w:rPr>
                <w:noProof/>
              </w:rPr>
              <w:drawing>
                <wp:inline distT="0" distB="0" distL="0" distR="0" wp14:anchorId="0E99A2F7" wp14:editId="22EECA20">
                  <wp:extent cx="6015091" cy="2320671"/>
                  <wp:effectExtent l="0" t="0" r="5080" b="3810"/>
                  <wp:docPr id="1506051532" name="Picture 3" descr="Overview of the survey population, see description in text abov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051532" name="Picture 3" descr="Overview of the survey population, see description in text above figur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038251" cy="2329606"/>
                          </a:xfrm>
                          <a:prstGeom prst="rect">
                            <a:avLst/>
                          </a:prstGeom>
                          <a:noFill/>
                        </pic:spPr>
                      </pic:pic>
                    </a:graphicData>
                  </a:graphic>
                </wp:inline>
              </w:drawing>
            </w:r>
          </w:p>
        </w:tc>
      </w:tr>
    </w:tbl>
    <w:p w14:paraId="0EA69B63" w14:textId="77777777" w:rsidR="000B0AC7" w:rsidRPr="00CE1D7F" w:rsidRDefault="000B0AC7" w:rsidP="000B0AC7">
      <w:pPr>
        <w:pStyle w:val="Source"/>
        <w:ind w:left="-393" w:hanging="1308"/>
      </w:pPr>
      <w:r w:rsidRPr="00CE1D7F">
        <w:t>Source: ACIL Allen survey of ARC funding recipients</w:t>
      </w:r>
    </w:p>
    <w:p w14:paraId="28A3D85E" w14:textId="77777777" w:rsidR="000B0AC7" w:rsidRPr="00CE1D7F" w:rsidRDefault="000B0AC7" w:rsidP="006258ED">
      <w:pPr>
        <w:pStyle w:val="spacer"/>
      </w:pPr>
    </w:p>
    <w:p w14:paraId="3AB315C5" w14:textId="77777777" w:rsidR="002B32A0" w:rsidRPr="00CE1D7F" w:rsidRDefault="002B32A0" w:rsidP="002B32A0">
      <w:pPr>
        <w:pStyle w:val="Heading2"/>
      </w:pPr>
      <w:bookmarkStart w:id="41" w:name="_Ref129852744"/>
      <w:bookmarkStart w:id="42" w:name="_Toc129963948"/>
      <w:bookmarkStart w:id="43" w:name="_Toc131174587"/>
      <w:bookmarkStart w:id="44" w:name="_Toc132970639"/>
      <w:bookmarkStart w:id="45" w:name="_Toc135323678"/>
      <w:r w:rsidRPr="00CE1D7F">
        <w:t>How to read and use this report</w:t>
      </w:r>
      <w:bookmarkEnd w:id="41"/>
      <w:bookmarkEnd w:id="42"/>
      <w:bookmarkEnd w:id="43"/>
      <w:bookmarkEnd w:id="44"/>
      <w:bookmarkEnd w:id="45"/>
      <w:r w:rsidRPr="00CE1D7F">
        <w:t xml:space="preserve"> </w:t>
      </w:r>
    </w:p>
    <w:p w14:paraId="03570B59" w14:textId="106BB3E1" w:rsidR="002B32A0" w:rsidRPr="00CE1D7F" w:rsidRDefault="002B32A0" w:rsidP="002B32A0">
      <w:pPr>
        <w:pStyle w:val="BodyText"/>
      </w:pPr>
      <w:r w:rsidRPr="00CE1D7F">
        <w:t xml:space="preserve">This report is an impact assessment exercise based on the whole of economy modelling and case study analysis using assumptions and the best available data. Its results should be interpreted as an illustration of the types and nature of the impacts delivered over a long period of time. As modelled and analysed, the results are not strictly comparable to other modelling undertaken for the research sector or even other sectors that receive public funding. This is because the assumptions and data (based on best practice and best available information) used in this report are unique to the evaluation. The assumptions and data sources are overviewed in </w:t>
      </w:r>
      <w:r>
        <w:t>section </w:t>
      </w:r>
      <w:r w:rsidRPr="00F87D0E">
        <w:fldChar w:fldCharType="begin"/>
      </w:r>
      <w:r w:rsidRPr="00F87D0E">
        <w:instrText xml:space="preserve"> REF _Ref129797217 \r \h  \* MERGEFORMAT </w:instrText>
      </w:r>
      <w:r w:rsidRPr="00F87D0E">
        <w:fldChar w:fldCharType="separate"/>
      </w:r>
      <w:r w:rsidR="000B0AC7">
        <w:t>2.1</w:t>
      </w:r>
      <w:r w:rsidRPr="00F87D0E">
        <w:fldChar w:fldCharType="end"/>
      </w:r>
      <w:r w:rsidRPr="00CE1D7F">
        <w:t>.</w:t>
      </w:r>
    </w:p>
    <w:p w14:paraId="3D5B1492" w14:textId="77777777" w:rsidR="002B32A0" w:rsidRPr="00CE1D7F" w:rsidRDefault="002B32A0" w:rsidP="002B32A0">
      <w:pPr>
        <w:pStyle w:val="BodyText"/>
      </w:pPr>
      <w:r w:rsidRPr="00CE1D7F">
        <w:t xml:space="preserve">Moreover, the following data limitations were encountered during the evaluation. These should be considered throughout the report when referencing or using the relevant data/analyses. </w:t>
      </w:r>
    </w:p>
    <w:p w14:paraId="6A310A91" w14:textId="77777777" w:rsidR="002B32A0" w:rsidRPr="00CE1D7F" w:rsidRDefault="002B32A0" w:rsidP="00AA7492">
      <w:pPr>
        <w:pStyle w:val="BodyText"/>
      </w:pPr>
      <w:r w:rsidRPr="00CE1D7F">
        <w:t>The CGE modelling findings presented in this report provide valuable evidence of the economic impacts of ARC-funded research on the Australian economy. Nonetheless, as with any modelling exercise, there are some limitations in the analysis, as follows:</w:t>
      </w:r>
    </w:p>
    <w:p w14:paraId="766F3B3B" w14:textId="77777777" w:rsidR="002B32A0" w:rsidRPr="00CE1D7F" w:rsidRDefault="002B32A0" w:rsidP="00D72691">
      <w:pPr>
        <w:pStyle w:val="ListBullet"/>
      </w:pPr>
      <w:r w:rsidRPr="00CE1D7F">
        <w:t>The social</w:t>
      </w:r>
      <w:r>
        <w:t>, cultural,</w:t>
      </w:r>
      <w:r w:rsidRPr="00CE1D7F">
        <w:t xml:space="preserve"> environmental </w:t>
      </w:r>
      <w:r>
        <w:t xml:space="preserve">and other </w:t>
      </w:r>
      <w:r w:rsidRPr="00CE1D7F">
        <w:t xml:space="preserve">impacts associated with research projects funded by the ARC have not been monetised or included in the economic modelling. As a </w:t>
      </w:r>
      <w:r w:rsidRPr="00CE1D7F">
        <w:lastRenderedPageBreak/>
        <w:t xml:space="preserve">result, the economic impacts described in this report understate the overall impacts of the NCGP. </w:t>
      </w:r>
    </w:p>
    <w:p w14:paraId="24404F7B" w14:textId="77777777" w:rsidR="002B32A0" w:rsidRPr="00CE1D7F" w:rsidRDefault="002B32A0" w:rsidP="00D72691">
      <w:pPr>
        <w:pStyle w:val="ListBullet"/>
      </w:pPr>
      <w:r w:rsidRPr="00CE1D7F">
        <w:t>The economic modelling assumes that the economic returns from ARC-funded research projects are, on average, similar to those found in the literature</w:t>
      </w:r>
      <w:r>
        <w:t xml:space="preserve"> (provided in chapter 2 of the technical supplement to this report, with the assumptions at chapter 3)</w:t>
      </w:r>
      <w:r w:rsidRPr="00CE1D7F">
        <w:t>. Potentially, these may be higher or lower for some projects. Accurate estimation of rates of return for ARC-funded projects would require analysis of each of the 29,000 plus projects funded by the ARC.</w:t>
      </w:r>
    </w:p>
    <w:p w14:paraId="5235DDB3" w14:textId="77777777" w:rsidR="002B32A0" w:rsidRPr="00CE1D7F" w:rsidRDefault="002B32A0" w:rsidP="00D72691">
      <w:pPr>
        <w:pStyle w:val="ListBullet"/>
      </w:pPr>
      <w:r w:rsidRPr="00CE1D7F">
        <w:t>The findings in this report are subject to unavoidable statistical variation. While all care has been taken to ensure that the statistical variation is kept to a minimum, care should be taken whenever using this information. This report considers information provided by the ARC up to the end of 2021. The findings may be affected by new information.</w:t>
      </w:r>
    </w:p>
    <w:p w14:paraId="778708D2" w14:textId="77777777" w:rsidR="002B32A0" w:rsidRPr="00CE1D7F" w:rsidRDefault="002B32A0" w:rsidP="00D72691">
      <w:pPr>
        <w:pStyle w:val="ListBullet"/>
      </w:pPr>
      <w:r w:rsidRPr="00CE1D7F">
        <w:t>A small sample of 7 case studies was selected. This is not representative of the breadth of research funded under the NCGP. Due to the nature of the impacts generated by some projects, it was not appropriate or possible to quantity some benefits. Where this occurs, impacts have been discussed qualitatively.</w:t>
      </w:r>
    </w:p>
    <w:p w14:paraId="126A569B" w14:textId="77777777" w:rsidR="002B32A0" w:rsidRPr="00CE1D7F" w:rsidRDefault="002B32A0" w:rsidP="00D72691">
      <w:pPr>
        <w:pStyle w:val="ListBullet"/>
      </w:pPr>
      <w:r w:rsidRPr="00CE1D7F">
        <w:t xml:space="preserve">Domestic stakeholders had limited visibility or capacity to articulate the breadth and depth of the impact delivered by the NCGP and limited visibility of ARC’s support mechanisms and communications. Many stakeholders are </w:t>
      </w:r>
      <w:r>
        <w:t xml:space="preserve">peak bodies with </w:t>
      </w:r>
      <w:r w:rsidRPr="00CE1D7F">
        <w:t>member</w:t>
      </w:r>
      <w:r>
        <w:t>s</w:t>
      </w:r>
      <w:r w:rsidRPr="00CE1D7F">
        <w:t xml:space="preserve"> </w:t>
      </w:r>
      <w:r>
        <w:t xml:space="preserve">(e.g. universities, learned academies) that </w:t>
      </w:r>
      <w:r w:rsidRPr="00CE1D7F">
        <w:t xml:space="preserve">are at varying levels of </w:t>
      </w:r>
      <w:r>
        <w:t xml:space="preserve">maturity in assessing their </w:t>
      </w:r>
      <w:r w:rsidRPr="00CE1D7F">
        <w:t>impact</w:t>
      </w:r>
      <w:r>
        <w:t>.</w:t>
      </w:r>
      <w:r w:rsidRPr="00CE1D7F">
        <w:t>, and as such there was no consistent view on impact measurement.</w:t>
      </w:r>
      <w:r>
        <w:t xml:space="preserve"> A full report of stakeholder feedback is provided in chapter 6 of the technical supplement to this report. Consultation methodology is provided in chapter 5.</w:t>
      </w:r>
    </w:p>
    <w:p w14:paraId="14892498" w14:textId="26FE7E1E" w:rsidR="002B32A0" w:rsidRPr="00CE1D7F" w:rsidRDefault="002B32A0" w:rsidP="00D72691">
      <w:pPr>
        <w:pStyle w:val="ListBullet"/>
      </w:pPr>
      <w:r w:rsidRPr="00CE1D7F">
        <w:t xml:space="preserve">International stakeholders represented schemes of varying comparability to the NCGP and </w:t>
      </w:r>
      <w:r w:rsidR="00054253" w:rsidRPr="00CE1D7F">
        <w:t>ARC and</w:t>
      </w:r>
      <w:r w:rsidRPr="00CE1D7F">
        <w:t xml:space="preserve"> were at varying levels of impact measurement maturity.</w:t>
      </w:r>
      <w:r w:rsidRPr="00C57F48">
        <w:t xml:space="preserve"> </w:t>
      </w:r>
      <w:r>
        <w:t>A full report of stakeholder feedback is provided in chapter 7 of the technical supplement to this report.</w:t>
      </w:r>
    </w:p>
    <w:p w14:paraId="6C4D9C1B" w14:textId="77777777" w:rsidR="002B32A0" w:rsidRPr="00CE1D7F" w:rsidRDefault="002B32A0" w:rsidP="00D72691">
      <w:pPr>
        <w:pStyle w:val="ListBullet"/>
      </w:pPr>
      <w:r w:rsidRPr="00CE1D7F">
        <w:t xml:space="preserve">Final report data has changed over time as questions, data types, response options and collection approaches have varied over time and across schemes. </w:t>
      </w:r>
      <w:r w:rsidRPr="00474A9A">
        <w:t xml:space="preserve">Outputs and outcomes may be underestimated because not all final reports </w:t>
      </w:r>
      <w:r>
        <w:t xml:space="preserve">were submitted </w:t>
      </w:r>
      <w:r w:rsidRPr="00474A9A">
        <w:t xml:space="preserve">at </w:t>
      </w:r>
      <w:r>
        <w:t xml:space="preserve">the </w:t>
      </w:r>
      <w:r w:rsidRPr="00474A9A">
        <w:t>time of data extraction</w:t>
      </w:r>
      <w:r>
        <w:t>, and they</w:t>
      </w:r>
      <w:r w:rsidRPr="00474A9A">
        <w:t xml:space="preserve"> do not capture benefits</w:t>
      </w:r>
      <w:r>
        <w:t xml:space="preserve"> realised</w:t>
      </w:r>
      <w:r w:rsidRPr="00474A9A">
        <w:t xml:space="preserve"> after final reports </w:t>
      </w:r>
      <w:r>
        <w:t>we</w:t>
      </w:r>
      <w:r w:rsidRPr="00474A9A">
        <w:t>re submitted</w:t>
      </w:r>
      <w:r w:rsidRPr="00CE1D7F">
        <w:t xml:space="preserve"> </w:t>
      </w:r>
      <w:r>
        <w:t>(</w:t>
      </w:r>
      <w:r w:rsidRPr="00CE1D7F">
        <w:t>no later than 12 months post grant completion</w:t>
      </w:r>
      <w:r>
        <w:t>)</w:t>
      </w:r>
      <w:r w:rsidRPr="00CE1D7F">
        <w:t xml:space="preserve">. </w:t>
      </w:r>
    </w:p>
    <w:p w14:paraId="786A9D2F" w14:textId="77777777" w:rsidR="002B32A0" w:rsidRPr="00CE1D7F" w:rsidRDefault="002B32A0" w:rsidP="00D72691">
      <w:pPr>
        <w:pStyle w:val="ListBullet"/>
      </w:pPr>
      <w:r w:rsidRPr="00CE1D7F">
        <w:t>Survey respondents were a s</w:t>
      </w:r>
      <w:r w:rsidRPr="00CE1D7F">
        <w:rPr>
          <w:lang w:val="en-US"/>
        </w:rPr>
        <w:t>ample of</w:t>
      </w:r>
      <w:r>
        <w:rPr>
          <w:lang w:val="en-US"/>
        </w:rPr>
        <w:t xml:space="preserve"> approximately 13%</w:t>
      </w:r>
      <w:r w:rsidRPr="00CE1D7F">
        <w:rPr>
          <w:lang w:val="en-US"/>
        </w:rPr>
        <w:t xml:space="preserve"> </w:t>
      </w:r>
      <w:r>
        <w:rPr>
          <w:lang w:val="en-US"/>
        </w:rPr>
        <w:t xml:space="preserve">of </w:t>
      </w:r>
      <w:r w:rsidRPr="00CE1D7F">
        <w:rPr>
          <w:lang w:val="en-US"/>
        </w:rPr>
        <w:t>grant recipients and may not be representative. Some grants were ongoing at the time of the survey, and impacts had not necessarily emerged.</w:t>
      </w:r>
      <w:r>
        <w:rPr>
          <w:lang w:val="en-US"/>
        </w:rPr>
        <w:t xml:space="preserve"> </w:t>
      </w:r>
      <w:r>
        <w:t>Survey methodology, respondent demographics and additional analysis are provided in chapter 8 of the technical supplement to this report.</w:t>
      </w:r>
    </w:p>
    <w:p w14:paraId="2D1D0B23" w14:textId="77777777" w:rsidR="002B32A0" w:rsidRPr="00CE1D7F" w:rsidRDefault="002B32A0" w:rsidP="002B32A0">
      <w:pPr>
        <w:pStyle w:val="Heading2"/>
      </w:pPr>
      <w:bookmarkStart w:id="46" w:name="_Toc129963949"/>
      <w:bookmarkStart w:id="47" w:name="_Toc131174588"/>
      <w:bookmarkStart w:id="48" w:name="_Toc132970640"/>
      <w:bookmarkStart w:id="49" w:name="_Toc135323679"/>
      <w:r w:rsidRPr="00CE1D7F">
        <w:t>Report structure</w:t>
      </w:r>
      <w:bookmarkEnd w:id="46"/>
      <w:bookmarkEnd w:id="47"/>
      <w:bookmarkEnd w:id="48"/>
      <w:bookmarkEnd w:id="49"/>
    </w:p>
    <w:p w14:paraId="4E410951" w14:textId="3A19D4EF" w:rsidR="002B32A0" w:rsidRPr="00CE1D7F" w:rsidRDefault="002B32A0" w:rsidP="002B32A0">
      <w:pPr>
        <w:pStyle w:val="BodyText"/>
      </w:pPr>
      <w:r>
        <w:t>ACIL Allen’s</w:t>
      </w:r>
      <w:r w:rsidRPr="00CE1D7F">
        <w:t xml:space="preserve"> report addresses the terms of reference and Key Evaluation Questions (KEQs), as outlined in </w:t>
      </w:r>
      <w:r w:rsidRPr="00F87D0E">
        <w:fldChar w:fldCharType="begin"/>
      </w:r>
      <w:r w:rsidRPr="00F87D0E">
        <w:instrText xml:space="preserve"> REF _Ref129354735 \h  \* MERGEFORMAT </w:instrText>
      </w:r>
      <w:r w:rsidRPr="00F87D0E">
        <w:fldChar w:fldCharType="separate"/>
      </w:r>
      <w:r w:rsidR="000B0AC7" w:rsidRPr="000B0AC7">
        <w:t>Table A.1</w:t>
      </w:r>
      <w:r w:rsidRPr="00F87D0E">
        <w:fldChar w:fldCharType="end"/>
      </w:r>
      <w:r w:rsidRPr="00CE1D7F">
        <w:t xml:space="preserve">. </w:t>
      </w:r>
      <w:r>
        <w:t>ACIL</w:t>
      </w:r>
      <w:r w:rsidRPr="00CE1D7F">
        <w:t xml:space="preserve"> KEQs have been identified in the margin of the report, where relevant. </w:t>
      </w:r>
    </w:p>
    <w:p w14:paraId="300F4CD5" w14:textId="77777777" w:rsidR="002B32A0" w:rsidRPr="00CE1D7F" w:rsidRDefault="002B32A0" w:rsidP="002B32A0">
      <w:pPr>
        <w:pStyle w:val="BodyText"/>
      </w:pPr>
      <w:r w:rsidRPr="00CE1D7F">
        <w:t>The remainder of this report is structured as follows:</w:t>
      </w:r>
    </w:p>
    <w:p w14:paraId="56034A24" w14:textId="77777777" w:rsidR="002B32A0" w:rsidRPr="00CE1D7F" w:rsidRDefault="002B32A0" w:rsidP="00D72691">
      <w:pPr>
        <w:pStyle w:val="ListBullet"/>
      </w:pPr>
      <w:r w:rsidRPr="00CE1D7F">
        <w:t>Part I: Impact report</w:t>
      </w:r>
    </w:p>
    <w:p w14:paraId="57401AD9" w14:textId="77777777" w:rsidR="002B32A0" w:rsidRPr="00CE1D7F" w:rsidRDefault="002B32A0" w:rsidP="00D72691">
      <w:pPr>
        <w:pStyle w:val="ListBullet2"/>
      </w:pPr>
      <w:r>
        <w:t>Chapter </w:t>
      </w:r>
      <w:r w:rsidRPr="00CE1D7F">
        <w:t>2: Economic impacts of NCGP-funded research</w:t>
      </w:r>
    </w:p>
    <w:p w14:paraId="5152D385" w14:textId="77777777" w:rsidR="002B32A0" w:rsidRPr="00CE1D7F" w:rsidRDefault="002B32A0" w:rsidP="00D72691">
      <w:pPr>
        <w:pStyle w:val="ListBullet2"/>
      </w:pPr>
      <w:r>
        <w:t>Chapter </w:t>
      </w:r>
      <w:r w:rsidRPr="00CE1D7F">
        <w:t>3: Broader impacts of NCGP-funded research</w:t>
      </w:r>
    </w:p>
    <w:p w14:paraId="7189633D" w14:textId="77777777" w:rsidR="002B32A0" w:rsidRPr="00CE1D7F" w:rsidRDefault="002B32A0" w:rsidP="00D72691">
      <w:pPr>
        <w:pStyle w:val="ListBullet2"/>
      </w:pPr>
      <w:r>
        <w:t>Chapter </w:t>
      </w:r>
      <w:r w:rsidRPr="00CE1D7F">
        <w:t>4: Supporting, measuring and communicating impact</w:t>
      </w:r>
      <w:r w:rsidRPr="00CE1D7F" w:rsidDel="006315C1">
        <w:t xml:space="preserve"> </w:t>
      </w:r>
    </w:p>
    <w:p w14:paraId="3EB117C4" w14:textId="77777777" w:rsidR="002B32A0" w:rsidRPr="00CE1D7F" w:rsidRDefault="002B32A0" w:rsidP="00D72691">
      <w:pPr>
        <w:pStyle w:val="ListBullet2"/>
      </w:pPr>
      <w:r>
        <w:t>Chapter </w:t>
      </w:r>
      <w:r w:rsidRPr="00CE1D7F">
        <w:t>5: Challenges, opportunities and future impact assessment</w:t>
      </w:r>
    </w:p>
    <w:p w14:paraId="2AE996BE" w14:textId="77777777" w:rsidR="002B32A0" w:rsidRPr="00CE1D7F" w:rsidRDefault="002B32A0" w:rsidP="00D72691">
      <w:pPr>
        <w:pStyle w:val="ListBullet2"/>
      </w:pPr>
      <w:r>
        <w:t>Chapter </w:t>
      </w:r>
      <w:r w:rsidRPr="00CE1D7F">
        <w:t>6: Concluding remarks</w:t>
      </w:r>
    </w:p>
    <w:p w14:paraId="5E48B703" w14:textId="77777777" w:rsidR="002B32A0" w:rsidRPr="00CE1D7F" w:rsidRDefault="002B32A0" w:rsidP="00D72691">
      <w:pPr>
        <w:pStyle w:val="ListBullet"/>
        <w:keepNext/>
      </w:pPr>
      <w:r w:rsidRPr="00CE1D7F">
        <w:lastRenderedPageBreak/>
        <w:t>Part II: Case studies</w:t>
      </w:r>
    </w:p>
    <w:p w14:paraId="26A1CC94" w14:textId="77777777" w:rsidR="002B32A0" w:rsidRPr="00CE1D7F" w:rsidRDefault="002B32A0" w:rsidP="00D72691">
      <w:pPr>
        <w:pStyle w:val="ListBullet2"/>
        <w:keepNext/>
      </w:pPr>
      <w:bookmarkStart w:id="50" w:name="_Hlk129164300"/>
      <w:r w:rsidRPr="00CE1D7F">
        <w:t>Quantum Computation and Communication Technology</w:t>
      </w:r>
    </w:p>
    <w:p w14:paraId="2831FF1E" w14:textId="77777777" w:rsidR="002B32A0" w:rsidRPr="00CE1D7F" w:rsidRDefault="002B32A0" w:rsidP="00D72691">
      <w:pPr>
        <w:pStyle w:val="ListBullet2"/>
        <w:keepNext/>
      </w:pPr>
      <w:r w:rsidRPr="00CE1D7F">
        <w:t>Aquifer Reinjection</w:t>
      </w:r>
    </w:p>
    <w:p w14:paraId="2114E1F7" w14:textId="77777777" w:rsidR="002B32A0" w:rsidRPr="00CE1D7F" w:rsidRDefault="002B32A0" w:rsidP="00D72691">
      <w:pPr>
        <w:pStyle w:val="ListBullet2"/>
        <w:keepNext/>
      </w:pPr>
      <w:r w:rsidRPr="00CE1D7F">
        <w:t>Irrigation Automation</w:t>
      </w:r>
    </w:p>
    <w:p w14:paraId="392D7FD2" w14:textId="77777777" w:rsidR="002B32A0" w:rsidRPr="00CE1D7F" w:rsidRDefault="002B32A0" w:rsidP="00D72691">
      <w:pPr>
        <w:pStyle w:val="ListBullet2"/>
      </w:pPr>
      <w:r w:rsidRPr="00CE1D7F">
        <w:t>Onshore Lobster Aquaculture</w:t>
      </w:r>
    </w:p>
    <w:p w14:paraId="218D72E2" w14:textId="77777777" w:rsidR="002B32A0" w:rsidRPr="00CE1D7F" w:rsidRDefault="002B32A0" w:rsidP="00D72691">
      <w:pPr>
        <w:pStyle w:val="ListBullet2"/>
      </w:pPr>
      <w:r w:rsidRPr="00CE1D7F">
        <w:t xml:space="preserve">Changing the Law to Protect Survivors of DFV </w:t>
      </w:r>
    </w:p>
    <w:p w14:paraId="4A7D088A" w14:textId="77777777" w:rsidR="002B32A0" w:rsidRPr="00CE1D7F" w:rsidRDefault="002B32A0" w:rsidP="00D72691">
      <w:pPr>
        <w:pStyle w:val="ListBullet2"/>
      </w:pPr>
      <w:r w:rsidRPr="00CE1D7F">
        <w:t xml:space="preserve">Indigenous Persistence in Formal Learning </w:t>
      </w:r>
    </w:p>
    <w:p w14:paraId="39BD7811" w14:textId="77777777" w:rsidR="002B32A0" w:rsidRPr="00CE1D7F" w:rsidRDefault="002B32A0" w:rsidP="00D72691">
      <w:pPr>
        <w:pStyle w:val="ListBullet2"/>
      </w:pPr>
      <w:r w:rsidRPr="00CE1D7F">
        <w:t xml:space="preserve">RRR: Indigenous Remains Repatriation </w:t>
      </w:r>
    </w:p>
    <w:bookmarkEnd w:id="50"/>
    <w:p w14:paraId="34B3E72A" w14:textId="77777777" w:rsidR="002B32A0" w:rsidRPr="00CE1D7F" w:rsidRDefault="002B32A0" w:rsidP="00D72691">
      <w:pPr>
        <w:pStyle w:val="ListBullet"/>
      </w:pPr>
      <w:r w:rsidRPr="00CE1D7F">
        <w:t>Part III: Appendices</w:t>
      </w:r>
    </w:p>
    <w:p w14:paraId="74B7F891" w14:textId="77777777" w:rsidR="002B32A0" w:rsidRPr="00CE1D7F" w:rsidRDefault="002B32A0" w:rsidP="00D72691">
      <w:pPr>
        <w:pStyle w:val="ListBullet2"/>
      </w:pPr>
      <w:r w:rsidRPr="00CE1D7F">
        <w:t>A: Evaluation framing and terms of reference</w:t>
      </w:r>
    </w:p>
    <w:p w14:paraId="50C7C95D" w14:textId="77777777" w:rsidR="002B32A0" w:rsidRPr="00CE1D7F" w:rsidRDefault="002B32A0" w:rsidP="00D72691">
      <w:pPr>
        <w:pStyle w:val="ListBullet2"/>
      </w:pPr>
      <w:r w:rsidRPr="00CE1D7F">
        <w:t>B: Beneficiaries of NCGP-funded research</w:t>
      </w:r>
    </w:p>
    <w:p w14:paraId="1B84C3D6" w14:textId="77777777" w:rsidR="002B32A0" w:rsidRPr="00CE1D7F" w:rsidRDefault="002B32A0" w:rsidP="00D72691">
      <w:pPr>
        <w:pStyle w:val="ListBullet2"/>
      </w:pPr>
      <w:r w:rsidRPr="00CE1D7F">
        <w:t>C: Stakeholder survey additional information</w:t>
      </w:r>
    </w:p>
    <w:p w14:paraId="4F59B46B" w14:textId="77777777" w:rsidR="002B32A0" w:rsidRPr="00CE1D7F" w:rsidRDefault="002B32A0" w:rsidP="00D72691">
      <w:pPr>
        <w:pStyle w:val="ListBullet2"/>
      </w:pPr>
      <w:r>
        <w:t>D</w:t>
      </w:r>
      <w:r w:rsidRPr="00CE1D7F">
        <w:t>: Program and other data methodology and evidence</w:t>
      </w:r>
      <w:r>
        <w:t>.</w:t>
      </w:r>
    </w:p>
    <w:p w14:paraId="3F6B583E" w14:textId="77777777" w:rsidR="002B32A0" w:rsidRPr="00CE1D7F" w:rsidRDefault="002B32A0" w:rsidP="002B32A0">
      <w:pPr>
        <w:pStyle w:val="BodyText"/>
        <w:sectPr w:rsidR="002B32A0" w:rsidRPr="00CE1D7F" w:rsidSect="00AA5E25">
          <w:headerReference w:type="even" r:id="rId43"/>
          <w:headerReference w:type="default" r:id="rId44"/>
          <w:footerReference w:type="even" r:id="rId45"/>
          <w:footerReference w:type="default" r:id="rId46"/>
          <w:headerReference w:type="first" r:id="rId47"/>
          <w:footerReference w:type="first" r:id="rId48"/>
          <w:pgSz w:w="11906" w:h="16838" w:code="9"/>
          <w:pgMar w:top="1134" w:right="851" w:bottom="1134" w:left="3119" w:header="454" w:footer="159" w:gutter="0"/>
          <w:pgNumType w:start="1"/>
          <w:cols w:space="708"/>
          <w:docGrid w:linePitch="360"/>
        </w:sectPr>
      </w:pPr>
    </w:p>
    <w:p w14:paraId="2FDD54F4" w14:textId="77777777" w:rsidR="000B0AC7" w:rsidRPr="00CE1D7F" w:rsidRDefault="000B0AC7" w:rsidP="000B0AC7">
      <w:pPr>
        <w:pStyle w:val="Partxx"/>
      </w:pPr>
      <w:bookmarkStart w:id="51" w:name="_Toc135323680"/>
      <w:r w:rsidRPr="00CE1D7F">
        <w:lastRenderedPageBreak/>
        <w:t>Impact report</w:t>
      </w:r>
      <w:bookmarkEnd w:id="51"/>
    </w:p>
    <w:p w14:paraId="14EAE93C" w14:textId="77777777" w:rsidR="002B32A0" w:rsidRPr="00CE1D7F" w:rsidRDefault="002B32A0" w:rsidP="002B32A0">
      <w:pPr>
        <w:pStyle w:val="BodyText"/>
      </w:pPr>
    </w:p>
    <w:p w14:paraId="13025BBF" w14:textId="77777777" w:rsidR="002B32A0" w:rsidRPr="00CE1D7F" w:rsidRDefault="002B32A0" w:rsidP="002B32A0">
      <w:pPr>
        <w:pStyle w:val="BodyText"/>
      </w:pPr>
    </w:p>
    <w:p w14:paraId="5C8663A9" w14:textId="77777777" w:rsidR="002B32A0" w:rsidRPr="00CE1D7F" w:rsidRDefault="002B32A0" w:rsidP="002B32A0">
      <w:pPr>
        <w:pStyle w:val="BodyText"/>
      </w:pPr>
    </w:p>
    <w:p w14:paraId="2AAA29DB" w14:textId="77777777" w:rsidR="002B32A0" w:rsidRPr="00CE1D7F" w:rsidRDefault="002B32A0" w:rsidP="002B32A0">
      <w:pPr>
        <w:pStyle w:val="BodyText"/>
      </w:pPr>
    </w:p>
    <w:p w14:paraId="5D1479C5" w14:textId="77777777" w:rsidR="002B32A0" w:rsidRPr="00CE1D7F" w:rsidRDefault="002B32A0" w:rsidP="002B32A0">
      <w:pPr>
        <w:pStyle w:val="BodyText"/>
      </w:pPr>
    </w:p>
    <w:p w14:paraId="759051C8" w14:textId="77777777" w:rsidR="002B32A0" w:rsidRPr="00CE1D7F" w:rsidRDefault="002B32A0" w:rsidP="002B32A0">
      <w:pPr>
        <w:pStyle w:val="BodyText"/>
      </w:pPr>
    </w:p>
    <w:p w14:paraId="3C9E4FFB" w14:textId="77777777" w:rsidR="002B32A0" w:rsidRPr="00CE1D7F" w:rsidRDefault="002B32A0" w:rsidP="002B32A0">
      <w:pPr>
        <w:pStyle w:val="BodyText"/>
      </w:pPr>
    </w:p>
    <w:p w14:paraId="206F206F" w14:textId="77777777" w:rsidR="002B32A0" w:rsidRPr="00CE1D7F" w:rsidRDefault="002B32A0" w:rsidP="002B32A0">
      <w:pPr>
        <w:pStyle w:val="BodyText"/>
        <w:sectPr w:rsidR="002B32A0" w:rsidRPr="00CE1D7F" w:rsidSect="00FF018D">
          <w:headerReference w:type="even" r:id="rId49"/>
          <w:headerReference w:type="default" r:id="rId50"/>
          <w:footerReference w:type="even" r:id="rId51"/>
          <w:footerReference w:type="default" r:id="rId52"/>
          <w:headerReference w:type="first" r:id="rId53"/>
          <w:footerReference w:type="first" r:id="rId54"/>
          <w:pgSz w:w="11906" w:h="16838" w:code="9"/>
          <w:pgMar w:top="2760" w:right="720" w:bottom="1134" w:left="1134" w:header="454" w:footer="159" w:gutter="0"/>
          <w:cols w:space="708"/>
          <w:docGrid w:linePitch="360"/>
        </w:sectPr>
      </w:pPr>
    </w:p>
    <w:p w14:paraId="2F35209E" w14:textId="77777777" w:rsidR="000B0AC7" w:rsidRPr="00CE1D7F" w:rsidRDefault="000B0AC7" w:rsidP="000B0AC7">
      <w:pPr>
        <w:pStyle w:val="Heading1"/>
        <w:pageBreakBefore/>
        <w:ind w:left="0" w:hanging="600"/>
      </w:pPr>
      <w:bookmarkStart w:id="52" w:name="_Ref129608347"/>
      <w:bookmarkStart w:id="53" w:name="_Ref129852990"/>
      <w:bookmarkStart w:id="54" w:name="_Toc135323681"/>
      <w:bookmarkStart w:id="55" w:name="_Hlk131148021"/>
      <w:r w:rsidRPr="00CE1D7F">
        <w:lastRenderedPageBreak/>
        <w:t xml:space="preserve">Economic </w:t>
      </w:r>
      <w:bookmarkEnd w:id="52"/>
      <w:r w:rsidRPr="00CE1D7F">
        <w:t>impacts of NCGP-funded research</w:t>
      </w:r>
      <w:bookmarkEnd w:id="53"/>
      <w:bookmarkEnd w:id="54"/>
    </w:p>
    <w:p w14:paraId="5302B883" w14:textId="77777777" w:rsidR="002B32A0" w:rsidRPr="00CE1D7F" w:rsidRDefault="002B32A0" w:rsidP="002B32A0">
      <w:pPr>
        <w:pStyle w:val="Introduction"/>
      </w:pPr>
      <w:bookmarkStart w:id="56" w:name="_Ref129272812"/>
      <w:r w:rsidRPr="00CE1D7F">
        <w:t xml:space="preserve">This </w:t>
      </w:r>
      <w:r>
        <w:t>chapter </w:t>
      </w:r>
      <w:r w:rsidRPr="00CE1D7F">
        <w:t>details the modelled and other economic impacts generated by the NCGP over the past 2 decades.</w:t>
      </w:r>
    </w:p>
    <w:p w14:paraId="2A6D4F9C" w14:textId="77777777" w:rsidR="002B32A0" w:rsidRPr="00CE1D7F" w:rsidRDefault="002B32A0" w:rsidP="002B32A0">
      <w:pPr>
        <w:pStyle w:val="Heading2"/>
      </w:pPr>
      <w:bookmarkStart w:id="57" w:name="_Toc129795149"/>
      <w:bookmarkStart w:id="58" w:name="_Ref129797217"/>
      <w:bookmarkStart w:id="59" w:name="_Ref129812637"/>
      <w:bookmarkStart w:id="60" w:name="_Toc129963952"/>
      <w:bookmarkStart w:id="61" w:name="_Toc131174591"/>
      <w:bookmarkStart w:id="62" w:name="_Toc132970643"/>
      <w:bookmarkStart w:id="63" w:name="_Toc135323682"/>
      <w:bookmarkEnd w:id="56"/>
      <w:r w:rsidRPr="00CE1D7F">
        <w:t>NC</w:t>
      </w:r>
      <w:r w:rsidRPr="00CE1D7F">
        <w:rPr>
          <w:noProof/>
        </w:rPr>
        <mc:AlternateContent>
          <mc:Choice Requires="wps">
            <w:drawing>
              <wp:anchor distT="0" distB="0" distL="114300" distR="114300" simplePos="0" relativeHeight="251678720" behindDoc="0" locked="1" layoutInCell="1" allowOverlap="1" wp14:anchorId="49A96A51" wp14:editId="03608CAE">
                <wp:simplePos x="0" y="0"/>
                <wp:positionH relativeFrom="page">
                  <wp:posOffset>441325</wp:posOffset>
                </wp:positionH>
                <wp:positionV relativeFrom="paragraph">
                  <wp:posOffset>-5080</wp:posOffset>
                </wp:positionV>
                <wp:extent cx="1289050" cy="732790"/>
                <wp:effectExtent l="0" t="0" r="0" b="0"/>
                <wp:wrapNone/>
                <wp:docPr id="53" name="Text Box 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289050" cy="7327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BF46A84" w14:textId="77777777" w:rsidR="002B32A0" w:rsidRPr="00537EDE" w:rsidRDefault="002B32A0" w:rsidP="002B32A0">
                            <w:pPr>
                              <w:pStyle w:val="SideNoteRegularRight"/>
                              <w:jc w:val="left"/>
                            </w:pPr>
                            <w:r w:rsidRPr="00537EDE">
                              <w:t xml:space="preserve">KEQ 1. What are the short-, medium- and long-term outcomes and impacts of </w:t>
                            </w:r>
                            <w:r>
                              <w:t>ARC-funded</w:t>
                            </w:r>
                            <w:r w:rsidRPr="00537EDE">
                              <w:t xml:space="preserve"> research? Is the NCGP achieving its intended outcomes?</w:t>
                            </w:r>
                          </w:p>
                          <w:p w14:paraId="3AA70838" w14:textId="77777777" w:rsidR="002B32A0" w:rsidRPr="00537EDE" w:rsidRDefault="002B32A0" w:rsidP="002B32A0">
                            <w:pPr>
                              <w:pStyle w:val="SideNoteRegularRight"/>
                              <w:jc w:val="left"/>
                            </w:pPr>
                            <w:r w:rsidRPr="00537EDE">
                              <w:t>KEQ 3. What is the Government’s return on investment for the NCGP?</w:t>
                            </w:r>
                          </w:p>
                          <w:p w14:paraId="34F32403" w14:textId="77777777" w:rsidR="002B32A0" w:rsidRDefault="002B32A0" w:rsidP="002B32A0">
                            <w:pPr>
                              <w:pStyle w:val="SideNoteRegularRight"/>
                            </w:pPr>
                          </w:p>
                        </w:txbxContent>
                      </wps:txbx>
                      <wps:bodyPr rot="0" spcFirstLastPara="0" vertOverflow="overflow" horzOverflow="overflow" vert="horz" wrap="square" lIns="0" tIns="0" rIns="76200" bIns="762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49A96A51" id="_x0000_t202" coordsize="21600,21600" o:spt="202" path="m,l,21600r21600,l21600,xe">
                <v:stroke joinstyle="miter"/>
                <v:path gradientshapeok="t" o:connecttype="rect"/>
              </v:shapetype>
              <v:shape id="Text Box 53" o:spid="_x0000_s1026" type="#_x0000_t202" alt="&quot;&quot;" style="position:absolute;left:0;text-align:left;margin-left:34.75pt;margin-top:-.4pt;width:101.5pt;height:57.7pt;z-index:251678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" filled="f" stroked="f" strokeweight=".5pt">
                <v:textbox style="mso-fit-shape-to-text:t" inset="0,0,6pt,6pt">
                  <w:txbxContent>
                    <w:p w14:paraId="0BF46A84" w14:textId="77777777" w:rsidR="002B32A0" w:rsidRPr="00537EDE" w:rsidRDefault="002B32A0" w:rsidP="002B32A0">
                      <w:pPr>
                        <w:pStyle w:val="SideNoteRegularRight"/>
                        <w:jc w:val="left"/>
                      </w:pPr>
                      <w:r w:rsidRPr="00537EDE">
                        <w:t xml:space="preserve">KEQ 1. What are the short-, medium- and long-term outcomes and impacts of </w:t>
                      </w:r>
                      <w:r>
                        <w:t>ARC-funded</w:t>
                      </w:r>
                      <w:r w:rsidRPr="00537EDE">
                        <w:t xml:space="preserve"> research? Is the NCGP achieving its intended outcomes?</w:t>
                      </w:r>
                    </w:p>
                    <w:p w14:paraId="3AA70838" w14:textId="77777777" w:rsidR="002B32A0" w:rsidRPr="00537EDE" w:rsidRDefault="002B32A0" w:rsidP="002B32A0">
                      <w:pPr>
                        <w:pStyle w:val="SideNoteRegularRight"/>
                        <w:jc w:val="left"/>
                      </w:pPr>
                      <w:r w:rsidRPr="00537EDE">
                        <w:t>KEQ 3. What is the Government’s return on investment for the NCGP?</w:t>
                      </w:r>
                    </w:p>
                    <w:p w14:paraId="34F32403" w14:textId="77777777" w:rsidR="002B32A0" w:rsidRDefault="002B32A0" w:rsidP="002B32A0">
                      <w:pPr>
                        <w:pStyle w:val="SideNoteRegularRight"/>
                      </w:pPr>
                    </w:p>
                  </w:txbxContent>
                </v:textbox>
                <w10:wrap anchorx="page"/>
                <w10:anchorlock/>
              </v:shape>
            </w:pict>
          </mc:Fallback>
        </mc:AlternateContent>
      </w:r>
      <w:r w:rsidRPr="00CE1D7F">
        <w:t>GP’s return on investment: modelled impacts</w:t>
      </w:r>
      <w:bookmarkEnd w:id="57"/>
      <w:bookmarkEnd w:id="58"/>
      <w:bookmarkEnd w:id="59"/>
      <w:bookmarkEnd w:id="60"/>
      <w:bookmarkEnd w:id="61"/>
      <w:bookmarkEnd w:id="62"/>
      <w:bookmarkEnd w:id="63"/>
    </w:p>
    <w:p w14:paraId="31A0277A" w14:textId="10D98486" w:rsidR="000B0AC7" w:rsidRPr="00943A80" w:rsidRDefault="000B0AC7" w:rsidP="006258ED">
      <w:pPr>
        <w:pStyle w:val="Caption"/>
        <w:rPr>
          <w:szCs w:val="22"/>
        </w:rPr>
      </w:pPr>
      <w:bookmarkStart w:id="64" w:name="_Hlk82422753"/>
      <w:r w:rsidRPr="00943A80">
        <w:rPr>
          <w:rStyle w:val="CaptionLabel"/>
          <w:szCs w:val="22"/>
        </w:rPr>
        <w:t>Key Finding </w:t>
      </w:r>
      <w:r w:rsidRPr="00943A80">
        <w:rPr>
          <w:rStyle w:val="CaptionLabel"/>
          <w:szCs w:val="22"/>
        </w:rPr>
        <w:fldChar w:fldCharType="begin"/>
      </w:r>
      <w:r w:rsidRPr="00943A80">
        <w:rPr>
          <w:rStyle w:val="CaptionLabel"/>
          <w:szCs w:val="22"/>
        </w:rPr>
        <w:instrText xml:space="preserve"> SEQ Key_Finding \* ARABIC  \* MERGEFORMAT </w:instrText>
      </w:r>
      <w:r w:rsidRPr="00943A80">
        <w:rPr>
          <w:rStyle w:val="CaptionLabel"/>
          <w:szCs w:val="22"/>
        </w:rPr>
        <w:fldChar w:fldCharType="separate"/>
      </w:r>
      <w:r>
        <w:rPr>
          <w:rStyle w:val="CaptionLabel"/>
          <w:noProof/>
          <w:szCs w:val="22"/>
        </w:rPr>
        <w:t>1</w:t>
      </w:r>
      <w:r w:rsidRPr="00943A80">
        <w:rPr>
          <w:rStyle w:val="CaptionLabel"/>
          <w:szCs w:val="22"/>
        </w:rPr>
        <w:fldChar w:fldCharType="end"/>
      </w:r>
      <w:r w:rsidRPr="00943A80">
        <w:rPr>
          <w:szCs w:val="22"/>
        </w:rPr>
        <w:tab/>
        <w:t>Modelled economic impacts</w:t>
      </w:r>
    </w:p>
    <w:tbl>
      <w:tblPr>
        <w:tblStyle w:val="aacTableBox"/>
        <w:tblW w:w="0" w:type="auto"/>
        <w:tblLayout w:type="fixed"/>
        <w:tblLook w:val="04A0" w:firstRow="1" w:lastRow="0" w:firstColumn="1" w:lastColumn="0" w:noHBand="0" w:noVBand="1"/>
        <w:tblCaption w:val="Key Finding 1"/>
        <w:tblDescription w:val="Modelled economic impacts"/>
      </w:tblPr>
      <w:tblGrid>
        <w:gridCol w:w="7936"/>
      </w:tblGrid>
      <w:tr w:rsidR="002B32A0" w:rsidRPr="001A6DB5" w14:paraId="5079A524" w14:textId="77777777" w:rsidTr="000B0AC7">
        <w:tc>
          <w:tcPr>
            <w:tcW w:w="7936" w:type="dxa"/>
          </w:tcPr>
          <w:p w14:paraId="56F3D268" w14:textId="77777777" w:rsidR="002B32A0" w:rsidRPr="001A6DB5" w:rsidRDefault="002B32A0" w:rsidP="00D72691">
            <w:pPr>
              <w:pStyle w:val="BoxText"/>
            </w:pPr>
            <w:r w:rsidRPr="001A6DB5">
              <w:t>The NCGP is projected to provide significant benefits to the Australian economy by:</w:t>
            </w:r>
          </w:p>
          <w:p w14:paraId="62DBC5AF" w14:textId="77777777" w:rsidR="002B32A0" w:rsidRPr="007D6154" w:rsidRDefault="002B32A0" w:rsidP="00D72691">
            <w:pPr>
              <w:pStyle w:val="BoxListBullet"/>
            </w:pPr>
            <w:r>
              <w:rPr>
                <w:b/>
                <w:bCs/>
              </w:rPr>
              <w:t>G</w:t>
            </w:r>
            <w:r w:rsidRPr="007D6154">
              <w:rPr>
                <w:b/>
                <w:bCs/>
              </w:rPr>
              <w:t>enerating substantial economic activity</w:t>
            </w:r>
            <w:r w:rsidRPr="007D6154">
              <w:t xml:space="preserve">, particularly for a single research program. For </w:t>
            </w:r>
            <w:r w:rsidRPr="007D6154">
              <w:rPr>
                <w:rStyle w:val="CaptionLabel"/>
                <w:b w:val="0"/>
                <w:bCs/>
              </w:rPr>
              <w:t>grants awarded between 2002 and 2021</w:t>
            </w:r>
            <w:r>
              <w:rPr>
                <w:rStyle w:val="CaptionLabel"/>
                <w:b w:val="0"/>
                <w:bCs/>
              </w:rPr>
              <w:t>,</w:t>
            </w:r>
            <w:r w:rsidRPr="007D6154">
              <w:t xml:space="preserve"> it will boost Australia’s economic output (GDP) by $184.3 billion</w:t>
            </w:r>
            <w:r>
              <w:t xml:space="preserve"> over the lifetime of the research benefits</w:t>
            </w:r>
            <w:r w:rsidRPr="007D6154">
              <w:t>. The present value of this change ($33.6 billion) is equivalent to approximately 1.5% of Australia’s current GDP</w:t>
            </w:r>
            <w:r>
              <w:t>.</w:t>
            </w:r>
          </w:p>
          <w:p w14:paraId="243BA59D" w14:textId="77777777" w:rsidR="002B32A0" w:rsidRPr="007D6154" w:rsidRDefault="002B32A0" w:rsidP="00D72691">
            <w:pPr>
              <w:pStyle w:val="BoxListBullet"/>
            </w:pPr>
            <w:r>
              <w:rPr>
                <w:b/>
                <w:bCs/>
              </w:rPr>
              <w:t>R</w:t>
            </w:r>
            <w:r w:rsidRPr="007D6154">
              <w:rPr>
                <w:b/>
                <w:bCs/>
              </w:rPr>
              <w:t>aising economic welfare across Australia</w:t>
            </w:r>
            <w:r w:rsidRPr="007D6154">
              <w:t xml:space="preserve">. In particular, it is projected that the NCGP </w:t>
            </w:r>
            <w:r>
              <w:t xml:space="preserve">(for grants awarded 2002-21) </w:t>
            </w:r>
            <w:r w:rsidRPr="007D6154">
              <w:t>will increase the real income of Australians by a cumulative total of $152.5 billion. The value today of this whole of life impact</w:t>
            </w:r>
            <w:r w:rsidRPr="007D6154">
              <w:rPr>
                <w:rStyle w:val="FootnoteReference"/>
              </w:rPr>
              <w:footnoteReference w:id="19"/>
            </w:r>
            <w:r w:rsidRPr="007D6154">
              <w:t xml:space="preserve"> is equivalent to</w:t>
            </w:r>
            <w:r>
              <w:t xml:space="preserve"> a one-time</w:t>
            </w:r>
            <w:r w:rsidRPr="007D6154">
              <w:t xml:space="preserve"> increas</w:t>
            </w:r>
            <w:r>
              <w:t>e in</w:t>
            </w:r>
            <w:r w:rsidRPr="007D6154">
              <w:t xml:space="preserve"> the average income of </w:t>
            </w:r>
            <w:r w:rsidRPr="007D6154">
              <w:rPr>
                <w:i/>
                <w:iCs/>
                <w:u w:val="single"/>
              </w:rPr>
              <w:t>all</w:t>
            </w:r>
            <w:r w:rsidRPr="007D6154">
              <w:t xml:space="preserve"> Australians by approximately $1,171 per person.</w:t>
            </w:r>
          </w:p>
          <w:p w14:paraId="1F4D461D" w14:textId="77777777" w:rsidR="002B32A0" w:rsidRPr="007D6154" w:rsidRDefault="002B32A0" w:rsidP="00D72691">
            <w:pPr>
              <w:pStyle w:val="BoxListBullet"/>
            </w:pPr>
            <w:r>
              <w:rPr>
                <w:b/>
                <w:bCs/>
              </w:rPr>
              <w:t>G</w:t>
            </w:r>
            <w:r w:rsidRPr="007D6154">
              <w:rPr>
                <w:b/>
                <w:bCs/>
              </w:rPr>
              <w:t>enerating significant employment opportunities</w:t>
            </w:r>
            <w:r w:rsidRPr="007D6154">
              <w:t xml:space="preserve">. For </w:t>
            </w:r>
            <w:r w:rsidRPr="007D6154">
              <w:rPr>
                <w:rStyle w:val="CaptionLabel"/>
                <w:b w:val="0"/>
                <w:bCs/>
              </w:rPr>
              <w:t>grants awarded between 2002 and 2021</w:t>
            </w:r>
            <w:r w:rsidRPr="007D6154">
              <w:t>, the NCGP will increase total employment, creating around 6,570 FTE jobs per year across Australia.</w:t>
            </w:r>
          </w:p>
          <w:p w14:paraId="72878459" w14:textId="77777777" w:rsidR="002B32A0" w:rsidRPr="007D6154" w:rsidRDefault="002B32A0" w:rsidP="00D72691">
            <w:pPr>
              <w:pStyle w:val="BoxListBullet"/>
            </w:pPr>
            <w:r>
              <w:rPr>
                <w:b/>
                <w:bCs/>
              </w:rPr>
              <w:t>P</w:t>
            </w:r>
            <w:r w:rsidRPr="007D6154">
              <w:rPr>
                <w:b/>
                <w:bCs/>
              </w:rPr>
              <w:t>roviding</w:t>
            </w:r>
            <w:r w:rsidRPr="007D6154">
              <w:t xml:space="preserve"> </w:t>
            </w:r>
            <w:r w:rsidRPr="007D6154">
              <w:rPr>
                <w:b/>
                <w:bCs/>
              </w:rPr>
              <w:t>significant value for money</w:t>
            </w:r>
            <w:r w:rsidRPr="007D6154">
              <w:t>. For every dollar the Australian Government awarded through the NCGP from 2002-2021, funded projects generated $3.32 in additional economic output (GDP).</w:t>
            </w:r>
          </w:p>
          <w:p w14:paraId="53ED44EA" w14:textId="77777777" w:rsidR="002B32A0" w:rsidRPr="001A6DB5" w:rsidRDefault="002B32A0" w:rsidP="006258ED">
            <w:pPr>
              <w:pStyle w:val="BoxText"/>
              <w:rPr>
                <w:szCs w:val="20"/>
              </w:rPr>
            </w:pPr>
            <w:r w:rsidRPr="001A6DB5">
              <w:rPr>
                <w:sz w:val="22"/>
              </w:rPr>
              <w:t>These estimated economic impacts understate the overall benefits of the NCGP as they do not account for the social and environmental impacts associated with research projects funded by the ARC.</w:t>
            </w:r>
          </w:p>
        </w:tc>
      </w:tr>
    </w:tbl>
    <w:p w14:paraId="2E759926" w14:textId="77777777" w:rsidR="000B0AC7" w:rsidRPr="00CE1D7F" w:rsidRDefault="000B0AC7" w:rsidP="006258ED">
      <w:pPr>
        <w:pStyle w:val="Source"/>
      </w:pPr>
    </w:p>
    <w:p w14:paraId="1A8C2EE0" w14:textId="77777777" w:rsidR="002B32A0" w:rsidRPr="00CE1D7F" w:rsidRDefault="002B32A0" w:rsidP="002B32A0">
      <w:pPr>
        <w:pStyle w:val="BodyText"/>
      </w:pPr>
      <w:r w:rsidRPr="00CE1D7F">
        <w:t xml:space="preserve">This </w:t>
      </w:r>
      <w:r>
        <w:t>section </w:t>
      </w:r>
      <w:r w:rsidRPr="00CE1D7F">
        <w:t xml:space="preserve">characterises the economic impact of ARC-funded research. </w:t>
      </w:r>
    </w:p>
    <w:p w14:paraId="0EEEF7DB" w14:textId="77777777" w:rsidR="002B32A0" w:rsidRPr="00CE1D7F" w:rsidRDefault="002B32A0" w:rsidP="00D72691">
      <w:pPr>
        <w:pStyle w:val="Heading3"/>
        <w:keepNext w:val="0"/>
        <w:keepLines w:val="0"/>
      </w:pPr>
      <w:bookmarkStart w:id="65" w:name="_Ref82592568"/>
      <w:bookmarkStart w:id="66" w:name="_Toc119494181"/>
      <w:r w:rsidRPr="00CE1D7F">
        <w:t>Economic impacts</w:t>
      </w:r>
      <w:bookmarkEnd w:id="65"/>
      <w:bookmarkEnd w:id="66"/>
    </w:p>
    <w:p w14:paraId="00A7540B" w14:textId="77777777" w:rsidR="002B32A0" w:rsidRPr="00CE1D7F" w:rsidRDefault="002B32A0" w:rsidP="00D72691">
      <w:pPr>
        <w:pStyle w:val="BodyText"/>
      </w:pPr>
      <w:bookmarkStart w:id="67" w:name="_Toc78022970"/>
      <w:r w:rsidRPr="00CE1D7F">
        <w:t xml:space="preserve">Research funded by the ARC is varied and can have </w:t>
      </w:r>
      <w:r>
        <w:t>various</w:t>
      </w:r>
      <w:r w:rsidRPr="00CE1D7F">
        <w:t xml:space="preserve"> impacts. Impacts can be:</w:t>
      </w:r>
    </w:p>
    <w:p w14:paraId="2E4FE86A" w14:textId="77777777" w:rsidR="002B32A0" w:rsidRPr="00CE1D7F" w:rsidRDefault="002B32A0" w:rsidP="00D72691">
      <w:pPr>
        <w:pStyle w:val="ListBullet"/>
        <w:numPr>
          <w:ilvl w:val="0"/>
          <w:numId w:val="46"/>
        </w:numPr>
      </w:pPr>
      <w:r w:rsidRPr="00CE1D7F">
        <w:t>economic</w:t>
      </w:r>
      <w:r>
        <w:t>:</w:t>
      </w:r>
      <w:r w:rsidRPr="00CE1D7F">
        <w:t xml:space="preserve"> impacts that can be given a measurable and specific asset value captured by economic actors (e.g. changes in gross domestic product or employment)</w:t>
      </w:r>
    </w:p>
    <w:p w14:paraId="4A93E9C0" w14:textId="77777777" w:rsidR="002B32A0" w:rsidRPr="00CE1D7F" w:rsidRDefault="002B32A0" w:rsidP="00D72691">
      <w:pPr>
        <w:pStyle w:val="ListBullet"/>
        <w:numPr>
          <w:ilvl w:val="0"/>
          <w:numId w:val="46"/>
        </w:numPr>
      </w:pPr>
      <w:r w:rsidRPr="00CE1D7F">
        <w:t>research capacity</w:t>
      </w:r>
      <w:r>
        <w:t>:</w:t>
      </w:r>
      <w:r w:rsidRPr="00CE1D7F">
        <w:t xml:space="preserve"> impacts on the contribution to knowledge, training and collaboration</w:t>
      </w:r>
    </w:p>
    <w:p w14:paraId="277B356B" w14:textId="77777777" w:rsidR="002B32A0" w:rsidRPr="00CE1D7F" w:rsidRDefault="002B32A0" w:rsidP="00D72691">
      <w:pPr>
        <w:pStyle w:val="ListBullet"/>
        <w:numPr>
          <w:ilvl w:val="0"/>
          <w:numId w:val="46"/>
        </w:numPr>
      </w:pPr>
      <w:r w:rsidRPr="00CE1D7F">
        <w:t>social</w:t>
      </w:r>
      <w:r>
        <w:t>:</w:t>
      </w:r>
      <w:r w:rsidRPr="00CE1D7F">
        <w:t xml:space="preserve"> impacts on the wellbeing of the wider community (e.g. changes in community resilience)</w:t>
      </w:r>
    </w:p>
    <w:p w14:paraId="3CBD10C1" w14:textId="77777777" w:rsidR="002B32A0" w:rsidRPr="00CE1D7F" w:rsidRDefault="002B32A0" w:rsidP="00D72691">
      <w:pPr>
        <w:pStyle w:val="ListBullet"/>
        <w:numPr>
          <w:ilvl w:val="0"/>
          <w:numId w:val="46"/>
        </w:numPr>
      </w:pPr>
      <w:r w:rsidRPr="00CE1D7F">
        <w:t>environmental</w:t>
      </w:r>
      <w:r>
        <w:t>:</w:t>
      </w:r>
      <w:r w:rsidRPr="00CE1D7F">
        <w:t xml:space="preserve"> impacts on natural systems, including ecosystems, land, air and water</w:t>
      </w:r>
    </w:p>
    <w:p w14:paraId="3C388F82" w14:textId="77777777" w:rsidR="002B32A0" w:rsidRPr="00CE1D7F" w:rsidRDefault="002B32A0" w:rsidP="002B32A0">
      <w:pPr>
        <w:pStyle w:val="ListBullet"/>
        <w:numPr>
          <w:ilvl w:val="0"/>
          <w:numId w:val="46"/>
        </w:numPr>
      </w:pPr>
      <w:r w:rsidRPr="00CE1D7F">
        <w:t>cultural</w:t>
      </w:r>
      <w:r>
        <w:t>:</w:t>
      </w:r>
      <w:r w:rsidRPr="00CE1D7F">
        <w:t xml:space="preserve"> impacts on cultural understanding, preservation and creativity.</w:t>
      </w:r>
    </w:p>
    <w:p w14:paraId="60E64E6F" w14:textId="075BBC50" w:rsidR="002B32A0" w:rsidRPr="00CE1D7F" w:rsidRDefault="002B32A0" w:rsidP="002B32A0">
      <w:pPr>
        <w:pStyle w:val="BodyText"/>
      </w:pPr>
      <w:r w:rsidRPr="00CE1D7F">
        <w:lastRenderedPageBreak/>
        <w:t xml:space="preserve">Examples of impacts across these categories are provided in </w:t>
      </w:r>
      <w:r w:rsidRPr="00F87D0E">
        <w:fldChar w:fldCharType="begin"/>
      </w:r>
      <w:r w:rsidRPr="00F87D0E">
        <w:instrText xml:space="preserve"> REF _Ref129598297 \h  \* MERGEFORMAT </w:instrText>
      </w:r>
      <w:r w:rsidRPr="00F87D0E">
        <w:fldChar w:fldCharType="separate"/>
      </w:r>
      <w:r w:rsidR="000B0AC7" w:rsidRPr="000B0AC7">
        <w:t>Figure 2.1</w:t>
      </w:r>
      <w:r w:rsidRPr="00F87D0E">
        <w:fldChar w:fldCharType="end"/>
      </w:r>
      <w:r w:rsidRPr="00CE1D7F">
        <w:t xml:space="preserve">. Importantly, it is not always possible to quantify or monetise all of these impacts (e.g. impacts on community resilience as a result of a research project would be challenging to quantify and monetise). However, as noted by the Department of the Prime Minister and Cabinet’s Guide to Cost-Benefit Analysis (CBA), </w:t>
      </w:r>
      <w:r w:rsidRPr="00474A9A">
        <w:t>‘</w:t>
      </w:r>
      <w:r w:rsidRPr="00A014AC">
        <w:t>The fact that some impacts may be very difficult to quantify in dollar terms does not invalidate the CBA approach. In such cases, a detailed qualitative analysis will often be most appropriate in place of dollar values</w:t>
      </w:r>
      <w:r>
        <w:t>’</w:t>
      </w:r>
      <w:r w:rsidRPr="00A014AC">
        <w:t>.</w:t>
      </w:r>
      <w:r w:rsidRPr="00474A9A">
        <w:rPr>
          <w:rStyle w:val="FootnoteReference"/>
        </w:rPr>
        <w:footnoteReference w:id="20"/>
      </w:r>
      <w:r w:rsidRPr="00CE1D7F">
        <w:t xml:space="preserve"> Qualitative consideration of impacts is important for recognising that those impacts exist and have value. </w:t>
      </w:r>
    </w:p>
    <w:p w14:paraId="7E5BDADA" w14:textId="77777777" w:rsidR="002B32A0" w:rsidRPr="00CE1D7F" w:rsidRDefault="002B32A0" w:rsidP="002B32A0">
      <w:pPr>
        <w:pStyle w:val="BodyText"/>
      </w:pPr>
      <w:r w:rsidRPr="00CE1D7F">
        <w:t xml:space="preserve">In this analysis, </w:t>
      </w:r>
      <w:bookmarkStart w:id="68" w:name="_Hlk129601813"/>
      <w:r w:rsidRPr="00CE1D7F">
        <w:t xml:space="preserve">research capacity, social, environmental and cultural impacts associated with research projects funded by the ARC have not been monetised. As a result, the economic impacts reported in this </w:t>
      </w:r>
      <w:r>
        <w:t>chapter </w:t>
      </w:r>
      <w:r w:rsidRPr="00CE1D7F">
        <w:t xml:space="preserve">understate the overall benefits of the NCGP. </w:t>
      </w:r>
      <w:bookmarkEnd w:id="68"/>
    </w:p>
    <w:p w14:paraId="24E7D7EE" w14:textId="77777777" w:rsidR="002B32A0" w:rsidRPr="00CE1D7F" w:rsidRDefault="002B32A0" w:rsidP="002B32A0">
      <w:pPr>
        <w:pStyle w:val="BodyText"/>
      </w:pPr>
      <w:r w:rsidRPr="00CE1D7F">
        <w:t>The economic impacts measured in this report can be divided into 2 categories:</w:t>
      </w:r>
    </w:p>
    <w:p w14:paraId="6D538D51" w14:textId="77777777" w:rsidR="002B32A0" w:rsidRPr="00CE1D7F" w:rsidRDefault="002B32A0" w:rsidP="002B32A0">
      <w:pPr>
        <w:pStyle w:val="ListBullet"/>
        <w:numPr>
          <w:ilvl w:val="0"/>
          <w:numId w:val="46"/>
        </w:numPr>
      </w:pPr>
      <w:r w:rsidRPr="00CE1D7F">
        <w:t>Direct impacts of ARC-funded research, which refer to changes directly attributed to the research outputs (for instance, cost saved due to the use of a new production method).</w:t>
      </w:r>
    </w:p>
    <w:p w14:paraId="39613DAF" w14:textId="77777777" w:rsidR="002B32A0" w:rsidRPr="00CE1D7F" w:rsidRDefault="002B32A0" w:rsidP="002B32A0">
      <w:pPr>
        <w:pStyle w:val="ListBullet"/>
        <w:numPr>
          <w:ilvl w:val="0"/>
          <w:numId w:val="46"/>
        </w:numPr>
      </w:pPr>
      <w:r w:rsidRPr="00CE1D7F">
        <w:t>Economy-wide impacts, which refer to the indirect impacts of ARC-funded research on the economy. As the direct impacts of research are propagated throughout the economy, this stimulates investment, jobs and further economic growth.</w:t>
      </w:r>
    </w:p>
    <w:p w14:paraId="7B7BB7D3" w14:textId="2C2B1172" w:rsidR="000B0AC7" w:rsidRPr="00CE1D7F" w:rsidRDefault="000B0AC7" w:rsidP="000B0AC7">
      <w:pPr>
        <w:pStyle w:val="Caption"/>
        <w:ind w:left="-677" w:hanging="1308"/>
        <w:rPr>
          <w:rStyle w:val="CaptionLabel"/>
        </w:rPr>
      </w:pPr>
      <w:bookmarkStart w:id="69" w:name="_Ref129598297"/>
      <w:r w:rsidRPr="00CE1D7F">
        <w:rPr>
          <w:rStyle w:val="CaptionLabel"/>
        </w:rPr>
        <w:t>Figure </w:t>
      </w:r>
      <w:r w:rsidRPr="00CE1D7F">
        <w:rPr>
          <w:rStyle w:val="CaptionLabel"/>
        </w:rPr>
        <w:fldChar w:fldCharType="begin"/>
      </w:r>
      <w:r w:rsidRPr="00CE1D7F">
        <w:rPr>
          <w:rStyle w:val="CaptionLabel"/>
        </w:rPr>
        <w:instrText xml:space="preserve"> STYLEREF 1 \S \* MERGEFORMAT </w:instrText>
      </w:r>
      <w:r w:rsidRPr="00CE1D7F">
        <w:rPr>
          <w:rStyle w:val="CaptionLabel"/>
        </w:rPr>
        <w:fldChar w:fldCharType="separate"/>
      </w:r>
      <w:r>
        <w:rPr>
          <w:rStyle w:val="CaptionLabel"/>
          <w:noProof/>
        </w:rPr>
        <w:t>2</w:t>
      </w:r>
      <w:r w:rsidRPr="00CE1D7F">
        <w:rPr>
          <w:rStyle w:val="CaptionLabel"/>
        </w:rPr>
        <w:fldChar w:fldCharType="end"/>
      </w:r>
      <w:r w:rsidRPr="00CE1D7F">
        <w:rPr>
          <w:rStyle w:val="CaptionLabel"/>
        </w:rPr>
        <w:t>.</w:t>
      </w:r>
      <w:r w:rsidRPr="00CE1D7F">
        <w:rPr>
          <w:rStyle w:val="CaptionLabel"/>
        </w:rPr>
        <w:fldChar w:fldCharType="begin"/>
      </w:r>
      <w:r w:rsidRPr="00CE1D7F">
        <w:rPr>
          <w:rStyle w:val="CaptionLabel"/>
        </w:rPr>
        <w:instrText xml:space="preserve"> SEQ Figure \* ARABIC \S 1 \* MERGEFORMAT </w:instrText>
      </w:r>
      <w:r w:rsidRPr="00CE1D7F">
        <w:rPr>
          <w:rStyle w:val="CaptionLabel"/>
        </w:rPr>
        <w:fldChar w:fldCharType="separate"/>
      </w:r>
      <w:r>
        <w:rPr>
          <w:rStyle w:val="CaptionLabel"/>
          <w:noProof/>
        </w:rPr>
        <w:t>1</w:t>
      </w:r>
      <w:r w:rsidRPr="00CE1D7F">
        <w:rPr>
          <w:rStyle w:val="CaptionLabel"/>
        </w:rPr>
        <w:fldChar w:fldCharType="end"/>
      </w:r>
      <w:bookmarkEnd w:id="69"/>
      <w:r w:rsidRPr="00CE1D7F">
        <w:rPr>
          <w:rStyle w:val="CaptionLabel"/>
        </w:rPr>
        <w:tab/>
      </w:r>
      <w:r w:rsidRPr="00CE1D7F">
        <w:rPr>
          <w:rStyle w:val="CaptionLabel"/>
          <w:b w:val="0"/>
          <w:bCs/>
        </w:rPr>
        <w:t>Examples of research project impacts</w:t>
      </w:r>
    </w:p>
    <w:tbl>
      <w:tblPr>
        <w:tblStyle w:val="aacTableFigure-Wide"/>
        <w:tblW w:w="9923" w:type="dxa"/>
        <w:tblBorders>
          <w:top w:val="single" w:sz="4" w:space="0" w:color="000000"/>
          <w:bottom w:val="single" w:sz="4" w:space="0" w:color="000000"/>
        </w:tblBorders>
        <w:tblLayout w:type="fixed"/>
        <w:tblLook w:val="04A0" w:firstRow="1" w:lastRow="0" w:firstColumn="1" w:lastColumn="0" w:noHBand="0" w:noVBand="1"/>
      </w:tblPr>
      <w:tblGrid>
        <w:gridCol w:w="9923"/>
      </w:tblGrid>
      <w:tr w:rsidR="002B32A0" w:rsidRPr="00CE1D7F" w14:paraId="76D2E226" w14:textId="77777777" w:rsidTr="000B0AC7">
        <w:tc>
          <w:tcPr>
            <w:tcW w:w="9923" w:type="dxa"/>
            <w:shd w:val="clear" w:color="auto" w:fill="auto"/>
            <w:hideMark/>
          </w:tcPr>
          <w:p w14:paraId="749442C8" w14:textId="77777777" w:rsidR="002B32A0" w:rsidRPr="00CE1D7F" w:rsidRDefault="002B32A0" w:rsidP="006258ED">
            <w:pPr>
              <w:pStyle w:val="Figure"/>
            </w:pPr>
            <w:r w:rsidRPr="00CE1D7F">
              <w:rPr>
                <w:noProof/>
              </w:rPr>
              <w:drawing>
                <wp:inline distT="0" distB="0" distL="0" distR="0" wp14:anchorId="2A01AE3A" wp14:editId="27D513D6">
                  <wp:extent cx="6276975" cy="2981325"/>
                  <wp:effectExtent l="0" t="0" r="9525" b="9525"/>
                  <wp:docPr id="809" name="Picture 809" descr="Examples of research project impacts, see description in text abov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 name="Picture 809" descr="Examples of research project impacts, see description in text above figur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276975" cy="2981325"/>
                          </a:xfrm>
                          <a:prstGeom prst="rect">
                            <a:avLst/>
                          </a:prstGeom>
                          <a:noFill/>
                          <a:ln>
                            <a:noFill/>
                          </a:ln>
                        </pic:spPr>
                      </pic:pic>
                    </a:graphicData>
                  </a:graphic>
                </wp:inline>
              </w:drawing>
            </w:r>
          </w:p>
        </w:tc>
      </w:tr>
    </w:tbl>
    <w:p w14:paraId="3A5A8E08" w14:textId="77777777" w:rsidR="000B0AC7" w:rsidRPr="00CE1D7F" w:rsidRDefault="000B0AC7" w:rsidP="000B0AC7">
      <w:pPr>
        <w:pStyle w:val="Source"/>
        <w:ind w:left="-677" w:hanging="1308"/>
      </w:pPr>
      <w:r>
        <w:rPr>
          <w:noProof/>
        </w:rPr>
        <w:t>Source</w:t>
      </w:r>
      <w:r w:rsidRPr="00CE1D7F">
        <w:t xml:space="preserve">: ACIL Allen. </w:t>
      </w:r>
    </w:p>
    <w:p w14:paraId="3F079914" w14:textId="77777777" w:rsidR="000B0AC7" w:rsidRPr="00CE1D7F" w:rsidRDefault="000B0AC7" w:rsidP="006258ED">
      <w:pPr>
        <w:pStyle w:val="spacer"/>
      </w:pPr>
    </w:p>
    <w:p w14:paraId="28C062BF" w14:textId="77777777" w:rsidR="002B32A0" w:rsidRPr="00CE1D7F" w:rsidRDefault="002B32A0" w:rsidP="00D72691">
      <w:pPr>
        <w:pStyle w:val="Heading3"/>
      </w:pPr>
      <w:bookmarkStart w:id="70" w:name="_Toc80367973"/>
      <w:bookmarkStart w:id="71" w:name="_Toc119494182"/>
      <w:bookmarkEnd w:id="67"/>
      <w:r w:rsidRPr="00CE1D7F">
        <w:t>Analytical framework for economic impact analysis</w:t>
      </w:r>
      <w:bookmarkEnd w:id="70"/>
      <w:bookmarkEnd w:id="71"/>
    </w:p>
    <w:p w14:paraId="7798F4A7" w14:textId="1E018E1C" w:rsidR="002B32A0" w:rsidRPr="00CE1D7F" w:rsidRDefault="002B32A0" w:rsidP="00D72691">
      <w:pPr>
        <w:pStyle w:val="BodyText"/>
        <w:keepNext/>
        <w:keepLines/>
      </w:pPr>
      <w:r w:rsidRPr="00CE1D7F">
        <w:t>The analytical framework used to assess the impact of ARC-funded research on the Australian economy is summarised in</w:t>
      </w:r>
      <w:r>
        <w:t xml:space="preserve"> </w:t>
      </w:r>
      <w:r w:rsidR="005A2DD8">
        <w:t xml:space="preserve">Figure 2.2. </w:t>
      </w:r>
      <w:r w:rsidRPr="00CE1D7F">
        <w:t>This framework shows the main channels through which ARC-funded projects impact the Australian economy. It has been successfully used in many similar studies of research impact undertaken by ACIL Allen over the past decades.</w:t>
      </w:r>
    </w:p>
    <w:p w14:paraId="41EE9E82" w14:textId="77777777" w:rsidR="002B32A0" w:rsidRPr="00CE1D7F" w:rsidRDefault="002B32A0" w:rsidP="002B32A0">
      <w:pPr>
        <w:pStyle w:val="BodyText"/>
      </w:pPr>
      <w:r w:rsidRPr="00CE1D7F">
        <w:t xml:space="preserve">The total (economy-wide) impacts of ARC-funded research were estimated using ACIL Allen’s CGE model of the Australian economy, the </w:t>
      </w:r>
      <w:r w:rsidRPr="00CE1D7F">
        <w:rPr>
          <w:i/>
          <w:iCs/>
        </w:rPr>
        <w:t xml:space="preserve">Tasman Global </w:t>
      </w:r>
      <w:r w:rsidRPr="00CE1D7F">
        <w:t>model</w:t>
      </w:r>
      <w:r>
        <w:t xml:space="preserve"> (detail is provided in chapter 4 of the technical supplement to this report.)</w:t>
      </w:r>
      <w:r w:rsidRPr="00CE1D7F">
        <w:t xml:space="preserve">. </w:t>
      </w:r>
    </w:p>
    <w:p w14:paraId="25031FA0" w14:textId="3E012ACB" w:rsidR="000B0AC7" w:rsidRPr="00CE1D7F" w:rsidRDefault="000B0AC7" w:rsidP="000B0AC7">
      <w:pPr>
        <w:pStyle w:val="Caption"/>
        <w:ind w:left="-677" w:hanging="1308"/>
      </w:pPr>
      <w:bookmarkStart w:id="72" w:name="_Ref129789049"/>
      <w:r w:rsidRPr="00CE1D7F">
        <w:rPr>
          <w:rStyle w:val="CaptionLabel"/>
        </w:rPr>
        <w:lastRenderedPageBreak/>
        <w:t>Figure </w:t>
      </w:r>
      <w:r w:rsidRPr="00CE1D7F">
        <w:fldChar w:fldCharType="begin"/>
      </w:r>
      <w:r w:rsidRPr="00CE1D7F">
        <w:rPr>
          <w:rStyle w:val="CaptionLabel"/>
        </w:rPr>
        <w:instrText xml:space="preserve"> STYLEREF 1 \S \* MERGEFORMAT </w:instrText>
      </w:r>
      <w:r w:rsidRPr="00CE1D7F">
        <w:fldChar w:fldCharType="separate"/>
      </w:r>
      <w:r>
        <w:rPr>
          <w:rStyle w:val="CaptionLabel"/>
          <w:noProof/>
        </w:rPr>
        <w:t>2</w:t>
      </w:r>
      <w:r w:rsidRPr="00CE1D7F">
        <w:fldChar w:fldCharType="end"/>
      </w:r>
      <w:r w:rsidRPr="00CE1D7F">
        <w:rPr>
          <w:rStyle w:val="CaptionLabel"/>
        </w:rPr>
        <w:t>.</w:t>
      </w:r>
      <w:r w:rsidRPr="00CE1D7F">
        <w:fldChar w:fldCharType="begin"/>
      </w:r>
      <w:r w:rsidRPr="00CE1D7F">
        <w:rPr>
          <w:rStyle w:val="CaptionLabel"/>
        </w:rPr>
        <w:instrText xml:space="preserve"> SEQ Figure \* ARABIC \S 1 \* MERGEFORMAT </w:instrText>
      </w:r>
      <w:r w:rsidRPr="00CE1D7F">
        <w:fldChar w:fldCharType="separate"/>
      </w:r>
      <w:r>
        <w:rPr>
          <w:rStyle w:val="CaptionLabel"/>
          <w:noProof/>
        </w:rPr>
        <w:t>2</w:t>
      </w:r>
      <w:r w:rsidRPr="00CE1D7F">
        <w:fldChar w:fldCharType="end"/>
      </w:r>
      <w:bookmarkEnd w:id="72"/>
      <w:r w:rsidRPr="00CE1D7F">
        <w:tab/>
        <w:t>Analytical framework</w:t>
      </w:r>
    </w:p>
    <w:tbl>
      <w:tblPr>
        <w:tblStyle w:val="aacTableFigure-Wide"/>
        <w:tblW w:w="0" w:type="auto"/>
        <w:tblBorders>
          <w:top w:val="single" w:sz="4" w:space="0" w:color="000000"/>
          <w:bottom w:val="single" w:sz="4" w:space="0" w:color="000000"/>
        </w:tblBorders>
        <w:tblLayout w:type="fixed"/>
        <w:tblLook w:val="04A0" w:firstRow="1" w:lastRow="0" w:firstColumn="1" w:lastColumn="0" w:noHBand="0" w:noVBand="1"/>
      </w:tblPr>
      <w:tblGrid>
        <w:gridCol w:w="9921"/>
      </w:tblGrid>
      <w:tr w:rsidR="002B32A0" w:rsidRPr="00CE1D7F" w14:paraId="6F411804" w14:textId="77777777" w:rsidTr="000B0AC7">
        <w:tc>
          <w:tcPr>
            <w:tcW w:w="9921" w:type="dxa"/>
            <w:shd w:val="clear" w:color="auto" w:fill="auto"/>
          </w:tcPr>
          <w:p w14:paraId="1B7EEC6F" w14:textId="77777777" w:rsidR="002B32A0" w:rsidRPr="00CE1D7F" w:rsidRDefault="002B32A0" w:rsidP="006258ED">
            <w:pPr>
              <w:pStyle w:val="Figure"/>
              <w:jc w:val="center"/>
            </w:pPr>
            <w:r w:rsidRPr="00CE1D7F">
              <w:rPr>
                <w:noProof/>
              </w:rPr>
              <w:drawing>
                <wp:inline distT="0" distB="0" distL="0" distR="0" wp14:anchorId="2DE4EC3A" wp14:editId="39F5C6A3">
                  <wp:extent cx="6282055" cy="3978275"/>
                  <wp:effectExtent l="0" t="0" r="4445" b="3175"/>
                  <wp:docPr id="232" name="Picture 232" descr="Analytical framework, see description in text abov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 232" descr="Analytical framework, see description in text above figure."/>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282055" cy="3978275"/>
                          </a:xfrm>
                          <a:prstGeom prst="rect">
                            <a:avLst/>
                          </a:prstGeom>
                          <a:noFill/>
                          <a:ln>
                            <a:noFill/>
                          </a:ln>
                        </pic:spPr>
                      </pic:pic>
                    </a:graphicData>
                  </a:graphic>
                </wp:inline>
              </w:drawing>
            </w:r>
          </w:p>
        </w:tc>
      </w:tr>
    </w:tbl>
    <w:p w14:paraId="40CDCE15" w14:textId="77777777" w:rsidR="000B0AC7" w:rsidRPr="00CE1D7F" w:rsidRDefault="000B0AC7" w:rsidP="000B0AC7">
      <w:pPr>
        <w:pStyle w:val="Source"/>
        <w:ind w:left="-677" w:hanging="1308"/>
      </w:pPr>
      <w:r w:rsidRPr="00CE1D7F">
        <w:t>Source: ACIL Allen.</w:t>
      </w:r>
    </w:p>
    <w:p w14:paraId="3267CC2E" w14:textId="77777777" w:rsidR="000B0AC7" w:rsidRPr="00CE1D7F" w:rsidRDefault="000B0AC7" w:rsidP="006258ED">
      <w:pPr>
        <w:pStyle w:val="spacer"/>
      </w:pPr>
    </w:p>
    <w:p w14:paraId="4875FD3A" w14:textId="77777777" w:rsidR="002B32A0" w:rsidRPr="00CE1D7F" w:rsidRDefault="002B32A0" w:rsidP="002B32A0">
      <w:pPr>
        <w:pStyle w:val="Heading4"/>
        <w:rPr>
          <w:szCs w:val="24"/>
        </w:rPr>
      </w:pPr>
      <w:bookmarkStart w:id="73" w:name="_Toc80367974"/>
      <w:bookmarkStart w:id="74" w:name="_Toc119494183"/>
      <w:r w:rsidRPr="00CE1D7F">
        <w:t>Tasman Global</w:t>
      </w:r>
    </w:p>
    <w:p w14:paraId="71807974" w14:textId="77777777" w:rsidR="002B32A0" w:rsidRPr="00CE1D7F" w:rsidRDefault="002B32A0" w:rsidP="002B32A0">
      <w:pPr>
        <w:pStyle w:val="BodyText"/>
      </w:pPr>
      <w:r w:rsidRPr="00CE1D7F">
        <w:rPr>
          <w:i/>
        </w:rPr>
        <w:t>Tasman Global</w:t>
      </w:r>
      <w:r w:rsidRPr="00CE1D7F">
        <w:t xml:space="preserve"> is a large-scale, dynamic CGE model of the world economy developed in-house by ACIL Allen and allows for economic analysis to be conducted at the regional, state, national and global levels. Detail on Tasman Global is provided in </w:t>
      </w:r>
      <w:r>
        <w:t xml:space="preserve">chapter 4 of </w:t>
      </w:r>
      <w:r w:rsidRPr="00CE1D7F">
        <w:t>the technical supplement to this report.</w:t>
      </w:r>
    </w:p>
    <w:p w14:paraId="68C039BE" w14:textId="77777777" w:rsidR="002B32A0" w:rsidRPr="00CE1D7F" w:rsidRDefault="002B32A0" w:rsidP="002B32A0">
      <w:pPr>
        <w:pStyle w:val="BodyText"/>
      </w:pPr>
      <w:r w:rsidRPr="00CE1D7F">
        <w:t xml:space="preserve">CGE models mimic the workings of the economy through a system of interdependent behavioural and accounting equations linked to an input-output database. These models provide a representation of the whole economy, set in a national and international trading context, starting with individual markets, producers and consumers and building up the system via demand and production from each component. When an economic shock or disturbance is applied to the model, each of the markets adjusts according to the set of behavioural parameters, which are underpinned by economic theory. </w:t>
      </w:r>
    </w:p>
    <w:p w14:paraId="31742FBA" w14:textId="59CB275C" w:rsidR="002B32A0" w:rsidRPr="00CE1D7F" w:rsidRDefault="002B32A0" w:rsidP="002B32A0">
      <w:pPr>
        <w:pStyle w:val="BodyText"/>
      </w:pPr>
      <w:r w:rsidRPr="00CE1D7F">
        <w:t xml:space="preserve">In applications of the </w:t>
      </w:r>
      <w:r w:rsidRPr="00CE1D7F">
        <w:rPr>
          <w:i/>
        </w:rPr>
        <w:t>Tasman Global</w:t>
      </w:r>
      <w:r w:rsidRPr="00CE1D7F">
        <w:t xml:space="preserve"> model, a reference case simulation forms a ‘business-as-usual’ basis with which to compare the results of various simulations (herein referred to as the Base Case). The Base Case provides projections of growth in the absence of the program being analysed (such as GDP, population, labour supply, industry output, etc.) and provides projections of endogenous variables such as productivity changes and consumer preferences. The program case assumes all productivity improvements, tax rates, and consumer preferences change as per the Base Case projections but also includes the program being evaluated (in this case, the NCGP). The 2 scenarios give projections of the economy, and the net impact of the program is then calculated as deviations from the reference case (see </w:t>
      </w:r>
      <w:r w:rsidRPr="00F87D0E">
        <w:fldChar w:fldCharType="begin"/>
      </w:r>
      <w:r w:rsidRPr="00F87D0E">
        <w:instrText xml:space="preserve"> REF _Ref129807679 \h  \* MERGEFORMAT </w:instrText>
      </w:r>
      <w:r w:rsidRPr="00F87D0E">
        <w:fldChar w:fldCharType="separate"/>
      </w:r>
      <w:r w:rsidR="000B0AC7" w:rsidRPr="000B0AC7">
        <w:t>Figure 2.3</w:t>
      </w:r>
      <w:r w:rsidRPr="00F87D0E">
        <w:fldChar w:fldCharType="end"/>
      </w:r>
      <w:r w:rsidRPr="00CE1D7F">
        <w:t xml:space="preserve">). </w:t>
      </w:r>
    </w:p>
    <w:p w14:paraId="6EB392E5" w14:textId="54712285" w:rsidR="000B0AC7" w:rsidRPr="00CE1D7F" w:rsidRDefault="000B0AC7" w:rsidP="000B0AC7">
      <w:pPr>
        <w:pStyle w:val="Caption"/>
        <w:ind w:left="1308" w:hanging="1308"/>
      </w:pPr>
      <w:bookmarkStart w:id="75" w:name="_Ref129807679"/>
      <w:bookmarkStart w:id="76" w:name="_Hlk129702102"/>
      <w:r w:rsidRPr="00CE1D7F">
        <w:rPr>
          <w:rStyle w:val="CaptionLabel"/>
        </w:rPr>
        <w:lastRenderedPageBreak/>
        <w:t>Figure </w:t>
      </w:r>
      <w:r w:rsidRPr="00CE1D7F">
        <w:fldChar w:fldCharType="begin"/>
      </w:r>
      <w:r w:rsidRPr="00CE1D7F">
        <w:rPr>
          <w:rStyle w:val="CaptionLabel"/>
        </w:rPr>
        <w:instrText xml:space="preserve"> STYLEREF 1 \S \* MERGEFORMAT </w:instrText>
      </w:r>
      <w:r w:rsidRPr="00CE1D7F">
        <w:fldChar w:fldCharType="separate"/>
      </w:r>
      <w:r>
        <w:rPr>
          <w:rStyle w:val="CaptionLabel"/>
          <w:noProof/>
        </w:rPr>
        <w:t>2</w:t>
      </w:r>
      <w:r w:rsidRPr="00CE1D7F">
        <w:fldChar w:fldCharType="end"/>
      </w:r>
      <w:r w:rsidRPr="00CE1D7F">
        <w:rPr>
          <w:rStyle w:val="CaptionLabel"/>
        </w:rPr>
        <w:t>.</w:t>
      </w:r>
      <w:r w:rsidRPr="00CE1D7F">
        <w:fldChar w:fldCharType="begin"/>
      </w:r>
      <w:r w:rsidRPr="00CE1D7F">
        <w:rPr>
          <w:rStyle w:val="CaptionLabel"/>
        </w:rPr>
        <w:instrText xml:space="preserve"> SEQ Figure \* ARABIC \S 1 \* MERGEFORMAT </w:instrText>
      </w:r>
      <w:r w:rsidRPr="00CE1D7F">
        <w:fldChar w:fldCharType="separate"/>
      </w:r>
      <w:r>
        <w:rPr>
          <w:rStyle w:val="CaptionLabel"/>
          <w:noProof/>
        </w:rPr>
        <w:t>3</w:t>
      </w:r>
      <w:r w:rsidRPr="00CE1D7F">
        <w:fldChar w:fldCharType="end"/>
      </w:r>
      <w:bookmarkEnd w:id="75"/>
      <w:r w:rsidRPr="00CE1D7F">
        <w:tab/>
        <w:t xml:space="preserve">Illustrative scenario analysis using </w:t>
      </w:r>
      <w:r w:rsidRPr="00CE1D7F">
        <w:rPr>
          <w:i/>
          <w:iCs w:val="0"/>
        </w:rPr>
        <w:t>Tasman Global</w:t>
      </w:r>
    </w:p>
    <w:tbl>
      <w:tblPr>
        <w:tblStyle w:val="aacTableFigure"/>
        <w:tblW w:w="0" w:type="auto"/>
        <w:tblBorders>
          <w:top w:val="single" w:sz="4" w:space="0" w:color="000000"/>
          <w:bottom w:val="single" w:sz="4" w:space="0" w:color="000000"/>
        </w:tblBorders>
        <w:tblLayout w:type="fixed"/>
        <w:tblLook w:val="04A0" w:firstRow="1" w:lastRow="0" w:firstColumn="1" w:lastColumn="0" w:noHBand="0" w:noVBand="1"/>
      </w:tblPr>
      <w:tblGrid>
        <w:gridCol w:w="7936"/>
      </w:tblGrid>
      <w:tr w:rsidR="002B32A0" w:rsidRPr="00CE1D7F" w14:paraId="1798356F" w14:textId="77777777" w:rsidTr="000B0AC7">
        <w:tc>
          <w:tcPr>
            <w:tcW w:w="7936" w:type="dxa"/>
            <w:shd w:val="clear" w:color="auto" w:fill="auto"/>
          </w:tcPr>
          <w:p w14:paraId="2553B6CA" w14:textId="77777777" w:rsidR="002B32A0" w:rsidRPr="00CE1D7F" w:rsidRDefault="002B32A0" w:rsidP="00894E2F">
            <w:pPr>
              <w:pStyle w:val="Figure"/>
              <w:spacing w:before="120"/>
              <w:jc w:val="center"/>
            </w:pPr>
            <w:r w:rsidRPr="00CE1D7F">
              <w:rPr>
                <w:noProof/>
              </w:rPr>
              <w:drawing>
                <wp:inline distT="0" distB="0" distL="0" distR="0" wp14:anchorId="3EE07F36" wp14:editId="18E44B8E">
                  <wp:extent cx="3997720" cy="2489627"/>
                  <wp:effectExtent l="0" t="0" r="3175" b="6350"/>
                  <wp:docPr id="219" name="Picture 219" descr="Illustrative scenario analysis using Tasman Global, see description in text abov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Picture 219" descr="Illustrative scenario analysis using Tasman Global, see description in text above figure."/>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002413" cy="2492550"/>
                          </a:xfrm>
                          <a:prstGeom prst="rect">
                            <a:avLst/>
                          </a:prstGeom>
                          <a:noFill/>
                          <a:ln>
                            <a:noFill/>
                          </a:ln>
                        </pic:spPr>
                      </pic:pic>
                    </a:graphicData>
                  </a:graphic>
                </wp:inline>
              </w:drawing>
            </w:r>
          </w:p>
        </w:tc>
      </w:tr>
    </w:tbl>
    <w:p w14:paraId="5B9022BE" w14:textId="77777777" w:rsidR="000B0AC7" w:rsidRPr="00CE1D7F" w:rsidRDefault="000B0AC7" w:rsidP="000B0AC7">
      <w:pPr>
        <w:pStyle w:val="Source"/>
        <w:ind w:left="1308" w:hanging="1308"/>
        <w:rPr>
          <w:i w:val="0"/>
          <w:iCs/>
        </w:rPr>
      </w:pPr>
      <w:r w:rsidRPr="00CE1D7F">
        <w:rPr>
          <w:i w:val="0"/>
          <w:iCs/>
        </w:rPr>
        <w:t>Note: In reality impacts could be negative, positive, neutral or a mixture.</w:t>
      </w:r>
    </w:p>
    <w:p w14:paraId="4391C6DD" w14:textId="77777777" w:rsidR="000B0AC7" w:rsidRPr="00CE1D7F" w:rsidRDefault="000B0AC7" w:rsidP="006258ED">
      <w:pPr>
        <w:pStyle w:val="Source"/>
      </w:pPr>
      <w:r w:rsidRPr="00CE1D7F">
        <w:t>Source: ACIL Allen.</w:t>
      </w:r>
    </w:p>
    <w:p w14:paraId="4A86DF15" w14:textId="77777777" w:rsidR="000B0AC7" w:rsidRPr="00CE1D7F" w:rsidRDefault="000B0AC7" w:rsidP="006258ED">
      <w:pPr>
        <w:pStyle w:val="spacer"/>
      </w:pPr>
    </w:p>
    <w:p w14:paraId="659E42BF" w14:textId="77777777" w:rsidR="002B32A0" w:rsidRPr="00CE1D7F" w:rsidRDefault="002B32A0" w:rsidP="00894E2F">
      <w:pPr>
        <w:pStyle w:val="Heading3"/>
      </w:pPr>
      <w:r w:rsidRPr="00CE1D7F">
        <w:t>Simulation design and key inputs used in the economic modelling</w:t>
      </w:r>
    </w:p>
    <w:p w14:paraId="03738A15" w14:textId="77777777" w:rsidR="002B32A0" w:rsidRPr="00CE1D7F" w:rsidRDefault="002B32A0" w:rsidP="002B32A0">
      <w:pPr>
        <w:pStyle w:val="BodyText"/>
      </w:pPr>
      <w:bookmarkStart w:id="77" w:name="_Hlk129702053"/>
      <w:bookmarkEnd w:id="76"/>
      <w:r w:rsidRPr="00CE1D7F">
        <w:t xml:space="preserve">This report analyses the economic impact of grants awarded by the ARC from 2002 to 2021 (i.e. it illustrates the economic impact of the NCGP in Australia over its life). To estimate this impact, the following scenarios were simulated in the </w:t>
      </w:r>
      <w:r w:rsidRPr="00CE1D7F">
        <w:rPr>
          <w:i/>
          <w:iCs/>
        </w:rPr>
        <w:t>Tasman Global</w:t>
      </w:r>
      <w:r w:rsidRPr="00CE1D7F">
        <w:t xml:space="preserve"> model:</w:t>
      </w:r>
    </w:p>
    <w:p w14:paraId="0285024D" w14:textId="77777777" w:rsidR="002B32A0" w:rsidRPr="00CE1D7F" w:rsidRDefault="002B32A0" w:rsidP="002B32A0">
      <w:pPr>
        <w:pStyle w:val="ListBullet"/>
        <w:numPr>
          <w:ilvl w:val="0"/>
          <w:numId w:val="46"/>
        </w:numPr>
      </w:pPr>
      <w:r w:rsidRPr="00CE1D7F">
        <w:rPr>
          <w:i/>
          <w:iCs/>
        </w:rPr>
        <w:t>Base Case scenario</w:t>
      </w:r>
      <w:r w:rsidRPr="00CE1D7F">
        <w:t xml:space="preserve"> — where it is assumed that the NCGP does not exist. This was used as a benchmark with which to compare the results of simulating the NCGP scenario.</w:t>
      </w:r>
    </w:p>
    <w:p w14:paraId="43B60011" w14:textId="77777777" w:rsidR="002B32A0" w:rsidRPr="00CE1D7F" w:rsidRDefault="002B32A0" w:rsidP="002B32A0">
      <w:pPr>
        <w:pStyle w:val="ListBullet"/>
        <w:numPr>
          <w:ilvl w:val="0"/>
          <w:numId w:val="46"/>
        </w:numPr>
      </w:pPr>
      <w:r w:rsidRPr="00CE1D7F">
        <w:rPr>
          <w:i/>
          <w:iCs/>
        </w:rPr>
        <w:t>NCGP scenario</w:t>
      </w:r>
      <w:r w:rsidRPr="00CE1D7F">
        <w:t xml:space="preserve"> — this scenario refers to a case where the NCGP has been established and grants have been awarded by the ARC over the period 2002 to 2021. This scenario includes the funding provided by ARC and the co-contributions from different parties. In practice, the historical period (2002-2022) reflects the actual historical path of the Australian economy in terms of changes in GDP, population, employment, trade, etc., while the Base Case scenario estimates what the Australian economy could have looked like if the NCGP had not been established.</w:t>
      </w:r>
    </w:p>
    <w:p w14:paraId="382D5994" w14:textId="77777777" w:rsidR="002B32A0" w:rsidRPr="00CE1D7F" w:rsidRDefault="002B32A0" w:rsidP="002B32A0">
      <w:pPr>
        <w:pStyle w:val="BodyText"/>
      </w:pPr>
      <w:r w:rsidRPr="00CE1D7F">
        <w:t>Differences in economic outcomes between the NCGP scenario and the Base Case scenario are calculated to determine the economic benefits stemming from the NCGP over its lifetime.</w:t>
      </w:r>
    </w:p>
    <w:p w14:paraId="3ED26599" w14:textId="77777777" w:rsidR="002B32A0" w:rsidRPr="00CE1D7F" w:rsidRDefault="002B32A0" w:rsidP="002B32A0">
      <w:pPr>
        <w:pStyle w:val="BodyText"/>
      </w:pPr>
      <w:bookmarkStart w:id="78" w:name="_Hlk129702255"/>
      <w:bookmarkEnd w:id="77"/>
      <w:r w:rsidRPr="00CE1D7F">
        <w:t xml:space="preserve">Two sets of shocks were applied to </w:t>
      </w:r>
      <w:r w:rsidRPr="00CE1D7F">
        <w:rPr>
          <w:i/>
          <w:iCs/>
        </w:rPr>
        <w:t>Tasman Global</w:t>
      </w:r>
      <w:r w:rsidRPr="00CE1D7F">
        <w:t xml:space="preserve"> in the NCGP simulation. One set of shocks is related to the direct benefits of the ARC-funded research activity, and the other to its costs.</w:t>
      </w:r>
    </w:p>
    <w:p w14:paraId="28906877" w14:textId="21ADC4F9" w:rsidR="002B32A0" w:rsidRPr="00CE1D7F" w:rsidRDefault="002B32A0" w:rsidP="00955941">
      <w:pPr>
        <w:pStyle w:val="BodyText"/>
      </w:pPr>
      <w:r w:rsidRPr="00CE1D7F">
        <w:t>The benefits of ARC-funded research are estimated using ARC project data, the ROR on public research investments obtained from the national and international literature</w:t>
      </w:r>
      <w:r>
        <w:t xml:space="preserve"> (see chapter 2 in the technical supplement to this report)</w:t>
      </w:r>
      <w:r w:rsidRPr="00CE1D7F">
        <w:t>, and a number of assumptions</w:t>
      </w:r>
      <w:r>
        <w:t xml:space="preserve"> (further detail is provided in chapter 3 of the technical supplement)</w:t>
      </w:r>
      <w:r w:rsidRPr="00CE1D7F">
        <w:t xml:space="preserve">. The internal ROR used to calculate the benefits range from 5-70% per annum, depending on the sector and type of research. Based on this information, ACIL Allen estimated the productivity gains in each industry that are introduced into </w:t>
      </w:r>
      <w:r w:rsidRPr="00CE1D7F">
        <w:rPr>
          <w:i/>
          <w:iCs/>
        </w:rPr>
        <w:t>Tasman Global</w:t>
      </w:r>
      <w:r w:rsidRPr="00CE1D7F">
        <w:t xml:space="preserve">. </w:t>
      </w:r>
      <w:bookmarkStart w:id="79" w:name="_Hlk129703762"/>
      <w:r w:rsidRPr="00CE1D7F">
        <w:t xml:space="preserve">Importantly, while the modelling only covers the ARC grants awarded from 2002 to 2021 (with the last year of actual annual funding provided in 2026 for grants awarded in 2020 which have a duration of 7 years), the benefits of ARC-funded research are not experienced until a few years after the research projects have been completed and are likely to last for many years. Considering these factors, the timeframe covered by the economic modelling spans from 2002 to 2046, when the last year of direct </w:t>
      </w:r>
      <w:r w:rsidRPr="00CE1D7F">
        <w:lastRenderedPageBreak/>
        <w:t xml:space="preserve">benefits from research projects awarded in 2021 (and completed in 2025) finish. These timeframes are explained in more detail in </w:t>
      </w:r>
      <w:r w:rsidRPr="00F87D0E">
        <w:fldChar w:fldCharType="begin"/>
      </w:r>
      <w:r w:rsidRPr="00F87D0E">
        <w:instrText xml:space="preserve"> REF _Ref129612225 \h  \* MERGEFORMAT </w:instrText>
      </w:r>
      <w:r w:rsidRPr="00F87D0E">
        <w:fldChar w:fldCharType="separate"/>
      </w:r>
      <w:r w:rsidR="000B0AC7" w:rsidRPr="000B0AC7">
        <w:t>Figure 2.4</w:t>
      </w:r>
      <w:r w:rsidRPr="00F87D0E">
        <w:fldChar w:fldCharType="end"/>
      </w:r>
      <w:r w:rsidRPr="00CE1D7F">
        <w:t>.</w:t>
      </w:r>
    </w:p>
    <w:bookmarkEnd w:id="79"/>
    <w:p w14:paraId="47045474" w14:textId="77777777" w:rsidR="002B32A0" w:rsidRPr="00CE1D7F" w:rsidRDefault="002B32A0" w:rsidP="002B32A0">
      <w:pPr>
        <w:pStyle w:val="BodyText"/>
      </w:pPr>
      <w:r w:rsidRPr="00CE1D7F">
        <w:t>In terms of NCGP’s costs, it has been assumed that if the Government had not funded the NCGP, the grant funding would have been allocated across other Government expenditures (potentially having positive impacts elsewhere). An alternative counterfactual assumption could be that taxes could have been lowered by the amount of NCGP funding. However, given the scale of NCGP funding in the overall Australian Government budget, it is more likely that the funds would have been differently allocated out of consolidated government revenue.</w:t>
      </w:r>
    </w:p>
    <w:bookmarkEnd w:id="78"/>
    <w:p w14:paraId="0C28BAF7" w14:textId="7DC49C6B" w:rsidR="002B32A0" w:rsidRPr="00CE1D7F" w:rsidRDefault="002B32A0" w:rsidP="002B32A0">
      <w:pPr>
        <w:pStyle w:val="BodyText"/>
      </w:pPr>
      <w:r w:rsidRPr="00F87D0E">
        <w:fldChar w:fldCharType="begin"/>
      </w:r>
      <w:r w:rsidRPr="00F87D0E">
        <w:instrText xml:space="preserve"> REF _Ref129617319 \h  \* MERGEFORMAT </w:instrText>
      </w:r>
      <w:r w:rsidRPr="00F87D0E">
        <w:fldChar w:fldCharType="separate"/>
      </w:r>
      <w:r w:rsidR="000B0AC7" w:rsidRPr="000B0AC7">
        <w:t>Table 2.1</w:t>
      </w:r>
      <w:r w:rsidRPr="00F87D0E">
        <w:fldChar w:fldCharType="end"/>
      </w:r>
      <w:r w:rsidRPr="00CE1D7F">
        <w:t xml:space="preserve"> provides a summary of the assumptions used to derive the modelling inputs for the NCGP scenario. More detail is provided in</w:t>
      </w:r>
      <w:r>
        <w:t xml:space="preserve"> chapter 3 of the technical supplement to this report</w:t>
      </w:r>
      <w:r w:rsidRPr="00CE1D7F">
        <w:t xml:space="preserve">. </w:t>
      </w:r>
    </w:p>
    <w:p w14:paraId="11993A86" w14:textId="36FBA1B9" w:rsidR="002B32A0" w:rsidRPr="00CE1D7F" w:rsidRDefault="002B32A0" w:rsidP="000B0AC7">
      <w:pPr>
        <w:pStyle w:val="ListBullet"/>
        <w:keepNext/>
        <w:keepLines/>
        <w:numPr>
          <w:ilvl w:val="0"/>
          <w:numId w:val="66"/>
        </w:numPr>
        <w:tabs>
          <w:tab w:val="clear" w:pos="360"/>
        </w:tabs>
        <w:ind w:left="-653" w:hanging="1308"/>
      </w:pPr>
      <w:bookmarkStart w:id="80" w:name="_Ref129617319"/>
      <w:r w:rsidRPr="00CE1D7F">
        <w:rPr>
          <w:rStyle w:val="CaptionLabel"/>
        </w:rPr>
        <w:t>Table </w:t>
      </w:r>
      <w:r w:rsidRPr="00CE1D7F">
        <w:fldChar w:fldCharType="begin"/>
      </w:r>
      <w:r w:rsidRPr="00CE1D7F">
        <w:rPr>
          <w:rStyle w:val="CaptionLabel"/>
        </w:rPr>
        <w:instrText xml:space="preserve"> STYLEREF 1 \S \* MERGEFORMAT </w:instrText>
      </w:r>
      <w:r w:rsidRPr="00CE1D7F">
        <w:fldChar w:fldCharType="separate"/>
      </w:r>
      <w:r w:rsidR="000B0AC7">
        <w:rPr>
          <w:rStyle w:val="CaptionLabel"/>
          <w:noProof/>
        </w:rPr>
        <w:t>2</w:t>
      </w:r>
      <w:r w:rsidRPr="00CE1D7F">
        <w:fldChar w:fldCharType="end"/>
      </w:r>
      <w:r w:rsidRPr="00CE1D7F">
        <w:rPr>
          <w:rStyle w:val="CaptionLabel"/>
        </w:rPr>
        <w:t>.</w:t>
      </w:r>
      <w:r w:rsidRPr="00CE1D7F">
        <w:fldChar w:fldCharType="begin"/>
      </w:r>
      <w:r w:rsidRPr="00CE1D7F">
        <w:rPr>
          <w:rStyle w:val="CaptionLabel"/>
        </w:rPr>
        <w:instrText xml:space="preserve"> SEQ Table \* ARABIC \S 1 \* MERGEFORMAT </w:instrText>
      </w:r>
      <w:r w:rsidRPr="00CE1D7F">
        <w:fldChar w:fldCharType="separate"/>
      </w:r>
      <w:r w:rsidR="000B0AC7">
        <w:rPr>
          <w:rStyle w:val="CaptionLabel"/>
          <w:noProof/>
        </w:rPr>
        <w:t>1</w:t>
      </w:r>
      <w:r w:rsidRPr="00CE1D7F">
        <w:fldChar w:fldCharType="end"/>
      </w:r>
      <w:bookmarkEnd w:id="80"/>
      <w:r w:rsidRPr="00CE1D7F">
        <w:tab/>
        <w:t>Summary of assumptions used to derive modelling inputs</w:t>
      </w:r>
    </w:p>
    <w:tbl>
      <w:tblPr>
        <w:tblStyle w:val="aacTableBasic"/>
        <w:tblW w:w="9897" w:type="dxa"/>
        <w:tblInd w:w="-1961" w:type="dxa"/>
        <w:tblLayout w:type="fixed"/>
        <w:tblLook w:val="04A0" w:firstRow="1" w:lastRow="0" w:firstColumn="1" w:lastColumn="0" w:noHBand="0" w:noVBand="1"/>
        <w:tblCaption w:val="Table 2.1"/>
        <w:tblDescription w:val="Summary of assumptions used to derive modelling inputs"/>
      </w:tblPr>
      <w:tblGrid>
        <w:gridCol w:w="2105"/>
        <w:gridCol w:w="7792"/>
      </w:tblGrid>
      <w:tr w:rsidR="002B32A0" w:rsidRPr="00CE1D7F" w14:paraId="3B9EA9E5" w14:textId="77777777" w:rsidTr="000B0AC7">
        <w:trPr>
          <w:cnfStyle w:val="100000000000" w:firstRow="1" w:lastRow="0" w:firstColumn="0" w:lastColumn="0" w:oddVBand="0" w:evenVBand="0" w:oddHBand="0" w:evenHBand="0" w:firstRowFirstColumn="0" w:firstRowLastColumn="0" w:lastRowFirstColumn="0" w:lastRowLastColumn="0"/>
        </w:trPr>
        <w:tc>
          <w:tcPr>
            <w:tcW w:w="2105" w:type="dxa"/>
            <w:tcBorders>
              <w:top w:val="nil"/>
            </w:tcBorders>
            <w:shd w:val="solid" w:color="140034" w:fill="140034"/>
            <w:tcMar>
              <w:left w:w="80" w:type="dxa"/>
            </w:tcMar>
            <w:hideMark/>
          </w:tcPr>
          <w:p w14:paraId="3E66E146" w14:textId="77777777" w:rsidR="002B32A0" w:rsidRPr="00CE1D7F" w:rsidRDefault="002B32A0" w:rsidP="006258ED">
            <w:pPr>
              <w:pStyle w:val="Tablecolumnheadings"/>
              <w:keepLines/>
            </w:pPr>
            <w:r w:rsidRPr="00CE1D7F">
              <w:t>Input/assumption</w:t>
            </w:r>
          </w:p>
        </w:tc>
        <w:tc>
          <w:tcPr>
            <w:tcW w:w="7792" w:type="dxa"/>
            <w:tcBorders>
              <w:top w:val="nil"/>
            </w:tcBorders>
            <w:shd w:val="solid" w:color="140034" w:fill="140034"/>
            <w:hideMark/>
          </w:tcPr>
          <w:p w14:paraId="0BDD15EC" w14:textId="77777777" w:rsidR="002B32A0" w:rsidRPr="00CE1D7F" w:rsidRDefault="002B32A0" w:rsidP="006258ED">
            <w:pPr>
              <w:pStyle w:val="Tablecolumnheadings"/>
              <w:keepLines/>
            </w:pPr>
            <w:r w:rsidRPr="00CE1D7F">
              <w:t>Value</w:t>
            </w:r>
          </w:p>
        </w:tc>
      </w:tr>
      <w:tr w:rsidR="002B32A0" w:rsidRPr="00CE1D7F" w14:paraId="389A24D4" w14:textId="77777777" w:rsidTr="000B0AC7">
        <w:tc>
          <w:tcPr>
            <w:tcW w:w="2105" w:type="dxa"/>
            <w:tcMar>
              <w:left w:w="80" w:type="dxa"/>
            </w:tcMar>
            <w:hideMark/>
          </w:tcPr>
          <w:p w14:paraId="50E881A5" w14:textId="77777777" w:rsidR="002B32A0" w:rsidRPr="00CE1D7F" w:rsidRDefault="002B32A0" w:rsidP="006258ED">
            <w:pPr>
              <w:pStyle w:val="Tabletext"/>
              <w:keepNext/>
              <w:keepLines/>
            </w:pPr>
            <w:r w:rsidRPr="00CE1D7F">
              <w:rPr>
                <w:b/>
                <w:bCs/>
              </w:rPr>
              <w:t>Level of investment in research activities</w:t>
            </w:r>
          </w:p>
        </w:tc>
        <w:tc>
          <w:tcPr>
            <w:tcW w:w="7792" w:type="dxa"/>
            <w:hideMark/>
          </w:tcPr>
          <w:p w14:paraId="02C26D6A" w14:textId="77777777" w:rsidR="002B32A0" w:rsidRPr="00CE1D7F" w:rsidRDefault="002B32A0" w:rsidP="006258ED">
            <w:pPr>
              <w:pStyle w:val="Tabletext"/>
              <w:keepNext/>
              <w:keepLines/>
            </w:pPr>
            <w:r w:rsidRPr="00CE1D7F">
              <w:t>The total amount of research funds provided by the ARC from 2002</w:t>
            </w:r>
            <w:r>
              <w:t>-</w:t>
            </w:r>
            <w:r w:rsidRPr="00CE1D7F">
              <w:t xml:space="preserve">26 (for grants awarded </w:t>
            </w:r>
            <w:r>
              <w:t>from</w:t>
            </w:r>
            <w:r w:rsidRPr="00CE1D7F">
              <w:t xml:space="preserve"> 2002</w:t>
            </w:r>
            <w:r>
              <w:t>-</w:t>
            </w:r>
            <w:r w:rsidRPr="00CE1D7F">
              <w:t xml:space="preserve">21, noting there are some grants awarded in 2020 </w:t>
            </w:r>
            <w:r>
              <w:t>with</w:t>
            </w:r>
            <w:r w:rsidRPr="00CE1D7F">
              <w:t xml:space="preserve"> a duration of 7 years) is $13.7</w:t>
            </w:r>
            <w:r>
              <w:t> billion</w:t>
            </w:r>
            <w:r w:rsidRPr="00CE1D7F">
              <w:t xml:space="preserve"> (in nominal dollars, equivalent to $17.6</w:t>
            </w:r>
            <w:r>
              <w:t> billion</w:t>
            </w:r>
            <w:r w:rsidRPr="00CE1D7F">
              <w:t xml:space="preserve"> in 2022 dollars). This funding was extended by $14.3</w:t>
            </w:r>
            <w:r>
              <w:t> billion</w:t>
            </w:r>
            <w:r w:rsidRPr="00CE1D7F">
              <w:t xml:space="preserve"> in co</w:t>
            </w:r>
            <w:r w:rsidRPr="00CE1D7F">
              <w:noBreakHyphen/>
              <w:t>contributions from other Australian sources and $2.6</w:t>
            </w:r>
            <w:r>
              <w:t> billion</w:t>
            </w:r>
            <w:r w:rsidRPr="00CE1D7F">
              <w:t xml:space="preserve"> in co</w:t>
            </w:r>
            <w:r w:rsidRPr="00CE1D7F">
              <w:noBreakHyphen/>
              <w:t xml:space="preserve">contributions from international sources. </w:t>
            </w:r>
          </w:p>
          <w:p w14:paraId="77EC2025" w14:textId="08BD402D" w:rsidR="002B32A0" w:rsidRPr="00CE1D7F" w:rsidRDefault="002B32A0" w:rsidP="006258ED">
            <w:pPr>
              <w:pStyle w:val="Tabletext"/>
              <w:keepNext/>
              <w:keepLines/>
            </w:pPr>
            <w:r w:rsidRPr="00CE1D7F">
              <w:rPr>
                <w:rStyle w:val="ui-provider"/>
              </w:rPr>
              <w:t xml:space="preserve">Around 72% of the ARC funds </w:t>
            </w:r>
            <w:r>
              <w:rPr>
                <w:rStyle w:val="ui-provider"/>
              </w:rPr>
              <w:t>awarded</w:t>
            </w:r>
            <w:r w:rsidRPr="00CE1D7F">
              <w:rPr>
                <w:rStyle w:val="ui-provider"/>
              </w:rPr>
              <w:t xml:space="preserve"> from 2002</w:t>
            </w:r>
            <w:r w:rsidRPr="00CE1D7F">
              <w:rPr>
                <w:rStyle w:val="ui-provider"/>
              </w:rPr>
              <w:noBreakHyphen/>
              <w:t>202</w:t>
            </w:r>
            <w:r>
              <w:rPr>
                <w:rStyle w:val="ui-provider"/>
              </w:rPr>
              <w:t>1</w:t>
            </w:r>
            <w:r w:rsidRPr="00CE1D7F">
              <w:rPr>
                <w:rStyle w:val="ui-provider"/>
              </w:rPr>
              <w:t xml:space="preserve"> ($9.9</w:t>
            </w:r>
            <w:r>
              <w:rPr>
                <w:rStyle w:val="ui-provider"/>
              </w:rPr>
              <w:t> billion</w:t>
            </w:r>
            <w:r w:rsidRPr="00CE1D7F">
              <w:rPr>
                <w:rStyle w:val="ui-provider"/>
              </w:rPr>
              <w:t xml:space="preserve"> in nominal dollars) and their corresponding co</w:t>
            </w:r>
            <w:r w:rsidRPr="00CE1D7F">
              <w:rPr>
                <w:rStyle w:val="ui-provider"/>
              </w:rPr>
              <w:noBreakHyphen/>
              <w:t>contributions (approximately $12.9</w:t>
            </w:r>
            <w:r>
              <w:rPr>
                <w:rStyle w:val="ui-provider"/>
              </w:rPr>
              <w:t> billion</w:t>
            </w:r>
            <w:r w:rsidRPr="00CE1D7F">
              <w:rPr>
                <w:rStyle w:val="ui-provider"/>
              </w:rPr>
              <w:t xml:space="preserve"> in nominal dollars) were assumed to get an economic return</w:t>
            </w:r>
            <w:r w:rsidRPr="00CE1D7F">
              <w:t xml:space="preserve">. The proportion of projects (funds) generating a market return has been drawn from the survey responses. This includes responses reporting that projects ‘have produced’, are ‘likely to result in’ and ‘may result in’ economic impact by FoR (see </w:t>
            </w:r>
            <w:r w:rsidRPr="00F87D0E">
              <w:fldChar w:fldCharType="begin"/>
            </w:r>
            <w:r w:rsidRPr="00F87D0E">
              <w:instrText xml:space="preserve"> REF _Ref129355501 \h  \* MERGEFORMAT </w:instrText>
            </w:r>
            <w:r w:rsidRPr="00F87D0E">
              <w:fldChar w:fldCharType="separate"/>
            </w:r>
            <w:r w:rsidR="000B0AC7" w:rsidRPr="000B0AC7">
              <w:t>Figure C.2</w:t>
            </w:r>
            <w:r w:rsidRPr="00F87D0E">
              <w:fldChar w:fldCharType="end"/>
            </w:r>
            <w:r w:rsidRPr="00CE1D7F">
              <w:t>).</w:t>
            </w:r>
          </w:p>
        </w:tc>
      </w:tr>
      <w:tr w:rsidR="002B32A0" w:rsidRPr="00CE1D7F" w14:paraId="442B7A35" w14:textId="77777777" w:rsidTr="000B0AC7">
        <w:tc>
          <w:tcPr>
            <w:tcW w:w="2105" w:type="dxa"/>
            <w:tcMar>
              <w:left w:w="80" w:type="dxa"/>
            </w:tcMar>
            <w:hideMark/>
          </w:tcPr>
          <w:p w14:paraId="0C83AD77" w14:textId="77777777" w:rsidR="002B32A0" w:rsidRPr="00CE1D7F" w:rsidRDefault="002B32A0" w:rsidP="00955941">
            <w:pPr>
              <w:pStyle w:val="Tabletext"/>
            </w:pPr>
            <w:r w:rsidRPr="00CE1D7F">
              <w:rPr>
                <w:b/>
                <w:bCs/>
              </w:rPr>
              <w:t>Rate of return on investment</w:t>
            </w:r>
          </w:p>
        </w:tc>
        <w:tc>
          <w:tcPr>
            <w:tcW w:w="7792" w:type="dxa"/>
          </w:tcPr>
          <w:p w14:paraId="32A2568B" w14:textId="77777777" w:rsidR="002B32A0" w:rsidRPr="00CE1D7F" w:rsidRDefault="002B32A0" w:rsidP="00955941">
            <w:pPr>
              <w:pStyle w:val="Tabletext"/>
            </w:pPr>
            <w:r w:rsidRPr="00CE1D7F">
              <w:t xml:space="preserve">The direct benefits of ARC-funded research were estimated by applying average ROR to research investments based on their SEO, as proposed by the ARC. The RORs applied to research investments in scientific fields were sourced from national and international literature. No estimates of RORs on research in social sciences, arts and humanities were found in the literature, and a ROR was assumed. </w:t>
            </w:r>
          </w:p>
          <w:p w14:paraId="18DEE1B3" w14:textId="77777777" w:rsidR="002B32A0" w:rsidRPr="00CE1D7F" w:rsidRDefault="002B32A0" w:rsidP="00955941">
            <w:pPr>
              <w:pStyle w:val="Tabletext"/>
            </w:pPr>
            <w:r w:rsidRPr="00CE1D7F">
              <w:t xml:space="preserve">The RORs the economic modelling by SEO assumed are provided directly below. </w:t>
            </w:r>
          </w:p>
          <w:tbl>
            <w:tblPr>
              <w:tblW w:w="7662" w:type="dxa"/>
              <w:tblBorders>
                <w:bottom w:val="single" w:sz="4" w:space="0" w:color="646464"/>
                <w:insideH w:val="single" w:sz="4" w:space="0" w:color="646464"/>
              </w:tblBorders>
              <w:tblLayout w:type="fixed"/>
              <w:tblCellMar>
                <w:left w:w="0" w:type="dxa"/>
                <w:bottom w:w="40" w:type="dxa"/>
                <w:right w:w="0" w:type="dxa"/>
              </w:tblCellMar>
              <w:tblLook w:val="04A0" w:firstRow="1" w:lastRow="0" w:firstColumn="1" w:lastColumn="0" w:noHBand="0" w:noVBand="1"/>
            </w:tblPr>
            <w:tblGrid>
              <w:gridCol w:w="2980"/>
              <w:gridCol w:w="3405"/>
              <w:gridCol w:w="1277"/>
            </w:tblGrid>
            <w:tr w:rsidR="002B32A0" w:rsidRPr="00CE1D7F" w14:paraId="37F26483" w14:textId="77777777" w:rsidTr="006258ED">
              <w:trPr>
                <w:tblHeader/>
              </w:trPr>
              <w:tc>
                <w:tcPr>
                  <w:tcW w:w="2980" w:type="dxa"/>
                  <w:tcBorders>
                    <w:top w:val="nil"/>
                    <w:left w:val="nil"/>
                    <w:bottom w:val="nil"/>
                    <w:right w:val="nil"/>
                  </w:tcBorders>
                  <w:shd w:val="clear" w:color="auto" w:fill="140034"/>
                  <w:noWrap/>
                  <w:tcMar>
                    <w:top w:w="0" w:type="dxa"/>
                    <w:left w:w="454" w:type="dxa"/>
                    <w:bottom w:w="40" w:type="dxa"/>
                    <w:right w:w="0" w:type="dxa"/>
                  </w:tcMar>
                  <w:hideMark/>
                </w:tcPr>
                <w:p w14:paraId="39854347" w14:textId="77777777" w:rsidR="002B32A0" w:rsidRPr="00A30A31" w:rsidRDefault="002B32A0" w:rsidP="00955941">
                  <w:pPr>
                    <w:pStyle w:val="Tabletextsmall"/>
                    <w:rPr>
                      <w:b/>
                      <w:bCs/>
                      <w:color w:val="FFFFFF" w:themeColor="background1"/>
                      <w:sz w:val="20"/>
                      <w:szCs w:val="20"/>
                      <w:lang w:eastAsia="en-AU"/>
                    </w:rPr>
                  </w:pPr>
                  <w:r w:rsidRPr="00A30A31">
                    <w:rPr>
                      <w:b/>
                      <w:bCs/>
                      <w:color w:val="FFFFFF" w:themeColor="background1"/>
                      <w:sz w:val="20"/>
                      <w:szCs w:val="20"/>
                    </w:rPr>
                    <w:t>SEO</w:t>
                  </w:r>
                </w:p>
              </w:tc>
              <w:tc>
                <w:tcPr>
                  <w:tcW w:w="3405" w:type="dxa"/>
                  <w:tcBorders>
                    <w:top w:val="nil"/>
                    <w:left w:val="nil"/>
                    <w:bottom w:val="nil"/>
                    <w:right w:val="nil"/>
                  </w:tcBorders>
                  <w:shd w:val="clear" w:color="auto" w:fill="140034"/>
                  <w:noWrap/>
                  <w:hideMark/>
                </w:tcPr>
                <w:p w14:paraId="4872DDEC" w14:textId="77777777" w:rsidR="002B32A0" w:rsidRPr="00A30A31" w:rsidRDefault="002B32A0" w:rsidP="00955941">
                  <w:pPr>
                    <w:pStyle w:val="Tabletextsmall"/>
                    <w:rPr>
                      <w:b/>
                      <w:bCs/>
                      <w:color w:val="FFFFFF" w:themeColor="background1"/>
                      <w:sz w:val="20"/>
                      <w:szCs w:val="20"/>
                      <w:lang w:eastAsia="en-AU"/>
                    </w:rPr>
                  </w:pPr>
                  <w:r w:rsidRPr="00A30A31">
                    <w:rPr>
                      <w:b/>
                      <w:bCs/>
                      <w:color w:val="FFFFFF" w:themeColor="background1"/>
                      <w:sz w:val="20"/>
                      <w:szCs w:val="20"/>
                    </w:rPr>
                    <w:t>Assumed type of R&amp;D</w:t>
                  </w:r>
                </w:p>
              </w:tc>
              <w:tc>
                <w:tcPr>
                  <w:tcW w:w="1277" w:type="dxa"/>
                  <w:tcBorders>
                    <w:top w:val="nil"/>
                    <w:left w:val="nil"/>
                    <w:bottom w:val="nil"/>
                    <w:right w:val="single" w:sz="6" w:space="0" w:color="140034"/>
                  </w:tcBorders>
                  <w:shd w:val="clear" w:color="auto" w:fill="140034"/>
                  <w:noWrap/>
                  <w:hideMark/>
                </w:tcPr>
                <w:p w14:paraId="79B88C7C" w14:textId="77777777" w:rsidR="002B32A0" w:rsidRPr="00A30A31" w:rsidRDefault="002B32A0" w:rsidP="00955941">
                  <w:pPr>
                    <w:pStyle w:val="Tabletextsmall"/>
                    <w:rPr>
                      <w:b/>
                      <w:bCs/>
                      <w:color w:val="FFFFFF" w:themeColor="background1"/>
                      <w:sz w:val="20"/>
                      <w:szCs w:val="20"/>
                      <w:lang w:eastAsia="en-AU"/>
                    </w:rPr>
                  </w:pPr>
                  <w:r w:rsidRPr="00A30A31">
                    <w:rPr>
                      <w:b/>
                      <w:bCs/>
                      <w:color w:val="FFFFFF" w:themeColor="background1"/>
                      <w:sz w:val="20"/>
                      <w:szCs w:val="20"/>
                    </w:rPr>
                    <w:t>Rate of return</w:t>
                  </w:r>
                </w:p>
              </w:tc>
            </w:tr>
            <w:tr w:rsidR="002B32A0" w:rsidRPr="00CE1D7F" w14:paraId="3D50CF6C" w14:textId="77777777" w:rsidTr="006258ED">
              <w:tc>
                <w:tcPr>
                  <w:tcW w:w="2980" w:type="dxa"/>
                  <w:tcBorders>
                    <w:top w:val="single" w:sz="4" w:space="0" w:color="646464"/>
                    <w:left w:val="nil"/>
                    <w:bottom w:val="single" w:sz="4" w:space="0" w:color="646464"/>
                    <w:right w:val="nil"/>
                  </w:tcBorders>
                  <w:noWrap/>
                  <w:hideMark/>
                </w:tcPr>
                <w:p w14:paraId="6906CBFB" w14:textId="77777777" w:rsidR="002B32A0" w:rsidRPr="00A30A31" w:rsidRDefault="002B32A0" w:rsidP="00955941">
                  <w:pPr>
                    <w:pStyle w:val="Tabletextsmall"/>
                    <w:rPr>
                      <w:sz w:val="20"/>
                      <w:szCs w:val="20"/>
                      <w:lang w:eastAsia="en-AU"/>
                    </w:rPr>
                  </w:pPr>
                  <w:r w:rsidRPr="00A30A31">
                    <w:rPr>
                      <w:sz w:val="20"/>
                      <w:szCs w:val="20"/>
                      <w:lang w:eastAsia="en-AU"/>
                    </w:rPr>
                    <w:t xml:space="preserve"> Defence</w:t>
                  </w:r>
                </w:p>
              </w:tc>
              <w:tc>
                <w:tcPr>
                  <w:tcW w:w="3405" w:type="dxa"/>
                  <w:tcBorders>
                    <w:top w:val="single" w:sz="4" w:space="0" w:color="646464"/>
                    <w:left w:val="nil"/>
                    <w:bottom w:val="single" w:sz="4" w:space="0" w:color="646464"/>
                    <w:right w:val="nil"/>
                  </w:tcBorders>
                  <w:noWrap/>
                  <w:hideMark/>
                </w:tcPr>
                <w:p w14:paraId="44CC4695" w14:textId="77777777" w:rsidR="002B32A0" w:rsidRPr="00A30A31" w:rsidRDefault="002B32A0" w:rsidP="00955941">
                  <w:pPr>
                    <w:pStyle w:val="Tabletextsmall"/>
                    <w:rPr>
                      <w:sz w:val="20"/>
                      <w:szCs w:val="20"/>
                      <w:lang w:eastAsia="en-AU"/>
                    </w:rPr>
                  </w:pPr>
                  <w:r w:rsidRPr="00A30A31">
                    <w:rPr>
                      <w:sz w:val="20"/>
                      <w:szCs w:val="20"/>
                      <w:lang w:eastAsia="en-AU"/>
                    </w:rPr>
                    <w:t>Public R&amp;D (literature estimates)</w:t>
                  </w:r>
                </w:p>
              </w:tc>
              <w:tc>
                <w:tcPr>
                  <w:tcW w:w="1277" w:type="dxa"/>
                  <w:tcBorders>
                    <w:top w:val="single" w:sz="4" w:space="0" w:color="646464"/>
                    <w:left w:val="nil"/>
                    <w:bottom w:val="single" w:sz="4" w:space="0" w:color="646464"/>
                    <w:right w:val="nil"/>
                  </w:tcBorders>
                  <w:noWrap/>
                  <w:hideMark/>
                </w:tcPr>
                <w:p w14:paraId="6BBC9945" w14:textId="77777777" w:rsidR="002B32A0" w:rsidRPr="00A30A31" w:rsidRDefault="002B32A0" w:rsidP="00955941">
                  <w:pPr>
                    <w:pStyle w:val="Tabletextsmall"/>
                    <w:rPr>
                      <w:sz w:val="20"/>
                      <w:szCs w:val="20"/>
                      <w:lang w:eastAsia="en-AU"/>
                    </w:rPr>
                  </w:pPr>
                  <w:r w:rsidRPr="00A30A31">
                    <w:rPr>
                      <w:sz w:val="20"/>
                      <w:szCs w:val="20"/>
                      <w:lang w:eastAsia="en-AU"/>
                    </w:rPr>
                    <w:t>35%</w:t>
                  </w:r>
                </w:p>
              </w:tc>
            </w:tr>
            <w:tr w:rsidR="002B32A0" w:rsidRPr="00CE1D7F" w14:paraId="7049B15F" w14:textId="77777777" w:rsidTr="006258ED">
              <w:tc>
                <w:tcPr>
                  <w:tcW w:w="2980" w:type="dxa"/>
                  <w:tcBorders>
                    <w:top w:val="single" w:sz="4" w:space="0" w:color="646464"/>
                    <w:left w:val="nil"/>
                    <w:bottom w:val="single" w:sz="4" w:space="0" w:color="646464"/>
                    <w:right w:val="nil"/>
                  </w:tcBorders>
                  <w:noWrap/>
                  <w:hideMark/>
                </w:tcPr>
                <w:p w14:paraId="603236AD" w14:textId="77777777" w:rsidR="002B32A0" w:rsidRPr="00A30A31" w:rsidRDefault="002B32A0" w:rsidP="00955941">
                  <w:pPr>
                    <w:pStyle w:val="Tabletextsmall"/>
                    <w:rPr>
                      <w:sz w:val="20"/>
                      <w:szCs w:val="20"/>
                      <w:lang w:eastAsia="en-AU"/>
                    </w:rPr>
                  </w:pPr>
                  <w:r w:rsidRPr="00A30A31">
                    <w:rPr>
                      <w:sz w:val="20"/>
                      <w:szCs w:val="20"/>
                      <w:lang w:eastAsia="en-AU"/>
                    </w:rPr>
                    <w:t xml:space="preserve"> Plant Production and Plant Primary Products</w:t>
                  </w:r>
                </w:p>
              </w:tc>
              <w:tc>
                <w:tcPr>
                  <w:tcW w:w="3405" w:type="dxa"/>
                  <w:tcBorders>
                    <w:top w:val="single" w:sz="4" w:space="0" w:color="646464"/>
                    <w:left w:val="nil"/>
                    <w:bottom w:val="single" w:sz="4" w:space="0" w:color="646464"/>
                    <w:right w:val="nil"/>
                  </w:tcBorders>
                  <w:noWrap/>
                  <w:hideMark/>
                </w:tcPr>
                <w:p w14:paraId="01687FE4" w14:textId="77777777" w:rsidR="002B32A0" w:rsidRPr="00A30A31" w:rsidRDefault="002B32A0" w:rsidP="00955941">
                  <w:pPr>
                    <w:pStyle w:val="Tabletextsmall"/>
                    <w:rPr>
                      <w:sz w:val="20"/>
                      <w:szCs w:val="20"/>
                      <w:lang w:eastAsia="en-AU"/>
                    </w:rPr>
                  </w:pPr>
                  <w:r w:rsidRPr="00A30A31">
                    <w:rPr>
                      <w:sz w:val="20"/>
                      <w:szCs w:val="20"/>
                      <w:lang w:eastAsia="en-AU"/>
                    </w:rPr>
                    <w:t>Agricultural R&amp;D (literature estimates)</w:t>
                  </w:r>
                </w:p>
              </w:tc>
              <w:tc>
                <w:tcPr>
                  <w:tcW w:w="1277" w:type="dxa"/>
                  <w:tcBorders>
                    <w:top w:val="single" w:sz="4" w:space="0" w:color="646464"/>
                    <w:left w:val="nil"/>
                    <w:bottom w:val="single" w:sz="4" w:space="0" w:color="646464"/>
                    <w:right w:val="nil"/>
                  </w:tcBorders>
                  <w:noWrap/>
                  <w:hideMark/>
                </w:tcPr>
                <w:p w14:paraId="20FEF6AB" w14:textId="77777777" w:rsidR="002B32A0" w:rsidRPr="00A30A31" w:rsidRDefault="002B32A0" w:rsidP="00955941">
                  <w:pPr>
                    <w:pStyle w:val="Tabletextsmall"/>
                    <w:rPr>
                      <w:sz w:val="20"/>
                      <w:szCs w:val="20"/>
                      <w:lang w:eastAsia="en-AU"/>
                    </w:rPr>
                  </w:pPr>
                  <w:r w:rsidRPr="00A30A31">
                    <w:rPr>
                      <w:sz w:val="20"/>
                      <w:szCs w:val="20"/>
                      <w:lang w:eastAsia="en-AU"/>
                    </w:rPr>
                    <w:t>40%</w:t>
                  </w:r>
                </w:p>
              </w:tc>
            </w:tr>
            <w:tr w:rsidR="002B32A0" w:rsidRPr="00CE1D7F" w14:paraId="165C0B77" w14:textId="77777777" w:rsidTr="006258ED">
              <w:tc>
                <w:tcPr>
                  <w:tcW w:w="2980" w:type="dxa"/>
                  <w:tcBorders>
                    <w:top w:val="single" w:sz="4" w:space="0" w:color="646464"/>
                    <w:left w:val="nil"/>
                    <w:bottom w:val="single" w:sz="4" w:space="0" w:color="646464"/>
                    <w:right w:val="nil"/>
                  </w:tcBorders>
                  <w:noWrap/>
                  <w:hideMark/>
                </w:tcPr>
                <w:p w14:paraId="56267824" w14:textId="77777777" w:rsidR="002B32A0" w:rsidRPr="00A30A31" w:rsidRDefault="002B32A0" w:rsidP="00955941">
                  <w:pPr>
                    <w:pStyle w:val="Tabletextsmall"/>
                    <w:rPr>
                      <w:sz w:val="20"/>
                      <w:szCs w:val="20"/>
                      <w:lang w:eastAsia="en-AU"/>
                    </w:rPr>
                  </w:pPr>
                  <w:r w:rsidRPr="00A30A31">
                    <w:rPr>
                      <w:sz w:val="20"/>
                      <w:szCs w:val="20"/>
                      <w:lang w:eastAsia="en-AU"/>
                    </w:rPr>
                    <w:t xml:space="preserve"> Animal Production and Animal Primary Products</w:t>
                  </w:r>
                </w:p>
              </w:tc>
              <w:tc>
                <w:tcPr>
                  <w:tcW w:w="3405" w:type="dxa"/>
                  <w:tcBorders>
                    <w:top w:val="single" w:sz="4" w:space="0" w:color="646464"/>
                    <w:left w:val="nil"/>
                    <w:bottom w:val="single" w:sz="4" w:space="0" w:color="646464"/>
                    <w:right w:val="nil"/>
                  </w:tcBorders>
                  <w:noWrap/>
                  <w:hideMark/>
                </w:tcPr>
                <w:p w14:paraId="1CDBF198" w14:textId="77777777" w:rsidR="002B32A0" w:rsidRPr="00A30A31" w:rsidRDefault="002B32A0" w:rsidP="00955941">
                  <w:pPr>
                    <w:pStyle w:val="Tabletextsmall"/>
                    <w:rPr>
                      <w:sz w:val="20"/>
                      <w:szCs w:val="20"/>
                      <w:lang w:eastAsia="en-AU"/>
                    </w:rPr>
                  </w:pPr>
                  <w:r w:rsidRPr="00A30A31">
                    <w:rPr>
                      <w:sz w:val="20"/>
                      <w:szCs w:val="20"/>
                      <w:lang w:eastAsia="en-AU"/>
                    </w:rPr>
                    <w:t>Agricultural R&amp;D (literature estimates)</w:t>
                  </w:r>
                </w:p>
              </w:tc>
              <w:tc>
                <w:tcPr>
                  <w:tcW w:w="1277" w:type="dxa"/>
                  <w:tcBorders>
                    <w:top w:val="single" w:sz="4" w:space="0" w:color="646464"/>
                    <w:left w:val="nil"/>
                    <w:bottom w:val="single" w:sz="4" w:space="0" w:color="646464"/>
                    <w:right w:val="nil"/>
                  </w:tcBorders>
                  <w:noWrap/>
                  <w:hideMark/>
                </w:tcPr>
                <w:p w14:paraId="3CD01901" w14:textId="77777777" w:rsidR="002B32A0" w:rsidRPr="00A30A31" w:rsidRDefault="002B32A0" w:rsidP="00955941">
                  <w:pPr>
                    <w:pStyle w:val="Tabletextsmall"/>
                    <w:rPr>
                      <w:sz w:val="20"/>
                      <w:szCs w:val="20"/>
                      <w:lang w:eastAsia="en-AU"/>
                    </w:rPr>
                  </w:pPr>
                  <w:r w:rsidRPr="00A30A31">
                    <w:rPr>
                      <w:sz w:val="20"/>
                      <w:szCs w:val="20"/>
                      <w:lang w:eastAsia="en-AU"/>
                    </w:rPr>
                    <w:t>40%</w:t>
                  </w:r>
                </w:p>
              </w:tc>
            </w:tr>
            <w:tr w:rsidR="002B32A0" w:rsidRPr="00CE1D7F" w14:paraId="30DC2C2F" w14:textId="77777777" w:rsidTr="006258ED">
              <w:tc>
                <w:tcPr>
                  <w:tcW w:w="2980" w:type="dxa"/>
                  <w:tcBorders>
                    <w:top w:val="single" w:sz="4" w:space="0" w:color="646464"/>
                    <w:left w:val="nil"/>
                    <w:bottom w:val="single" w:sz="4" w:space="0" w:color="646464"/>
                    <w:right w:val="nil"/>
                  </w:tcBorders>
                  <w:noWrap/>
                  <w:hideMark/>
                </w:tcPr>
                <w:p w14:paraId="64308E5F" w14:textId="77777777" w:rsidR="002B32A0" w:rsidRPr="00A30A31" w:rsidRDefault="002B32A0" w:rsidP="00955941">
                  <w:pPr>
                    <w:pStyle w:val="Tabletextsmall"/>
                    <w:rPr>
                      <w:sz w:val="20"/>
                      <w:szCs w:val="20"/>
                      <w:lang w:eastAsia="en-AU"/>
                    </w:rPr>
                  </w:pPr>
                  <w:r w:rsidRPr="00A30A31">
                    <w:rPr>
                      <w:sz w:val="20"/>
                      <w:szCs w:val="20"/>
                      <w:lang w:eastAsia="en-AU"/>
                    </w:rPr>
                    <w:t xml:space="preserve"> Mineral Resources (excl. Energy Resources)</w:t>
                  </w:r>
                </w:p>
              </w:tc>
              <w:tc>
                <w:tcPr>
                  <w:tcW w:w="3405" w:type="dxa"/>
                  <w:tcBorders>
                    <w:top w:val="single" w:sz="4" w:space="0" w:color="646464"/>
                    <w:left w:val="nil"/>
                    <w:bottom w:val="single" w:sz="4" w:space="0" w:color="646464"/>
                    <w:right w:val="nil"/>
                  </w:tcBorders>
                  <w:noWrap/>
                  <w:hideMark/>
                </w:tcPr>
                <w:p w14:paraId="35D2D0EB" w14:textId="77777777" w:rsidR="002B32A0" w:rsidRPr="00A30A31" w:rsidRDefault="002B32A0" w:rsidP="00955941">
                  <w:pPr>
                    <w:pStyle w:val="Tabletextsmall"/>
                    <w:rPr>
                      <w:sz w:val="20"/>
                      <w:szCs w:val="20"/>
                      <w:lang w:eastAsia="en-AU"/>
                    </w:rPr>
                  </w:pPr>
                  <w:r w:rsidRPr="00A30A31">
                    <w:rPr>
                      <w:sz w:val="20"/>
                      <w:szCs w:val="20"/>
                      <w:lang w:eastAsia="en-AU"/>
                    </w:rPr>
                    <w:t>Mining R&amp;D (literature estimates)</w:t>
                  </w:r>
                </w:p>
              </w:tc>
              <w:tc>
                <w:tcPr>
                  <w:tcW w:w="1277" w:type="dxa"/>
                  <w:tcBorders>
                    <w:top w:val="single" w:sz="4" w:space="0" w:color="646464"/>
                    <w:left w:val="nil"/>
                    <w:bottom w:val="single" w:sz="4" w:space="0" w:color="646464"/>
                    <w:right w:val="nil"/>
                  </w:tcBorders>
                  <w:noWrap/>
                  <w:hideMark/>
                </w:tcPr>
                <w:p w14:paraId="73A58B41" w14:textId="77777777" w:rsidR="002B32A0" w:rsidRPr="00A30A31" w:rsidRDefault="002B32A0" w:rsidP="00955941">
                  <w:pPr>
                    <w:pStyle w:val="Tabletextsmall"/>
                    <w:rPr>
                      <w:sz w:val="20"/>
                      <w:szCs w:val="20"/>
                      <w:lang w:eastAsia="en-AU"/>
                    </w:rPr>
                  </w:pPr>
                  <w:r w:rsidRPr="00A30A31">
                    <w:rPr>
                      <w:sz w:val="20"/>
                      <w:szCs w:val="20"/>
                      <w:lang w:eastAsia="en-AU"/>
                    </w:rPr>
                    <w:t>70%</w:t>
                  </w:r>
                </w:p>
              </w:tc>
            </w:tr>
            <w:tr w:rsidR="002B32A0" w:rsidRPr="00CE1D7F" w14:paraId="7F0B989C" w14:textId="77777777" w:rsidTr="006258ED">
              <w:tc>
                <w:tcPr>
                  <w:tcW w:w="2980" w:type="dxa"/>
                  <w:tcBorders>
                    <w:top w:val="single" w:sz="4" w:space="0" w:color="646464"/>
                    <w:left w:val="nil"/>
                    <w:bottom w:val="single" w:sz="4" w:space="0" w:color="646464"/>
                    <w:right w:val="nil"/>
                  </w:tcBorders>
                  <w:noWrap/>
                  <w:hideMark/>
                </w:tcPr>
                <w:p w14:paraId="0997CC63" w14:textId="77777777" w:rsidR="002B32A0" w:rsidRPr="00A30A31" w:rsidRDefault="002B32A0" w:rsidP="00955941">
                  <w:pPr>
                    <w:pStyle w:val="Tabletextsmall"/>
                    <w:rPr>
                      <w:sz w:val="20"/>
                      <w:szCs w:val="20"/>
                      <w:lang w:eastAsia="en-AU"/>
                    </w:rPr>
                  </w:pPr>
                  <w:r w:rsidRPr="00A30A31">
                    <w:rPr>
                      <w:sz w:val="20"/>
                      <w:szCs w:val="20"/>
                      <w:lang w:eastAsia="en-AU"/>
                    </w:rPr>
                    <w:t xml:space="preserve"> Energy</w:t>
                  </w:r>
                </w:p>
              </w:tc>
              <w:tc>
                <w:tcPr>
                  <w:tcW w:w="3405" w:type="dxa"/>
                  <w:tcBorders>
                    <w:top w:val="single" w:sz="4" w:space="0" w:color="646464"/>
                    <w:left w:val="nil"/>
                    <w:bottom w:val="single" w:sz="4" w:space="0" w:color="646464"/>
                    <w:right w:val="nil"/>
                  </w:tcBorders>
                  <w:noWrap/>
                  <w:hideMark/>
                </w:tcPr>
                <w:p w14:paraId="1F88A61E" w14:textId="77777777" w:rsidR="002B32A0" w:rsidRPr="00A30A31" w:rsidRDefault="002B32A0" w:rsidP="00955941">
                  <w:pPr>
                    <w:pStyle w:val="Tabletextsmall"/>
                    <w:rPr>
                      <w:sz w:val="20"/>
                      <w:szCs w:val="20"/>
                      <w:lang w:eastAsia="en-AU"/>
                    </w:rPr>
                  </w:pPr>
                  <w:r w:rsidRPr="00A30A31">
                    <w:rPr>
                      <w:sz w:val="20"/>
                      <w:szCs w:val="20"/>
                      <w:lang w:eastAsia="en-AU"/>
                    </w:rPr>
                    <w:t>Public R&amp;D (literature estimates)</w:t>
                  </w:r>
                </w:p>
              </w:tc>
              <w:tc>
                <w:tcPr>
                  <w:tcW w:w="1277" w:type="dxa"/>
                  <w:tcBorders>
                    <w:top w:val="single" w:sz="4" w:space="0" w:color="646464"/>
                    <w:left w:val="nil"/>
                    <w:bottom w:val="single" w:sz="4" w:space="0" w:color="646464"/>
                    <w:right w:val="nil"/>
                  </w:tcBorders>
                  <w:noWrap/>
                  <w:hideMark/>
                </w:tcPr>
                <w:p w14:paraId="5859908F" w14:textId="77777777" w:rsidR="002B32A0" w:rsidRPr="00A30A31" w:rsidRDefault="002B32A0" w:rsidP="00955941">
                  <w:pPr>
                    <w:pStyle w:val="Tabletextsmall"/>
                    <w:rPr>
                      <w:sz w:val="20"/>
                      <w:szCs w:val="20"/>
                      <w:lang w:eastAsia="en-AU"/>
                    </w:rPr>
                  </w:pPr>
                  <w:r w:rsidRPr="00A30A31">
                    <w:rPr>
                      <w:sz w:val="20"/>
                      <w:szCs w:val="20"/>
                      <w:lang w:eastAsia="en-AU"/>
                    </w:rPr>
                    <w:t>35%</w:t>
                  </w:r>
                </w:p>
              </w:tc>
            </w:tr>
            <w:tr w:rsidR="002B32A0" w:rsidRPr="00CE1D7F" w14:paraId="08500B70" w14:textId="77777777" w:rsidTr="006258ED">
              <w:tc>
                <w:tcPr>
                  <w:tcW w:w="2980" w:type="dxa"/>
                  <w:tcBorders>
                    <w:top w:val="single" w:sz="4" w:space="0" w:color="646464"/>
                    <w:left w:val="nil"/>
                    <w:bottom w:val="single" w:sz="4" w:space="0" w:color="646464"/>
                    <w:right w:val="nil"/>
                  </w:tcBorders>
                  <w:noWrap/>
                  <w:hideMark/>
                </w:tcPr>
                <w:p w14:paraId="7AEA90A1" w14:textId="77777777" w:rsidR="002B32A0" w:rsidRPr="00A30A31" w:rsidRDefault="002B32A0" w:rsidP="00955941">
                  <w:pPr>
                    <w:pStyle w:val="Tabletextsmall"/>
                    <w:rPr>
                      <w:sz w:val="20"/>
                      <w:szCs w:val="20"/>
                      <w:lang w:eastAsia="en-AU"/>
                    </w:rPr>
                  </w:pPr>
                  <w:r w:rsidRPr="00A30A31">
                    <w:rPr>
                      <w:sz w:val="20"/>
                      <w:szCs w:val="20"/>
                      <w:lang w:eastAsia="en-AU"/>
                    </w:rPr>
                    <w:t xml:space="preserve"> Manufacturing</w:t>
                  </w:r>
                </w:p>
              </w:tc>
              <w:tc>
                <w:tcPr>
                  <w:tcW w:w="3405" w:type="dxa"/>
                  <w:tcBorders>
                    <w:top w:val="single" w:sz="4" w:space="0" w:color="646464"/>
                    <w:left w:val="nil"/>
                    <w:bottom w:val="single" w:sz="4" w:space="0" w:color="646464"/>
                    <w:right w:val="nil"/>
                  </w:tcBorders>
                  <w:noWrap/>
                  <w:hideMark/>
                </w:tcPr>
                <w:p w14:paraId="13BB695A" w14:textId="77777777" w:rsidR="002B32A0" w:rsidRPr="00A30A31" w:rsidRDefault="002B32A0" w:rsidP="00955941">
                  <w:pPr>
                    <w:pStyle w:val="Tabletextsmall"/>
                    <w:rPr>
                      <w:sz w:val="20"/>
                      <w:szCs w:val="20"/>
                      <w:lang w:eastAsia="en-AU"/>
                    </w:rPr>
                  </w:pPr>
                  <w:r w:rsidRPr="00A30A31">
                    <w:rPr>
                      <w:sz w:val="20"/>
                      <w:szCs w:val="20"/>
                      <w:lang w:eastAsia="en-AU"/>
                    </w:rPr>
                    <w:t>Manufacturing/industrial research (literature estimates)</w:t>
                  </w:r>
                </w:p>
              </w:tc>
              <w:tc>
                <w:tcPr>
                  <w:tcW w:w="1277" w:type="dxa"/>
                  <w:tcBorders>
                    <w:top w:val="single" w:sz="4" w:space="0" w:color="646464"/>
                    <w:left w:val="nil"/>
                    <w:bottom w:val="single" w:sz="4" w:space="0" w:color="646464"/>
                    <w:right w:val="nil"/>
                  </w:tcBorders>
                  <w:noWrap/>
                  <w:hideMark/>
                </w:tcPr>
                <w:p w14:paraId="17C554B9" w14:textId="77777777" w:rsidR="002B32A0" w:rsidRPr="00A30A31" w:rsidRDefault="002B32A0" w:rsidP="00955941">
                  <w:pPr>
                    <w:pStyle w:val="Tabletextsmall"/>
                    <w:rPr>
                      <w:sz w:val="20"/>
                      <w:szCs w:val="20"/>
                      <w:lang w:eastAsia="en-AU"/>
                    </w:rPr>
                  </w:pPr>
                  <w:r w:rsidRPr="00A30A31">
                    <w:rPr>
                      <w:sz w:val="20"/>
                      <w:szCs w:val="20"/>
                      <w:lang w:eastAsia="en-AU"/>
                    </w:rPr>
                    <w:t>20%</w:t>
                  </w:r>
                </w:p>
              </w:tc>
            </w:tr>
            <w:tr w:rsidR="002B32A0" w:rsidRPr="00CE1D7F" w14:paraId="271AA44E" w14:textId="77777777" w:rsidTr="006258ED">
              <w:tc>
                <w:tcPr>
                  <w:tcW w:w="2980" w:type="dxa"/>
                  <w:tcBorders>
                    <w:top w:val="single" w:sz="4" w:space="0" w:color="646464"/>
                    <w:left w:val="nil"/>
                    <w:bottom w:val="single" w:sz="4" w:space="0" w:color="646464"/>
                    <w:right w:val="nil"/>
                  </w:tcBorders>
                  <w:noWrap/>
                  <w:hideMark/>
                </w:tcPr>
                <w:p w14:paraId="01D36D15" w14:textId="77777777" w:rsidR="002B32A0" w:rsidRPr="00A30A31" w:rsidRDefault="002B32A0" w:rsidP="00955941">
                  <w:pPr>
                    <w:pStyle w:val="Tabletextsmall"/>
                    <w:rPr>
                      <w:sz w:val="20"/>
                      <w:szCs w:val="20"/>
                      <w:lang w:eastAsia="en-AU"/>
                    </w:rPr>
                  </w:pPr>
                  <w:r w:rsidRPr="00A30A31">
                    <w:rPr>
                      <w:sz w:val="20"/>
                      <w:szCs w:val="20"/>
                      <w:lang w:eastAsia="en-AU"/>
                    </w:rPr>
                    <w:t xml:space="preserve"> Construction</w:t>
                  </w:r>
                </w:p>
              </w:tc>
              <w:tc>
                <w:tcPr>
                  <w:tcW w:w="3405" w:type="dxa"/>
                  <w:tcBorders>
                    <w:top w:val="single" w:sz="4" w:space="0" w:color="646464"/>
                    <w:left w:val="nil"/>
                    <w:bottom w:val="single" w:sz="4" w:space="0" w:color="646464"/>
                    <w:right w:val="nil"/>
                  </w:tcBorders>
                  <w:noWrap/>
                  <w:hideMark/>
                </w:tcPr>
                <w:p w14:paraId="270C643F" w14:textId="77777777" w:rsidR="002B32A0" w:rsidRPr="00A30A31" w:rsidRDefault="002B32A0" w:rsidP="00955941">
                  <w:pPr>
                    <w:pStyle w:val="Tabletextsmall"/>
                    <w:rPr>
                      <w:sz w:val="20"/>
                      <w:szCs w:val="20"/>
                      <w:lang w:eastAsia="en-AU"/>
                    </w:rPr>
                  </w:pPr>
                  <w:r w:rsidRPr="00A30A31">
                    <w:rPr>
                      <w:sz w:val="20"/>
                      <w:szCs w:val="20"/>
                      <w:lang w:eastAsia="en-AU"/>
                    </w:rPr>
                    <w:t>Public R&amp;D (literature estimates)</w:t>
                  </w:r>
                </w:p>
              </w:tc>
              <w:tc>
                <w:tcPr>
                  <w:tcW w:w="1277" w:type="dxa"/>
                  <w:tcBorders>
                    <w:top w:val="single" w:sz="4" w:space="0" w:color="646464"/>
                    <w:left w:val="nil"/>
                    <w:bottom w:val="single" w:sz="4" w:space="0" w:color="646464"/>
                    <w:right w:val="nil"/>
                  </w:tcBorders>
                  <w:noWrap/>
                  <w:hideMark/>
                </w:tcPr>
                <w:p w14:paraId="216E7F69" w14:textId="77777777" w:rsidR="002B32A0" w:rsidRPr="00A30A31" w:rsidRDefault="002B32A0" w:rsidP="00955941">
                  <w:pPr>
                    <w:pStyle w:val="Tabletextsmall"/>
                    <w:rPr>
                      <w:sz w:val="20"/>
                      <w:szCs w:val="20"/>
                      <w:lang w:eastAsia="en-AU"/>
                    </w:rPr>
                  </w:pPr>
                  <w:r w:rsidRPr="00A30A31">
                    <w:rPr>
                      <w:sz w:val="20"/>
                      <w:szCs w:val="20"/>
                      <w:lang w:eastAsia="en-AU"/>
                    </w:rPr>
                    <w:t>35%</w:t>
                  </w:r>
                </w:p>
              </w:tc>
            </w:tr>
            <w:tr w:rsidR="002B32A0" w:rsidRPr="00CE1D7F" w14:paraId="65AA8696" w14:textId="77777777" w:rsidTr="006258ED">
              <w:tc>
                <w:tcPr>
                  <w:tcW w:w="2980" w:type="dxa"/>
                  <w:tcBorders>
                    <w:top w:val="single" w:sz="4" w:space="0" w:color="646464"/>
                    <w:left w:val="nil"/>
                    <w:bottom w:val="single" w:sz="4" w:space="0" w:color="646464"/>
                    <w:right w:val="nil"/>
                  </w:tcBorders>
                  <w:noWrap/>
                  <w:hideMark/>
                </w:tcPr>
                <w:p w14:paraId="441E10EA" w14:textId="77777777" w:rsidR="002B32A0" w:rsidRPr="00A30A31" w:rsidRDefault="002B32A0" w:rsidP="00955941">
                  <w:pPr>
                    <w:pStyle w:val="Tabletextsmall"/>
                    <w:rPr>
                      <w:sz w:val="20"/>
                      <w:szCs w:val="20"/>
                      <w:lang w:eastAsia="en-AU"/>
                    </w:rPr>
                  </w:pPr>
                  <w:r w:rsidRPr="00A30A31">
                    <w:rPr>
                      <w:sz w:val="20"/>
                      <w:szCs w:val="20"/>
                      <w:lang w:eastAsia="en-AU"/>
                    </w:rPr>
                    <w:t xml:space="preserve"> Transport</w:t>
                  </w:r>
                </w:p>
              </w:tc>
              <w:tc>
                <w:tcPr>
                  <w:tcW w:w="3405" w:type="dxa"/>
                  <w:tcBorders>
                    <w:top w:val="single" w:sz="4" w:space="0" w:color="646464"/>
                    <w:left w:val="nil"/>
                    <w:bottom w:val="single" w:sz="4" w:space="0" w:color="646464"/>
                    <w:right w:val="nil"/>
                  </w:tcBorders>
                  <w:noWrap/>
                  <w:hideMark/>
                </w:tcPr>
                <w:p w14:paraId="507BACE9" w14:textId="77777777" w:rsidR="002B32A0" w:rsidRPr="00A30A31" w:rsidRDefault="002B32A0" w:rsidP="00955941">
                  <w:pPr>
                    <w:pStyle w:val="Tabletextsmall"/>
                    <w:rPr>
                      <w:sz w:val="20"/>
                      <w:szCs w:val="20"/>
                      <w:lang w:eastAsia="en-AU"/>
                    </w:rPr>
                  </w:pPr>
                  <w:r w:rsidRPr="00A30A31">
                    <w:rPr>
                      <w:sz w:val="20"/>
                      <w:szCs w:val="20"/>
                      <w:lang w:eastAsia="en-AU"/>
                    </w:rPr>
                    <w:t>Public R&amp;D (literature estimates)</w:t>
                  </w:r>
                </w:p>
              </w:tc>
              <w:tc>
                <w:tcPr>
                  <w:tcW w:w="1277" w:type="dxa"/>
                  <w:tcBorders>
                    <w:top w:val="single" w:sz="4" w:space="0" w:color="646464"/>
                    <w:left w:val="nil"/>
                    <w:bottom w:val="single" w:sz="4" w:space="0" w:color="646464"/>
                    <w:right w:val="nil"/>
                  </w:tcBorders>
                  <w:noWrap/>
                  <w:hideMark/>
                </w:tcPr>
                <w:p w14:paraId="33A5408F" w14:textId="77777777" w:rsidR="002B32A0" w:rsidRPr="00A30A31" w:rsidRDefault="002B32A0" w:rsidP="00955941">
                  <w:pPr>
                    <w:pStyle w:val="Tabletextsmall"/>
                    <w:rPr>
                      <w:sz w:val="20"/>
                      <w:szCs w:val="20"/>
                      <w:lang w:eastAsia="en-AU"/>
                    </w:rPr>
                  </w:pPr>
                  <w:r w:rsidRPr="00A30A31">
                    <w:rPr>
                      <w:sz w:val="20"/>
                      <w:szCs w:val="20"/>
                      <w:lang w:eastAsia="en-AU"/>
                    </w:rPr>
                    <w:t>35%</w:t>
                  </w:r>
                </w:p>
              </w:tc>
            </w:tr>
            <w:tr w:rsidR="002B32A0" w:rsidRPr="00CE1D7F" w14:paraId="2161FAB6" w14:textId="77777777" w:rsidTr="006258ED">
              <w:tc>
                <w:tcPr>
                  <w:tcW w:w="2980" w:type="dxa"/>
                  <w:tcBorders>
                    <w:top w:val="single" w:sz="4" w:space="0" w:color="646464"/>
                    <w:left w:val="nil"/>
                    <w:bottom w:val="single" w:sz="4" w:space="0" w:color="646464"/>
                    <w:right w:val="nil"/>
                  </w:tcBorders>
                  <w:noWrap/>
                  <w:hideMark/>
                </w:tcPr>
                <w:p w14:paraId="59FA241F" w14:textId="77777777" w:rsidR="002B32A0" w:rsidRPr="00A30A31" w:rsidRDefault="002B32A0" w:rsidP="00955941">
                  <w:pPr>
                    <w:pStyle w:val="Tabletextsmall"/>
                    <w:rPr>
                      <w:sz w:val="20"/>
                      <w:szCs w:val="20"/>
                      <w:lang w:eastAsia="en-AU"/>
                    </w:rPr>
                  </w:pPr>
                  <w:r w:rsidRPr="00A30A31">
                    <w:rPr>
                      <w:sz w:val="20"/>
                      <w:szCs w:val="20"/>
                      <w:lang w:eastAsia="en-AU"/>
                    </w:rPr>
                    <w:t xml:space="preserve"> Information and Communication Services</w:t>
                  </w:r>
                </w:p>
              </w:tc>
              <w:tc>
                <w:tcPr>
                  <w:tcW w:w="3405" w:type="dxa"/>
                  <w:tcBorders>
                    <w:top w:val="single" w:sz="4" w:space="0" w:color="646464"/>
                    <w:left w:val="nil"/>
                    <w:bottom w:val="single" w:sz="4" w:space="0" w:color="646464"/>
                    <w:right w:val="nil"/>
                  </w:tcBorders>
                  <w:noWrap/>
                  <w:hideMark/>
                </w:tcPr>
                <w:p w14:paraId="6C48AE39" w14:textId="77777777" w:rsidR="002B32A0" w:rsidRPr="00A30A31" w:rsidRDefault="002B32A0" w:rsidP="00955941">
                  <w:pPr>
                    <w:pStyle w:val="Tabletextsmall"/>
                    <w:rPr>
                      <w:sz w:val="20"/>
                      <w:szCs w:val="20"/>
                      <w:lang w:eastAsia="en-AU"/>
                    </w:rPr>
                  </w:pPr>
                  <w:r w:rsidRPr="00A30A31">
                    <w:rPr>
                      <w:sz w:val="20"/>
                      <w:szCs w:val="20"/>
                      <w:lang w:eastAsia="en-AU"/>
                    </w:rPr>
                    <w:t>Public R&amp;D (literature estimates)</w:t>
                  </w:r>
                </w:p>
              </w:tc>
              <w:tc>
                <w:tcPr>
                  <w:tcW w:w="1277" w:type="dxa"/>
                  <w:tcBorders>
                    <w:top w:val="single" w:sz="4" w:space="0" w:color="646464"/>
                    <w:left w:val="nil"/>
                    <w:bottom w:val="single" w:sz="4" w:space="0" w:color="646464"/>
                    <w:right w:val="nil"/>
                  </w:tcBorders>
                  <w:noWrap/>
                  <w:hideMark/>
                </w:tcPr>
                <w:p w14:paraId="3B50AF4D" w14:textId="77777777" w:rsidR="002B32A0" w:rsidRPr="00A30A31" w:rsidRDefault="002B32A0" w:rsidP="00955941">
                  <w:pPr>
                    <w:pStyle w:val="Tabletextsmall"/>
                    <w:rPr>
                      <w:sz w:val="20"/>
                      <w:szCs w:val="20"/>
                      <w:lang w:eastAsia="en-AU"/>
                    </w:rPr>
                  </w:pPr>
                  <w:r w:rsidRPr="00A30A31">
                    <w:rPr>
                      <w:sz w:val="20"/>
                      <w:szCs w:val="20"/>
                      <w:lang w:eastAsia="en-AU"/>
                    </w:rPr>
                    <w:t>35%</w:t>
                  </w:r>
                </w:p>
              </w:tc>
            </w:tr>
            <w:tr w:rsidR="002B32A0" w:rsidRPr="00CE1D7F" w14:paraId="66483DB2" w14:textId="77777777" w:rsidTr="006258ED">
              <w:tc>
                <w:tcPr>
                  <w:tcW w:w="2980" w:type="dxa"/>
                  <w:tcBorders>
                    <w:top w:val="single" w:sz="4" w:space="0" w:color="646464"/>
                    <w:left w:val="nil"/>
                    <w:bottom w:val="single" w:sz="4" w:space="0" w:color="646464"/>
                    <w:right w:val="nil"/>
                  </w:tcBorders>
                  <w:noWrap/>
                  <w:hideMark/>
                </w:tcPr>
                <w:p w14:paraId="46DBD482" w14:textId="77777777" w:rsidR="002B32A0" w:rsidRPr="00A30A31" w:rsidRDefault="002B32A0" w:rsidP="00955941">
                  <w:pPr>
                    <w:pStyle w:val="Tabletextsmall"/>
                    <w:rPr>
                      <w:sz w:val="20"/>
                      <w:szCs w:val="20"/>
                      <w:lang w:eastAsia="en-AU"/>
                    </w:rPr>
                  </w:pPr>
                  <w:r w:rsidRPr="00A30A31">
                    <w:rPr>
                      <w:sz w:val="20"/>
                      <w:szCs w:val="20"/>
                      <w:lang w:eastAsia="en-AU"/>
                    </w:rPr>
                    <w:t xml:space="preserve"> Commercial Services and Tourism</w:t>
                  </w:r>
                </w:p>
              </w:tc>
              <w:tc>
                <w:tcPr>
                  <w:tcW w:w="3405" w:type="dxa"/>
                  <w:tcBorders>
                    <w:top w:val="single" w:sz="4" w:space="0" w:color="646464"/>
                    <w:left w:val="nil"/>
                    <w:bottom w:val="single" w:sz="4" w:space="0" w:color="646464"/>
                    <w:right w:val="nil"/>
                  </w:tcBorders>
                  <w:noWrap/>
                  <w:hideMark/>
                </w:tcPr>
                <w:p w14:paraId="7A74687F" w14:textId="77777777" w:rsidR="002B32A0" w:rsidRPr="00A30A31" w:rsidRDefault="002B32A0" w:rsidP="00955941">
                  <w:pPr>
                    <w:pStyle w:val="Tabletextsmall"/>
                    <w:rPr>
                      <w:sz w:val="20"/>
                      <w:szCs w:val="20"/>
                      <w:lang w:eastAsia="en-AU"/>
                    </w:rPr>
                  </w:pPr>
                  <w:r w:rsidRPr="00A30A31">
                    <w:rPr>
                      <w:sz w:val="20"/>
                      <w:szCs w:val="20"/>
                      <w:lang w:eastAsia="en-AU"/>
                    </w:rPr>
                    <w:t>Public R&amp;D (literature estimates)</w:t>
                  </w:r>
                </w:p>
              </w:tc>
              <w:tc>
                <w:tcPr>
                  <w:tcW w:w="1277" w:type="dxa"/>
                  <w:tcBorders>
                    <w:top w:val="single" w:sz="4" w:space="0" w:color="646464"/>
                    <w:left w:val="nil"/>
                    <w:bottom w:val="single" w:sz="4" w:space="0" w:color="646464"/>
                    <w:right w:val="nil"/>
                  </w:tcBorders>
                  <w:noWrap/>
                  <w:hideMark/>
                </w:tcPr>
                <w:p w14:paraId="5ED9D834" w14:textId="77777777" w:rsidR="002B32A0" w:rsidRPr="00A30A31" w:rsidRDefault="002B32A0" w:rsidP="00955941">
                  <w:pPr>
                    <w:pStyle w:val="Tabletextsmall"/>
                    <w:rPr>
                      <w:sz w:val="20"/>
                      <w:szCs w:val="20"/>
                      <w:lang w:eastAsia="en-AU"/>
                    </w:rPr>
                  </w:pPr>
                  <w:r w:rsidRPr="00A30A31">
                    <w:rPr>
                      <w:sz w:val="20"/>
                      <w:szCs w:val="20"/>
                      <w:lang w:eastAsia="en-AU"/>
                    </w:rPr>
                    <w:t>35%</w:t>
                  </w:r>
                </w:p>
              </w:tc>
            </w:tr>
            <w:tr w:rsidR="002B32A0" w:rsidRPr="00CE1D7F" w14:paraId="06180A99" w14:textId="77777777" w:rsidTr="006258ED">
              <w:tc>
                <w:tcPr>
                  <w:tcW w:w="2980" w:type="dxa"/>
                  <w:tcBorders>
                    <w:top w:val="single" w:sz="4" w:space="0" w:color="646464"/>
                    <w:left w:val="nil"/>
                    <w:bottom w:val="single" w:sz="4" w:space="0" w:color="646464"/>
                    <w:right w:val="nil"/>
                  </w:tcBorders>
                  <w:noWrap/>
                  <w:hideMark/>
                </w:tcPr>
                <w:p w14:paraId="7C73CAB3" w14:textId="77777777" w:rsidR="002B32A0" w:rsidRPr="00A30A31" w:rsidRDefault="002B32A0" w:rsidP="00955941">
                  <w:pPr>
                    <w:pStyle w:val="Tabletextsmall"/>
                    <w:rPr>
                      <w:sz w:val="20"/>
                      <w:szCs w:val="20"/>
                      <w:lang w:eastAsia="en-AU"/>
                    </w:rPr>
                  </w:pPr>
                  <w:r w:rsidRPr="00A30A31">
                    <w:rPr>
                      <w:sz w:val="20"/>
                      <w:szCs w:val="20"/>
                      <w:lang w:eastAsia="en-AU"/>
                    </w:rPr>
                    <w:t xml:space="preserve"> Economic Framework</w:t>
                  </w:r>
                </w:p>
              </w:tc>
              <w:tc>
                <w:tcPr>
                  <w:tcW w:w="3405" w:type="dxa"/>
                  <w:tcBorders>
                    <w:top w:val="single" w:sz="4" w:space="0" w:color="646464"/>
                    <w:left w:val="nil"/>
                    <w:bottom w:val="single" w:sz="4" w:space="0" w:color="646464"/>
                    <w:right w:val="nil"/>
                  </w:tcBorders>
                  <w:noWrap/>
                  <w:hideMark/>
                </w:tcPr>
                <w:p w14:paraId="01342A98" w14:textId="77777777" w:rsidR="002B32A0" w:rsidRPr="00A30A31" w:rsidRDefault="002B32A0" w:rsidP="00955941">
                  <w:pPr>
                    <w:pStyle w:val="Tabletextsmall"/>
                    <w:rPr>
                      <w:sz w:val="20"/>
                      <w:szCs w:val="20"/>
                      <w:lang w:eastAsia="en-AU"/>
                    </w:rPr>
                  </w:pPr>
                  <w:r w:rsidRPr="00A30A31">
                    <w:rPr>
                      <w:sz w:val="20"/>
                      <w:szCs w:val="20"/>
                      <w:lang w:eastAsia="en-AU"/>
                    </w:rPr>
                    <w:t>Public R&amp;D (assumption)</w:t>
                  </w:r>
                </w:p>
              </w:tc>
              <w:tc>
                <w:tcPr>
                  <w:tcW w:w="1277" w:type="dxa"/>
                  <w:tcBorders>
                    <w:top w:val="single" w:sz="4" w:space="0" w:color="646464"/>
                    <w:left w:val="nil"/>
                    <w:bottom w:val="single" w:sz="4" w:space="0" w:color="646464"/>
                    <w:right w:val="nil"/>
                  </w:tcBorders>
                  <w:noWrap/>
                  <w:hideMark/>
                </w:tcPr>
                <w:p w14:paraId="4952BC8B" w14:textId="77777777" w:rsidR="002B32A0" w:rsidRPr="00A30A31" w:rsidRDefault="002B32A0" w:rsidP="00955941">
                  <w:pPr>
                    <w:pStyle w:val="Tabletextsmall"/>
                    <w:rPr>
                      <w:sz w:val="20"/>
                      <w:szCs w:val="20"/>
                      <w:lang w:eastAsia="en-AU"/>
                    </w:rPr>
                  </w:pPr>
                  <w:r w:rsidRPr="00A30A31">
                    <w:rPr>
                      <w:sz w:val="20"/>
                      <w:szCs w:val="20"/>
                      <w:lang w:eastAsia="en-AU"/>
                    </w:rPr>
                    <w:t>10%</w:t>
                  </w:r>
                </w:p>
              </w:tc>
            </w:tr>
            <w:tr w:rsidR="002B32A0" w:rsidRPr="00CE1D7F" w14:paraId="5C52C701" w14:textId="77777777" w:rsidTr="006258ED">
              <w:tc>
                <w:tcPr>
                  <w:tcW w:w="2980" w:type="dxa"/>
                  <w:tcBorders>
                    <w:top w:val="single" w:sz="4" w:space="0" w:color="646464"/>
                    <w:left w:val="nil"/>
                    <w:bottom w:val="single" w:sz="4" w:space="0" w:color="646464"/>
                    <w:right w:val="nil"/>
                  </w:tcBorders>
                  <w:noWrap/>
                  <w:hideMark/>
                </w:tcPr>
                <w:p w14:paraId="635B5650" w14:textId="77777777" w:rsidR="002B32A0" w:rsidRPr="00A30A31" w:rsidRDefault="002B32A0" w:rsidP="00955941">
                  <w:pPr>
                    <w:pStyle w:val="Tabletextsmall"/>
                    <w:rPr>
                      <w:sz w:val="20"/>
                      <w:szCs w:val="20"/>
                      <w:lang w:eastAsia="en-AU"/>
                    </w:rPr>
                  </w:pPr>
                  <w:r w:rsidRPr="00A30A31">
                    <w:rPr>
                      <w:sz w:val="20"/>
                      <w:szCs w:val="20"/>
                      <w:lang w:eastAsia="en-AU"/>
                    </w:rPr>
                    <w:t xml:space="preserve"> Health</w:t>
                  </w:r>
                </w:p>
              </w:tc>
              <w:tc>
                <w:tcPr>
                  <w:tcW w:w="3405" w:type="dxa"/>
                  <w:tcBorders>
                    <w:top w:val="single" w:sz="4" w:space="0" w:color="646464"/>
                    <w:left w:val="nil"/>
                    <w:bottom w:val="single" w:sz="4" w:space="0" w:color="646464"/>
                    <w:right w:val="nil"/>
                  </w:tcBorders>
                  <w:noWrap/>
                  <w:hideMark/>
                </w:tcPr>
                <w:p w14:paraId="420B26E2" w14:textId="77777777" w:rsidR="002B32A0" w:rsidRPr="00A30A31" w:rsidRDefault="002B32A0" w:rsidP="00955941">
                  <w:pPr>
                    <w:pStyle w:val="Tabletextsmall"/>
                    <w:rPr>
                      <w:sz w:val="20"/>
                      <w:szCs w:val="20"/>
                      <w:lang w:eastAsia="en-AU"/>
                    </w:rPr>
                  </w:pPr>
                  <w:r w:rsidRPr="00A30A31">
                    <w:rPr>
                      <w:sz w:val="20"/>
                      <w:szCs w:val="20"/>
                      <w:lang w:eastAsia="en-AU"/>
                    </w:rPr>
                    <w:t>Health/medical R&amp;D</w:t>
                  </w:r>
                </w:p>
              </w:tc>
              <w:tc>
                <w:tcPr>
                  <w:tcW w:w="1277" w:type="dxa"/>
                  <w:tcBorders>
                    <w:top w:val="single" w:sz="4" w:space="0" w:color="646464"/>
                    <w:left w:val="nil"/>
                    <w:bottom w:val="single" w:sz="4" w:space="0" w:color="646464"/>
                    <w:right w:val="nil"/>
                  </w:tcBorders>
                  <w:noWrap/>
                  <w:hideMark/>
                </w:tcPr>
                <w:p w14:paraId="40DF948D" w14:textId="77777777" w:rsidR="002B32A0" w:rsidRPr="00A30A31" w:rsidRDefault="002B32A0" w:rsidP="00955941">
                  <w:pPr>
                    <w:pStyle w:val="Tabletextsmall"/>
                    <w:rPr>
                      <w:sz w:val="20"/>
                      <w:szCs w:val="20"/>
                      <w:lang w:eastAsia="en-AU"/>
                    </w:rPr>
                  </w:pPr>
                  <w:r w:rsidRPr="00A30A31">
                    <w:rPr>
                      <w:sz w:val="20"/>
                      <w:szCs w:val="20"/>
                      <w:lang w:eastAsia="en-AU"/>
                    </w:rPr>
                    <w:t>45%</w:t>
                  </w:r>
                </w:p>
              </w:tc>
            </w:tr>
            <w:tr w:rsidR="002B32A0" w:rsidRPr="00CE1D7F" w14:paraId="735DC7D1" w14:textId="77777777" w:rsidTr="006258ED">
              <w:tc>
                <w:tcPr>
                  <w:tcW w:w="2980" w:type="dxa"/>
                  <w:tcBorders>
                    <w:top w:val="single" w:sz="4" w:space="0" w:color="646464"/>
                    <w:left w:val="nil"/>
                    <w:bottom w:val="single" w:sz="4" w:space="0" w:color="646464"/>
                    <w:right w:val="nil"/>
                  </w:tcBorders>
                  <w:noWrap/>
                  <w:hideMark/>
                </w:tcPr>
                <w:p w14:paraId="6EA94CC6" w14:textId="77777777" w:rsidR="002B32A0" w:rsidRPr="00A30A31" w:rsidRDefault="002B32A0" w:rsidP="00955941">
                  <w:pPr>
                    <w:pStyle w:val="Tabletextsmall"/>
                    <w:rPr>
                      <w:sz w:val="20"/>
                      <w:szCs w:val="20"/>
                      <w:lang w:eastAsia="en-AU"/>
                    </w:rPr>
                  </w:pPr>
                  <w:r w:rsidRPr="00A30A31">
                    <w:rPr>
                      <w:sz w:val="20"/>
                      <w:szCs w:val="20"/>
                      <w:lang w:eastAsia="en-AU"/>
                    </w:rPr>
                    <w:t xml:space="preserve"> Education and Training</w:t>
                  </w:r>
                </w:p>
              </w:tc>
              <w:tc>
                <w:tcPr>
                  <w:tcW w:w="3405" w:type="dxa"/>
                  <w:tcBorders>
                    <w:top w:val="single" w:sz="4" w:space="0" w:color="646464"/>
                    <w:left w:val="nil"/>
                    <w:bottom w:val="single" w:sz="4" w:space="0" w:color="646464"/>
                    <w:right w:val="nil"/>
                  </w:tcBorders>
                  <w:noWrap/>
                  <w:hideMark/>
                </w:tcPr>
                <w:p w14:paraId="6FF338D8" w14:textId="77777777" w:rsidR="002B32A0" w:rsidRPr="00A30A31" w:rsidRDefault="002B32A0" w:rsidP="00955941">
                  <w:pPr>
                    <w:pStyle w:val="Tabletextsmall"/>
                    <w:rPr>
                      <w:sz w:val="20"/>
                      <w:szCs w:val="20"/>
                      <w:lang w:eastAsia="en-AU"/>
                    </w:rPr>
                  </w:pPr>
                  <w:r w:rsidRPr="00A30A31">
                    <w:rPr>
                      <w:sz w:val="20"/>
                      <w:szCs w:val="20"/>
                      <w:lang w:eastAsia="en-AU"/>
                    </w:rPr>
                    <w:t>Public R&amp;D (assumption)</w:t>
                  </w:r>
                </w:p>
              </w:tc>
              <w:tc>
                <w:tcPr>
                  <w:tcW w:w="1277" w:type="dxa"/>
                  <w:tcBorders>
                    <w:top w:val="single" w:sz="4" w:space="0" w:color="646464"/>
                    <w:left w:val="nil"/>
                    <w:bottom w:val="single" w:sz="4" w:space="0" w:color="646464"/>
                    <w:right w:val="nil"/>
                  </w:tcBorders>
                  <w:noWrap/>
                  <w:hideMark/>
                </w:tcPr>
                <w:p w14:paraId="60D8AC7B" w14:textId="77777777" w:rsidR="002B32A0" w:rsidRPr="00A30A31" w:rsidRDefault="002B32A0" w:rsidP="00955941">
                  <w:pPr>
                    <w:pStyle w:val="Tabletextsmall"/>
                    <w:rPr>
                      <w:sz w:val="20"/>
                      <w:szCs w:val="20"/>
                      <w:lang w:eastAsia="en-AU"/>
                    </w:rPr>
                  </w:pPr>
                  <w:r w:rsidRPr="00A30A31">
                    <w:rPr>
                      <w:sz w:val="20"/>
                      <w:szCs w:val="20"/>
                      <w:lang w:eastAsia="en-AU"/>
                    </w:rPr>
                    <w:t>15%</w:t>
                  </w:r>
                </w:p>
              </w:tc>
            </w:tr>
            <w:tr w:rsidR="002B32A0" w:rsidRPr="00CE1D7F" w14:paraId="6DE861FB" w14:textId="77777777" w:rsidTr="006258ED">
              <w:tc>
                <w:tcPr>
                  <w:tcW w:w="2980" w:type="dxa"/>
                  <w:tcBorders>
                    <w:top w:val="single" w:sz="4" w:space="0" w:color="646464"/>
                    <w:left w:val="nil"/>
                    <w:bottom w:val="single" w:sz="4" w:space="0" w:color="646464"/>
                    <w:right w:val="nil"/>
                  </w:tcBorders>
                  <w:noWrap/>
                  <w:hideMark/>
                </w:tcPr>
                <w:p w14:paraId="6FC794A9" w14:textId="77777777" w:rsidR="002B32A0" w:rsidRPr="00A30A31" w:rsidRDefault="002B32A0" w:rsidP="00955941">
                  <w:pPr>
                    <w:pStyle w:val="Tabletextsmall"/>
                    <w:rPr>
                      <w:sz w:val="20"/>
                      <w:szCs w:val="20"/>
                      <w:lang w:eastAsia="en-AU"/>
                    </w:rPr>
                  </w:pPr>
                  <w:r w:rsidRPr="00A30A31">
                    <w:rPr>
                      <w:sz w:val="20"/>
                      <w:szCs w:val="20"/>
                      <w:lang w:eastAsia="en-AU"/>
                    </w:rPr>
                    <w:t xml:space="preserve"> Law, Politics and Community Services</w:t>
                  </w:r>
                </w:p>
              </w:tc>
              <w:tc>
                <w:tcPr>
                  <w:tcW w:w="3405" w:type="dxa"/>
                  <w:tcBorders>
                    <w:top w:val="single" w:sz="4" w:space="0" w:color="646464"/>
                    <w:left w:val="nil"/>
                    <w:bottom w:val="single" w:sz="4" w:space="0" w:color="646464"/>
                    <w:right w:val="nil"/>
                  </w:tcBorders>
                  <w:noWrap/>
                  <w:hideMark/>
                </w:tcPr>
                <w:p w14:paraId="569EFB6C" w14:textId="77777777" w:rsidR="002B32A0" w:rsidRPr="00A30A31" w:rsidRDefault="002B32A0" w:rsidP="00955941">
                  <w:pPr>
                    <w:pStyle w:val="Tabletextsmall"/>
                    <w:rPr>
                      <w:sz w:val="20"/>
                      <w:szCs w:val="20"/>
                      <w:lang w:eastAsia="en-AU"/>
                    </w:rPr>
                  </w:pPr>
                  <w:r w:rsidRPr="00A30A31">
                    <w:rPr>
                      <w:sz w:val="20"/>
                      <w:szCs w:val="20"/>
                      <w:lang w:eastAsia="en-AU"/>
                    </w:rPr>
                    <w:t>Public R&amp;D (assumption)</w:t>
                  </w:r>
                </w:p>
              </w:tc>
              <w:tc>
                <w:tcPr>
                  <w:tcW w:w="1277" w:type="dxa"/>
                  <w:tcBorders>
                    <w:top w:val="single" w:sz="4" w:space="0" w:color="646464"/>
                    <w:left w:val="nil"/>
                    <w:bottom w:val="single" w:sz="4" w:space="0" w:color="646464"/>
                    <w:right w:val="nil"/>
                  </w:tcBorders>
                  <w:noWrap/>
                  <w:hideMark/>
                </w:tcPr>
                <w:p w14:paraId="2C204AF5" w14:textId="77777777" w:rsidR="002B32A0" w:rsidRPr="00A30A31" w:rsidRDefault="002B32A0" w:rsidP="00955941">
                  <w:pPr>
                    <w:pStyle w:val="Tabletextsmall"/>
                    <w:rPr>
                      <w:sz w:val="20"/>
                      <w:szCs w:val="20"/>
                      <w:lang w:eastAsia="en-AU"/>
                    </w:rPr>
                  </w:pPr>
                  <w:r w:rsidRPr="00A30A31">
                    <w:rPr>
                      <w:sz w:val="20"/>
                      <w:szCs w:val="20"/>
                      <w:lang w:eastAsia="en-AU"/>
                    </w:rPr>
                    <w:t>10%</w:t>
                  </w:r>
                </w:p>
              </w:tc>
            </w:tr>
            <w:tr w:rsidR="002B32A0" w:rsidRPr="00CE1D7F" w14:paraId="033818EA" w14:textId="77777777" w:rsidTr="006258ED">
              <w:tc>
                <w:tcPr>
                  <w:tcW w:w="2980" w:type="dxa"/>
                  <w:tcBorders>
                    <w:top w:val="single" w:sz="4" w:space="0" w:color="646464"/>
                    <w:left w:val="nil"/>
                    <w:bottom w:val="single" w:sz="4" w:space="0" w:color="646464"/>
                    <w:right w:val="nil"/>
                  </w:tcBorders>
                  <w:noWrap/>
                  <w:hideMark/>
                </w:tcPr>
                <w:p w14:paraId="0703D73E" w14:textId="77777777" w:rsidR="002B32A0" w:rsidRPr="00A30A31" w:rsidRDefault="002B32A0" w:rsidP="00955941">
                  <w:pPr>
                    <w:pStyle w:val="Tabletextsmall"/>
                    <w:rPr>
                      <w:sz w:val="20"/>
                      <w:szCs w:val="20"/>
                      <w:lang w:eastAsia="en-AU"/>
                    </w:rPr>
                  </w:pPr>
                  <w:r w:rsidRPr="00A30A31">
                    <w:rPr>
                      <w:sz w:val="20"/>
                      <w:szCs w:val="20"/>
                      <w:lang w:eastAsia="en-AU"/>
                    </w:rPr>
                    <w:t xml:space="preserve"> Cultural Understanding</w:t>
                  </w:r>
                </w:p>
              </w:tc>
              <w:tc>
                <w:tcPr>
                  <w:tcW w:w="3405" w:type="dxa"/>
                  <w:tcBorders>
                    <w:top w:val="single" w:sz="4" w:space="0" w:color="646464"/>
                    <w:left w:val="nil"/>
                    <w:bottom w:val="single" w:sz="4" w:space="0" w:color="646464"/>
                    <w:right w:val="nil"/>
                  </w:tcBorders>
                  <w:noWrap/>
                  <w:hideMark/>
                </w:tcPr>
                <w:p w14:paraId="39651F25" w14:textId="77777777" w:rsidR="002B32A0" w:rsidRPr="00A30A31" w:rsidRDefault="002B32A0" w:rsidP="00955941">
                  <w:pPr>
                    <w:pStyle w:val="Tabletextsmall"/>
                    <w:rPr>
                      <w:sz w:val="20"/>
                      <w:szCs w:val="20"/>
                      <w:lang w:eastAsia="en-AU"/>
                    </w:rPr>
                  </w:pPr>
                  <w:r w:rsidRPr="00A30A31">
                    <w:rPr>
                      <w:sz w:val="20"/>
                      <w:szCs w:val="20"/>
                      <w:lang w:eastAsia="en-AU"/>
                    </w:rPr>
                    <w:t>Public R&amp;D (assumption)</w:t>
                  </w:r>
                </w:p>
              </w:tc>
              <w:tc>
                <w:tcPr>
                  <w:tcW w:w="1277" w:type="dxa"/>
                  <w:tcBorders>
                    <w:top w:val="single" w:sz="4" w:space="0" w:color="646464"/>
                    <w:left w:val="nil"/>
                    <w:bottom w:val="single" w:sz="4" w:space="0" w:color="646464"/>
                    <w:right w:val="nil"/>
                  </w:tcBorders>
                  <w:noWrap/>
                  <w:hideMark/>
                </w:tcPr>
                <w:p w14:paraId="77689C10" w14:textId="77777777" w:rsidR="002B32A0" w:rsidRPr="00A30A31" w:rsidRDefault="002B32A0" w:rsidP="00955941">
                  <w:pPr>
                    <w:pStyle w:val="Tabletextsmall"/>
                    <w:rPr>
                      <w:sz w:val="20"/>
                      <w:szCs w:val="20"/>
                      <w:lang w:eastAsia="en-AU"/>
                    </w:rPr>
                  </w:pPr>
                  <w:r w:rsidRPr="00A30A31">
                    <w:rPr>
                      <w:sz w:val="20"/>
                      <w:szCs w:val="20"/>
                      <w:lang w:eastAsia="en-AU"/>
                    </w:rPr>
                    <w:t>5%</w:t>
                  </w:r>
                </w:p>
              </w:tc>
            </w:tr>
            <w:tr w:rsidR="002B32A0" w:rsidRPr="00CE1D7F" w14:paraId="5B66CE69" w14:textId="77777777" w:rsidTr="006258ED">
              <w:tc>
                <w:tcPr>
                  <w:tcW w:w="2980" w:type="dxa"/>
                  <w:tcBorders>
                    <w:top w:val="single" w:sz="4" w:space="0" w:color="646464"/>
                    <w:left w:val="nil"/>
                    <w:bottom w:val="single" w:sz="4" w:space="0" w:color="646464"/>
                    <w:right w:val="nil"/>
                  </w:tcBorders>
                  <w:noWrap/>
                  <w:hideMark/>
                </w:tcPr>
                <w:p w14:paraId="1A20694E" w14:textId="77777777" w:rsidR="002B32A0" w:rsidRPr="00A30A31" w:rsidRDefault="002B32A0" w:rsidP="00955941">
                  <w:pPr>
                    <w:pStyle w:val="Tabletextsmall"/>
                    <w:rPr>
                      <w:sz w:val="20"/>
                      <w:szCs w:val="20"/>
                      <w:lang w:eastAsia="en-AU"/>
                    </w:rPr>
                  </w:pPr>
                  <w:r w:rsidRPr="00A30A31">
                    <w:rPr>
                      <w:sz w:val="20"/>
                      <w:szCs w:val="20"/>
                      <w:lang w:eastAsia="en-AU"/>
                    </w:rPr>
                    <w:t xml:space="preserve"> Environment</w:t>
                  </w:r>
                </w:p>
              </w:tc>
              <w:tc>
                <w:tcPr>
                  <w:tcW w:w="3405" w:type="dxa"/>
                  <w:tcBorders>
                    <w:top w:val="single" w:sz="4" w:space="0" w:color="646464"/>
                    <w:left w:val="nil"/>
                    <w:bottom w:val="single" w:sz="4" w:space="0" w:color="646464"/>
                    <w:right w:val="nil"/>
                  </w:tcBorders>
                  <w:noWrap/>
                  <w:hideMark/>
                </w:tcPr>
                <w:p w14:paraId="687493D4" w14:textId="77777777" w:rsidR="002B32A0" w:rsidRPr="00A30A31" w:rsidRDefault="002B32A0" w:rsidP="00955941">
                  <w:pPr>
                    <w:pStyle w:val="Tabletextsmall"/>
                    <w:rPr>
                      <w:sz w:val="20"/>
                      <w:szCs w:val="20"/>
                      <w:lang w:eastAsia="en-AU"/>
                    </w:rPr>
                  </w:pPr>
                  <w:r w:rsidRPr="00A30A31">
                    <w:rPr>
                      <w:sz w:val="20"/>
                      <w:szCs w:val="20"/>
                      <w:lang w:eastAsia="en-AU"/>
                    </w:rPr>
                    <w:t>Public R&amp;D (literature estimates)</w:t>
                  </w:r>
                </w:p>
              </w:tc>
              <w:tc>
                <w:tcPr>
                  <w:tcW w:w="1277" w:type="dxa"/>
                  <w:tcBorders>
                    <w:top w:val="single" w:sz="4" w:space="0" w:color="646464"/>
                    <w:left w:val="nil"/>
                    <w:bottom w:val="single" w:sz="4" w:space="0" w:color="646464"/>
                    <w:right w:val="nil"/>
                  </w:tcBorders>
                  <w:noWrap/>
                  <w:hideMark/>
                </w:tcPr>
                <w:p w14:paraId="5B58093A" w14:textId="77777777" w:rsidR="002B32A0" w:rsidRPr="00A30A31" w:rsidRDefault="002B32A0" w:rsidP="00955941">
                  <w:pPr>
                    <w:pStyle w:val="Tabletextsmall"/>
                    <w:rPr>
                      <w:sz w:val="20"/>
                      <w:szCs w:val="20"/>
                      <w:lang w:eastAsia="en-AU"/>
                    </w:rPr>
                  </w:pPr>
                  <w:r w:rsidRPr="00A30A31">
                    <w:rPr>
                      <w:sz w:val="20"/>
                      <w:szCs w:val="20"/>
                      <w:lang w:eastAsia="en-AU"/>
                    </w:rPr>
                    <w:t>35%</w:t>
                  </w:r>
                </w:p>
              </w:tc>
            </w:tr>
            <w:tr w:rsidR="002B32A0" w:rsidRPr="00CE1D7F" w14:paraId="61F9F78A" w14:textId="77777777" w:rsidTr="006258ED">
              <w:tc>
                <w:tcPr>
                  <w:tcW w:w="2980" w:type="dxa"/>
                  <w:tcBorders>
                    <w:top w:val="single" w:sz="4" w:space="0" w:color="646464"/>
                    <w:left w:val="nil"/>
                    <w:bottom w:val="single" w:sz="4" w:space="0" w:color="646464"/>
                    <w:right w:val="nil"/>
                  </w:tcBorders>
                  <w:noWrap/>
                  <w:hideMark/>
                </w:tcPr>
                <w:p w14:paraId="120971E8" w14:textId="77777777" w:rsidR="002B32A0" w:rsidRPr="00A30A31" w:rsidRDefault="002B32A0" w:rsidP="00955941">
                  <w:pPr>
                    <w:pStyle w:val="Tabletextsmall"/>
                    <w:rPr>
                      <w:sz w:val="20"/>
                      <w:szCs w:val="20"/>
                      <w:lang w:eastAsia="en-AU"/>
                    </w:rPr>
                  </w:pPr>
                  <w:r w:rsidRPr="00A30A31">
                    <w:rPr>
                      <w:sz w:val="20"/>
                      <w:szCs w:val="20"/>
                      <w:lang w:eastAsia="en-AU"/>
                    </w:rPr>
                    <w:t xml:space="preserve"> Expanding Knowledge</w:t>
                  </w:r>
                </w:p>
              </w:tc>
              <w:tc>
                <w:tcPr>
                  <w:tcW w:w="3405" w:type="dxa"/>
                  <w:tcBorders>
                    <w:top w:val="single" w:sz="4" w:space="0" w:color="646464"/>
                    <w:left w:val="nil"/>
                    <w:bottom w:val="single" w:sz="4" w:space="0" w:color="646464"/>
                    <w:right w:val="nil"/>
                  </w:tcBorders>
                  <w:noWrap/>
                  <w:hideMark/>
                </w:tcPr>
                <w:p w14:paraId="0F638A01" w14:textId="77777777" w:rsidR="002B32A0" w:rsidRPr="00A30A31" w:rsidRDefault="002B32A0" w:rsidP="00955941">
                  <w:pPr>
                    <w:pStyle w:val="Tabletextsmall"/>
                    <w:rPr>
                      <w:sz w:val="20"/>
                      <w:szCs w:val="20"/>
                      <w:lang w:eastAsia="en-AU"/>
                    </w:rPr>
                  </w:pPr>
                  <w:r w:rsidRPr="00A30A31">
                    <w:rPr>
                      <w:sz w:val="20"/>
                      <w:szCs w:val="20"/>
                      <w:lang w:eastAsia="en-AU"/>
                    </w:rPr>
                    <w:t>Public R&amp;D (literature estimates)</w:t>
                  </w:r>
                </w:p>
              </w:tc>
              <w:tc>
                <w:tcPr>
                  <w:tcW w:w="1277" w:type="dxa"/>
                  <w:tcBorders>
                    <w:top w:val="single" w:sz="4" w:space="0" w:color="646464"/>
                    <w:left w:val="nil"/>
                    <w:bottom w:val="single" w:sz="4" w:space="0" w:color="646464"/>
                    <w:right w:val="nil"/>
                  </w:tcBorders>
                  <w:noWrap/>
                  <w:hideMark/>
                </w:tcPr>
                <w:p w14:paraId="78B20F18" w14:textId="77777777" w:rsidR="002B32A0" w:rsidRPr="00A30A31" w:rsidRDefault="002B32A0" w:rsidP="00955941">
                  <w:pPr>
                    <w:pStyle w:val="Tabletextsmall"/>
                    <w:rPr>
                      <w:sz w:val="20"/>
                      <w:szCs w:val="20"/>
                      <w:lang w:eastAsia="en-AU"/>
                    </w:rPr>
                  </w:pPr>
                  <w:r w:rsidRPr="00A30A31">
                    <w:rPr>
                      <w:sz w:val="20"/>
                      <w:szCs w:val="20"/>
                      <w:lang w:eastAsia="en-AU"/>
                    </w:rPr>
                    <w:t>35%</w:t>
                  </w:r>
                </w:p>
              </w:tc>
            </w:tr>
            <w:tr w:rsidR="002B32A0" w:rsidRPr="00CE1D7F" w14:paraId="343B82C8" w14:textId="77777777" w:rsidTr="006258ED">
              <w:tc>
                <w:tcPr>
                  <w:tcW w:w="7662" w:type="dxa"/>
                  <w:gridSpan w:val="3"/>
                  <w:tcBorders>
                    <w:top w:val="single" w:sz="4" w:space="0" w:color="646464"/>
                    <w:left w:val="nil"/>
                    <w:bottom w:val="single" w:sz="4" w:space="0" w:color="646464"/>
                    <w:right w:val="nil"/>
                  </w:tcBorders>
                  <w:noWrap/>
                  <w:hideMark/>
                </w:tcPr>
                <w:p w14:paraId="4D9A51A8" w14:textId="77777777" w:rsidR="002B32A0" w:rsidRPr="00CE1D7F" w:rsidRDefault="002B32A0" w:rsidP="00955941">
                  <w:pPr>
                    <w:pStyle w:val="Note"/>
                    <w:keepNext w:val="0"/>
                    <w:keepLines w:val="0"/>
                    <w:rPr>
                      <w:lang w:eastAsia="en-AU"/>
                    </w:rPr>
                  </w:pPr>
                  <w:r w:rsidRPr="00CE1D7F">
                    <w:lastRenderedPageBreak/>
                    <w:t>Notes: The category named ‘Public R&amp;D (literature estimates)’ is based on estimated ROR to overall public R&amp;D in scientific fields (including basic &amp; applied). No estimates of ROR in non-scientific fields (research in social sciences, arts and humanities) were found in the literature. Hence, assumptions were developed in discussions with the ARC about a potential ROR to research in these areas (noted in the table above as ‘Public R&amp;D (assumption)’).</w:t>
                  </w:r>
                </w:p>
              </w:tc>
            </w:tr>
          </w:tbl>
          <w:p w14:paraId="6A1509F2" w14:textId="77777777" w:rsidR="002B32A0" w:rsidRPr="00CE1D7F" w:rsidRDefault="002B32A0" w:rsidP="00955941">
            <w:pPr>
              <w:pStyle w:val="Tabletext"/>
            </w:pPr>
          </w:p>
        </w:tc>
      </w:tr>
      <w:tr w:rsidR="002B32A0" w:rsidRPr="00CE1D7F" w14:paraId="098E00D7" w14:textId="77777777" w:rsidTr="000B0AC7">
        <w:tc>
          <w:tcPr>
            <w:tcW w:w="2105" w:type="dxa"/>
            <w:tcMar>
              <w:left w:w="80" w:type="dxa"/>
            </w:tcMar>
            <w:hideMark/>
          </w:tcPr>
          <w:p w14:paraId="52FC0F4E" w14:textId="77777777" w:rsidR="002B32A0" w:rsidRPr="00CE1D7F" w:rsidRDefault="002B32A0" w:rsidP="006258ED">
            <w:pPr>
              <w:pStyle w:val="Tabletext"/>
              <w:keepNext/>
              <w:keepLines/>
            </w:pPr>
            <w:r w:rsidRPr="00CE1D7F">
              <w:rPr>
                <w:b/>
                <w:bCs/>
              </w:rPr>
              <w:lastRenderedPageBreak/>
              <w:t>Industry sectors receiving the returns from research</w:t>
            </w:r>
          </w:p>
        </w:tc>
        <w:tc>
          <w:tcPr>
            <w:tcW w:w="7792" w:type="dxa"/>
            <w:hideMark/>
          </w:tcPr>
          <w:p w14:paraId="2AE40B30" w14:textId="77777777" w:rsidR="002B32A0" w:rsidRPr="00CE1D7F" w:rsidRDefault="002B32A0" w:rsidP="006258ED">
            <w:pPr>
              <w:pStyle w:val="Tabletext"/>
              <w:keepNext/>
              <w:keepLines/>
            </w:pPr>
            <w:r w:rsidRPr="00CE1D7F">
              <w:t>Benefits from the research were allocated between subdivisional structures of the Australian and New Zealand Standard Industrial Classification (ANZSIC). Allocation was made based on analysis of the SEOs codes and FoR codes of the research projects.</w:t>
            </w:r>
          </w:p>
        </w:tc>
      </w:tr>
      <w:tr w:rsidR="002B32A0" w:rsidRPr="00CE1D7F" w14:paraId="2AF06D71" w14:textId="77777777" w:rsidTr="000B0AC7">
        <w:tc>
          <w:tcPr>
            <w:tcW w:w="2105" w:type="dxa"/>
            <w:tcMar>
              <w:left w:w="80" w:type="dxa"/>
            </w:tcMar>
            <w:hideMark/>
          </w:tcPr>
          <w:p w14:paraId="27C2E7C3" w14:textId="77777777" w:rsidR="002B32A0" w:rsidRPr="00CE1D7F" w:rsidRDefault="002B32A0" w:rsidP="006258ED">
            <w:pPr>
              <w:pStyle w:val="Tabletext"/>
              <w:keepNext/>
              <w:keepLines/>
            </w:pPr>
            <w:r w:rsidRPr="00CE1D7F">
              <w:rPr>
                <w:b/>
                <w:bCs/>
              </w:rPr>
              <w:t>Time lags for accrual of benefits</w:t>
            </w:r>
          </w:p>
        </w:tc>
        <w:tc>
          <w:tcPr>
            <w:tcW w:w="7792" w:type="dxa"/>
            <w:hideMark/>
          </w:tcPr>
          <w:p w14:paraId="7B41EB65" w14:textId="4CC0CA1E" w:rsidR="002B32A0" w:rsidRPr="00CE1D7F" w:rsidRDefault="002B32A0" w:rsidP="006258ED">
            <w:pPr>
              <w:pStyle w:val="Tabletext"/>
              <w:keepNext/>
              <w:keepLines/>
            </w:pPr>
            <w:r w:rsidRPr="00CE1D7F">
              <w:t xml:space="preserve">Assumed to be 6 years for Discovery Projects and 4 years for Linkage Projects based on survey results (see </w:t>
            </w:r>
            <w:r w:rsidRPr="00F87D0E">
              <w:fldChar w:fldCharType="begin"/>
            </w:r>
            <w:r w:rsidRPr="00F87D0E">
              <w:instrText xml:space="preserve"> REF _Ref129809607 \h  \* MERGEFORMAT </w:instrText>
            </w:r>
            <w:r w:rsidRPr="00F87D0E">
              <w:fldChar w:fldCharType="separate"/>
            </w:r>
            <w:r w:rsidR="000B0AC7" w:rsidRPr="000B0AC7">
              <w:t>Table C.1</w:t>
            </w:r>
            <w:r w:rsidRPr="00F87D0E">
              <w:fldChar w:fldCharType="end"/>
            </w:r>
            <w:r w:rsidRPr="00CE1D7F">
              <w:t xml:space="preserve">) and consultation with sector leaders (see </w:t>
            </w:r>
            <w:r>
              <w:t>section </w:t>
            </w:r>
            <w:r w:rsidRPr="00F87D0E">
              <w:fldChar w:fldCharType="begin"/>
            </w:r>
            <w:r w:rsidRPr="00F87D0E">
              <w:instrText xml:space="preserve"> REF _Ref129809819 \r \h  \* MERGEFORMAT </w:instrText>
            </w:r>
            <w:r w:rsidRPr="00F87D0E">
              <w:fldChar w:fldCharType="separate"/>
            </w:r>
            <w:r w:rsidR="000B0AC7">
              <w:t>4.2.1</w:t>
            </w:r>
            <w:r w:rsidRPr="00F87D0E">
              <w:fldChar w:fldCharType="end"/>
            </w:r>
            <w:r w:rsidRPr="00CE1D7F">
              <w:t>).</w:t>
            </w:r>
          </w:p>
        </w:tc>
      </w:tr>
      <w:tr w:rsidR="002B32A0" w:rsidRPr="00CE1D7F" w14:paraId="3644F980" w14:textId="77777777" w:rsidTr="000B0AC7">
        <w:tc>
          <w:tcPr>
            <w:tcW w:w="2105" w:type="dxa"/>
            <w:tcMar>
              <w:left w:w="80" w:type="dxa"/>
            </w:tcMar>
            <w:hideMark/>
          </w:tcPr>
          <w:p w14:paraId="64A34351" w14:textId="77777777" w:rsidR="002B32A0" w:rsidRPr="00CE1D7F" w:rsidRDefault="002B32A0" w:rsidP="006258ED">
            <w:pPr>
              <w:pStyle w:val="Tabletext"/>
              <w:keepNext/>
              <w:keepLines/>
            </w:pPr>
            <w:r w:rsidRPr="00CE1D7F">
              <w:rPr>
                <w:b/>
                <w:bCs/>
              </w:rPr>
              <w:t>Useful life of research</w:t>
            </w:r>
          </w:p>
        </w:tc>
        <w:tc>
          <w:tcPr>
            <w:tcW w:w="7792" w:type="dxa"/>
            <w:hideMark/>
          </w:tcPr>
          <w:p w14:paraId="665A6E43" w14:textId="77777777" w:rsidR="002B32A0" w:rsidRPr="00CE1D7F" w:rsidRDefault="002B32A0" w:rsidP="006258ED">
            <w:pPr>
              <w:pStyle w:val="Tabletext"/>
              <w:keepNext/>
              <w:keepLines/>
            </w:pPr>
            <w:r w:rsidRPr="00CE1D7F">
              <w:t>It is assumed that the useful economic life of outcomes generated or enabled through ARC-funded research activities is, on average, 15 years.</w:t>
            </w:r>
          </w:p>
        </w:tc>
      </w:tr>
      <w:tr w:rsidR="002B32A0" w:rsidRPr="00CE1D7F" w14:paraId="0E7E6342" w14:textId="77777777" w:rsidTr="000B0AC7">
        <w:tc>
          <w:tcPr>
            <w:tcW w:w="2105" w:type="dxa"/>
            <w:tcMar>
              <w:left w:w="80" w:type="dxa"/>
            </w:tcMar>
            <w:hideMark/>
          </w:tcPr>
          <w:p w14:paraId="0F247254" w14:textId="77777777" w:rsidR="002B32A0" w:rsidRPr="00CE1D7F" w:rsidRDefault="002B32A0" w:rsidP="006258ED">
            <w:pPr>
              <w:pStyle w:val="Tabletext"/>
              <w:keepNext/>
              <w:keepLines/>
            </w:pPr>
            <w:r w:rsidRPr="00CE1D7F">
              <w:rPr>
                <w:b/>
                <w:bCs/>
              </w:rPr>
              <w:t>Geographic boundaries of returns from research</w:t>
            </w:r>
          </w:p>
        </w:tc>
        <w:tc>
          <w:tcPr>
            <w:tcW w:w="7792" w:type="dxa"/>
            <w:hideMark/>
          </w:tcPr>
          <w:p w14:paraId="0442B74B" w14:textId="77777777" w:rsidR="002B32A0" w:rsidRPr="00CE1D7F" w:rsidRDefault="002B32A0" w:rsidP="006258ED">
            <w:pPr>
              <w:pStyle w:val="Tabletext"/>
              <w:keepNext/>
              <w:keepLines/>
            </w:pPr>
            <w:r w:rsidRPr="00CE1D7F">
              <w:t>Given the national nature of the ARC, the modelling assumes that all Australians enjoy all research benefits stemming from ARC funding.</w:t>
            </w:r>
          </w:p>
        </w:tc>
      </w:tr>
    </w:tbl>
    <w:p w14:paraId="2620E2EF" w14:textId="77777777" w:rsidR="000B0AC7" w:rsidRPr="00CE1D7F" w:rsidRDefault="000B0AC7" w:rsidP="000B0AC7">
      <w:pPr>
        <w:pStyle w:val="Source"/>
        <w:keepLines/>
        <w:ind w:left="-1963"/>
      </w:pPr>
      <w:r w:rsidRPr="00CE1D7F">
        <w:t xml:space="preserve">Source: ACIL Allen and ARC. </w:t>
      </w:r>
    </w:p>
    <w:p w14:paraId="6399774D" w14:textId="77777777" w:rsidR="002B32A0" w:rsidRPr="00CE1D7F" w:rsidRDefault="002B32A0" w:rsidP="002B32A0">
      <w:pPr>
        <w:pStyle w:val="BodyText"/>
      </w:pPr>
    </w:p>
    <w:p w14:paraId="4283DB39" w14:textId="534025ED" w:rsidR="000B0AC7" w:rsidRPr="00CE1D7F" w:rsidRDefault="000B0AC7" w:rsidP="000B0AC7">
      <w:pPr>
        <w:pStyle w:val="Caption"/>
        <w:ind w:left="315" w:hanging="1308"/>
        <w:rPr>
          <w:rStyle w:val="CaptionLabel"/>
        </w:rPr>
      </w:pPr>
      <w:bookmarkStart w:id="81" w:name="_Ref129612225"/>
      <w:bookmarkStart w:id="82" w:name="_Hlk129703905"/>
      <w:r w:rsidRPr="00CE1D7F">
        <w:rPr>
          <w:rStyle w:val="CaptionLabel"/>
        </w:rPr>
        <w:lastRenderedPageBreak/>
        <w:t>Figure </w:t>
      </w:r>
      <w:r w:rsidRPr="00CE1D7F">
        <w:rPr>
          <w:rStyle w:val="CaptionLabel"/>
        </w:rPr>
        <w:fldChar w:fldCharType="begin"/>
      </w:r>
      <w:r w:rsidRPr="00CE1D7F">
        <w:rPr>
          <w:rStyle w:val="CaptionLabel"/>
        </w:rPr>
        <w:instrText xml:space="preserve"> STYLEREF 1 \S \* MERGEFORMAT </w:instrText>
      </w:r>
      <w:r w:rsidRPr="00CE1D7F">
        <w:rPr>
          <w:rStyle w:val="CaptionLabel"/>
        </w:rPr>
        <w:fldChar w:fldCharType="separate"/>
      </w:r>
      <w:r>
        <w:rPr>
          <w:rStyle w:val="CaptionLabel"/>
          <w:noProof/>
        </w:rPr>
        <w:t>2</w:t>
      </w:r>
      <w:r w:rsidRPr="00CE1D7F">
        <w:rPr>
          <w:rStyle w:val="CaptionLabel"/>
        </w:rPr>
        <w:fldChar w:fldCharType="end"/>
      </w:r>
      <w:r w:rsidRPr="00CE1D7F">
        <w:rPr>
          <w:rStyle w:val="CaptionLabel"/>
        </w:rPr>
        <w:t>.</w:t>
      </w:r>
      <w:r w:rsidRPr="00CE1D7F">
        <w:rPr>
          <w:rStyle w:val="CaptionLabel"/>
        </w:rPr>
        <w:fldChar w:fldCharType="begin"/>
      </w:r>
      <w:r w:rsidRPr="00CE1D7F">
        <w:rPr>
          <w:rStyle w:val="CaptionLabel"/>
        </w:rPr>
        <w:instrText xml:space="preserve"> SEQ Figure \* ARABIC \S 1 \* MERGEFORMAT </w:instrText>
      </w:r>
      <w:r w:rsidRPr="00CE1D7F">
        <w:rPr>
          <w:rStyle w:val="CaptionLabel"/>
        </w:rPr>
        <w:fldChar w:fldCharType="separate"/>
      </w:r>
      <w:r>
        <w:rPr>
          <w:rStyle w:val="CaptionLabel"/>
          <w:noProof/>
        </w:rPr>
        <w:t>4</w:t>
      </w:r>
      <w:r w:rsidRPr="00CE1D7F">
        <w:rPr>
          <w:rStyle w:val="CaptionLabel"/>
        </w:rPr>
        <w:fldChar w:fldCharType="end"/>
      </w:r>
      <w:bookmarkEnd w:id="81"/>
      <w:r w:rsidRPr="00CE1D7F">
        <w:rPr>
          <w:rStyle w:val="CaptionLabel"/>
        </w:rPr>
        <w:tab/>
      </w:r>
      <w:r w:rsidRPr="00CE1D7F">
        <w:rPr>
          <w:rStyle w:val="CaptionLabel"/>
          <w:b w:val="0"/>
          <w:bCs/>
        </w:rPr>
        <w:t>Economic modelling timeframes</w:t>
      </w:r>
    </w:p>
    <w:tbl>
      <w:tblPr>
        <w:tblW w:w="8930" w:type="dxa"/>
        <w:tblInd w:w="-993" w:type="dxa"/>
        <w:tblLayout w:type="fixed"/>
        <w:tblCellMar>
          <w:left w:w="0" w:type="dxa"/>
          <w:right w:w="0" w:type="dxa"/>
        </w:tblCellMar>
        <w:tblLook w:val="04A0" w:firstRow="1" w:lastRow="0" w:firstColumn="1" w:lastColumn="0" w:noHBand="0" w:noVBand="1"/>
      </w:tblPr>
      <w:tblGrid>
        <w:gridCol w:w="8930"/>
      </w:tblGrid>
      <w:tr w:rsidR="002B32A0" w:rsidRPr="00CE1D7F" w14:paraId="6921C645" w14:textId="77777777" w:rsidTr="006258ED">
        <w:tc>
          <w:tcPr>
            <w:tcW w:w="8930" w:type="dxa"/>
            <w:tcBorders>
              <w:top w:val="single" w:sz="4" w:space="0" w:color="000100"/>
              <w:left w:val="nil"/>
              <w:bottom w:val="nil"/>
              <w:right w:val="nil"/>
            </w:tcBorders>
            <w:tcMar>
              <w:top w:w="8" w:type="dxa"/>
              <w:left w:w="0" w:type="dxa"/>
              <w:bottom w:w="8" w:type="dxa"/>
              <w:right w:w="20" w:type="dxa"/>
            </w:tcMar>
            <w:hideMark/>
          </w:tcPr>
          <w:p w14:paraId="5CA60BDB" w14:textId="77777777" w:rsidR="002B32A0" w:rsidRPr="00CE1D7F" w:rsidRDefault="002B32A0" w:rsidP="00894E2F">
            <w:pPr>
              <w:pStyle w:val="Figure"/>
              <w:spacing w:before="80"/>
              <w:jc w:val="center"/>
            </w:pPr>
            <w:r w:rsidRPr="00CE1D7F">
              <w:rPr>
                <w:noProof/>
              </w:rPr>
              <w:drawing>
                <wp:inline distT="0" distB="0" distL="0" distR="0" wp14:anchorId="6A168338" wp14:editId="5ECD226D">
                  <wp:extent cx="5326972" cy="6982189"/>
                  <wp:effectExtent l="0" t="0" r="7620" b="0"/>
                  <wp:docPr id="4" name="Picture 4" descr="Economic modelling timefra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Economic modelling timeframes"/>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334773" cy="6992414"/>
                          </a:xfrm>
                          <a:prstGeom prst="rect">
                            <a:avLst/>
                          </a:prstGeom>
                        </pic:spPr>
                      </pic:pic>
                    </a:graphicData>
                  </a:graphic>
                </wp:inline>
              </w:drawing>
            </w:r>
          </w:p>
        </w:tc>
      </w:tr>
      <w:tr w:rsidR="002B32A0" w:rsidRPr="00CE1D7F" w14:paraId="35EBCB06" w14:textId="77777777" w:rsidTr="006258ED">
        <w:trPr>
          <w:trHeight w:val="136"/>
        </w:trPr>
        <w:tc>
          <w:tcPr>
            <w:tcW w:w="8930" w:type="dxa"/>
            <w:tcBorders>
              <w:top w:val="nil"/>
              <w:left w:val="nil"/>
              <w:bottom w:val="single" w:sz="4" w:space="0" w:color="000100"/>
              <w:right w:val="nil"/>
            </w:tcBorders>
            <w:tcMar>
              <w:top w:w="12" w:type="dxa"/>
              <w:left w:w="0" w:type="dxa"/>
              <w:bottom w:w="113" w:type="dxa"/>
              <w:right w:w="0" w:type="dxa"/>
            </w:tcMar>
            <w:hideMark/>
          </w:tcPr>
          <w:p w14:paraId="4FC02C9E" w14:textId="77777777" w:rsidR="002B32A0" w:rsidRPr="00CE1D7F" w:rsidRDefault="002B32A0" w:rsidP="006258ED">
            <w:pPr>
              <w:pStyle w:val="Source"/>
              <w:rPr>
                <w:i w:val="0"/>
                <w:iCs/>
              </w:rPr>
            </w:pPr>
            <w:r w:rsidRPr="00CE1D7F">
              <w:rPr>
                <w:i w:val="0"/>
                <w:iCs/>
                <w:vertAlign w:val="superscript"/>
              </w:rPr>
              <w:t>a</w:t>
            </w:r>
            <w:r w:rsidRPr="00CE1D7F">
              <w:rPr>
                <w:i w:val="0"/>
                <w:iCs/>
              </w:rPr>
              <w:t xml:space="preserve"> For illustrative projects with a duration of 3 years. The actual duration varies by project. </w:t>
            </w:r>
            <w:r w:rsidRPr="00CE1D7F">
              <w:rPr>
                <w:i w:val="0"/>
                <w:iCs/>
                <w:vertAlign w:val="superscript"/>
              </w:rPr>
              <w:t>b</w:t>
            </w:r>
            <w:r w:rsidRPr="00CE1D7F">
              <w:rPr>
                <w:i w:val="0"/>
                <w:iCs/>
              </w:rPr>
              <w:t xml:space="preserve"> The maximum duration of grants awarded in 2002 is 11 years. </w:t>
            </w:r>
            <w:r w:rsidRPr="00CE1D7F">
              <w:rPr>
                <w:i w:val="0"/>
                <w:iCs/>
                <w:vertAlign w:val="superscript"/>
              </w:rPr>
              <w:t>c</w:t>
            </w:r>
            <w:r w:rsidRPr="00CE1D7F">
              <w:rPr>
                <w:i w:val="0"/>
                <w:iCs/>
              </w:rPr>
              <w:t xml:space="preserve"> In reality, ARC grants have continued to be awarded after this date. </w:t>
            </w:r>
            <w:r w:rsidRPr="00CE1D7F">
              <w:rPr>
                <w:i w:val="0"/>
                <w:iCs/>
                <w:vertAlign w:val="superscript"/>
              </w:rPr>
              <w:t>d</w:t>
            </w:r>
            <w:r w:rsidRPr="00CE1D7F">
              <w:rPr>
                <w:i w:val="0"/>
                <w:iCs/>
              </w:rPr>
              <w:t xml:space="preserve"> The maximum duration of grants awarded in 2021 is 5 years. </w:t>
            </w:r>
            <w:r w:rsidRPr="00CE1D7F">
              <w:rPr>
                <w:i w:val="0"/>
                <w:iCs/>
                <w:vertAlign w:val="superscript"/>
              </w:rPr>
              <w:t>e</w:t>
            </w:r>
            <w:r w:rsidRPr="00CE1D7F">
              <w:rPr>
                <w:i w:val="0"/>
                <w:iCs/>
              </w:rPr>
              <w:t xml:space="preserve"> The maximum duration of grants awarded in 2020 is 7 years, so the last year of actual funding provided by ARC will be 2026 for these projects.</w:t>
            </w:r>
          </w:p>
          <w:p w14:paraId="1A7C844A" w14:textId="77777777" w:rsidR="002B32A0" w:rsidRPr="00CE1D7F" w:rsidRDefault="002B32A0" w:rsidP="006258ED">
            <w:pPr>
              <w:pStyle w:val="Source"/>
            </w:pPr>
            <w:r w:rsidRPr="00CE1D7F">
              <w:t>Source: ACIL Allen.</w:t>
            </w:r>
          </w:p>
        </w:tc>
      </w:tr>
      <w:tr w:rsidR="002B32A0" w:rsidRPr="00CE1D7F" w14:paraId="5696D6A1" w14:textId="77777777" w:rsidTr="006258ED">
        <w:trPr>
          <w:trHeight w:val="160"/>
        </w:trPr>
        <w:tc>
          <w:tcPr>
            <w:tcW w:w="8930" w:type="dxa"/>
            <w:tcBorders>
              <w:top w:val="single" w:sz="4" w:space="0" w:color="000100"/>
              <w:left w:val="nil"/>
              <w:bottom w:val="nil"/>
              <w:right w:val="nil"/>
            </w:tcBorders>
            <w:tcMar>
              <w:top w:w="0" w:type="dxa"/>
              <w:left w:w="0" w:type="dxa"/>
              <w:bottom w:w="40" w:type="dxa"/>
              <w:right w:w="0" w:type="dxa"/>
            </w:tcMar>
          </w:tcPr>
          <w:p w14:paraId="31D86B3D" w14:textId="77777777" w:rsidR="002B32A0" w:rsidRPr="00CE1D7F" w:rsidRDefault="002B32A0" w:rsidP="006258ED">
            <w:pPr>
              <w:pStyle w:val="spacer"/>
            </w:pPr>
          </w:p>
        </w:tc>
      </w:tr>
    </w:tbl>
    <w:bookmarkEnd w:id="82"/>
    <w:p w14:paraId="73B4C5A9" w14:textId="77777777" w:rsidR="002B32A0" w:rsidRPr="00CE1D7F" w:rsidRDefault="002B32A0" w:rsidP="00894E2F">
      <w:pPr>
        <w:pStyle w:val="Heading3"/>
      </w:pPr>
      <w:r w:rsidRPr="00CE1D7F">
        <w:t>Measured economic impacts</w:t>
      </w:r>
      <w:bookmarkEnd w:id="73"/>
      <w:bookmarkEnd w:id="74"/>
    </w:p>
    <w:p w14:paraId="790FE92A" w14:textId="77777777" w:rsidR="002B32A0" w:rsidRPr="00CE1D7F" w:rsidRDefault="002B32A0" w:rsidP="002B32A0">
      <w:pPr>
        <w:pStyle w:val="BodyText"/>
        <w:keepNext/>
      </w:pPr>
      <w:r w:rsidRPr="00CE1D7F">
        <w:t>When assessing the impacts of research activities on the economy, a range of key macroeconomic variables are commonly evaluated (and have been included in other economy-wide studies of research impacts), including the following.</w:t>
      </w:r>
      <w:r w:rsidRPr="00CE1D7F">
        <w:rPr>
          <w:rStyle w:val="FootnoteReference"/>
        </w:rPr>
        <w:footnoteReference w:id="21"/>
      </w:r>
    </w:p>
    <w:p w14:paraId="7270EB5D" w14:textId="77777777" w:rsidR="002B32A0" w:rsidRPr="00CE1D7F" w:rsidRDefault="002B32A0" w:rsidP="002B32A0">
      <w:pPr>
        <w:pStyle w:val="ListDash"/>
        <w:numPr>
          <w:ilvl w:val="0"/>
          <w:numId w:val="47"/>
        </w:numPr>
      </w:pPr>
      <w:r w:rsidRPr="00CE1D7F">
        <w:rPr>
          <w:i/>
        </w:rPr>
        <w:lastRenderedPageBreak/>
        <w:t>GDP</w:t>
      </w:r>
      <w:r w:rsidRPr="00CE1D7F">
        <w:t xml:space="preserve"> — measures Australia’s economic activity (output), and is described as ‘economic output’ throughout the report.</w:t>
      </w:r>
    </w:p>
    <w:p w14:paraId="71023968" w14:textId="77777777" w:rsidR="002B32A0" w:rsidRPr="00CE1D7F" w:rsidRDefault="002B32A0" w:rsidP="002B32A0">
      <w:pPr>
        <w:pStyle w:val="ListDash"/>
        <w:numPr>
          <w:ilvl w:val="0"/>
          <w:numId w:val="47"/>
        </w:numPr>
      </w:pPr>
      <w:r w:rsidRPr="00CE1D7F">
        <w:rPr>
          <w:i/>
        </w:rPr>
        <w:t xml:space="preserve">Real income </w:t>
      </w:r>
      <w:r w:rsidRPr="00CE1D7F">
        <w:t>— indicates changes in economic welfare (wellbeing) of the residents of Australia. This indicator measures the ability to purchase goods and services (adjusted by inflation).</w:t>
      </w:r>
    </w:p>
    <w:p w14:paraId="7D6136E6" w14:textId="77777777" w:rsidR="002B32A0" w:rsidRPr="00CE1D7F" w:rsidRDefault="002B32A0" w:rsidP="002B32A0">
      <w:pPr>
        <w:pStyle w:val="ListDash"/>
        <w:numPr>
          <w:ilvl w:val="0"/>
          <w:numId w:val="47"/>
        </w:numPr>
      </w:pPr>
      <w:r w:rsidRPr="00CE1D7F">
        <w:rPr>
          <w:i/>
        </w:rPr>
        <w:t xml:space="preserve">Employment </w:t>
      </w:r>
      <w:r w:rsidRPr="00CE1D7F">
        <w:t>— shows how job numbers change across the Australian economy at large.</w:t>
      </w:r>
    </w:p>
    <w:p w14:paraId="158419F5" w14:textId="77777777" w:rsidR="002B32A0" w:rsidRPr="00CE1D7F" w:rsidRDefault="002B32A0" w:rsidP="002B32A0">
      <w:pPr>
        <w:pStyle w:val="ListDash"/>
        <w:numPr>
          <w:ilvl w:val="0"/>
          <w:numId w:val="47"/>
        </w:numPr>
      </w:pPr>
      <w:r w:rsidRPr="00CE1D7F">
        <w:rPr>
          <w:i/>
          <w:iCs/>
        </w:rPr>
        <w:t xml:space="preserve">Government revenue </w:t>
      </w:r>
      <w:r w:rsidRPr="00CE1D7F">
        <w:t>— measures the distribution of impacts of ARC-funded research on Commonwealth and State Government revenues.</w:t>
      </w:r>
    </w:p>
    <w:p w14:paraId="07E47DFC" w14:textId="77777777" w:rsidR="002B32A0" w:rsidRPr="00CE1D7F" w:rsidRDefault="002B32A0" w:rsidP="002B32A0">
      <w:pPr>
        <w:pStyle w:val="BodyText"/>
      </w:pPr>
      <w:bookmarkStart w:id="83" w:name="_Hlk129603414"/>
      <w:r w:rsidRPr="00CE1D7F">
        <w:t>The sections below discuss the impacts of the ARC-funded research on these key macroeconomic variables for the Australian economy.</w:t>
      </w:r>
    </w:p>
    <w:p w14:paraId="63C1E5F1" w14:textId="77777777" w:rsidR="002B32A0" w:rsidRPr="00CE1D7F" w:rsidRDefault="002B32A0" w:rsidP="002B32A0">
      <w:pPr>
        <w:pStyle w:val="BodyText"/>
      </w:pPr>
      <w:r w:rsidRPr="00CE1D7F">
        <w:t xml:space="preserve">All of the economic impacts in this </w:t>
      </w:r>
      <w:r>
        <w:t>section </w:t>
      </w:r>
      <w:r w:rsidRPr="00CE1D7F">
        <w:t xml:space="preserve">are reported in Australian dollars (in 2022 dollars unless noted) and the net present valuations </w:t>
      </w:r>
      <w:r>
        <w:t xml:space="preserve">(NPV) are </w:t>
      </w:r>
      <w:r w:rsidRPr="00CE1D7F">
        <w:t>calculated using a central 7% real discount rate</w:t>
      </w:r>
      <w:r w:rsidRPr="00CE1D7F">
        <w:rPr>
          <w:rStyle w:val="FootnoteReference"/>
        </w:rPr>
        <w:footnoteReference w:id="22"/>
      </w:r>
      <w:r w:rsidRPr="00CE1D7F">
        <w:t xml:space="preserve"> (with sensitivity analysis for a lower 3% rate and higher 10% discount rate presented in tables).</w:t>
      </w:r>
    </w:p>
    <w:p w14:paraId="209F2DA3" w14:textId="77777777" w:rsidR="002B32A0" w:rsidRPr="00CE1D7F" w:rsidRDefault="002B32A0" w:rsidP="002B32A0">
      <w:pPr>
        <w:pStyle w:val="Heading4"/>
      </w:pPr>
      <w:r w:rsidRPr="00CE1D7F">
        <w:t>Total economic output</w:t>
      </w:r>
    </w:p>
    <w:p w14:paraId="15A68CF3" w14:textId="67A3E6E6" w:rsidR="002B32A0" w:rsidRPr="00CE1D7F" w:rsidRDefault="002B32A0" w:rsidP="002B32A0">
      <w:pPr>
        <w:pStyle w:val="BodyText"/>
      </w:pPr>
      <w:r w:rsidRPr="00F87D0E">
        <w:fldChar w:fldCharType="begin"/>
      </w:r>
      <w:r w:rsidRPr="00F87D0E">
        <w:instrText xml:space="preserve"> REF _Ref70678720 \h  \* MERGEFORMAT </w:instrText>
      </w:r>
      <w:r w:rsidRPr="00F87D0E">
        <w:fldChar w:fldCharType="separate"/>
      </w:r>
      <w:r w:rsidR="000B0AC7" w:rsidRPr="000B0AC7">
        <w:t>Figure 2.5</w:t>
      </w:r>
      <w:r w:rsidRPr="00F87D0E">
        <w:fldChar w:fldCharType="end"/>
      </w:r>
      <w:r w:rsidRPr="00CE1D7F">
        <w:t xml:space="preserve"> shows the impact of ARC-funded research on Australia’s real economic output (GDP). This has been measured as the change between actual economic outcomes delivered by the NCGP compared </w:t>
      </w:r>
      <w:r>
        <w:t xml:space="preserve">to </w:t>
      </w:r>
      <w:r w:rsidRPr="00CE1D7F">
        <w:t xml:space="preserve">the Base Case. </w:t>
      </w:r>
      <w:r w:rsidRPr="00F87D0E">
        <w:fldChar w:fldCharType="begin"/>
      </w:r>
      <w:r w:rsidRPr="00F87D0E">
        <w:instrText xml:space="preserve"> REF _Ref70678720 \h  \* MERGEFORMAT </w:instrText>
      </w:r>
      <w:r w:rsidRPr="00F87D0E">
        <w:fldChar w:fldCharType="separate"/>
      </w:r>
      <w:r w:rsidR="000B0AC7" w:rsidRPr="000B0AC7">
        <w:t>Figure 2.5</w:t>
      </w:r>
      <w:r w:rsidRPr="00F87D0E">
        <w:fldChar w:fldCharType="end"/>
      </w:r>
      <w:r w:rsidRPr="00CE1D7F">
        <w:t xml:space="preserve"> reflects the economic impacts resulting from ARC funding and co</w:t>
      </w:r>
      <w:r w:rsidRPr="00CE1D7F">
        <w:noBreakHyphen/>
        <w:t xml:space="preserve">contributions </w:t>
      </w:r>
      <w:r>
        <w:t>for grants awarded between</w:t>
      </w:r>
      <w:r w:rsidRPr="00CE1D7F">
        <w:t xml:space="preserve"> 2002</w:t>
      </w:r>
      <w:r>
        <w:t xml:space="preserve"> and </w:t>
      </w:r>
      <w:r w:rsidRPr="00CE1D7F">
        <w:t>202</w:t>
      </w:r>
      <w:r>
        <w:t>1</w:t>
      </w:r>
      <w:r w:rsidRPr="00CE1D7F">
        <w:t>,</w:t>
      </w:r>
      <w:r w:rsidRPr="00CE1D7F">
        <w:rPr>
          <w:rStyle w:val="FootnoteReference"/>
        </w:rPr>
        <w:footnoteReference w:id="23"/>
      </w:r>
      <w:r w:rsidRPr="00CE1D7F">
        <w:t xml:space="preserve"> which last until 2046, as explained in </w:t>
      </w:r>
      <w:r w:rsidRPr="00F87D0E">
        <w:fldChar w:fldCharType="begin"/>
      </w:r>
      <w:r w:rsidRPr="00F87D0E">
        <w:instrText xml:space="preserve"> REF _Ref129612225 \h  \* MERGEFORMAT </w:instrText>
      </w:r>
      <w:r w:rsidRPr="00F87D0E">
        <w:fldChar w:fldCharType="separate"/>
      </w:r>
      <w:r w:rsidR="000B0AC7" w:rsidRPr="000B0AC7">
        <w:t>Figure 2.4</w:t>
      </w:r>
      <w:r w:rsidRPr="00F87D0E">
        <w:fldChar w:fldCharType="end"/>
      </w:r>
      <w:r w:rsidRPr="00CE1D7F">
        <w:t>. However, if the continuation of ARC funding were modelled at its current rate into the future, the changes in the economy due to the spending would not decrease, as illustrated in this figure.</w:t>
      </w:r>
    </w:p>
    <w:p w14:paraId="317A0BBD" w14:textId="374FF0E2" w:rsidR="002B32A0" w:rsidRPr="00CE1D7F" w:rsidRDefault="002B32A0" w:rsidP="002B32A0">
      <w:pPr>
        <w:pStyle w:val="BodyText"/>
      </w:pPr>
      <w:r w:rsidRPr="00CE1D7F">
        <w:t xml:space="preserve">As shown in </w:t>
      </w:r>
      <w:r w:rsidRPr="00F87D0E">
        <w:fldChar w:fldCharType="begin"/>
      </w:r>
      <w:r w:rsidRPr="00F87D0E">
        <w:instrText xml:space="preserve"> REF _Ref70678720 \h  \* MERGEFORMAT </w:instrText>
      </w:r>
      <w:r w:rsidRPr="00F87D0E">
        <w:fldChar w:fldCharType="separate"/>
      </w:r>
      <w:r w:rsidR="000B0AC7" w:rsidRPr="000B0AC7">
        <w:t>Figure 2.5</w:t>
      </w:r>
      <w:r w:rsidRPr="00F87D0E">
        <w:fldChar w:fldCharType="end"/>
      </w:r>
      <w:r w:rsidRPr="00CE1D7F">
        <w:t>, the benefits of ARC-funded research take time to translate into additional economic activity.</w:t>
      </w:r>
      <w:r w:rsidRPr="00CE1D7F">
        <w:rPr>
          <w:rStyle w:val="FootnoteReference"/>
        </w:rPr>
        <w:footnoteReference w:id="24"/>
      </w:r>
      <w:r w:rsidRPr="00CE1D7F">
        <w:t xml:space="preserve"> However, after the initial years of the modelling period, the benefits of the ARC-funded research ramp-up substantially, with the impact on GDP peaking in 2031 at $9.05</w:t>
      </w:r>
      <w:r>
        <w:t> billion</w:t>
      </w:r>
      <w:r w:rsidRPr="00CE1D7F">
        <w:t xml:space="preserve"> above that of the Base Case scenario. This occurs as the investment in research begins to generate increased productive capacity in the economy. Consequentially, GDP begins to increase above that of the Base Case scenario due to the flow of activities generated by the ARC-funded research. In the long run, the effect of higher productivity in industries is passed on to consumers in the form of lower prices for consumer goods and services, with scarce resources freed up for use elsewhere in the economy, allowing an increase in total production. Lower consumer prices and the increased productive potential of the Australian economy arising from the productivity gains translate into higher real private consumption and higher economic activity.</w:t>
      </w:r>
    </w:p>
    <w:p w14:paraId="2CA2EFA1" w14:textId="7761B57A" w:rsidR="000B0AC7" w:rsidRPr="00CE1D7F" w:rsidRDefault="000B0AC7" w:rsidP="000B0AC7">
      <w:pPr>
        <w:pStyle w:val="Caption"/>
        <w:ind w:left="1308" w:hanging="1308"/>
        <w:rPr>
          <w:rStyle w:val="CaptionLabel"/>
        </w:rPr>
      </w:pPr>
      <w:bookmarkStart w:id="84" w:name="_Ref70678720"/>
      <w:bookmarkStart w:id="85" w:name="_Toc119304062"/>
      <w:bookmarkStart w:id="86" w:name="_Toc71749953"/>
      <w:r w:rsidRPr="00CE1D7F">
        <w:rPr>
          <w:rStyle w:val="CaptionLabel"/>
        </w:rPr>
        <w:lastRenderedPageBreak/>
        <w:t>Figure </w:t>
      </w:r>
      <w:r w:rsidRPr="00CE1D7F">
        <w:rPr>
          <w:rStyle w:val="CaptionLabel"/>
        </w:rPr>
        <w:fldChar w:fldCharType="begin"/>
      </w:r>
      <w:r w:rsidRPr="00CE1D7F">
        <w:rPr>
          <w:rStyle w:val="CaptionLabel"/>
        </w:rPr>
        <w:instrText xml:space="preserve"> STYLEREF 1 \S \* MERGEFORMAT </w:instrText>
      </w:r>
      <w:r w:rsidRPr="00CE1D7F">
        <w:rPr>
          <w:rStyle w:val="CaptionLabel"/>
        </w:rPr>
        <w:fldChar w:fldCharType="separate"/>
      </w:r>
      <w:r>
        <w:rPr>
          <w:rStyle w:val="CaptionLabel"/>
          <w:noProof/>
        </w:rPr>
        <w:t>2</w:t>
      </w:r>
      <w:r w:rsidRPr="00CE1D7F">
        <w:rPr>
          <w:rStyle w:val="CaptionLabel"/>
        </w:rPr>
        <w:fldChar w:fldCharType="end"/>
      </w:r>
      <w:r w:rsidRPr="00CE1D7F">
        <w:rPr>
          <w:rStyle w:val="CaptionLabel"/>
        </w:rPr>
        <w:t>.</w:t>
      </w:r>
      <w:r w:rsidRPr="00CE1D7F">
        <w:rPr>
          <w:rStyle w:val="CaptionLabel"/>
        </w:rPr>
        <w:fldChar w:fldCharType="begin"/>
      </w:r>
      <w:r w:rsidRPr="00CE1D7F">
        <w:rPr>
          <w:rStyle w:val="CaptionLabel"/>
        </w:rPr>
        <w:instrText xml:space="preserve"> SEQ Figure \* ARABIC \S 1 \* MERGEFORMAT </w:instrText>
      </w:r>
      <w:r w:rsidRPr="00CE1D7F">
        <w:rPr>
          <w:rStyle w:val="CaptionLabel"/>
        </w:rPr>
        <w:fldChar w:fldCharType="separate"/>
      </w:r>
      <w:r>
        <w:rPr>
          <w:rStyle w:val="CaptionLabel"/>
          <w:noProof/>
        </w:rPr>
        <w:t>5</w:t>
      </w:r>
      <w:r w:rsidRPr="00CE1D7F">
        <w:rPr>
          <w:rStyle w:val="CaptionLabel"/>
        </w:rPr>
        <w:fldChar w:fldCharType="end"/>
      </w:r>
      <w:bookmarkEnd w:id="84"/>
      <w:r w:rsidRPr="00CE1D7F">
        <w:rPr>
          <w:rStyle w:val="CaptionLabel"/>
        </w:rPr>
        <w:tab/>
      </w:r>
      <w:bookmarkStart w:id="87" w:name="_Hlk129699071"/>
      <w:r w:rsidRPr="00CE1D7F">
        <w:rPr>
          <w:rStyle w:val="CaptionLabel"/>
          <w:b w:val="0"/>
          <w:bCs/>
        </w:rPr>
        <w:t xml:space="preserve">Estimated change in Australian real GDP from 2002–2046 associated with ARC </w:t>
      </w:r>
      <w:r>
        <w:rPr>
          <w:rStyle w:val="CaptionLabel"/>
          <w:b w:val="0"/>
          <w:bCs/>
        </w:rPr>
        <w:t>grants awarded</w:t>
      </w:r>
      <w:r w:rsidRPr="00CE1D7F">
        <w:rPr>
          <w:rStyle w:val="CaptionLabel"/>
          <w:b w:val="0"/>
          <w:bCs/>
        </w:rPr>
        <w:t xml:space="preserve"> between 2002 and 202</w:t>
      </w:r>
      <w:r>
        <w:rPr>
          <w:rStyle w:val="CaptionLabel"/>
          <w:b w:val="0"/>
          <w:bCs/>
        </w:rPr>
        <w:t>1</w:t>
      </w:r>
      <w:r w:rsidRPr="00CE1D7F">
        <w:rPr>
          <w:rStyle w:val="CaptionLabel"/>
          <w:b w:val="0"/>
          <w:bCs/>
        </w:rPr>
        <w:t xml:space="preserve">, relative to the Base Case </w:t>
      </w:r>
      <w:bookmarkEnd w:id="85"/>
      <w:bookmarkEnd w:id="86"/>
      <w:r w:rsidRPr="00CE1D7F">
        <w:rPr>
          <w:rStyle w:val="CaptionLabel"/>
          <w:b w:val="0"/>
          <w:bCs/>
        </w:rPr>
        <w:t>(2022 dollars)</w:t>
      </w:r>
      <w:bookmarkEnd w:id="87"/>
    </w:p>
    <w:tbl>
      <w:tblPr>
        <w:tblStyle w:val="aacTableFigure"/>
        <w:tblW w:w="0" w:type="auto"/>
        <w:tblBorders>
          <w:top w:val="single" w:sz="4" w:space="0" w:color="000000"/>
          <w:bottom w:val="single" w:sz="4" w:space="0" w:color="000000"/>
        </w:tblBorders>
        <w:tblLayout w:type="fixed"/>
        <w:tblLook w:val="04A0" w:firstRow="1" w:lastRow="0" w:firstColumn="1" w:lastColumn="0" w:noHBand="0" w:noVBand="1"/>
      </w:tblPr>
      <w:tblGrid>
        <w:gridCol w:w="7936"/>
      </w:tblGrid>
      <w:tr w:rsidR="002B32A0" w:rsidRPr="00CE1D7F" w14:paraId="7FCFC4D2" w14:textId="77777777" w:rsidTr="000B0AC7">
        <w:tc>
          <w:tcPr>
            <w:tcW w:w="7936" w:type="dxa"/>
            <w:shd w:val="clear" w:color="auto" w:fill="auto"/>
            <w:hideMark/>
          </w:tcPr>
          <w:p w14:paraId="164C1509" w14:textId="77777777" w:rsidR="002B32A0" w:rsidRPr="00CE1D7F" w:rsidRDefault="002B32A0" w:rsidP="006258ED">
            <w:pPr>
              <w:pStyle w:val="Figure"/>
              <w:jc w:val="center"/>
            </w:pPr>
            <w:r w:rsidRPr="00CE1D7F">
              <w:rPr>
                <w:noProof/>
              </w:rPr>
              <w:drawing>
                <wp:inline distT="0" distB="0" distL="0" distR="0" wp14:anchorId="4168D1FA" wp14:editId="44B805DE">
                  <wp:extent cx="4900533" cy="1751960"/>
                  <wp:effectExtent l="0" t="0" r="0" b="1270"/>
                  <wp:docPr id="26" name="Picture 26" descr="Estimated change in Australian real GDP from 2002–2046 associated with ARC grants awarded between 2002 and 2021, relative to the Base Case (2022 doll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Estimated change in Australian real GDP from 2002–2046 associated with ARC grants awarded between 2002 and 2021, relative to the Base Case (2022 dollars)"/>
                          <pic:cNvPicPr>
                            <a:picLocks noChangeAspect="1" noChangeArrowheads="1"/>
                          </pic:cNvPicPr>
                        </pic:nvPicPr>
                        <pic:blipFill rotWithShape="1">
                          <a:blip r:embed="rId59">
                            <a:extLst>
                              <a:ext uri="{28A0092B-C50C-407E-A947-70E740481C1C}">
                                <a14:useLocalDpi xmlns:a14="http://schemas.microsoft.com/office/drawing/2010/main" val="0"/>
                              </a:ext>
                            </a:extLst>
                          </a:blip>
                          <a:srcRect b="2544"/>
                          <a:stretch/>
                        </pic:blipFill>
                        <pic:spPr bwMode="auto">
                          <a:xfrm>
                            <a:off x="0" y="0"/>
                            <a:ext cx="4906476" cy="175408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462ED9F7" w14:textId="77777777" w:rsidR="000B0AC7" w:rsidRPr="00CE1D7F" w:rsidRDefault="000B0AC7" w:rsidP="000B0AC7">
      <w:pPr>
        <w:pStyle w:val="Source"/>
        <w:ind w:left="1308" w:hanging="1308"/>
      </w:pPr>
      <w:r w:rsidRPr="00CE1D7F">
        <w:t>Source: ACIL Allen.</w:t>
      </w:r>
    </w:p>
    <w:p w14:paraId="0E6CA83C" w14:textId="77777777" w:rsidR="000B0AC7" w:rsidRPr="00CE1D7F" w:rsidRDefault="000B0AC7" w:rsidP="006258ED">
      <w:pPr>
        <w:pStyle w:val="spacer"/>
      </w:pPr>
    </w:p>
    <w:p w14:paraId="6CAB326A" w14:textId="2DE83DA2" w:rsidR="002B32A0" w:rsidRPr="00CE1D7F" w:rsidRDefault="002B32A0" w:rsidP="002B32A0">
      <w:pPr>
        <w:pStyle w:val="BodyText"/>
      </w:pPr>
      <w:r w:rsidRPr="00F87D0E">
        <w:fldChar w:fldCharType="begin"/>
      </w:r>
      <w:r w:rsidRPr="00F87D0E">
        <w:instrText xml:space="preserve"> REF _Ref70678737 \h  \* MERGEFORMAT </w:instrText>
      </w:r>
      <w:r w:rsidRPr="00F87D0E">
        <w:fldChar w:fldCharType="separate"/>
      </w:r>
      <w:r w:rsidR="000B0AC7" w:rsidRPr="000B0AC7">
        <w:t>Table 2.2</w:t>
      </w:r>
      <w:r w:rsidRPr="00F87D0E">
        <w:fldChar w:fldCharType="end"/>
      </w:r>
      <w:r w:rsidRPr="00CE1D7F">
        <w:t xml:space="preserve"> summarises the estimated change in real economic output because of ARC-funded research in cumulative and </w:t>
      </w:r>
      <w:r>
        <w:t>NPV</w:t>
      </w:r>
      <w:r w:rsidRPr="00CE1D7F">
        <w:t xml:space="preserve"> terms. This table also compares the investment by the Australian Government in the NCGP with the projected increase in economic output. As shown in this table, </w:t>
      </w:r>
      <w:r>
        <w:t>NCGP-</w:t>
      </w:r>
      <w:r w:rsidRPr="00CE1D7F">
        <w:t xml:space="preserve">funded research awarded between 2002 and 2021 is </w:t>
      </w:r>
      <w:r>
        <w:t>estimated</w:t>
      </w:r>
      <w:r w:rsidRPr="00CE1D7F">
        <w:t xml:space="preserve"> to increase the real economic output of Australia (i.e. real GDP)</w:t>
      </w:r>
      <w:r w:rsidRPr="00CE1D7F">
        <w:rPr>
          <w:i/>
        </w:rPr>
        <w:t xml:space="preserve"> </w:t>
      </w:r>
      <w:r w:rsidRPr="00CE1D7F">
        <w:t>by a cumulative total of $184.3</w:t>
      </w:r>
      <w:r>
        <w:t> billion</w:t>
      </w:r>
      <w:r w:rsidRPr="00CE1D7F">
        <w:t xml:space="preserve"> relative to the Base Case</w:t>
      </w:r>
      <w:r>
        <w:t xml:space="preserve"> over the life of the benefits</w:t>
      </w:r>
      <w:r w:rsidRPr="00CE1D7F">
        <w:t>. This is equivalent to a one-off increase of $33.6</w:t>
      </w:r>
      <w:r>
        <w:t> billion</w:t>
      </w:r>
      <w:r w:rsidRPr="00CE1D7F">
        <w:t xml:space="preserve"> (in 2022 dollars, using a 7% real discount rate). </w:t>
      </w:r>
    </w:p>
    <w:p w14:paraId="7EBA0E35" w14:textId="77777777" w:rsidR="002B32A0" w:rsidRPr="00CE1D7F" w:rsidRDefault="002B32A0" w:rsidP="002B32A0">
      <w:pPr>
        <w:pStyle w:val="BodyText"/>
      </w:pPr>
      <w:r w:rsidRPr="00CE1D7F">
        <w:t xml:space="preserve">To place these </w:t>
      </w:r>
      <w:r>
        <w:t>estimated</w:t>
      </w:r>
      <w:r w:rsidRPr="00CE1D7F">
        <w:t xml:space="preserve"> changes in economic output in perspective, the discounted present value of the change in Australian output is equivalent to</w:t>
      </w:r>
      <w:r>
        <w:t xml:space="preserve"> the following</w:t>
      </w:r>
      <w:r w:rsidRPr="00474A9A">
        <w:t xml:space="preserve"> </w:t>
      </w:r>
      <w:r w:rsidRPr="00CE1D7F">
        <w:t>significant changes arising from a research program:</w:t>
      </w:r>
    </w:p>
    <w:p w14:paraId="42BFF147" w14:textId="77777777" w:rsidR="002B32A0" w:rsidRPr="00CE1D7F" w:rsidRDefault="002B32A0" w:rsidP="002B32A0">
      <w:pPr>
        <w:pStyle w:val="ListBullet"/>
        <w:numPr>
          <w:ilvl w:val="0"/>
          <w:numId w:val="46"/>
        </w:numPr>
      </w:pPr>
      <w:r w:rsidRPr="00CE1D7F">
        <w:t>around 1.5% of Australia’s current GDP</w:t>
      </w:r>
    </w:p>
    <w:p w14:paraId="58980B88" w14:textId="0071E79C" w:rsidR="002B32A0" w:rsidRPr="00CE1D7F" w:rsidRDefault="002B32A0" w:rsidP="002B32A0">
      <w:pPr>
        <w:pStyle w:val="ListBullet"/>
        <w:numPr>
          <w:ilvl w:val="0"/>
          <w:numId w:val="46"/>
        </w:numPr>
      </w:pPr>
      <w:r w:rsidRPr="00CE1D7F">
        <w:t>almost the size of the Tasmanian economy — in 2021-22 Tasmania’s GSP was $38.5</w:t>
      </w:r>
      <w:r>
        <w:t> billion</w:t>
      </w:r>
      <w:r w:rsidRPr="00CE1D7F">
        <w:t xml:space="preserve"> </w:t>
      </w:r>
    </w:p>
    <w:p w14:paraId="5BFF38F8" w14:textId="1C7407AB" w:rsidR="002B32A0" w:rsidRPr="00CE1D7F" w:rsidRDefault="002B32A0" w:rsidP="002B32A0">
      <w:pPr>
        <w:pStyle w:val="ListBullet"/>
        <w:numPr>
          <w:ilvl w:val="0"/>
          <w:numId w:val="46"/>
        </w:numPr>
      </w:pPr>
      <w:r w:rsidRPr="00CE1D7F">
        <w:t>more than 8% of Western Australia’s current Gross State Product (GSP, in 2021-22 WA’s GSP was $40.4</w:t>
      </w:r>
      <w:r>
        <w:t> billion</w:t>
      </w:r>
      <w:r w:rsidRPr="00CE1D7F">
        <w:t>).</w:t>
      </w:r>
    </w:p>
    <w:p w14:paraId="693976C1" w14:textId="77777777" w:rsidR="002B32A0" w:rsidRPr="00CE1D7F" w:rsidRDefault="002B32A0" w:rsidP="002B32A0">
      <w:pPr>
        <w:pStyle w:val="BodyText"/>
      </w:pPr>
      <w:r w:rsidRPr="00CE1D7F">
        <w:t>The economic modelling also shows that the benefits generated by ARC-funded research are substantially higher than the costs to the Australian Government of NCGP grants awarded between 2002 and 2021.</w:t>
      </w:r>
    </w:p>
    <w:p w14:paraId="5C8DC332" w14:textId="123DF2BE" w:rsidR="002B32A0" w:rsidRPr="00CE1D7F" w:rsidRDefault="002B32A0" w:rsidP="002B32A0">
      <w:pPr>
        <w:pStyle w:val="ListBullet"/>
        <w:numPr>
          <w:ilvl w:val="0"/>
          <w:numId w:val="46"/>
        </w:numPr>
      </w:pPr>
      <w:r>
        <w:t xml:space="preserve">NCGP funding awarded between </w:t>
      </w:r>
      <w:r w:rsidRPr="00CE1D7F">
        <w:t>20</w:t>
      </w:r>
      <w:r w:rsidR="00C15099">
        <w:t>0</w:t>
      </w:r>
      <w:r w:rsidRPr="00CE1D7F">
        <w:t>2</w:t>
      </w:r>
      <w:r>
        <w:t xml:space="preserve"> and </w:t>
      </w:r>
      <w:r w:rsidRPr="00CE1D7F">
        <w:t>202</w:t>
      </w:r>
      <w:r>
        <w:t>1</w:t>
      </w:r>
      <w:r w:rsidRPr="00CE1D7F">
        <w:t xml:space="preserve"> totals $17.6</w:t>
      </w:r>
      <w:r>
        <w:t> billion</w:t>
      </w:r>
      <w:r w:rsidRPr="00CE1D7F">
        <w:t xml:space="preserve"> in 2022 dollars ($10.1</w:t>
      </w:r>
      <w:r>
        <w:t> billion</w:t>
      </w:r>
      <w:r w:rsidRPr="00CE1D7F">
        <w:t xml:space="preserve"> in present value at a 7% discount rate). </w:t>
      </w:r>
    </w:p>
    <w:p w14:paraId="45864362" w14:textId="63D176C9" w:rsidR="002B32A0" w:rsidRPr="00CE1D7F" w:rsidRDefault="002B32A0" w:rsidP="002B32A0">
      <w:pPr>
        <w:pStyle w:val="ListBullet"/>
        <w:numPr>
          <w:ilvl w:val="0"/>
          <w:numId w:val="46"/>
        </w:numPr>
      </w:pPr>
      <w:r w:rsidRPr="00CE1D7F">
        <w:t xml:space="preserve">Therefore, </w:t>
      </w:r>
      <w:r w:rsidR="00054253" w:rsidRPr="00CE1D7F">
        <w:t>i</w:t>
      </w:r>
      <w:r w:rsidR="00054253">
        <w:t>t</w:t>
      </w:r>
      <w:r w:rsidRPr="00CE1D7F">
        <w:t xml:space="preserve"> is estimated that for every $1 spent by the Australian Government on the NCGP research investments awarded between 2002 and 2021, GDP is cumulatively $3.32 higher (on a 7% real discounted basis) than it would have been had that $1 instead been allocated to general government expenditure</w:t>
      </w:r>
      <w:r>
        <w:t>, noting that any return on investment higher than $1 is positive</w:t>
      </w:r>
      <w:r w:rsidRPr="00CE1D7F">
        <w:t>.</w:t>
      </w:r>
      <w:r>
        <w:t xml:space="preserve"> While other sources of funding contributed to achieving this result, these funds were only leveraged as a result of ARC funding. As such, the ratio of GDP to funding is only presented in relation to the Australian Government funding provided through the NCGP. </w:t>
      </w:r>
    </w:p>
    <w:p w14:paraId="4AD3E7DC" w14:textId="77777777" w:rsidR="002B32A0" w:rsidRPr="00CE1D7F" w:rsidRDefault="002B32A0" w:rsidP="002B32A0">
      <w:pPr>
        <w:pStyle w:val="ListBullet"/>
        <w:numPr>
          <w:ilvl w:val="0"/>
          <w:numId w:val="46"/>
        </w:numPr>
      </w:pPr>
      <w:r w:rsidRPr="00CE1D7F">
        <w:t>The payback period for the Australian Government investment in the NCGP in terms of economic output (GDP) is 17 years.</w:t>
      </w:r>
      <w:r w:rsidRPr="00CE1D7F">
        <w:rPr>
          <w:rStyle w:val="FootnoteReference"/>
        </w:rPr>
        <w:footnoteReference w:id="25"/>
      </w:r>
    </w:p>
    <w:p w14:paraId="3E72B3EB" w14:textId="77777777" w:rsidR="002B32A0" w:rsidRPr="00CE1D7F" w:rsidRDefault="002B32A0" w:rsidP="002B32A0">
      <w:pPr>
        <w:pStyle w:val="BodyText"/>
      </w:pPr>
      <w:r w:rsidRPr="00CE1D7F">
        <w:lastRenderedPageBreak/>
        <w:t xml:space="preserve">Importantly, as discussed in </w:t>
      </w:r>
      <w:r>
        <w:t>chapter </w:t>
      </w:r>
      <w:r w:rsidRPr="00CE1D7F">
        <w:t>4, ARC-funded research delivers a range of benefits that go beyond the direct monetised impacts included in this modelling. Examples of benefits that could not be quantified in this way include increasing the stock of useful knowledge, training skilled post-graduates (many of whom will work outside academia), developing new methodologies and forming networks for knowledge exchange. Once these (and other) non-quantified benefits of ARC-funded research are considered, it is clear that the value of the NCGP is much higher than these estimates.</w:t>
      </w:r>
    </w:p>
    <w:p w14:paraId="516D25C5" w14:textId="5A280417" w:rsidR="002B32A0" w:rsidRPr="00CE1D7F" w:rsidRDefault="002B32A0" w:rsidP="002B32A0">
      <w:pPr>
        <w:pStyle w:val="Caption"/>
        <w:rPr>
          <w:rStyle w:val="CaptionLabel"/>
          <w:b w:val="0"/>
          <w:bCs/>
        </w:rPr>
      </w:pPr>
      <w:bookmarkStart w:id="88" w:name="_Ref70678737"/>
      <w:bookmarkStart w:id="89" w:name="_Toc71749963"/>
      <w:bookmarkStart w:id="90" w:name="_Toc119304070"/>
      <w:r w:rsidRPr="00CE1D7F">
        <w:rPr>
          <w:rStyle w:val="CaptionLabel"/>
        </w:rPr>
        <w:t>Table </w:t>
      </w:r>
      <w:r w:rsidRPr="00CE1D7F">
        <w:rPr>
          <w:rStyle w:val="CaptionLabel"/>
        </w:rPr>
        <w:fldChar w:fldCharType="begin"/>
      </w:r>
      <w:r w:rsidRPr="00CE1D7F">
        <w:rPr>
          <w:rStyle w:val="CaptionLabel"/>
        </w:rPr>
        <w:instrText xml:space="preserve"> STYLEREF 1 \S \* MERGEFORMAT </w:instrText>
      </w:r>
      <w:r w:rsidRPr="00CE1D7F">
        <w:rPr>
          <w:rStyle w:val="CaptionLabel"/>
        </w:rPr>
        <w:fldChar w:fldCharType="separate"/>
      </w:r>
      <w:r w:rsidR="000B0AC7">
        <w:rPr>
          <w:rStyle w:val="CaptionLabel"/>
          <w:noProof/>
        </w:rPr>
        <w:t>2</w:t>
      </w:r>
      <w:r w:rsidRPr="00CE1D7F">
        <w:rPr>
          <w:rStyle w:val="CaptionLabel"/>
        </w:rPr>
        <w:fldChar w:fldCharType="end"/>
      </w:r>
      <w:r w:rsidRPr="00CE1D7F">
        <w:rPr>
          <w:rStyle w:val="CaptionLabel"/>
        </w:rPr>
        <w:t>.</w:t>
      </w:r>
      <w:r w:rsidRPr="00CE1D7F">
        <w:rPr>
          <w:rStyle w:val="CaptionLabel"/>
        </w:rPr>
        <w:fldChar w:fldCharType="begin"/>
      </w:r>
      <w:r w:rsidRPr="00CE1D7F">
        <w:rPr>
          <w:rStyle w:val="CaptionLabel"/>
        </w:rPr>
        <w:instrText xml:space="preserve"> SEQ Table \* ARABIC \S 1 \* MERGEFORMAT </w:instrText>
      </w:r>
      <w:r w:rsidRPr="00CE1D7F">
        <w:rPr>
          <w:rStyle w:val="CaptionLabel"/>
        </w:rPr>
        <w:fldChar w:fldCharType="separate"/>
      </w:r>
      <w:r w:rsidR="000B0AC7">
        <w:rPr>
          <w:rStyle w:val="CaptionLabel"/>
          <w:noProof/>
        </w:rPr>
        <w:t>2</w:t>
      </w:r>
      <w:r w:rsidRPr="00CE1D7F">
        <w:rPr>
          <w:rStyle w:val="CaptionLabel"/>
        </w:rPr>
        <w:fldChar w:fldCharType="end"/>
      </w:r>
      <w:bookmarkEnd w:id="88"/>
      <w:r w:rsidRPr="00CE1D7F">
        <w:rPr>
          <w:rStyle w:val="CaptionLabel"/>
        </w:rPr>
        <w:tab/>
      </w:r>
      <w:r w:rsidRPr="00CE1D7F">
        <w:rPr>
          <w:rStyle w:val="CaptionLabel"/>
          <w:b w:val="0"/>
          <w:bCs/>
        </w:rPr>
        <w:t xml:space="preserve">Estimated change in Australian real GDP from 2002–2046 associated with ARC </w:t>
      </w:r>
      <w:r>
        <w:rPr>
          <w:rStyle w:val="CaptionLabel"/>
          <w:b w:val="0"/>
          <w:bCs/>
        </w:rPr>
        <w:t>grants awarded</w:t>
      </w:r>
      <w:r w:rsidRPr="00CE1D7F">
        <w:rPr>
          <w:rStyle w:val="CaptionLabel"/>
          <w:b w:val="0"/>
          <w:bCs/>
        </w:rPr>
        <w:t xml:space="preserve"> </w:t>
      </w:r>
      <w:r>
        <w:rPr>
          <w:rStyle w:val="CaptionLabel"/>
          <w:b w:val="0"/>
          <w:bCs/>
        </w:rPr>
        <w:t>between</w:t>
      </w:r>
      <w:r w:rsidRPr="00CE1D7F">
        <w:rPr>
          <w:rStyle w:val="CaptionLabel"/>
          <w:b w:val="0"/>
          <w:bCs/>
        </w:rPr>
        <w:t xml:space="preserve"> 2002 </w:t>
      </w:r>
      <w:r>
        <w:rPr>
          <w:rStyle w:val="CaptionLabel"/>
          <w:b w:val="0"/>
          <w:bCs/>
        </w:rPr>
        <w:t>and</w:t>
      </w:r>
      <w:r w:rsidRPr="00CE1D7F">
        <w:rPr>
          <w:rStyle w:val="CaptionLabel"/>
          <w:b w:val="0"/>
          <w:bCs/>
        </w:rPr>
        <w:t xml:space="preserve"> 202</w:t>
      </w:r>
      <w:r>
        <w:rPr>
          <w:rStyle w:val="CaptionLabel"/>
          <w:b w:val="0"/>
          <w:bCs/>
        </w:rPr>
        <w:t>1</w:t>
      </w:r>
      <w:r w:rsidRPr="00CE1D7F">
        <w:rPr>
          <w:rStyle w:val="CaptionLabel"/>
          <w:b w:val="0"/>
          <w:bCs/>
        </w:rPr>
        <w:t xml:space="preserve"> (relative to Base Case</w:t>
      </w:r>
      <w:bookmarkEnd w:id="89"/>
      <w:bookmarkEnd w:id="90"/>
      <w:r w:rsidRPr="00CE1D7F">
        <w:rPr>
          <w:rStyle w:val="CaptionLabel"/>
          <w:b w:val="0"/>
          <w:bCs/>
        </w:rPr>
        <w:t>, 2022 A$m)</w:t>
      </w:r>
    </w:p>
    <w:tbl>
      <w:tblPr>
        <w:tblW w:w="8385" w:type="dxa"/>
        <w:tblInd w:w="-454" w:type="dxa"/>
        <w:tblBorders>
          <w:bottom w:val="single" w:sz="4" w:space="0" w:color="646464"/>
          <w:insideH w:val="single" w:sz="4" w:space="0" w:color="646464"/>
        </w:tblBorders>
        <w:tblLayout w:type="fixed"/>
        <w:tblCellMar>
          <w:left w:w="0" w:type="dxa"/>
          <w:bottom w:w="40" w:type="dxa"/>
          <w:right w:w="0" w:type="dxa"/>
        </w:tblCellMar>
        <w:tblLook w:val="04A0" w:firstRow="1" w:lastRow="0" w:firstColumn="1" w:lastColumn="0" w:noHBand="0" w:noVBand="1"/>
        <w:tblCaption w:val="Table 2.2"/>
        <w:tblDescription w:val="Estimated change in Australian real GDP from 2002–2046 associated with ARC grants awarded between 2002 and 2021 (relative to Base Case, 2022 A$m)"/>
      </w:tblPr>
      <w:tblGrid>
        <w:gridCol w:w="455"/>
        <w:gridCol w:w="3400"/>
        <w:gridCol w:w="992"/>
        <w:gridCol w:w="1133"/>
        <w:gridCol w:w="801"/>
        <w:gridCol w:w="801"/>
        <w:gridCol w:w="803"/>
      </w:tblGrid>
      <w:tr w:rsidR="002B32A0" w:rsidRPr="00CE1D7F" w14:paraId="38245510" w14:textId="77777777" w:rsidTr="006258ED">
        <w:trPr>
          <w:tblHeader/>
        </w:trPr>
        <w:tc>
          <w:tcPr>
            <w:tcW w:w="3855" w:type="dxa"/>
            <w:gridSpan w:val="2"/>
            <w:tcBorders>
              <w:top w:val="nil"/>
              <w:left w:val="nil"/>
              <w:bottom w:val="nil"/>
              <w:right w:val="nil"/>
            </w:tcBorders>
            <w:shd w:val="clear" w:color="auto" w:fill="140034"/>
            <w:tcMar>
              <w:top w:w="0" w:type="dxa"/>
              <w:left w:w="454" w:type="dxa"/>
              <w:bottom w:w="40" w:type="dxa"/>
              <w:right w:w="0" w:type="dxa"/>
            </w:tcMar>
          </w:tcPr>
          <w:p w14:paraId="634EE9E1" w14:textId="77777777" w:rsidR="002B32A0" w:rsidRPr="00CE1D7F" w:rsidRDefault="002B32A0" w:rsidP="006258ED">
            <w:pPr>
              <w:pStyle w:val="Tabletext"/>
              <w:rPr>
                <w:color w:val="FFFFFF" w:themeColor="background1"/>
              </w:rPr>
            </w:pPr>
          </w:p>
        </w:tc>
        <w:tc>
          <w:tcPr>
            <w:tcW w:w="992" w:type="dxa"/>
            <w:vMerge w:val="restart"/>
            <w:tcBorders>
              <w:top w:val="nil"/>
              <w:left w:val="nil"/>
              <w:bottom w:val="nil"/>
              <w:right w:val="nil"/>
            </w:tcBorders>
            <w:shd w:val="clear" w:color="auto" w:fill="140034"/>
            <w:hideMark/>
          </w:tcPr>
          <w:p w14:paraId="656F4B7B" w14:textId="77777777" w:rsidR="002B32A0" w:rsidRPr="00CE1D7F" w:rsidRDefault="002B32A0" w:rsidP="006258ED">
            <w:pPr>
              <w:pStyle w:val="Tabletext"/>
              <w:jc w:val="center"/>
              <w:rPr>
                <w:b/>
                <w:bCs/>
                <w:color w:val="FFFFFF" w:themeColor="background1"/>
              </w:rPr>
            </w:pPr>
            <w:r w:rsidRPr="00CE1D7F">
              <w:rPr>
                <w:b/>
                <w:bCs/>
                <w:color w:val="FFFFFF" w:themeColor="background1"/>
              </w:rPr>
              <w:t>Annual average</w:t>
            </w:r>
          </w:p>
        </w:tc>
        <w:tc>
          <w:tcPr>
            <w:tcW w:w="1133" w:type="dxa"/>
            <w:vMerge w:val="restart"/>
            <w:tcBorders>
              <w:top w:val="nil"/>
              <w:left w:val="nil"/>
              <w:bottom w:val="nil"/>
              <w:right w:val="nil"/>
            </w:tcBorders>
            <w:shd w:val="clear" w:color="auto" w:fill="140034"/>
            <w:hideMark/>
          </w:tcPr>
          <w:p w14:paraId="79AF995A" w14:textId="77777777" w:rsidR="002B32A0" w:rsidRPr="00CE1D7F" w:rsidRDefault="002B32A0" w:rsidP="006258ED">
            <w:pPr>
              <w:pStyle w:val="Tabletext"/>
              <w:jc w:val="center"/>
              <w:rPr>
                <w:b/>
                <w:bCs/>
                <w:color w:val="FFFFFF" w:themeColor="background1"/>
              </w:rPr>
            </w:pPr>
            <w:r w:rsidRPr="00CE1D7F">
              <w:rPr>
                <w:b/>
                <w:bCs/>
                <w:color w:val="FFFFFF" w:themeColor="background1"/>
              </w:rPr>
              <w:t xml:space="preserve">Total </w:t>
            </w:r>
            <w:r w:rsidRPr="00CE1D7F">
              <w:rPr>
                <w:b/>
                <w:bCs/>
                <w:color w:val="FFFFFF" w:themeColor="background1"/>
              </w:rPr>
              <w:br/>
              <w:t>(2002-2046)</w:t>
            </w:r>
          </w:p>
        </w:tc>
        <w:tc>
          <w:tcPr>
            <w:tcW w:w="2405" w:type="dxa"/>
            <w:gridSpan w:val="3"/>
            <w:tcBorders>
              <w:top w:val="nil"/>
              <w:left w:val="nil"/>
              <w:bottom w:val="nil"/>
              <w:right w:val="single" w:sz="6" w:space="0" w:color="140034"/>
            </w:tcBorders>
            <w:shd w:val="clear" w:color="auto" w:fill="140034"/>
            <w:hideMark/>
          </w:tcPr>
          <w:p w14:paraId="609B1292" w14:textId="77777777" w:rsidR="002B32A0" w:rsidRPr="00CE1D7F" w:rsidRDefault="002B32A0" w:rsidP="006258ED">
            <w:pPr>
              <w:pStyle w:val="Tabletext"/>
              <w:jc w:val="center"/>
              <w:rPr>
                <w:b/>
                <w:bCs/>
                <w:color w:val="FFFFFF" w:themeColor="background1"/>
              </w:rPr>
            </w:pPr>
            <w:r w:rsidRPr="00CE1D7F">
              <w:rPr>
                <w:b/>
                <w:bCs/>
                <w:color w:val="FFFFFF" w:themeColor="background1"/>
              </w:rPr>
              <w:t>Net Present Value</w:t>
            </w:r>
          </w:p>
        </w:tc>
      </w:tr>
      <w:tr w:rsidR="002B32A0" w:rsidRPr="00CE1D7F" w14:paraId="74E52A41" w14:textId="77777777" w:rsidTr="006258ED">
        <w:trPr>
          <w:tblHeader/>
        </w:trPr>
        <w:tc>
          <w:tcPr>
            <w:tcW w:w="3855" w:type="dxa"/>
            <w:gridSpan w:val="2"/>
            <w:tcBorders>
              <w:top w:val="nil"/>
              <w:left w:val="nil"/>
              <w:bottom w:val="nil"/>
              <w:right w:val="nil"/>
            </w:tcBorders>
            <w:shd w:val="clear" w:color="auto" w:fill="140034"/>
            <w:tcMar>
              <w:top w:w="0" w:type="dxa"/>
              <w:left w:w="454" w:type="dxa"/>
              <w:bottom w:w="40" w:type="dxa"/>
              <w:right w:w="0" w:type="dxa"/>
            </w:tcMar>
          </w:tcPr>
          <w:p w14:paraId="64E02179" w14:textId="77777777" w:rsidR="002B32A0" w:rsidRPr="00CE1D7F" w:rsidRDefault="002B32A0" w:rsidP="006258ED">
            <w:pPr>
              <w:pStyle w:val="Tabletext"/>
              <w:rPr>
                <w:color w:val="FFFFFF" w:themeColor="background1"/>
              </w:rPr>
            </w:pPr>
          </w:p>
        </w:tc>
        <w:tc>
          <w:tcPr>
            <w:tcW w:w="992" w:type="dxa"/>
            <w:vMerge/>
            <w:tcBorders>
              <w:top w:val="nil"/>
              <w:left w:val="nil"/>
              <w:bottom w:val="nil"/>
              <w:right w:val="nil"/>
            </w:tcBorders>
            <w:vAlign w:val="center"/>
            <w:hideMark/>
          </w:tcPr>
          <w:p w14:paraId="057116EC" w14:textId="77777777" w:rsidR="002B32A0" w:rsidRPr="00CE1D7F" w:rsidRDefault="002B32A0" w:rsidP="006258ED">
            <w:pPr>
              <w:spacing w:before="0" w:after="0" w:line="256" w:lineRule="auto"/>
              <w:rPr>
                <w:b/>
                <w:bCs/>
                <w:color w:val="FFFFFF" w:themeColor="background1"/>
                <w:sz w:val="20"/>
              </w:rPr>
            </w:pPr>
          </w:p>
        </w:tc>
        <w:tc>
          <w:tcPr>
            <w:tcW w:w="1133" w:type="dxa"/>
            <w:vMerge/>
            <w:tcBorders>
              <w:top w:val="nil"/>
              <w:left w:val="nil"/>
              <w:bottom w:val="nil"/>
              <w:right w:val="nil"/>
            </w:tcBorders>
            <w:vAlign w:val="center"/>
            <w:hideMark/>
          </w:tcPr>
          <w:p w14:paraId="5E8907CA" w14:textId="77777777" w:rsidR="002B32A0" w:rsidRPr="00CE1D7F" w:rsidRDefault="002B32A0" w:rsidP="006258ED">
            <w:pPr>
              <w:spacing w:before="0" w:after="0" w:line="256" w:lineRule="auto"/>
              <w:rPr>
                <w:b/>
                <w:bCs/>
                <w:color w:val="FFFFFF" w:themeColor="background1"/>
                <w:sz w:val="20"/>
              </w:rPr>
            </w:pPr>
          </w:p>
        </w:tc>
        <w:tc>
          <w:tcPr>
            <w:tcW w:w="801" w:type="dxa"/>
            <w:tcBorders>
              <w:top w:val="nil"/>
              <w:left w:val="nil"/>
              <w:bottom w:val="nil"/>
              <w:right w:val="nil"/>
            </w:tcBorders>
            <w:shd w:val="clear" w:color="auto" w:fill="140034"/>
            <w:hideMark/>
          </w:tcPr>
          <w:p w14:paraId="49FCC918" w14:textId="77777777" w:rsidR="002B32A0" w:rsidRPr="00CE1D7F" w:rsidRDefault="002B32A0" w:rsidP="006258ED">
            <w:pPr>
              <w:pStyle w:val="Tabletext"/>
              <w:jc w:val="center"/>
              <w:rPr>
                <w:b/>
                <w:bCs/>
                <w:color w:val="FFFFFF" w:themeColor="background1"/>
              </w:rPr>
            </w:pPr>
            <w:r w:rsidRPr="00CE1D7F">
              <w:rPr>
                <w:b/>
                <w:bCs/>
                <w:color w:val="FFFFFF" w:themeColor="background1"/>
              </w:rPr>
              <w:t>3%</w:t>
            </w:r>
          </w:p>
        </w:tc>
        <w:tc>
          <w:tcPr>
            <w:tcW w:w="801" w:type="dxa"/>
            <w:tcBorders>
              <w:top w:val="nil"/>
              <w:left w:val="nil"/>
              <w:bottom w:val="nil"/>
              <w:right w:val="nil"/>
            </w:tcBorders>
            <w:shd w:val="clear" w:color="auto" w:fill="140034"/>
            <w:hideMark/>
          </w:tcPr>
          <w:p w14:paraId="01BB691A" w14:textId="77777777" w:rsidR="002B32A0" w:rsidRPr="00CE1D7F" w:rsidRDefault="002B32A0" w:rsidP="006258ED">
            <w:pPr>
              <w:pStyle w:val="Tabletext"/>
              <w:jc w:val="center"/>
              <w:rPr>
                <w:b/>
                <w:bCs/>
                <w:color w:val="FFFFFF" w:themeColor="background1"/>
              </w:rPr>
            </w:pPr>
            <w:r w:rsidRPr="00CE1D7F">
              <w:rPr>
                <w:b/>
                <w:bCs/>
                <w:color w:val="FFFFFF" w:themeColor="background1"/>
              </w:rPr>
              <w:t>7%</w:t>
            </w:r>
          </w:p>
        </w:tc>
        <w:tc>
          <w:tcPr>
            <w:tcW w:w="803" w:type="dxa"/>
            <w:tcBorders>
              <w:top w:val="nil"/>
              <w:left w:val="nil"/>
              <w:bottom w:val="nil"/>
              <w:right w:val="single" w:sz="6" w:space="0" w:color="140034"/>
            </w:tcBorders>
            <w:shd w:val="clear" w:color="auto" w:fill="140034"/>
            <w:hideMark/>
          </w:tcPr>
          <w:p w14:paraId="0DBBB396" w14:textId="77777777" w:rsidR="002B32A0" w:rsidRPr="00CE1D7F" w:rsidRDefault="002B32A0" w:rsidP="006258ED">
            <w:pPr>
              <w:pStyle w:val="Tabletext"/>
              <w:jc w:val="center"/>
              <w:rPr>
                <w:b/>
                <w:bCs/>
                <w:color w:val="FFFFFF" w:themeColor="background1"/>
              </w:rPr>
            </w:pPr>
            <w:r w:rsidRPr="00CE1D7F">
              <w:rPr>
                <w:b/>
                <w:bCs/>
                <w:color w:val="FFFFFF" w:themeColor="background1"/>
              </w:rPr>
              <w:t>10%</w:t>
            </w:r>
          </w:p>
        </w:tc>
      </w:tr>
      <w:tr w:rsidR="002B32A0" w:rsidRPr="00CE1D7F" w14:paraId="1D036AFB" w14:textId="77777777" w:rsidTr="006258ED">
        <w:trPr>
          <w:gridBefore w:val="1"/>
          <w:wBefore w:w="455" w:type="dxa"/>
        </w:trPr>
        <w:tc>
          <w:tcPr>
            <w:tcW w:w="3400" w:type="dxa"/>
            <w:tcBorders>
              <w:top w:val="single" w:sz="4" w:space="0" w:color="646464"/>
              <w:left w:val="nil"/>
              <w:bottom w:val="single" w:sz="4" w:space="0" w:color="646464"/>
              <w:right w:val="nil"/>
            </w:tcBorders>
            <w:hideMark/>
          </w:tcPr>
          <w:p w14:paraId="1692E944" w14:textId="77777777" w:rsidR="002B32A0" w:rsidRPr="00CE1D7F" w:rsidRDefault="002B32A0" w:rsidP="006258ED">
            <w:pPr>
              <w:pStyle w:val="Tabletext"/>
            </w:pPr>
            <w:r w:rsidRPr="00CE1D7F">
              <w:t>Real GDP</w:t>
            </w:r>
          </w:p>
        </w:tc>
        <w:tc>
          <w:tcPr>
            <w:tcW w:w="992" w:type="dxa"/>
            <w:tcBorders>
              <w:top w:val="single" w:sz="4" w:space="0" w:color="646464"/>
              <w:left w:val="nil"/>
              <w:bottom w:val="single" w:sz="4" w:space="0" w:color="646464"/>
              <w:right w:val="nil"/>
            </w:tcBorders>
            <w:hideMark/>
          </w:tcPr>
          <w:p w14:paraId="1D0B8DAD" w14:textId="77777777" w:rsidR="002B32A0" w:rsidRPr="00CE1D7F" w:rsidRDefault="002B32A0" w:rsidP="006258ED">
            <w:pPr>
              <w:pStyle w:val="Tabletext"/>
              <w:jc w:val="center"/>
            </w:pPr>
            <w:r w:rsidRPr="00CE1D7F">
              <w:t>4,096</w:t>
            </w:r>
          </w:p>
        </w:tc>
        <w:tc>
          <w:tcPr>
            <w:tcW w:w="1133" w:type="dxa"/>
            <w:tcBorders>
              <w:top w:val="single" w:sz="4" w:space="0" w:color="646464"/>
              <w:left w:val="nil"/>
              <w:bottom w:val="single" w:sz="4" w:space="0" w:color="646464"/>
              <w:right w:val="nil"/>
            </w:tcBorders>
            <w:hideMark/>
          </w:tcPr>
          <w:p w14:paraId="5F46F39F" w14:textId="77777777" w:rsidR="002B32A0" w:rsidRPr="00CE1D7F" w:rsidRDefault="002B32A0" w:rsidP="006258ED">
            <w:pPr>
              <w:pStyle w:val="Tabletext"/>
              <w:jc w:val="center"/>
            </w:pPr>
            <w:r w:rsidRPr="00CE1D7F">
              <w:t>184,299</w:t>
            </w:r>
          </w:p>
        </w:tc>
        <w:tc>
          <w:tcPr>
            <w:tcW w:w="801" w:type="dxa"/>
            <w:tcBorders>
              <w:top w:val="single" w:sz="4" w:space="0" w:color="646464"/>
              <w:left w:val="nil"/>
              <w:bottom w:val="single" w:sz="4" w:space="0" w:color="646464"/>
              <w:right w:val="nil"/>
            </w:tcBorders>
            <w:hideMark/>
          </w:tcPr>
          <w:p w14:paraId="3FFD096E" w14:textId="77777777" w:rsidR="002B32A0" w:rsidRPr="00CE1D7F" w:rsidRDefault="002B32A0" w:rsidP="006258ED">
            <w:pPr>
              <w:pStyle w:val="Tabletext"/>
              <w:jc w:val="center"/>
            </w:pPr>
            <w:r w:rsidRPr="00CE1D7F">
              <w:t xml:space="preserve"> 84,703 </w:t>
            </w:r>
          </w:p>
        </w:tc>
        <w:tc>
          <w:tcPr>
            <w:tcW w:w="801" w:type="dxa"/>
            <w:tcBorders>
              <w:top w:val="single" w:sz="4" w:space="0" w:color="646464"/>
              <w:left w:val="nil"/>
              <w:bottom w:val="single" w:sz="4" w:space="0" w:color="646464"/>
              <w:right w:val="nil"/>
            </w:tcBorders>
            <w:hideMark/>
          </w:tcPr>
          <w:p w14:paraId="695FA5AA" w14:textId="77777777" w:rsidR="002B32A0" w:rsidRPr="00CE1D7F" w:rsidRDefault="002B32A0" w:rsidP="006258ED">
            <w:pPr>
              <w:pStyle w:val="Tabletext"/>
              <w:jc w:val="center"/>
            </w:pPr>
            <w:r w:rsidRPr="00CE1D7F">
              <w:t xml:space="preserve"> 33,567 </w:t>
            </w:r>
          </w:p>
        </w:tc>
        <w:tc>
          <w:tcPr>
            <w:tcW w:w="803" w:type="dxa"/>
            <w:tcBorders>
              <w:top w:val="single" w:sz="4" w:space="0" w:color="646464"/>
              <w:left w:val="nil"/>
              <w:bottom w:val="single" w:sz="4" w:space="0" w:color="646464"/>
              <w:right w:val="nil"/>
            </w:tcBorders>
            <w:hideMark/>
          </w:tcPr>
          <w:p w14:paraId="15634965" w14:textId="77777777" w:rsidR="002B32A0" w:rsidRPr="00CE1D7F" w:rsidRDefault="002B32A0" w:rsidP="006258ED">
            <w:pPr>
              <w:pStyle w:val="Tabletext"/>
              <w:jc w:val="center"/>
            </w:pPr>
            <w:r w:rsidRPr="00CE1D7F">
              <w:t xml:space="preserve"> 18,063 </w:t>
            </w:r>
          </w:p>
        </w:tc>
      </w:tr>
      <w:tr w:rsidR="002B32A0" w:rsidRPr="00CE1D7F" w14:paraId="1AC473B6" w14:textId="77777777" w:rsidTr="006258ED">
        <w:trPr>
          <w:gridBefore w:val="1"/>
          <w:wBefore w:w="455" w:type="dxa"/>
        </w:trPr>
        <w:tc>
          <w:tcPr>
            <w:tcW w:w="3400" w:type="dxa"/>
            <w:tcBorders>
              <w:top w:val="single" w:sz="4" w:space="0" w:color="646464"/>
              <w:left w:val="nil"/>
              <w:bottom w:val="single" w:sz="4" w:space="0" w:color="646464"/>
              <w:right w:val="nil"/>
            </w:tcBorders>
            <w:hideMark/>
          </w:tcPr>
          <w:p w14:paraId="272BD702" w14:textId="77777777" w:rsidR="002B32A0" w:rsidRPr="00CE1D7F" w:rsidRDefault="002B32A0" w:rsidP="006258ED">
            <w:pPr>
              <w:pStyle w:val="Tabletext"/>
            </w:pPr>
            <w:r w:rsidRPr="00CE1D7F">
              <w:t>Australian Government funding to the ARC</w:t>
            </w:r>
          </w:p>
        </w:tc>
        <w:tc>
          <w:tcPr>
            <w:tcW w:w="992" w:type="dxa"/>
            <w:tcBorders>
              <w:top w:val="single" w:sz="4" w:space="0" w:color="646464"/>
              <w:left w:val="nil"/>
              <w:bottom w:val="single" w:sz="4" w:space="0" w:color="646464"/>
              <w:right w:val="nil"/>
            </w:tcBorders>
            <w:hideMark/>
          </w:tcPr>
          <w:p w14:paraId="57E42790" w14:textId="77777777" w:rsidR="002B32A0" w:rsidRPr="00CE1D7F" w:rsidRDefault="002B32A0" w:rsidP="006258ED">
            <w:pPr>
              <w:pStyle w:val="Tabletext"/>
              <w:jc w:val="center"/>
            </w:pPr>
            <w:r w:rsidRPr="00CE1D7F">
              <w:t>706</w:t>
            </w:r>
            <w:r w:rsidRPr="00CE1D7F">
              <w:rPr>
                <w:vertAlign w:val="superscript"/>
              </w:rPr>
              <w:t>a</w:t>
            </w:r>
          </w:p>
        </w:tc>
        <w:tc>
          <w:tcPr>
            <w:tcW w:w="1133" w:type="dxa"/>
            <w:tcBorders>
              <w:top w:val="single" w:sz="4" w:space="0" w:color="646464"/>
              <w:left w:val="nil"/>
              <w:bottom w:val="single" w:sz="4" w:space="0" w:color="646464"/>
              <w:right w:val="nil"/>
            </w:tcBorders>
            <w:hideMark/>
          </w:tcPr>
          <w:p w14:paraId="66CEB639" w14:textId="77777777" w:rsidR="002B32A0" w:rsidRPr="00CE1D7F" w:rsidRDefault="002B32A0" w:rsidP="006258ED">
            <w:pPr>
              <w:pStyle w:val="Tabletext"/>
              <w:jc w:val="center"/>
            </w:pPr>
            <w:r w:rsidRPr="00CE1D7F">
              <w:t>17,645</w:t>
            </w:r>
            <w:r w:rsidRPr="00CE1D7F">
              <w:rPr>
                <w:vertAlign w:val="superscript"/>
              </w:rPr>
              <w:t>b</w:t>
            </w:r>
          </w:p>
        </w:tc>
        <w:tc>
          <w:tcPr>
            <w:tcW w:w="801" w:type="dxa"/>
            <w:tcBorders>
              <w:top w:val="single" w:sz="4" w:space="0" w:color="646464"/>
              <w:left w:val="nil"/>
              <w:bottom w:val="single" w:sz="4" w:space="0" w:color="646464"/>
              <w:right w:val="nil"/>
            </w:tcBorders>
            <w:hideMark/>
          </w:tcPr>
          <w:p w14:paraId="23318CAA" w14:textId="77777777" w:rsidR="002B32A0" w:rsidRPr="00CE1D7F" w:rsidRDefault="002B32A0" w:rsidP="006258ED">
            <w:pPr>
              <w:pStyle w:val="Tabletext"/>
              <w:jc w:val="center"/>
            </w:pPr>
            <w:r w:rsidRPr="00CE1D7F">
              <w:t xml:space="preserve"> 13,581 </w:t>
            </w:r>
          </w:p>
        </w:tc>
        <w:tc>
          <w:tcPr>
            <w:tcW w:w="801" w:type="dxa"/>
            <w:tcBorders>
              <w:top w:val="single" w:sz="4" w:space="0" w:color="646464"/>
              <w:left w:val="nil"/>
              <w:bottom w:val="single" w:sz="4" w:space="0" w:color="646464"/>
              <w:right w:val="nil"/>
            </w:tcBorders>
            <w:hideMark/>
          </w:tcPr>
          <w:p w14:paraId="3EEE1513" w14:textId="77777777" w:rsidR="002B32A0" w:rsidRPr="00CE1D7F" w:rsidRDefault="002B32A0" w:rsidP="006258ED">
            <w:pPr>
              <w:pStyle w:val="Tabletext"/>
              <w:jc w:val="center"/>
            </w:pPr>
            <w:r w:rsidRPr="00CE1D7F">
              <w:t xml:space="preserve"> 10,097 </w:t>
            </w:r>
          </w:p>
        </w:tc>
        <w:tc>
          <w:tcPr>
            <w:tcW w:w="803" w:type="dxa"/>
            <w:tcBorders>
              <w:top w:val="single" w:sz="4" w:space="0" w:color="646464"/>
              <w:left w:val="nil"/>
              <w:bottom w:val="single" w:sz="4" w:space="0" w:color="646464"/>
              <w:right w:val="nil"/>
            </w:tcBorders>
            <w:hideMark/>
          </w:tcPr>
          <w:p w14:paraId="4EAB4009" w14:textId="77777777" w:rsidR="002B32A0" w:rsidRPr="00CE1D7F" w:rsidRDefault="002B32A0" w:rsidP="006258ED">
            <w:pPr>
              <w:pStyle w:val="Tabletext"/>
              <w:jc w:val="center"/>
            </w:pPr>
            <w:r w:rsidRPr="00CE1D7F">
              <w:t xml:space="preserve"> 8,367 </w:t>
            </w:r>
          </w:p>
        </w:tc>
      </w:tr>
      <w:tr w:rsidR="002B32A0" w:rsidRPr="00CE1D7F" w14:paraId="14B1819C" w14:textId="77777777" w:rsidTr="009969CC">
        <w:trPr>
          <w:gridBefore w:val="1"/>
          <w:wBefore w:w="455" w:type="dxa"/>
        </w:trPr>
        <w:tc>
          <w:tcPr>
            <w:tcW w:w="3400" w:type="dxa"/>
            <w:tcBorders>
              <w:top w:val="single" w:sz="4" w:space="0" w:color="646464"/>
              <w:left w:val="nil"/>
              <w:bottom w:val="single" w:sz="4" w:space="0" w:color="646464"/>
              <w:right w:val="nil"/>
            </w:tcBorders>
            <w:shd w:val="clear" w:color="auto" w:fill="EBE6F2" w:themeFill="accent1" w:themeFillTint="33"/>
            <w:hideMark/>
          </w:tcPr>
          <w:p w14:paraId="7D97C9CE" w14:textId="77777777" w:rsidR="002B32A0" w:rsidRPr="00CE1D7F" w:rsidRDefault="002B32A0" w:rsidP="006258ED">
            <w:pPr>
              <w:pStyle w:val="Tabletext"/>
            </w:pPr>
            <w:r w:rsidRPr="00CE1D7F">
              <w:t xml:space="preserve">Ratio of increase in GDP to </w:t>
            </w:r>
            <w:r>
              <w:t>government</w:t>
            </w:r>
            <w:r w:rsidRPr="00CE1D7F">
              <w:t xml:space="preserve"> funding</w:t>
            </w:r>
          </w:p>
        </w:tc>
        <w:tc>
          <w:tcPr>
            <w:tcW w:w="992" w:type="dxa"/>
            <w:tcBorders>
              <w:top w:val="single" w:sz="4" w:space="0" w:color="646464"/>
              <w:left w:val="nil"/>
              <w:bottom w:val="single" w:sz="4" w:space="0" w:color="646464"/>
              <w:right w:val="nil"/>
            </w:tcBorders>
            <w:shd w:val="clear" w:color="auto" w:fill="EBE6F2" w:themeFill="accent1" w:themeFillTint="33"/>
            <w:vAlign w:val="center"/>
            <w:hideMark/>
          </w:tcPr>
          <w:p w14:paraId="4325E8FC" w14:textId="77777777" w:rsidR="002B32A0" w:rsidRPr="00CE1D7F" w:rsidRDefault="002B32A0" w:rsidP="00216DC2">
            <w:pPr>
              <w:pStyle w:val="Tabletext"/>
              <w:jc w:val="center"/>
            </w:pPr>
            <w:r w:rsidRPr="00CE1D7F">
              <w:t>5.80</w:t>
            </w:r>
          </w:p>
        </w:tc>
        <w:tc>
          <w:tcPr>
            <w:tcW w:w="1133" w:type="dxa"/>
            <w:tcBorders>
              <w:top w:val="single" w:sz="4" w:space="0" w:color="646464"/>
              <w:left w:val="nil"/>
              <w:bottom w:val="single" w:sz="4" w:space="0" w:color="646464"/>
              <w:right w:val="nil"/>
            </w:tcBorders>
            <w:shd w:val="clear" w:color="auto" w:fill="EBE6F2" w:themeFill="accent1" w:themeFillTint="33"/>
            <w:vAlign w:val="center"/>
            <w:hideMark/>
          </w:tcPr>
          <w:p w14:paraId="2067DCD9" w14:textId="77777777" w:rsidR="002B32A0" w:rsidRPr="00CE1D7F" w:rsidRDefault="002B32A0" w:rsidP="00216DC2">
            <w:pPr>
              <w:pStyle w:val="Tabletext"/>
              <w:jc w:val="center"/>
            </w:pPr>
            <w:r w:rsidRPr="00CE1D7F">
              <w:t>10.44</w:t>
            </w:r>
          </w:p>
        </w:tc>
        <w:tc>
          <w:tcPr>
            <w:tcW w:w="801" w:type="dxa"/>
            <w:tcBorders>
              <w:top w:val="single" w:sz="4" w:space="0" w:color="646464"/>
              <w:left w:val="nil"/>
              <w:bottom w:val="single" w:sz="4" w:space="0" w:color="646464"/>
              <w:right w:val="nil"/>
            </w:tcBorders>
            <w:shd w:val="clear" w:color="auto" w:fill="EBE6F2" w:themeFill="accent1" w:themeFillTint="33"/>
            <w:vAlign w:val="center"/>
            <w:hideMark/>
          </w:tcPr>
          <w:p w14:paraId="4B902761" w14:textId="736B00CC" w:rsidR="002B32A0" w:rsidRPr="00CE1D7F" w:rsidRDefault="002B32A0" w:rsidP="00216DC2">
            <w:pPr>
              <w:pStyle w:val="Tabletext"/>
              <w:jc w:val="center"/>
            </w:pPr>
            <w:r w:rsidRPr="00CE1D7F">
              <w:t>6.24</w:t>
            </w:r>
          </w:p>
        </w:tc>
        <w:tc>
          <w:tcPr>
            <w:tcW w:w="801" w:type="dxa"/>
            <w:tcBorders>
              <w:top w:val="single" w:sz="4" w:space="0" w:color="646464"/>
              <w:left w:val="nil"/>
              <w:bottom w:val="single" w:sz="4" w:space="0" w:color="646464"/>
              <w:right w:val="nil"/>
            </w:tcBorders>
            <w:shd w:val="clear" w:color="auto" w:fill="6C3F99" w:themeFill="text2"/>
            <w:vAlign w:val="center"/>
            <w:hideMark/>
          </w:tcPr>
          <w:p w14:paraId="74439711" w14:textId="0BB0A606" w:rsidR="002B32A0" w:rsidRPr="00CE1D7F" w:rsidRDefault="002B32A0" w:rsidP="00216DC2">
            <w:pPr>
              <w:pStyle w:val="Tabletext"/>
              <w:jc w:val="center"/>
              <w:rPr>
                <w:b/>
                <w:bCs/>
              </w:rPr>
            </w:pPr>
            <w:r w:rsidRPr="00CE1D7F">
              <w:rPr>
                <w:b/>
                <w:bCs/>
                <w:color w:val="FFFFFF" w:themeColor="background1"/>
              </w:rPr>
              <w:t>3.32</w:t>
            </w:r>
          </w:p>
        </w:tc>
        <w:tc>
          <w:tcPr>
            <w:tcW w:w="803" w:type="dxa"/>
            <w:tcBorders>
              <w:top w:val="single" w:sz="4" w:space="0" w:color="646464"/>
              <w:left w:val="nil"/>
              <w:bottom w:val="single" w:sz="4" w:space="0" w:color="646464"/>
              <w:right w:val="nil"/>
            </w:tcBorders>
            <w:shd w:val="clear" w:color="auto" w:fill="EBE6F2" w:themeFill="accent1" w:themeFillTint="33"/>
            <w:vAlign w:val="center"/>
            <w:hideMark/>
          </w:tcPr>
          <w:p w14:paraId="6007576B" w14:textId="6526F40C" w:rsidR="002B32A0" w:rsidRPr="00CE1D7F" w:rsidRDefault="002B32A0" w:rsidP="00216DC2">
            <w:pPr>
              <w:pStyle w:val="Tabletext"/>
              <w:jc w:val="center"/>
            </w:pPr>
            <w:r w:rsidRPr="00CE1D7F">
              <w:t>2.16</w:t>
            </w:r>
          </w:p>
        </w:tc>
      </w:tr>
      <w:tr w:rsidR="002B32A0" w:rsidRPr="00CE1D7F" w14:paraId="693EC957" w14:textId="77777777" w:rsidTr="006258ED">
        <w:trPr>
          <w:gridBefore w:val="1"/>
          <w:wBefore w:w="455" w:type="dxa"/>
        </w:trPr>
        <w:tc>
          <w:tcPr>
            <w:tcW w:w="7930" w:type="dxa"/>
            <w:gridSpan w:val="6"/>
            <w:tcBorders>
              <w:top w:val="single" w:sz="4" w:space="0" w:color="646464"/>
              <w:left w:val="nil"/>
              <w:bottom w:val="single" w:sz="4" w:space="0" w:color="646464"/>
              <w:right w:val="nil"/>
            </w:tcBorders>
            <w:hideMark/>
          </w:tcPr>
          <w:p w14:paraId="78C5FA10" w14:textId="77777777" w:rsidR="002B32A0" w:rsidRPr="00CE1D7F" w:rsidRDefault="002B32A0" w:rsidP="006258ED">
            <w:pPr>
              <w:pStyle w:val="Source"/>
              <w:rPr>
                <w:i w:val="0"/>
                <w:iCs/>
              </w:rPr>
            </w:pPr>
            <w:r w:rsidRPr="00CE1D7F">
              <w:rPr>
                <w:i w:val="0"/>
                <w:iCs/>
                <w:vertAlign w:val="superscript"/>
              </w:rPr>
              <w:t>a</w:t>
            </w:r>
            <w:r w:rsidRPr="00CE1D7F">
              <w:rPr>
                <w:i w:val="0"/>
                <w:iCs/>
              </w:rPr>
              <w:t xml:space="preserve"> Annual average ARC funding over 2002-2026 (while the last round of grants modelled are those awarded in 2021, there are projects awarded in 2020 which will receive funding over 7 years – until 2026 – and hence the costs to the Australian Government extend from 2002-2026).</w:t>
            </w:r>
          </w:p>
          <w:p w14:paraId="5E172116" w14:textId="77777777" w:rsidR="002B32A0" w:rsidRPr="00CE1D7F" w:rsidRDefault="002B32A0" w:rsidP="006258ED">
            <w:pPr>
              <w:pStyle w:val="Source"/>
              <w:rPr>
                <w:i w:val="0"/>
                <w:iCs/>
              </w:rPr>
            </w:pPr>
            <w:r w:rsidRPr="00CE1D7F">
              <w:rPr>
                <w:i w:val="0"/>
                <w:iCs/>
                <w:vertAlign w:val="superscript"/>
              </w:rPr>
              <w:t>b</w:t>
            </w:r>
            <w:r w:rsidRPr="00CE1D7F">
              <w:rPr>
                <w:i w:val="0"/>
                <w:iCs/>
              </w:rPr>
              <w:t xml:space="preserve"> Refers to ARC funding over 2002-2026 (while the last round of grants modelled are those awarded in 2021, there are projects awarded in 2020 which will receive funding over 7 years – until 2026 – and hence the costs to the Australian Government extend from 2002-2026).</w:t>
            </w:r>
          </w:p>
          <w:p w14:paraId="385D2AC6" w14:textId="77777777" w:rsidR="002B32A0" w:rsidRPr="00CE1D7F" w:rsidRDefault="002B32A0" w:rsidP="006258ED">
            <w:pPr>
              <w:pStyle w:val="Source"/>
            </w:pPr>
            <w:r w:rsidRPr="00CE1D7F">
              <w:t>Source: ACIL Allen.</w:t>
            </w:r>
          </w:p>
        </w:tc>
      </w:tr>
      <w:tr w:rsidR="002B32A0" w:rsidRPr="00CE1D7F" w14:paraId="425D8741" w14:textId="77777777" w:rsidTr="006258ED">
        <w:trPr>
          <w:gridBefore w:val="1"/>
          <w:wBefore w:w="455" w:type="dxa"/>
          <w:trHeight w:val="160"/>
        </w:trPr>
        <w:tc>
          <w:tcPr>
            <w:tcW w:w="7930" w:type="dxa"/>
            <w:gridSpan w:val="6"/>
            <w:tcBorders>
              <w:top w:val="single" w:sz="4" w:space="0" w:color="646464"/>
              <w:left w:val="nil"/>
              <w:bottom w:val="nil"/>
              <w:right w:val="nil"/>
            </w:tcBorders>
          </w:tcPr>
          <w:p w14:paraId="28BEFF86" w14:textId="77777777" w:rsidR="002B32A0" w:rsidRPr="00CE1D7F" w:rsidRDefault="002B32A0" w:rsidP="006258ED">
            <w:pPr>
              <w:pStyle w:val="spacer"/>
            </w:pPr>
          </w:p>
        </w:tc>
      </w:tr>
    </w:tbl>
    <w:p w14:paraId="191A9EB5" w14:textId="77777777" w:rsidR="002B32A0" w:rsidRPr="00CE1D7F" w:rsidRDefault="002B32A0" w:rsidP="005961C7">
      <w:pPr>
        <w:pStyle w:val="Heading4"/>
      </w:pPr>
      <w:bookmarkStart w:id="91" w:name="_Toc513019268"/>
      <w:r w:rsidRPr="00CE1D7F">
        <w:t>Real incom</w:t>
      </w:r>
      <w:bookmarkEnd w:id="91"/>
      <w:r w:rsidRPr="00CE1D7F">
        <w:t>e impacts</w:t>
      </w:r>
    </w:p>
    <w:p w14:paraId="2D475448" w14:textId="77777777" w:rsidR="002B32A0" w:rsidRPr="00CE1D7F" w:rsidRDefault="002B32A0" w:rsidP="002B32A0">
      <w:pPr>
        <w:pStyle w:val="BodyText"/>
      </w:pPr>
      <w:r w:rsidRPr="00CE1D7F">
        <w:t xml:space="preserve">Measuring the impact of a program using just real economic output (GDP) may disguise investments that are not beneficial in the overall economic welfare sense. This is because it is possible for real economic output to increase (that is, for GDP to rise) while at the same time consumers may be worse off when measured in terms of real income. In such circumstances, people and households would be worse off despite economic growth. </w:t>
      </w:r>
    </w:p>
    <w:p w14:paraId="24790F6C" w14:textId="3AE9FB13" w:rsidR="002B32A0" w:rsidRPr="00CE1D7F" w:rsidRDefault="002B32A0" w:rsidP="002B32A0">
      <w:pPr>
        <w:pStyle w:val="BodyText"/>
      </w:pPr>
      <w:bookmarkStart w:id="92" w:name="_Hlk129773150"/>
      <w:r w:rsidRPr="00CE1D7F">
        <w:t xml:space="preserve">This leads to a preference for considering real income effects. Real income measures the ability to purchase goods and services, adjusted for inflation. A rise in real income indicates a rise in current consumption capacity and an increased ability to accumulate wealth in the form of financial and other assets. The change in real income is equal to the change in real economic output (real GDP) plus the change in international income transfers, plus the change in the nation’s terms of trade (which measures the purchasing power of the nation’s exports relative to its imports) (see </w:t>
      </w:r>
      <w:r w:rsidRPr="00F87D0E">
        <w:fldChar w:fldCharType="begin"/>
      </w:r>
      <w:r w:rsidRPr="00F87D0E">
        <w:instrText xml:space="preserve"> REF _Ref89246765 \h  \* MERGEFORMAT </w:instrText>
      </w:r>
      <w:r w:rsidRPr="00F87D0E">
        <w:fldChar w:fldCharType="separate"/>
      </w:r>
      <w:r w:rsidR="000B0AC7" w:rsidRPr="000B0AC7">
        <w:t>Figure 2.6</w:t>
      </w:r>
      <w:r w:rsidRPr="00F87D0E">
        <w:fldChar w:fldCharType="end"/>
      </w:r>
      <w:r w:rsidRPr="00CE1D7F">
        <w:t xml:space="preserve">). </w:t>
      </w:r>
    </w:p>
    <w:p w14:paraId="53515DBA" w14:textId="77777777" w:rsidR="002B32A0" w:rsidRPr="00CE1D7F" w:rsidRDefault="002B32A0" w:rsidP="002B32A0">
      <w:pPr>
        <w:pStyle w:val="BodyText"/>
      </w:pPr>
      <w:r w:rsidRPr="00CE1D7F">
        <w:t xml:space="preserve">In global CGE models such as </w:t>
      </w:r>
      <w:r w:rsidRPr="00CE1D7F">
        <w:rPr>
          <w:i/>
        </w:rPr>
        <w:t>Tasman Global</w:t>
      </w:r>
      <w:r w:rsidRPr="00CE1D7F">
        <w:t xml:space="preserve">, the change in real income is equivalent to the change in consumer welfare using the equivalent variation measure of welfare change resulting from exogenous shocks. Hence, it is valid to say that the projected change in real income (from </w:t>
      </w:r>
      <w:r w:rsidRPr="00CE1D7F">
        <w:rPr>
          <w:i/>
        </w:rPr>
        <w:t>Tasman Global</w:t>
      </w:r>
      <w:r w:rsidRPr="00CE1D7F">
        <w:t>) is also the projected change in consumer welfare.</w:t>
      </w:r>
    </w:p>
    <w:p w14:paraId="2B6C0B2E" w14:textId="34C2BA64" w:rsidR="000B0AC7" w:rsidRPr="00CE1D7F" w:rsidRDefault="000B0AC7" w:rsidP="000B0AC7">
      <w:pPr>
        <w:pStyle w:val="Caption"/>
        <w:ind w:left="1308" w:hanging="1308"/>
        <w:rPr>
          <w:rStyle w:val="CaptionLabel"/>
        </w:rPr>
      </w:pPr>
      <w:bookmarkStart w:id="93" w:name="_Ref89246765"/>
      <w:bookmarkStart w:id="94" w:name="_Toc95831727"/>
      <w:bookmarkEnd w:id="92"/>
      <w:r w:rsidRPr="00CE1D7F">
        <w:rPr>
          <w:rStyle w:val="CaptionLabel"/>
        </w:rPr>
        <w:lastRenderedPageBreak/>
        <w:t>Figure </w:t>
      </w:r>
      <w:r w:rsidRPr="00CE1D7F">
        <w:rPr>
          <w:rStyle w:val="CaptionLabel"/>
        </w:rPr>
        <w:fldChar w:fldCharType="begin"/>
      </w:r>
      <w:r w:rsidRPr="00CE1D7F">
        <w:rPr>
          <w:rStyle w:val="CaptionLabel"/>
        </w:rPr>
        <w:instrText xml:space="preserve"> STYLEREF 1 \S \* MERGEFORMAT </w:instrText>
      </w:r>
      <w:r w:rsidRPr="00CE1D7F">
        <w:rPr>
          <w:rStyle w:val="CaptionLabel"/>
        </w:rPr>
        <w:fldChar w:fldCharType="separate"/>
      </w:r>
      <w:r>
        <w:rPr>
          <w:rStyle w:val="CaptionLabel"/>
          <w:noProof/>
        </w:rPr>
        <w:t>2</w:t>
      </w:r>
      <w:r w:rsidRPr="00CE1D7F">
        <w:rPr>
          <w:rStyle w:val="CaptionLabel"/>
        </w:rPr>
        <w:fldChar w:fldCharType="end"/>
      </w:r>
      <w:r w:rsidRPr="00CE1D7F">
        <w:rPr>
          <w:rStyle w:val="CaptionLabel"/>
        </w:rPr>
        <w:t>.</w:t>
      </w:r>
      <w:r w:rsidRPr="00CE1D7F">
        <w:rPr>
          <w:rStyle w:val="CaptionLabel"/>
        </w:rPr>
        <w:fldChar w:fldCharType="begin"/>
      </w:r>
      <w:r w:rsidRPr="00CE1D7F">
        <w:rPr>
          <w:rStyle w:val="CaptionLabel"/>
        </w:rPr>
        <w:instrText xml:space="preserve"> SEQ Figure \* ARABIC \S 1 \* MERGEFORMAT </w:instrText>
      </w:r>
      <w:r w:rsidRPr="00CE1D7F">
        <w:rPr>
          <w:rStyle w:val="CaptionLabel"/>
        </w:rPr>
        <w:fldChar w:fldCharType="separate"/>
      </w:r>
      <w:r>
        <w:rPr>
          <w:rStyle w:val="CaptionLabel"/>
          <w:noProof/>
        </w:rPr>
        <w:t>6</w:t>
      </w:r>
      <w:r w:rsidRPr="00CE1D7F">
        <w:rPr>
          <w:rStyle w:val="CaptionLabel"/>
        </w:rPr>
        <w:fldChar w:fldCharType="end"/>
      </w:r>
      <w:bookmarkEnd w:id="93"/>
      <w:r w:rsidRPr="00CE1D7F">
        <w:rPr>
          <w:rStyle w:val="CaptionLabel"/>
        </w:rPr>
        <w:tab/>
      </w:r>
      <w:r w:rsidRPr="00CE1D7F">
        <w:rPr>
          <w:rStyle w:val="CaptionLabel"/>
          <w:b w:val="0"/>
          <w:bCs/>
        </w:rPr>
        <w:t>Macroeconomic impact of a program or policy</w:t>
      </w:r>
      <w:bookmarkEnd w:id="94"/>
    </w:p>
    <w:tbl>
      <w:tblPr>
        <w:tblStyle w:val="aacTableFigure"/>
        <w:tblW w:w="7937" w:type="dxa"/>
        <w:tblBorders>
          <w:top w:val="single" w:sz="4" w:space="0" w:color="000000"/>
          <w:bottom w:val="single" w:sz="4" w:space="0" w:color="000000"/>
        </w:tblBorders>
        <w:tblLayout w:type="fixed"/>
        <w:tblLook w:val="04A0" w:firstRow="1" w:lastRow="0" w:firstColumn="1" w:lastColumn="0" w:noHBand="0" w:noVBand="1"/>
      </w:tblPr>
      <w:tblGrid>
        <w:gridCol w:w="7937"/>
      </w:tblGrid>
      <w:tr w:rsidR="002B32A0" w:rsidRPr="00CE1D7F" w14:paraId="463186C4" w14:textId="77777777" w:rsidTr="000B0AC7">
        <w:tc>
          <w:tcPr>
            <w:tcW w:w="7937" w:type="dxa"/>
            <w:shd w:val="clear" w:color="auto" w:fill="auto"/>
            <w:hideMark/>
          </w:tcPr>
          <w:p w14:paraId="0FA19DDB" w14:textId="77777777" w:rsidR="002B32A0" w:rsidRPr="00CE1D7F" w:rsidRDefault="002B32A0" w:rsidP="002C4022">
            <w:pPr>
              <w:pStyle w:val="Figure"/>
              <w:spacing w:before="120"/>
              <w:jc w:val="center"/>
            </w:pPr>
            <w:r w:rsidRPr="00CE1D7F">
              <w:rPr>
                <w:noProof/>
              </w:rPr>
              <w:drawing>
                <wp:inline distT="0" distB="0" distL="0" distR="0" wp14:anchorId="22227FD8" wp14:editId="569A10C8">
                  <wp:extent cx="4990142" cy="2636836"/>
                  <wp:effectExtent l="0" t="0" r="1270" b="0"/>
                  <wp:docPr id="222" name="Picture 222" descr="Macroeconomic impact of a program or pol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descr="Macroeconomic impact of a program or policy"/>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008492" cy="2646532"/>
                          </a:xfrm>
                          <a:prstGeom prst="rect">
                            <a:avLst/>
                          </a:prstGeom>
                          <a:noFill/>
                          <a:ln>
                            <a:noFill/>
                          </a:ln>
                        </pic:spPr>
                      </pic:pic>
                    </a:graphicData>
                  </a:graphic>
                </wp:inline>
              </w:drawing>
            </w:r>
          </w:p>
        </w:tc>
      </w:tr>
    </w:tbl>
    <w:p w14:paraId="5ED56244" w14:textId="77777777" w:rsidR="000B0AC7" w:rsidRPr="00CE1D7F" w:rsidRDefault="000B0AC7" w:rsidP="000B0AC7">
      <w:pPr>
        <w:pStyle w:val="Source"/>
        <w:ind w:left="1308" w:hanging="1308"/>
      </w:pPr>
      <w:r w:rsidRPr="00CE1D7F">
        <w:t>Source: ACIL Allen</w:t>
      </w:r>
    </w:p>
    <w:p w14:paraId="3B27A78A" w14:textId="77777777" w:rsidR="000B0AC7" w:rsidRPr="00CE1D7F" w:rsidRDefault="000B0AC7" w:rsidP="006258ED">
      <w:pPr>
        <w:pStyle w:val="spacer"/>
      </w:pPr>
    </w:p>
    <w:p w14:paraId="21E9B56A" w14:textId="223B612E" w:rsidR="002B32A0" w:rsidRDefault="002B32A0" w:rsidP="002B32A0">
      <w:pPr>
        <w:pStyle w:val="BodyText"/>
      </w:pPr>
      <w:r w:rsidRPr="00CE1D7F">
        <w:t xml:space="preserve">The projected changes in real income associated with the ARC’s research investments are shown in </w:t>
      </w:r>
      <w:r w:rsidRPr="00F87D0E">
        <w:fldChar w:fldCharType="begin"/>
      </w:r>
      <w:r w:rsidRPr="00F87D0E">
        <w:instrText xml:space="preserve"> REF _Ref70685339 \h  \* MERGEFORMAT </w:instrText>
      </w:r>
      <w:r w:rsidRPr="00F87D0E">
        <w:fldChar w:fldCharType="separate"/>
      </w:r>
      <w:r w:rsidR="000B0AC7" w:rsidRPr="000B0AC7">
        <w:t>Figure 2.7</w:t>
      </w:r>
      <w:r w:rsidRPr="00F87D0E">
        <w:fldChar w:fldCharType="end"/>
      </w:r>
      <w:r w:rsidRPr="00CE1D7F">
        <w:t xml:space="preserve"> and </w:t>
      </w:r>
      <w:r w:rsidRPr="00F87D0E">
        <w:fldChar w:fldCharType="begin"/>
      </w:r>
      <w:r w:rsidRPr="00F87D0E">
        <w:instrText xml:space="preserve"> REF _Ref129683645 \h  \* MERGEFORMAT </w:instrText>
      </w:r>
      <w:r w:rsidRPr="00F87D0E">
        <w:fldChar w:fldCharType="separate"/>
      </w:r>
      <w:r w:rsidR="000B0AC7" w:rsidRPr="000B0AC7">
        <w:t>Table 2.3</w:t>
      </w:r>
      <w:r w:rsidRPr="00F87D0E">
        <w:fldChar w:fldCharType="end"/>
      </w:r>
      <w:r w:rsidRPr="00CE1D7F">
        <w:t xml:space="preserve">. Overall, as shown in </w:t>
      </w:r>
      <w:r w:rsidRPr="00F87D0E">
        <w:fldChar w:fldCharType="begin"/>
      </w:r>
      <w:r w:rsidRPr="00F87D0E">
        <w:instrText xml:space="preserve"> REF _Ref70685339 \h  \* MERGEFORMAT </w:instrText>
      </w:r>
      <w:r w:rsidRPr="00F87D0E">
        <w:fldChar w:fldCharType="separate"/>
      </w:r>
      <w:r w:rsidR="000B0AC7" w:rsidRPr="000B0AC7">
        <w:t>Figure 2.7</w:t>
      </w:r>
      <w:r w:rsidRPr="00F87D0E">
        <w:fldChar w:fldCharType="end"/>
      </w:r>
      <w:r w:rsidRPr="00CE1D7F">
        <w:t xml:space="preserve">, the pattern of changes in income is similar to the pattern of changes in output, but income gains are slightly lower than the change in economic output. As shown in </w:t>
      </w:r>
      <w:r w:rsidRPr="00F87D0E">
        <w:fldChar w:fldCharType="begin"/>
      </w:r>
      <w:r w:rsidRPr="00F87D0E">
        <w:instrText xml:space="preserve"> REF _Ref129683645 \h  \* MERGEFORMAT </w:instrText>
      </w:r>
      <w:r w:rsidRPr="00F87D0E">
        <w:fldChar w:fldCharType="separate"/>
      </w:r>
      <w:r w:rsidR="000B0AC7" w:rsidRPr="000B0AC7">
        <w:t>Table 2.3</w:t>
      </w:r>
      <w:r w:rsidRPr="00F87D0E">
        <w:fldChar w:fldCharType="end"/>
      </w:r>
      <w:r w:rsidRPr="00CE1D7F">
        <w:t xml:space="preserve">, from 2021-2046, ARC-funded research is projected to increase the real income of </w:t>
      </w:r>
      <w:r w:rsidRPr="00CE1D7F">
        <w:rPr>
          <w:iCs/>
        </w:rPr>
        <w:t xml:space="preserve">Australia </w:t>
      </w:r>
      <w:r w:rsidRPr="00CE1D7F">
        <w:t>as a whole by a cumulative total of $152.5</w:t>
      </w:r>
      <w:r>
        <w:t> billion</w:t>
      </w:r>
      <w:r w:rsidRPr="00CE1D7F">
        <w:t xml:space="preserve"> relative to the Base Case.</w:t>
      </w:r>
      <w:r w:rsidRPr="00CE1D7F">
        <w:rPr>
          <w:rStyle w:val="FootnoteReference"/>
        </w:rPr>
        <w:footnoteReference w:id="26"/>
      </w:r>
      <w:r w:rsidRPr="00CE1D7F">
        <w:t xml:space="preserve"> This is equivalent to a one off increase in real income of $30.3</w:t>
      </w:r>
      <w:r>
        <w:t> billion</w:t>
      </w:r>
      <w:r w:rsidRPr="00CE1D7F">
        <w:t xml:space="preserve"> (in 2022 dollars, using a 7% real discount rate).</w:t>
      </w:r>
    </w:p>
    <w:p w14:paraId="1DE16838" w14:textId="77777777" w:rsidR="002B32A0" w:rsidRPr="00CE1D7F" w:rsidRDefault="002B32A0" w:rsidP="002B32A0">
      <w:pPr>
        <w:pStyle w:val="BodyText"/>
      </w:pPr>
      <w:r w:rsidRPr="00CE1D7F">
        <w:t xml:space="preserve">Therefore, it is estimated that for every $1 spent by the Australian Government on the NCGP research investments awarded between 2002 and 2021, </w:t>
      </w:r>
      <w:r>
        <w:t>real income</w:t>
      </w:r>
      <w:r w:rsidRPr="00CE1D7F">
        <w:t xml:space="preserve"> is cumulatively $3.</w:t>
      </w:r>
      <w:r>
        <w:t>00</w:t>
      </w:r>
      <w:r w:rsidRPr="00CE1D7F">
        <w:t xml:space="preserve"> higher (on a 7% real discounted basis) than it would have been had that $1 instead been allocated to general government expenditur</w:t>
      </w:r>
      <w:r>
        <w:t>e</w:t>
      </w:r>
      <w:r w:rsidRPr="00CE1D7F">
        <w:t>.</w:t>
      </w:r>
      <w:r w:rsidRPr="00267024">
        <w:t xml:space="preserve"> </w:t>
      </w:r>
      <w:r>
        <w:t>While other sources of funding contributed to achieving this result, these funds were only leveraged as a result of ARC funding. As such, the ratio of GDP to funding is only presented in relation to the Australian Government funding provided through the NCGP.</w:t>
      </w:r>
    </w:p>
    <w:p w14:paraId="6B67F579" w14:textId="77777777" w:rsidR="002B32A0" w:rsidRPr="00CE1D7F" w:rsidRDefault="002B32A0" w:rsidP="002B32A0">
      <w:pPr>
        <w:pStyle w:val="BodyText"/>
      </w:pPr>
      <w:r w:rsidRPr="00CE1D7F">
        <w:t>To place these projected changes in income in perspective, the value today of this whole-of-life impact</w:t>
      </w:r>
      <w:r w:rsidRPr="00CE1D7F">
        <w:rPr>
          <w:rStyle w:val="FootnoteReference"/>
        </w:rPr>
        <w:footnoteReference w:id="27"/>
      </w:r>
      <w:r w:rsidRPr="00CE1D7F">
        <w:t xml:space="preserve"> is equivalent to </w:t>
      </w:r>
      <w:r>
        <w:t xml:space="preserve">a one-time </w:t>
      </w:r>
      <w:r w:rsidRPr="00CE1D7F">
        <w:t>increas</w:t>
      </w:r>
      <w:r>
        <w:t>e</w:t>
      </w:r>
      <w:r w:rsidRPr="00CE1D7F">
        <w:t xml:space="preserve"> </w:t>
      </w:r>
      <w:r>
        <w:t xml:space="preserve">in </w:t>
      </w:r>
      <w:r w:rsidRPr="00CE1D7F">
        <w:t xml:space="preserve">the average income of all current residents of </w:t>
      </w:r>
      <w:r w:rsidRPr="00CE1D7F">
        <w:rPr>
          <w:iCs/>
        </w:rPr>
        <w:t>Australia</w:t>
      </w:r>
      <w:r w:rsidRPr="00CE1D7F">
        <w:t xml:space="preserve"> by approximately $1,171 per person.</w:t>
      </w:r>
      <w:r w:rsidRPr="00CE1D7F">
        <w:rPr>
          <w:rStyle w:val="FootnoteReference"/>
        </w:rPr>
        <w:footnoteReference w:id="28"/>
      </w:r>
      <w:r w:rsidRPr="00267024">
        <w:t xml:space="preserve"> </w:t>
      </w:r>
    </w:p>
    <w:p w14:paraId="0E410797" w14:textId="77777777" w:rsidR="002B32A0" w:rsidRPr="00CE1D7F" w:rsidRDefault="002B32A0" w:rsidP="002B32A0">
      <w:pPr>
        <w:pStyle w:val="BodyText"/>
      </w:pPr>
      <w:r w:rsidRPr="00CE1D7F">
        <w:t>This is a sizeable increase in consumer welfare in the context of a research program.</w:t>
      </w:r>
    </w:p>
    <w:p w14:paraId="0D09B30D" w14:textId="223904AD" w:rsidR="000B0AC7" w:rsidRPr="00CE1D7F" w:rsidRDefault="000B0AC7" w:rsidP="000B0AC7">
      <w:pPr>
        <w:pStyle w:val="Caption"/>
        <w:ind w:left="1308" w:hanging="1308"/>
        <w:rPr>
          <w:rStyle w:val="CaptionLabel"/>
        </w:rPr>
      </w:pPr>
      <w:bookmarkStart w:id="95" w:name="_Ref70685339"/>
      <w:bookmarkStart w:id="96" w:name="_Toc119304064"/>
      <w:bookmarkStart w:id="97" w:name="_Toc71749955"/>
      <w:r w:rsidRPr="00CE1D7F">
        <w:rPr>
          <w:rStyle w:val="CaptionLabel"/>
        </w:rPr>
        <w:lastRenderedPageBreak/>
        <w:t>Figure </w:t>
      </w:r>
      <w:r w:rsidRPr="00CE1D7F">
        <w:rPr>
          <w:rStyle w:val="CaptionLabel"/>
        </w:rPr>
        <w:fldChar w:fldCharType="begin"/>
      </w:r>
      <w:r w:rsidRPr="00CE1D7F">
        <w:rPr>
          <w:rStyle w:val="CaptionLabel"/>
        </w:rPr>
        <w:instrText xml:space="preserve"> STYLEREF 1 \S \* MERGEFORMAT </w:instrText>
      </w:r>
      <w:r w:rsidRPr="00CE1D7F">
        <w:rPr>
          <w:rStyle w:val="CaptionLabel"/>
        </w:rPr>
        <w:fldChar w:fldCharType="separate"/>
      </w:r>
      <w:r>
        <w:rPr>
          <w:rStyle w:val="CaptionLabel"/>
          <w:noProof/>
        </w:rPr>
        <w:t>2</w:t>
      </w:r>
      <w:r w:rsidRPr="00CE1D7F">
        <w:rPr>
          <w:rStyle w:val="CaptionLabel"/>
        </w:rPr>
        <w:fldChar w:fldCharType="end"/>
      </w:r>
      <w:r w:rsidRPr="00CE1D7F">
        <w:rPr>
          <w:rStyle w:val="CaptionLabel"/>
        </w:rPr>
        <w:t>.</w:t>
      </w:r>
      <w:r w:rsidRPr="00CE1D7F">
        <w:rPr>
          <w:rStyle w:val="CaptionLabel"/>
        </w:rPr>
        <w:fldChar w:fldCharType="begin"/>
      </w:r>
      <w:r w:rsidRPr="00CE1D7F">
        <w:rPr>
          <w:rStyle w:val="CaptionLabel"/>
        </w:rPr>
        <w:instrText xml:space="preserve"> SEQ Figure \* ARABIC \S 1 \* MERGEFORMAT </w:instrText>
      </w:r>
      <w:r w:rsidRPr="00CE1D7F">
        <w:rPr>
          <w:rStyle w:val="CaptionLabel"/>
        </w:rPr>
        <w:fldChar w:fldCharType="separate"/>
      </w:r>
      <w:r>
        <w:rPr>
          <w:rStyle w:val="CaptionLabel"/>
          <w:noProof/>
        </w:rPr>
        <w:t>7</w:t>
      </w:r>
      <w:r w:rsidRPr="00CE1D7F">
        <w:rPr>
          <w:rStyle w:val="CaptionLabel"/>
        </w:rPr>
        <w:fldChar w:fldCharType="end"/>
      </w:r>
      <w:bookmarkEnd w:id="95"/>
      <w:r w:rsidRPr="00CE1D7F">
        <w:rPr>
          <w:rStyle w:val="CaptionLabel"/>
        </w:rPr>
        <w:tab/>
      </w:r>
      <w:bookmarkEnd w:id="96"/>
      <w:bookmarkEnd w:id="97"/>
      <w:r w:rsidRPr="00CE1D7F">
        <w:rPr>
          <w:rStyle w:val="CaptionLabel"/>
          <w:b w:val="0"/>
          <w:bCs/>
        </w:rPr>
        <w:t xml:space="preserve">Estimated change in Australian real income from 2002–2046 associated with ARC </w:t>
      </w:r>
      <w:r>
        <w:rPr>
          <w:rStyle w:val="CaptionLabel"/>
          <w:b w:val="0"/>
          <w:bCs/>
        </w:rPr>
        <w:t>grants awarded between</w:t>
      </w:r>
      <w:r w:rsidRPr="00CE1D7F">
        <w:rPr>
          <w:rStyle w:val="CaptionLabel"/>
          <w:b w:val="0"/>
          <w:bCs/>
        </w:rPr>
        <w:t xml:space="preserve"> 2002 </w:t>
      </w:r>
      <w:r>
        <w:rPr>
          <w:rStyle w:val="CaptionLabel"/>
          <w:b w:val="0"/>
          <w:bCs/>
        </w:rPr>
        <w:t xml:space="preserve">and </w:t>
      </w:r>
      <w:r w:rsidRPr="00CE1D7F">
        <w:rPr>
          <w:rStyle w:val="CaptionLabel"/>
          <w:b w:val="0"/>
          <w:bCs/>
        </w:rPr>
        <w:t>202</w:t>
      </w:r>
      <w:r>
        <w:rPr>
          <w:rStyle w:val="CaptionLabel"/>
          <w:b w:val="0"/>
          <w:bCs/>
        </w:rPr>
        <w:t>1</w:t>
      </w:r>
      <w:r w:rsidRPr="00CE1D7F">
        <w:rPr>
          <w:rStyle w:val="CaptionLabel"/>
          <w:b w:val="0"/>
          <w:bCs/>
        </w:rPr>
        <w:t>, relative to the Base Case (2022 dollars)</w:t>
      </w:r>
    </w:p>
    <w:tbl>
      <w:tblPr>
        <w:tblStyle w:val="aacTableFigure"/>
        <w:tblW w:w="0" w:type="auto"/>
        <w:tblBorders>
          <w:top w:val="single" w:sz="4" w:space="0" w:color="000000"/>
          <w:bottom w:val="single" w:sz="4" w:space="0" w:color="000000"/>
        </w:tblBorders>
        <w:tblLayout w:type="fixed"/>
        <w:tblLook w:val="04A0" w:firstRow="1" w:lastRow="0" w:firstColumn="1" w:lastColumn="0" w:noHBand="0" w:noVBand="1"/>
      </w:tblPr>
      <w:tblGrid>
        <w:gridCol w:w="7936"/>
      </w:tblGrid>
      <w:tr w:rsidR="002B32A0" w:rsidRPr="00CE1D7F" w14:paraId="4663FA53" w14:textId="77777777" w:rsidTr="000B0AC7">
        <w:tc>
          <w:tcPr>
            <w:tcW w:w="7936" w:type="dxa"/>
            <w:shd w:val="clear" w:color="auto" w:fill="auto"/>
            <w:hideMark/>
          </w:tcPr>
          <w:p w14:paraId="184912D3" w14:textId="77777777" w:rsidR="002B32A0" w:rsidRPr="00CE1D7F" w:rsidRDefault="002B32A0" w:rsidP="006258ED">
            <w:pPr>
              <w:pStyle w:val="Figure"/>
            </w:pPr>
            <w:r w:rsidRPr="00CE1D7F">
              <w:rPr>
                <w:noProof/>
              </w:rPr>
              <w:drawing>
                <wp:inline distT="0" distB="0" distL="0" distR="0" wp14:anchorId="31EBEE35" wp14:editId="431E2F43">
                  <wp:extent cx="4901565" cy="2091055"/>
                  <wp:effectExtent l="0" t="0" r="0" b="4445"/>
                  <wp:docPr id="50" name="Picture 50" descr="Estimated change in Australian real income from 2002–2046 associated with ARC grants awarded between 2002 and 2021, relative to the Base Case (2022 doll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Estimated change in Australian real income from 2002–2046 associated with ARC grants awarded between 2002 and 2021, relative to the Base Case (2022 dollars)"/>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901565" cy="2091055"/>
                          </a:xfrm>
                          <a:prstGeom prst="rect">
                            <a:avLst/>
                          </a:prstGeom>
                          <a:noFill/>
                        </pic:spPr>
                      </pic:pic>
                    </a:graphicData>
                  </a:graphic>
                </wp:inline>
              </w:drawing>
            </w:r>
          </w:p>
        </w:tc>
      </w:tr>
    </w:tbl>
    <w:p w14:paraId="4BB2991F" w14:textId="77777777" w:rsidR="000B0AC7" w:rsidRPr="00CE1D7F" w:rsidRDefault="000B0AC7" w:rsidP="000B0AC7">
      <w:pPr>
        <w:pStyle w:val="Source"/>
        <w:ind w:left="1308" w:hanging="1308"/>
      </w:pPr>
      <w:r w:rsidRPr="00CE1D7F">
        <w:t>Source: ACIL Allen.</w:t>
      </w:r>
    </w:p>
    <w:p w14:paraId="1DA90BA3" w14:textId="77777777" w:rsidR="000B0AC7" w:rsidRPr="00CE1D7F" w:rsidRDefault="000B0AC7" w:rsidP="006258ED">
      <w:pPr>
        <w:pStyle w:val="spacer"/>
      </w:pPr>
    </w:p>
    <w:p w14:paraId="55E04EDA" w14:textId="77777777" w:rsidR="002B32A0" w:rsidRPr="00CE1D7F" w:rsidRDefault="002B32A0" w:rsidP="002B32A0">
      <w:pPr>
        <w:pStyle w:val="BodyText"/>
      </w:pPr>
      <w:bookmarkStart w:id="98" w:name="_Ref129637332"/>
    </w:p>
    <w:p w14:paraId="193DD5B8" w14:textId="38E14803" w:rsidR="002B32A0" w:rsidRPr="00CE1D7F" w:rsidRDefault="002B32A0" w:rsidP="002B32A0">
      <w:pPr>
        <w:pStyle w:val="Caption"/>
        <w:rPr>
          <w:rStyle w:val="CaptionLabel"/>
          <w:b w:val="0"/>
          <w:bCs/>
        </w:rPr>
      </w:pPr>
      <w:bookmarkStart w:id="99" w:name="_Ref129683645"/>
      <w:bookmarkEnd w:id="98"/>
      <w:r w:rsidRPr="00CE1D7F">
        <w:rPr>
          <w:rStyle w:val="CaptionLabel"/>
        </w:rPr>
        <w:t>Table </w:t>
      </w:r>
      <w:r w:rsidRPr="00CE1D7F">
        <w:rPr>
          <w:rStyle w:val="CaptionLabel"/>
        </w:rPr>
        <w:fldChar w:fldCharType="begin"/>
      </w:r>
      <w:r w:rsidRPr="00CE1D7F">
        <w:rPr>
          <w:rStyle w:val="CaptionLabel"/>
        </w:rPr>
        <w:instrText xml:space="preserve"> STYLEREF 1 \S \* MERGEFORMAT </w:instrText>
      </w:r>
      <w:r w:rsidRPr="00CE1D7F">
        <w:rPr>
          <w:rStyle w:val="CaptionLabel"/>
        </w:rPr>
        <w:fldChar w:fldCharType="separate"/>
      </w:r>
      <w:r w:rsidR="000B0AC7">
        <w:rPr>
          <w:rStyle w:val="CaptionLabel"/>
          <w:noProof/>
        </w:rPr>
        <w:t>2</w:t>
      </w:r>
      <w:r w:rsidRPr="00CE1D7F">
        <w:rPr>
          <w:rStyle w:val="CaptionLabel"/>
        </w:rPr>
        <w:fldChar w:fldCharType="end"/>
      </w:r>
      <w:r w:rsidRPr="00CE1D7F">
        <w:rPr>
          <w:rStyle w:val="CaptionLabel"/>
        </w:rPr>
        <w:t>.</w:t>
      </w:r>
      <w:r w:rsidRPr="00CE1D7F">
        <w:rPr>
          <w:rStyle w:val="CaptionLabel"/>
        </w:rPr>
        <w:fldChar w:fldCharType="begin"/>
      </w:r>
      <w:r w:rsidRPr="00CE1D7F">
        <w:rPr>
          <w:rStyle w:val="CaptionLabel"/>
        </w:rPr>
        <w:instrText xml:space="preserve"> SEQ Table \* ARABIC \S 1 \* MERGEFORMAT </w:instrText>
      </w:r>
      <w:r w:rsidRPr="00CE1D7F">
        <w:rPr>
          <w:rStyle w:val="CaptionLabel"/>
        </w:rPr>
        <w:fldChar w:fldCharType="separate"/>
      </w:r>
      <w:r w:rsidR="000B0AC7">
        <w:rPr>
          <w:rStyle w:val="CaptionLabel"/>
          <w:noProof/>
        </w:rPr>
        <w:t>3</w:t>
      </w:r>
      <w:r w:rsidRPr="00CE1D7F">
        <w:rPr>
          <w:rStyle w:val="CaptionLabel"/>
        </w:rPr>
        <w:fldChar w:fldCharType="end"/>
      </w:r>
      <w:bookmarkEnd w:id="99"/>
      <w:r w:rsidRPr="00CE1D7F">
        <w:rPr>
          <w:rStyle w:val="CaptionLabel"/>
        </w:rPr>
        <w:tab/>
      </w:r>
      <w:r w:rsidRPr="00CE1D7F">
        <w:rPr>
          <w:rStyle w:val="CaptionLabel"/>
          <w:b w:val="0"/>
          <w:bCs/>
        </w:rPr>
        <w:t xml:space="preserve">Estimated change in Australian real income from 2002–2046 associated with ARC </w:t>
      </w:r>
      <w:r>
        <w:rPr>
          <w:rStyle w:val="CaptionLabel"/>
          <w:b w:val="0"/>
          <w:bCs/>
        </w:rPr>
        <w:t>grants awarded between</w:t>
      </w:r>
      <w:r w:rsidRPr="00CE1D7F">
        <w:rPr>
          <w:rStyle w:val="CaptionLabel"/>
          <w:b w:val="0"/>
          <w:bCs/>
        </w:rPr>
        <w:t xml:space="preserve"> 2002 </w:t>
      </w:r>
      <w:r>
        <w:rPr>
          <w:rStyle w:val="CaptionLabel"/>
          <w:b w:val="0"/>
          <w:bCs/>
        </w:rPr>
        <w:t xml:space="preserve">and </w:t>
      </w:r>
      <w:r w:rsidRPr="00CE1D7F">
        <w:rPr>
          <w:rStyle w:val="CaptionLabel"/>
          <w:b w:val="0"/>
          <w:bCs/>
        </w:rPr>
        <w:t>202</w:t>
      </w:r>
      <w:r>
        <w:rPr>
          <w:rStyle w:val="CaptionLabel"/>
          <w:b w:val="0"/>
          <w:bCs/>
        </w:rPr>
        <w:t xml:space="preserve">1 </w:t>
      </w:r>
      <w:r w:rsidRPr="00CE1D7F">
        <w:rPr>
          <w:rStyle w:val="CaptionLabel"/>
          <w:b w:val="0"/>
          <w:bCs/>
        </w:rPr>
        <w:t>(relative to the Base Case, 2022 A$m)</w:t>
      </w:r>
    </w:p>
    <w:tbl>
      <w:tblPr>
        <w:tblW w:w="8385" w:type="dxa"/>
        <w:tblInd w:w="-454" w:type="dxa"/>
        <w:tblBorders>
          <w:bottom w:val="single" w:sz="4" w:space="0" w:color="646464"/>
          <w:insideH w:val="single" w:sz="4" w:space="0" w:color="646464"/>
        </w:tblBorders>
        <w:tblLayout w:type="fixed"/>
        <w:tblCellMar>
          <w:left w:w="0" w:type="dxa"/>
          <w:bottom w:w="40" w:type="dxa"/>
          <w:right w:w="0" w:type="dxa"/>
        </w:tblCellMar>
        <w:tblLook w:val="04A0" w:firstRow="1" w:lastRow="0" w:firstColumn="1" w:lastColumn="0" w:noHBand="0" w:noVBand="1"/>
        <w:tblCaption w:val="Table 2.3"/>
        <w:tblDescription w:val="Estimated change in Australian real income from 2002–2046 associated with ARC grants awarded between 2002 and 2021 (relative to the Base Case, 2022 A$m)"/>
      </w:tblPr>
      <w:tblGrid>
        <w:gridCol w:w="455"/>
        <w:gridCol w:w="3400"/>
        <w:gridCol w:w="992"/>
        <w:gridCol w:w="1133"/>
        <w:gridCol w:w="801"/>
        <w:gridCol w:w="801"/>
        <w:gridCol w:w="803"/>
      </w:tblGrid>
      <w:tr w:rsidR="002B32A0" w:rsidRPr="00CE1D7F" w14:paraId="19C89DC3" w14:textId="77777777" w:rsidTr="006258ED">
        <w:trPr>
          <w:tblHeader/>
        </w:trPr>
        <w:tc>
          <w:tcPr>
            <w:tcW w:w="3855" w:type="dxa"/>
            <w:gridSpan w:val="2"/>
            <w:tcBorders>
              <w:top w:val="nil"/>
              <w:left w:val="nil"/>
              <w:bottom w:val="nil"/>
              <w:right w:val="nil"/>
            </w:tcBorders>
            <w:shd w:val="clear" w:color="auto" w:fill="140034"/>
            <w:tcMar>
              <w:top w:w="0" w:type="dxa"/>
              <w:left w:w="454" w:type="dxa"/>
              <w:bottom w:w="40" w:type="dxa"/>
              <w:right w:w="0" w:type="dxa"/>
            </w:tcMar>
          </w:tcPr>
          <w:p w14:paraId="743CA31F" w14:textId="77777777" w:rsidR="002B32A0" w:rsidRPr="00CE1D7F" w:rsidRDefault="002B32A0" w:rsidP="006258ED">
            <w:pPr>
              <w:pStyle w:val="Tabletext"/>
              <w:keepNext/>
              <w:keepLines/>
              <w:rPr>
                <w:color w:val="FFFFFF" w:themeColor="background1"/>
              </w:rPr>
            </w:pPr>
          </w:p>
        </w:tc>
        <w:tc>
          <w:tcPr>
            <w:tcW w:w="992" w:type="dxa"/>
            <w:vMerge w:val="restart"/>
            <w:tcBorders>
              <w:top w:val="nil"/>
              <w:left w:val="nil"/>
              <w:bottom w:val="nil"/>
              <w:right w:val="nil"/>
            </w:tcBorders>
            <w:shd w:val="clear" w:color="auto" w:fill="140034"/>
            <w:hideMark/>
          </w:tcPr>
          <w:p w14:paraId="554ACDB4" w14:textId="77777777" w:rsidR="002B32A0" w:rsidRPr="00CE1D7F" w:rsidRDefault="002B32A0" w:rsidP="006258ED">
            <w:pPr>
              <w:pStyle w:val="Tabletext"/>
              <w:keepNext/>
              <w:keepLines/>
              <w:jc w:val="center"/>
              <w:rPr>
                <w:b/>
                <w:bCs/>
                <w:color w:val="FFFFFF" w:themeColor="background1"/>
              </w:rPr>
            </w:pPr>
            <w:r w:rsidRPr="00CE1D7F">
              <w:rPr>
                <w:b/>
                <w:bCs/>
                <w:color w:val="FFFFFF" w:themeColor="background1"/>
              </w:rPr>
              <w:t>Annual average</w:t>
            </w:r>
          </w:p>
        </w:tc>
        <w:tc>
          <w:tcPr>
            <w:tcW w:w="1133" w:type="dxa"/>
            <w:vMerge w:val="restart"/>
            <w:tcBorders>
              <w:top w:val="nil"/>
              <w:left w:val="nil"/>
              <w:bottom w:val="nil"/>
              <w:right w:val="nil"/>
            </w:tcBorders>
            <w:shd w:val="clear" w:color="auto" w:fill="140034"/>
            <w:hideMark/>
          </w:tcPr>
          <w:p w14:paraId="31C24C88" w14:textId="77777777" w:rsidR="002B32A0" w:rsidRPr="00CE1D7F" w:rsidRDefault="002B32A0" w:rsidP="006258ED">
            <w:pPr>
              <w:pStyle w:val="Tabletext"/>
              <w:keepNext/>
              <w:keepLines/>
              <w:jc w:val="center"/>
              <w:rPr>
                <w:b/>
                <w:bCs/>
                <w:color w:val="FFFFFF" w:themeColor="background1"/>
              </w:rPr>
            </w:pPr>
            <w:r w:rsidRPr="00CE1D7F">
              <w:rPr>
                <w:b/>
                <w:bCs/>
                <w:color w:val="FFFFFF" w:themeColor="background1"/>
              </w:rPr>
              <w:t xml:space="preserve">Total </w:t>
            </w:r>
            <w:r w:rsidRPr="00CE1D7F">
              <w:rPr>
                <w:b/>
                <w:bCs/>
                <w:color w:val="FFFFFF" w:themeColor="background1"/>
              </w:rPr>
              <w:br/>
              <w:t>(2002-2046)</w:t>
            </w:r>
          </w:p>
        </w:tc>
        <w:tc>
          <w:tcPr>
            <w:tcW w:w="2405" w:type="dxa"/>
            <w:gridSpan w:val="3"/>
            <w:tcBorders>
              <w:top w:val="nil"/>
              <w:left w:val="nil"/>
              <w:bottom w:val="nil"/>
              <w:right w:val="single" w:sz="6" w:space="0" w:color="140034"/>
            </w:tcBorders>
            <w:shd w:val="clear" w:color="auto" w:fill="140034"/>
            <w:hideMark/>
          </w:tcPr>
          <w:p w14:paraId="05FEC498" w14:textId="77777777" w:rsidR="002B32A0" w:rsidRPr="00CE1D7F" w:rsidRDefault="002B32A0" w:rsidP="006258ED">
            <w:pPr>
              <w:pStyle w:val="Tabletext"/>
              <w:keepNext/>
              <w:keepLines/>
              <w:jc w:val="center"/>
              <w:rPr>
                <w:b/>
                <w:bCs/>
                <w:color w:val="FFFFFF" w:themeColor="background1"/>
              </w:rPr>
            </w:pPr>
            <w:r w:rsidRPr="00CE1D7F">
              <w:rPr>
                <w:b/>
                <w:bCs/>
                <w:color w:val="FFFFFF" w:themeColor="background1"/>
              </w:rPr>
              <w:t>Net Present Value</w:t>
            </w:r>
          </w:p>
        </w:tc>
      </w:tr>
      <w:tr w:rsidR="002B32A0" w:rsidRPr="00CE1D7F" w14:paraId="7C78C762" w14:textId="77777777" w:rsidTr="006258ED">
        <w:trPr>
          <w:tblHeader/>
        </w:trPr>
        <w:tc>
          <w:tcPr>
            <w:tcW w:w="3855" w:type="dxa"/>
            <w:gridSpan w:val="2"/>
            <w:tcBorders>
              <w:top w:val="nil"/>
              <w:left w:val="nil"/>
              <w:bottom w:val="nil"/>
              <w:right w:val="nil"/>
            </w:tcBorders>
            <w:shd w:val="clear" w:color="auto" w:fill="140034"/>
            <w:tcMar>
              <w:top w:w="0" w:type="dxa"/>
              <w:left w:w="454" w:type="dxa"/>
              <w:bottom w:w="40" w:type="dxa"/>
              <w:right w:w="0" w:type="dxa"/>
            </w:tcMar>
          </w:tcPr>
          <w:p w14:paraId="40591190" w14:textId="77777777" w:rsidR="002B32A0" w:rsidRPr="00CE1D7F" w:rsidRDefault="002B32A0" w:rsidP="006258ED">
            <w:pPr>
              <w:pStyle w:val="Tabletext"/>
              <w:keepNext/>
              <w:keepLines/>
              <w:rPr>
                <w:color w:val="FFFFFF" w:themeColor="background1"/>
              </w:rPr>
            </w:pPr>
          </w:p>
        </w:tc>
        <w:tc>
          <w:tcPr>
            <w:tcW w:w="992" w:type="dxa"/>
            <w:vMerge/>
            <w:tcBorders>
              <w:top w:val="nil"/>
              <w:left w:val="nil"/>
              <w:bottom w:val="nil"/>
              <w:right w:val="nil"/>
            </w:tcBorders>
            <w:vAlign w:val="center"/>
            <w:hideMark/>
          </w:tcPr>
          <w:p w14:paraId="3403A558" w14:textId="77777777" w:rsidR="002B32A0" w:rsidRPr="00CE1D7F" w:rsidRDefault="002B32A0" w:rsidP="006258ED">
            <w:pPr>
              <w:keepNext/>
              <w:keepLines/>
              <w:spacing w:before="0" w:after="0" w:line="256" w:lineRule="auto"/>
              <w:rPr>
                <w:b/>
                <w:bCs/>
                <w:color w:val="FFFFFF" w:themeColor="background1"/>
                <w:sz w:val="20"/>
              </w:rPr>
            </w:pPr>
          </w:p>
        </w:tc>
        <w:tc>
          <w:tcPr>
            <w:tcW w:w="1133" w:type="dxa"/>
            <w:vMerge/>
            <w:tcBorders>
              <w:top w:val="nil"/>
              <w:left w:val="nil"/>
              <w:bottom w:val="nil"/>
              <w:right w:val="nil"/>
            </w:tcBorders>
            <w:vAlign w:val="center"/>
            <w:hideMark/>
          </w:tcPr>
          <w:p w14:paraId="0AEAE741" w14:textId="77777777" w:rsidR="002B32A0" w:rsidRPr="00CE1D7F" w:rsidRDefault="002B32A0" w:rsidP="006258ED">
            <w:pPr>
              <w:keepNext/>
              <w:keepLines/>
              <w:spacing w:before="0" w:after="0" w:line="256" w:lineRule="auto"/>
              <w:rPr>
                <w:b/>
                <w:bCs/>
                <w:color w:val="FFFFFF" w:themeColor="background1"/>
                <w:sz w:val="20"/>
              </w:rPr>
            </w:pPr>
          </w:p>
        </w:tc>
        <w:tc>
          <w:tcPr>
            <w:tcW w:w="801" w:type="dxa"/>
            <w:tcBorders>
              <w:top w:val="nil"/>
              <w:left w:val="nil"/>
              <w:bottom w:val="nil"/>
              <w:right w:val="nil"/>
            </w:tcBorders>
            <w:shd w:val="clear" w:color="auto" w:fill="140034"/>
            <w:hideMark/>
          </w:tcPr>
          <w:p w14:paraId="70B66A9F" w14:textId="77777777" w:rsidR="002B32A0" w:rsidRPr="00CE1D7F" w:rsidRDefault="002B32A0" w:rsidP="006258ED">
            <w:pPr>
              <w:pStyle w:val="Tabletext"/>
              <w:keepNext/>
              <w:keepLines/>
              <w:jc w:val="center"/>
              <w:rPr>
                <w:b/>
                <w:bCs/>
                <w:color w:val="FFFFFF" w:themeColor="background1"/>
              </w:rPr>
            </w:pPr>
            <w:r w:rsidRPr="00CE1D7F">
              <w:rPr>
                <w:b/>
                <w:bCs/>
                <w:color w:val="FFFFFF" w:themeColor="background1"/>
              </w:rPr>
              <w:t>3%</w:t>
            </w:r>
          </w:p>
        </w:tc>
        <w:tc>
          <w:tcPr>
            <w:tcW w:w="801" w:type="dxa"/>
            <w:tcBorders>
              <w:top w:val="nil"/>
              <w:left w:val="nil"/>
              <w:bottom w:val="nil"/>
              <w:right w:val="nil"/>
            </w:tcBorders>
            <w:shd w:val="clear" w:color="auto" w:fill="140034"/>
            <w:hideMark/>
          </w:tcPr>
          <w:p w14:paraId="212556F1" w14:textId="77777777" w:rsidR="002B32A0" w:rsidRPr="00CE1D7F" w:rsidRDefault="002B32A0" w:rsidP="006258ED">
            <w:pPr>
              <w:pStyle w:val="Tabletext"/>
              <w:keepNext/>
              <w:keepLines/>
              <w:jc w:val="center"/>
              <w:rPr>
                <w:b/>
                <w:bCs/>
                <w:color w:val="FFFFFF" w:themeColor="background1"/>
              </w:rPr>
            </w:pPr>
            <w:r w:rsidRPr="00CE1D7F">
              <w:rPr>
                <w:b/>
                <w:bCs/>
                <w:color w:val="FFFFFF" w:themeColor="background1"/>
              </w:rPr>
              <w:t>7%</w:t>
            </w:r>
          </w:p>
        </w:tc>
        <w:tc>
          <w:tcPr>
            <w:tcW w:w="803" w:type="dxa"/>
            <w:tcBorders>
              <w:top w:val="nil"/>
              <w:left w:val="nil"/>
              <w:bottom w:val="nil"/>
              <w:right w:val="single" w:sz="6" w:space="0" w:color="140034"/>
            </w:tcBorders>
            <w:shd w:val="clear" w:color="auto" w:fill="140034"/>
            <w:hideMark/>
          </w:tcPr>
          <w:p w14:paraId="308514B9" w14:textId="77777777" w:rsidR="002B32A0" w:rsidRPr="00CE1D7F" w:rsidRDefault="002B32A0" w:rsidP="006258ED">
            <w:pPr>
              <w:pStyle w:val="Tabletext"/>
              <w:keepNext/>
              <w:keepLines/>
              <w:jc w:val="center"/>
              <w:rPr>
                <w:b/>
                <w:bCs/>
                <w:color w:val="FFFFFF" w:themeColor="background1"/>
              </w:rPr>
            </w:pPr>
            <w:r w:rsidRPr="00CE1D7F">
              <w:rPr>
                <w:b/>
                <w:bCs/>
                <w:color w:val="FFFFFF" w:themeColor="background1"/>
              </w:rPr>
              <w:t>10%</w:t>
            </w:r>
          </w:p>
        </w:tc>
      </w:tr>
      <w:tr w:rsidR="002B32A0" w:rsidRPr="00CE1D7F" w14:paraId="4CD09B71" w14:textId="77777777" w:rsidTr="006258ED">
        <w:trPr>
          <w:gridBefore w:val="1"/>
          <w:wBefore w:w="455" w:type="dxa"/>
        </w:trPr>
        <w:tc>
          <w:tcPr>
            <w:tcW w:w="3400" w:type="dxa"/>
            <w:tcBorders>
              <w:top w:val="single" w:sz="4" w:space="0" w:color="646464"/>
              <w:left w:val="nil"/>
              <w:bottom w:val="single" w:sz="4" w:space="0" w:color="646464"/>
              <w:right w:val="nil"/>
            </w:tcBorders>
            <w:hideMark/>
          </w:tcPr>
          <w:p w14:paraId="4085F410" w14:textId="77777777" w:rsidR="002B32A0" w:rsidRPr="00CE1D7F" w:rsidRDefault="002B32A0" w:rsidP="006258ED">
            <w:pPr>
              <w:pStyle w:val="Tabletext"/>
              <w:keepNext/>
              <w:keepLines/>
            </w:pPr>
            <w:r w:rsidRPr="00CE1D7F">
              <w:t>Real income</w:t>
            </w:r>
          </w:p>
        </w:tc>
        <w:tc>
          <w:tcPr>
            <w:tcW w:w="992" w:type="dxa"/>
            <w:tcBorders>
              <w:top w:val="single" w:sz="4" w:space="0" w:color="646464"/>
              <w:left w:val="nil"/>
              <w:bottom w:val="single" w:sz="4" w:space="0" w:color="646464"/>
              <w:right w:val="nil"/>
            </w:tcBorders>
            <w:hideMark/>
          </w:tcPr>
          <w:p w14:paraId="6DF0CE38" w14:textId="77777777" w:rsidR="002B32A0" w:rsidRPr="00CE1D7F" w:rsidRDefault="002B32A0" w:rsidP="006258ED">
            <w:pPr>
              <w:pStyle w:val="Tabletext"/>
              <w:keepNext/>
              <w:keepLines/>
              <w:jc w:val="center"/>
            </w:pPr>
            <w:r w:rsidRPr="00CE1D7F">
              <w:t xml:space="preserve"> 3,390 </w:t>
            </w:r>
          </w:p>
        </w:tc>
        <w:tc>
          <w:tcPr>
            <w:tcW w:w="1133" w:type="dxa"/>
            <w:tcBorders>
              <w:top w:val="single" w:sz="4" w:space="0" w:color="646464"/>
              <w:left w:val="nil"/>
              <w:bottom w:val="single" w:sz="4" w:space="0" w:color="646464"/>
              <w:right w:val="nil"/>
            </w:tcBorders>
            <w:hideMark/>
          </w:tcPr>
          <w:p w14:paraId="4A243454" w14:textId="77777777" w:rsidR="002B32A0" w:rsidRPr="00CE1D7F" w:rsidRDefault="002B32A0" w:rsidP="006258ED">
            <w:pPr>
              <w:pStyle w:val="Tabletext"/>
              <w:keepNext/>
              <w:keepLines/>
              <w:jc w:val="center"/>
            </w:pPr>
            <w:r w:rsidRPr="00CE1D7F">
              <w:t xml:space="preserve"> 152,528 </w:t>
            </w:r>
          </w:p>
        </w:tc>
        <w:tc>
          <w:tcPr>
            <w:tcW w:w="801" w:type="dxa"/>
            <w:tcBorders>
              <w:top w:val="single" w:sz="4" w:space="0" w:color="646464"/>
              <w:left w:val="nil"/>
              <w:bottom w:val="single" w:sz="4" w:space="0" w:color="646464"/>
              <w:right w:val="nil"/>
            </w:tcBorders>
            <w:hideMark/>
          </w:tcPr>
          <w:p w14:paraId="69F84943" w14:textId="77777777" w:rsidR="002B32A0" w:rsidRPr="00CE1D7F" w:rsidRDefault="002B32A0" w:rsidP="006258ED">
            <w:pPr>
              <w:pStyle w:val="Tabletext"/>
              <w:keepNext/>
              <w:keepLines/>
              <w:jc w:val="center"/>
            </w:pPr>
            <w:r w:rsidRPr="00CE1D7F">
              <w:t xml:space="preserve"> 73,237 </w:t>
            </w:r>
          </w:p>
        </w:tc>
        <w:tc>
          <w:tcPr>
            <w:tcW w:w="801" w:type="dxa"/>
            <w:tcBorders>
              <w:top w:val="single" w:sz="4" w:space="0" w:color="646464"/>
              <w:left w:val="nil"/>
              <w:bottom w:val="single" w:sz="4" w:space="0" w:color="646464"/>
              <w:right w:val="nil"/>
            </w:tcBorders>
            <w:hideMark/>
          </w:tcPr>
          <w:p w14:paraId="751F8BDE" w14:textId="77777777" w:rsidR="002B32A0" w:rsidRPr="00CE1D7F" w:rsidRDefault="002B32A0" w:rsidP="006258ED">
            <w:pPr>
              <w:pStyle w:val="Tabletext"/>
              <w:keepNext/>
              <w:keepLines/>
              <w:jc w:val="center"/>
            </w:pPr>
            <w:r w:rsidRPr="00CE1D7F">
              <w:t xml:space="preserve"> 30,327 </w:t>
            </w:r>
          </w:p>
        </w:tc>
        <w:tc>
          <w:tcPr>
            <w:tcW w:w="803" w:type="dxa"/>
            <w:tcBorders>
              <w:top w:val="single" w:sz="4" w:space="0" w:color="646464"/>
              <w:left w:val="nil"/>
              <w:bottom w:val="single" w:sz="4" w:space="0" w:color="646464"/>
              <w:right w:val="nil"/>
            </w:tcBorders>
            <w:hideMark/>
          </w:tcPr>
          <w:p w14:paraId="5645BF81" w14:textId="77777777" w:rsidR="002B32A0" w:rsidRPr="00CE1D7F" w:rsidRDefault="002B32A0" w:rsidP="006258ED">
            <w:pPr>
              <w:pStyle w:val="Tabletext"/>
              <w:keepNext/>
              <w:keepLines/>
              <w:jc w:val="center"/>
            </w:pPr>
            <w:r w:rsidRPr="00CE1D7F">
              <w:t xml:space="preserve"> 16,729 </w:t>
            </w:r>
          </w:p>
        </w:tc>
      </w:tr>
      <w:tr w:rsidR="002B32A0" w:rsidRPr="00CE1D7F" w14:paraId="33262854" w14:textId="77777777" w:rsidTr="006258ED">
        <w:trPr>
          <w:gridBefore w:val="1"/>
          <w:wBefore w:w="455" w:type="dxa"/>
        </w:trPr>
        <w:tc>
          <w:tcPr>
            <w:tcW w:w="3400" w:type="dxa"/>
            <w:tcBorders>
              <w:top w:val="single" w:sz="4" w:space="0" w:color="646464"/>
              <w:left w:val="nil"/>
              <w:bottom w:val="single" w:sz="4" w:space="0" w:color="646464"/>
              <w:right w:val="nil"/>
            </w:tcBorders>
            <w:hideMark/>
          </w:tcPr>
          <w:p w14:paraId="79E8273F" w14:textId="77777777" w:rsidR="002B32A0" w:rsidRPr="00CE1D7F" w:rsidRDefault="002B32A0" w:rsidP="006258ED">
            <w:pPr>
              <w:pStyle w:val="Tabletext"/>
              <w:keepNext/>
              <w:keepLines/>
            </w:pPr>
            <w:r w:rsidRPr="00CE1D7F">
              <w:t>Australian Government funding to the ARC</w:t>
            </w:r>
          </w:p>
        </w:tc>
        <w:tc>
          <w:tcPr>
            <w:tcW w:w="992" w:type="dxa"/>
            <w:tcBorders>
              <w:top w:val="single" w:sz="4" w:space="0" w:color="646464"/>
              <w:left w:val="nil"/>
              <w:bottom w:val="single" w:sz="4" w:space="0" w:color="646464"/>
              <w:right w:val="nil"/>
            </w:tcBorders>
            <w:hideMark/>
          </w:tcPr>
          <w:p w14:paraId="5A369CFD" w14:textId="77777777" w:rsidR="002B32A0" w:rsidRPr="00CE1D7F" w:rsidRDefault="002B32A0" w:rsidP="006258ED">
            <w:pPr>
              <w:pStyle w:val="Tabletext"/>
              <w:keepNext/>
              <w:keepLines/>
              <w:jc w:val="center"/>
            </w:pPr>
            <w:r w:rsidRPr="00CE1D7F">
              <w:t>706</w:t>
            </w:r>
            <w:r w:rsidRPr="00CE1D7F">
              <w:rPr>
                <w:vertAlign w:val="superscript"/>
              </w:rPr>
              <w:t>a</w:t>
            </w:r>
          </w:p>
        </w:tc>
        <w:tc>
          <w:tcPr>
            <w:tcW w:w="1133" w:type="dxa"/>
            <w:tcBorders>
              <w:top w:val="single" w:sz="4" w:space="0" w:color="646464"/>
              <w:left w:val="nil"/>
              <w:bottom w:val="single" w:sz="4" w:space="0" w:color="646464"/>
              <w:right w:val="nil"/>
            </w:tcBorders>
            <w:hideMark/>
          </w:tcPr>
          <w:p w14:paraId="7C316E8C" w14:textId="77777777" w:rsidR="002B32A0" w:rsidRPr="00CE1D7F" w:rsidRDefault="002B32A0" w:rsidP="006258ED">
            <w:pPr>
              <w:pStyle w:val="Tabletext"/>
              <w:keepNext/>
              <w:keepLines/>
              <w:jc w:val="center"/>
            </w:pPr>
            <w:r w:rsidRPr="00CE1D7F">
              <w:t>17,645</w:t>
            </w:r>
            <w:r w:rsidRPr="00CE1D7F">
              <w:rPr>
                <w:vertAlign w:val="superscript"/>
              </w:rPr>
              <w:t>b</w:t>
            </w:r>
          </w:p>
        </w:tc>
        <w:tc>
          <w:tcPr>
            <w:tcW w:w="801" w:type="dxa"/>
            <w:tcBorders>
              <w:top w:val="single" w:sz="4" w:space="0" w:color="646464"/>
              <w:left w:val="nil"/>
              <w:bottom w:val="single" w:sz="4" w:space="0" w:color="646464"/>
              <w:right w:val="nil"/>
            </w:tcBorders>
            <w:hideMark/>
          </w:tcPr>
          <w:p w14:paraId="0F6AEC7F" w14:textId="77777777" w:rsidR="002B32A0" w:rsidRPr="00CE1D7F" w:rsidRDefault="002B32A0" w:rsidP="006258ED">
            <w:pPr>
              <w:pStyle w:val="Tabletext"/>
              <w:keepNext/>
              <w:keepLines/>
              <w:jc w:val="center"/>
            </w:pPr>
            <w:r w:rsidRPr="00CE1D7F">
              <w:t xml:space="preserve"> 13,581 </w:t>
            </w:r>
          </w:p>
        </w:tc>
        <w:tc>
          <w:tcPr>
            <w:tcW w:w="801" w:type="dxa"/>
            <w:tcBorders>
              <w:top w:val="single" w:sz="4" w:space="0" w:color="646464"/>
              <w:left w:val="nil"/>
              <w:bottom w:val="single" w:sz="4" w:space="0" w:color="646464"/>
              <w:right w:val="nil"/>
            </w:tcBorders>
            <w:hideMark/>
          </w:tcPr>
          <w:p w14:paraId="13FF6C87" w14:textId="77777777" w:rsidR="002B32A0" w:rsidRPr="00CE1D7F" w:rsidRDefault="002B32A0" w:rsidP="006258ED">
            <w:pPr>
              <w:pStyle w:val="Tabletext"/>
              <w:keepNext/>
              <w:keepLines/>
              <w:jc w:val="center"/>
            </w:pPr>
            <w:r w:rsidRPr="00CE1D7F">
              <w:t xml:space="preserve"> 10,097 </w:t>
            </w:r>
          </w:p>
        </w:tc>
        <w:tc>
          <w:tcPr>
            <w:tcW w:w="803" w:type="dxa"/>
            <w:tcBorders>
              <w:top w:val="single" w:sz="4" w:space="0" w:color="646464"/>
              <w:left w:val="nil"/>
              <w:bottom w:val="single" w:sz="4" w:space="0" w:color="646464"/>
              <w:right w:val="nil"/>
            </w:tcBorders>
            <w:hideMark/>
          </w:tcPr>
          <w:p w14:paraId="48F326D9" w14:textId="77777777" w:rsidR="002B32A0" w:rsidRPr="00CE1D7F" w:rsidRDefault="002B32A0" w:rsidP="006258ED">
            <w:pPr>
              <w:pStyle w:val="Tabletext"/>
              <w:keepNext/>
              <w:keepLines/>
              <w:jc w:val="center"/>
            </w:pPr>
            <w:r w:rsidRPr="00CE1D7F">
              <w:t xml:space="preserve"> 8,367 </w:t>
            </w:r>
          </w:p>
        </w:tc>
      </w:tr>
      <w:tr w:rsidR="002B32A0" w:rsidRPr="00CE1D7F" w14:paraId="344DBDFA" w14:textId="77777777" w:rsidTr="002C4022">
        <w:trPr>
          <w:gridBefore w:val="1"/>
          <w:wBefore w:w="455" w:type="dxa"/>
        </w:trPr>
        <w:tc>
          <w:tcPr>
            <w:tcW w:w="3400" w:type="dxa"/>
            <w:tcBorders>
              <w:top w:val="single" w:sz="4" w:space="0" w:color="646464"/>
              <w:left w:val="nil"/>
              <w:bottom w:val="single" w:sz="4" w:space="0" w:color="646464"/>
              <w:right w:val="nil"/>
            </w:tcBorders>
            <w:shd w:val="clear" w:color="auto" w:fill="EBE6F2" w:themeFill="accent1" w:themeFillTint="33"/>
            <w:hideMark/>
          </w:tcPr>
          <w:p w14:paraId="59E5DBA8" w14:textId="77777777" w:rsidR="002B32A0" w:rsidRPr="00CE1D7F" w:rsidRDefault="002B32A0" w:rsidP="006258ED">
            <w:pPr>
              <w:pStyle w:val="Tabletext"/>
              <w:keepNext/>
              <w:keepLines/>
            </w:pPr>
            <w:r w:rsidRPr="00CE1D7F">
              <w:t xml:space="preserve">Ratio of increase in income to </w:t>
            </w:r>
            <w:r>
              <w:t>government</w:t>
            </w:r>
            <w:r w:rsidRPr="00CE1D7F">
              <w:t xml:space="preserve"> funding</w:t>
            </w:r>
          </w:p>
        </w:tc>
        <w:tc>
          <w:tcPr>
            <w:tcW w:w="992" w:type="dxa"/>
            <w:tcBorders>
              <w:top w:val="single" w:sz="4" w:space="0" w:color="646464"/>
              <w:left w:val="nil"/>
              <w:bottom w:val="single" w:sz="4" w:space="0" w:color="646464"/>
              <w:right w:val="nil"/>
            </w:tcBorders>
            <w:shd w:val="clear" w:color="auto" w:fill="EBE6F2" w:themeFill="accent1" w:themeFillTint="33"/>
            <w:vAlign w:val="center"/>
            <w:hideMark/>
          </w:tcPr>
          <w:p w14:paraId="62289E43" w14:textId="670C20D8" w:rsidR="002B32A0" w:rsidRPr="00CE1D7F" w:rsidRDefault="002B32A0" w:rsidP="002C4022">
            <w:pPr>
              <w:pStyle w:val="Tabletext"/>
              <w:keepNext/>
              <w:keepLines/>
              <w:jc w:val="center"/>
            </w:pPr>
            <w:r w:rsidRPr="00CE1D7F">
              <w:t>4.80</w:t>
            </w:r>
          </w:p>
        </w:tc>
        <w:tc>
          <w:tcPr>
            <w:tcW w:w="1133" w:type="dxa"/>
            <w:tcBorders>
              <w:top w:val="single" w:sz="4" w:space="0" w:color="646464"/>
              <w:left w:val="nil"/>
              <w:bottom w:val="single" w:sz="4" w:space="0" w:color="646464"/>
              <w:right w:val="nil"/>
            </w:tcBorders>
            <w:shd w:val="clear" w:color="auto" w:fill="EBE6F2" w:themeFill="accent1" w:themeFillTint="33"/>
            <w:vAlign w:val="center"/>
            <w:hideMark/>
          </w:tcPr>
          <w:p w14:paraId="4B4C4F33" w14:textId="7233C43B" w:rsidR="002B32A0" w:rsidRPr="00CE1D7F" w:rsidRDefault="002B32A0" w:rsidP="002C4022">
            <w:pPr>
              <w:pStyle w:val="Tabletext"/>
              <w:keepNext/>
              <w:keepLines/>
              <w:jc w:val="center"/>
            </w:pPr>
            <w:r w:rsidRPr="00CE1D7F">
              <w:t>8.64</w:t>
            </w:r>
          </w:p>
        </w:tc>
        <w:tc>
          <w:tcPr>
            <w:tcW w:w="801" w:type="dxa"/>
            <w:tcBorders>
              <w:top w:val="single" w:sz="4" w:space="0" w:color="646464"/>
              <w:left w:val="nil"/>
              <w:bottom w:val="single" w:sz="4" w:space="0" w:color="646464"/>
              <w:right w:val="nil"/>
            </w:tcBorders>
            <w:shd w:val="clear" w:color="auto" w:fill="EBE6F2" w:themeFill="accent1" w:themeFillTint="33"/>
            <w:vAlign w:val="center"/>
            <w:hideMark/>
          </w:tcPr>
          <w:p w14:paraId="49872FB8" w14:textId="4E8DDB94" w:rsidR="002B32A0" w:rsidRPr="00CE1D7F" w:rsidRDefault="002B32A0" w:rsidP="002C4022">
            <w:pPr>
              <w:pStyle w:val="Tabletext"/>
              <w:keepNext/>
              <w:keepLines/>
              <w:jc w:val="center"/>
            </w:pPr>
            <w:r w:rsidRPr="00CE1D7F">
              <w:t>5.39</w:t>
            </w:r>
          </w:p>
        </w:tc>
        <w:tc>
          <w:tcPr>
            <w:tcW w:w="801" w:type="dxa"/>
            <w:tcBorders>
              <w:top w:val="single" w:sz="4" w:space="0" w:color="646464"/>
              <w:left w:val="nil"/>
              <w:bottom w:val="single" w:sz="4" w:space="0" w:color="646464"/>
              <w:right w:val="nil"/>
            </w:tcBorders>
            <w:shd w:val="clear" w:color="auto" w:fill="6C3F99" w:themeFill="text2"/>
            <w:vAlign w:val="center"/>
            <w:hideMark/>
          </w:tcPr>
          <w:p w14:paraId="623E77AA" w14:textId="78C0956A" w:rsidR="002B32A0" w:rsidRPr="00CE1D7F" w:rsidRDefault="002B32A0" w:rsidP="002C4022">
            <w:pPr>
              <w:pStyle w:val="Tabletext"/>
              <w:keepNext/>
              <w:keepLines/>
              <w:jc w:val="center"/>
              <w:rPr>
                <w:b/>
                <w:bCs/>
              </w:rPr>
            </w:pPr>
            <w:r w:rsidRPr="00CE1D7F">
              <w:rPr>
                <w:b/>
                <w:bCs/>
                <w:color w:val="FFFFFF" w:themeColor="background1"/>
              </w:rPr>
              <w:t>3.00</w:t>
            </w:r>
          </w:p>
        </w:tc>
        <w:tc>
          <w:tcPr>
            <w:tcW w:w="803" w:type="dxa"/>
            <w:tcBorders>
              <w:top w:val="single" w:sz="4" w:space="0" w:color="646464"/>
              <w:left w:val="nil"/>
              <w:bottom w:val="single" w:sz="4" w:space="0" w:color="646464"/>
              <w:right w:val="nil"/>
            </w:tcBorders>
            <w:shd w:val="clear" w:color="auto" w:fill="EBE6F2" w:themeFill="accent1" w:themeFillTint="33"/>
            <w:vAlign w:val="center"/>
            <w:hideMark/>
          </w:tcPr>
          <w:p w14:paraId="11819C16" w14:textId="65E114DE" w:rsidR="002B32A0" w:rsidRPr="00CE1D7F" w:rsidRDefault="002B32A0" w:rsidP="002C4022">
            <w:pPr>
              <w:pStyle w:val="Tabletext"/>
              <w:keepNext/>
              <w:keepLines/>
              <w:jc w:val="center"/>
            </w:pPr>
            <w:r w:rsidRPr="00CE1D7F">
              <w:t>2.00</w:t>
            </w:r>
          </w:p>
        </w:tc>
      </w:tr>
      <w:tr w:rsidR="002B32A0" w:rsidRPr="00CE1D7F" w14:paraId="2C30B707" w14:textId="77777777" w:rsidTr="006258ED">
        <w:trPr>
          <w:gridBefore w:val="1"/>
          <w:wBefore w:w="455" w:type="dxa"/>
        </w:trPr>
        <w:tc>
          <w:tcPr>
            <w:tcW w:w="7930" w:type="dxa"/>
            <w:gridSpan w:val="6"/>
            <w:tcBorders>
              <w:top w:val="single" w:sz="4" w:space="0" w:color="646464"/>
              <w:left w:val="nil"/>
              <w:bottom w:val="single" w:sz="4" w:space="0" w:color="646464"/>
              <w:right w:val="nil"/>
            </w:tcBorders>
            <w:hideMark/>
          </w:tcPr>
          <w:p w14:paraId="257DEC53" w14:textId="5CEF1115" w:rsidR="002B32A0" w:rsidRPr="00CE1D7F" w:rsidRDefault="002B32A0" w:rsidP="006258ED">
            <w:pPr>
              <w:pStyle w:val="Source"/>
              <w:keepLines/>
              <w:rPr>
                <w:i w:val="0"/>
                <w:iCs/>
              </w:rPr>
            </w:pPr>
            <w:r w:rsidRPr="00CE1D7F">
              <w:rPr>
                <w:i w:val="0"/>
                <w:iCs/>
                <w:vertAlign w:val="superscript"/>
              </w:rPr>
              <w:t>a</w:t>
            </w:r>
            <w:r w:rsidRPr="00CE1D7F">
              <w:rPr>
                <w:i w:val="0"/>
                <w:iCs/>
              </w:rPr>
              <w:t xml:space="preserve"> and </w:t>
            </w:r>
            <w:r w:rsidRPr="00CE1D7F">
              <w:rPr>
                <w:i w:val="0"/>
                <w:iCs/>
                <w:vertAlign w:val="superscript"/>
              </w:rPr>
              <w:t>b</w:t>
            </w:r>
            <w:r w:rsidRPr="00CE1D7F">
              <w:rPr>
                <w:i w:val="0"/>
                <w:iCs/>
              </w:rPr>
              <w:t xml:space="preserve"> as for </w:t>
            </w:r>
            <w:r w:rsidRPr="00F87D0E">
              <w:fldChar w:fldCharType="begin"/>
            </w:r>
            <w:r w:rsidRPr="00F87D0E">
              <w:instrText xml:space="preserve"> REF _Ref70678737 \h  \* MERGEFORMAT </w:instrText>
            </w:r>
            <w:r w:rsidRPr="00F87D0E">
              <w:fldChar w:fldCharType="separate"/>
            </w:r>
            <w:r w:rsidR="000B0AC7" w:rsidRPr="000B0AC7">
              <w:t>Table 2.2</w:t>
            </w:r>
            <w:r w:rsidRPr="00F87D0E">
              <w:fldChar w:fldCharType="end"/>
            </w:r>
            <w:r w:rsidRPr="00CE1D7F">
              <w:rPr>
                <w:i w:val="0"/>
                <w:iCs/>
              </w:rPr>
              <w:t>.</w:t>
            </w:r>
          </w:p>
          <w:p w14:paraId="6ADFF116" w14:textId="77777777" w:rsidR="002B32A0" w:rsidRPr="00CE1D7F" w:rsidRDefault="002B32A0" w:rsidP="006258ED">
            <w:pPr>
              <w:pStyle w:val="Source"/>
              <w:keepLines/>
            </w:pPr>
            <w:r w:rsidRPr="00CE1D7F">
              <w:t>Source: ACIL Allen.</w:t>
            </w:r>
          </w:p>
        </w:tc>
      </w:tr>
      <w:tr w:rsidR="002B32A0" w:rsidRPr="00CE1D7F" w14:paraId="316D40DC" w14:textId="77777777" w:rsidTr="006258ED">
        <w:trPr>
          <w:gridBefore w:val="1"/>
          <w:wBefore w:w="455" w:type="dxa"/>
          <w:trHeight w:val="160"/>
        </w:trPr>
        <w:tc>
          <w:tcPr>
            <w:tcW w:w="7930" w:type="dxa"/>
            <w:gridSpan w:val="6"/>
            <w:tcBorders>
              <w:top w:val="single" w:sz="4" w:space="0" w:color="646464"/>
              <w:left w:val="nil"/>
              <w:bottom w:val="nil"/>
              <w:right w:val="nil"/>
            </w:tcBorders>
          </w:tcPr>
          <w:p w14:paraId="63EA5FE2" w14:textId="77777777" w:rsidR="002B32A0" w:rsidRPr="00CE1D7F" w:rsidRDefault="002B32A0" w:rsidP="006258ED">
            <w:pPr>
              <w:pStyle w:val="spacer"/>
            </w:pPr>
          </w:p>
        </w:tc>
      </w:tr>
    </w:tbl>
    <w:p w14:paraId="475E1701" w14:textId="77777777" w:rsidR="002B32A0" w:rsidRPr="00CE1D7F" w:rsidRDefault="002B32A0" w:rsidP="005961C7">
      <w:pPr>
        <w:pStyle w:val="Heading4"/>
      </w:pPr>
      <w:bookmarkStart w:id="100" w:name="_Toc120719542"/>
      <w:r w:rsidRPr="00CE1D7F">
        <w:t>Estimated employment impacts</w:t>
      </w:r>
      <w:bookmarkEnd w:id="100"/>
    </w:p>
    <w:p w14:paraId="7FA56E75" w14:textId="77777777" w:rsidR="002B32A0" w:rsidRPr="00CE1D7F" w:rsidRDefault="002B32A0" w:rsidP="002B32A0">
      <w:pPr>
        <w:pStyle w:val="BodyText"/>
      </w:pPr>
      <w:r w:rsidRPr="00CE1D7F">
        <w:t>Employment is closely linked with economic activity and investment: as demand for a firm’s goods increases, it can expand its operations and increase levels of capital and, in turn, requirements for labour change. Hence, changes in employment mirror changes in economic output.</w:t>
      </w:r>
    </w:p>
    <w:p w14:paraId="088B6A54" w14:textId="77777777" w:rsidR="002B32A0" w:rsidRPr="00CE1D7F" w:rsidRDefault="002B32A0" w:rsidP="002B32A0">
      <w:pPr>
        <w:pStyle w:val="BodyText"/>
      </w:pPr>
      <w:r w:rsidRPr="00CE1D7F">
        <w:t>A key issue when estimating the impact of a program is determining how the labour market will clear.</w:t>
      </w:r>
      <w:r w:rsidRPr="00CE1D7F">
        <w:rPr>
          <w:vertAlign w:val="superscript"/>
        </w:rPr>
        <w:footnoteReference w:id="29"/>
      </w:r>
      <w:r w:rsidRPr="00CE1D7F">
        <w:t xml:space="preserve"> Increases in the demand for labour from the productivity gains enabled by ARC</w:t>
      </w:r>
      <w:r w:rsidRPr="00CE1D7F">
        <w:noBreakHyphen/>
        <w:t xml:space="preserve">funded research can be met by 3 mechanisms: increasing migration; increasing participation rates and/or average hours worked; and reducing the unemployment rate. In the model framework, the first 2 mechanisms are driven by changes in the real wages paid to workers while the third is a function of the additional labour demand relative to the Base Case. Given the moderate unemployment rate assumed throughout the projection period, changes in </w:t>
      </w:r>
      <w:r w:rsidRPr="00CE1D7F">
        <w:lastRenderedPageBreak/>
        <w:t xml:space="preserve">the real wage rate accounts for the majority of the additional labour supply in the NCGP scenario relative to the Base Case. </w:t>
      </w:r>
    </w:p>
    <w:p w14:paraId="677ADAAD" w14:textId="77777777" w:rsidR="002B32A0" w:rsidRPr="00CE1D7F" w:rsidRDefault="002B32A0" w:rsidP="002B32A0">
      <w:pPr>
        <w:pStyle w:val="BodyText"/>
      </w:pPr>
      <w:r w:rsidRPr="00CE1D7F">
        <w:t>It should be noted that this analysis does not assume any changes in net foreign migration because of the productivity benefits generated by the ARC-funded research.</w:t>
      </w:r>
      <w:r w:rsidRPr="00CE1D7F">
        <w:rPr>
          <w:rStyle w:val="FootnoteReference"/>
        </w:rPr>
        <w:footnoteReference w:id="30"/>
      </w:r>
    </w:p>
    <w:p w14:paraId="54444FDF" w14:textId="5A114E9C" w:rsidR="002B32A0" w:rsidRPr="00CE1D7F" w:rsidRDefault="002B32A0" w:rsidP="002B32A0">
      <w:pPr>
        <w:pStyle w:val="BodyText"/>
      </w:pPr>
      <w:r w:rsidRPr="00CE1D7F">
        <w:t xml:space="preserve">The economic modelling projects that the productivity benefits generated by ARC-funded research will result in a </w:t>
      </w:r>
      <w:r w:rsidRPr="00CE1D7F">
        <w:rPr>
          <w:iCs/>
        </w:rPr>
        <w:t>net</w:t>
      </w:r>
      <w:r w:rsidRPr="00CE1D7F">
        <w:t xml:space="preserve"> increase in jobs across Australia. Indeed, from 2002 to 2046, it is projected that 295,673 employee years</w:t>
      </w:r>
      <w:r w:rsidRPr="00CE1D7F">
        <w:rPr>
          <w:rStyle w:val="FootnoteReference"/>
        </w:rPr>
        <w:footnoteReference w:id="31"/>
      </w:r>
      <w:r w:rsidRPr="00CE1D7F">
        <w:t xml:space="preserve"> of full-time equivalent employment (FTE) </w:t>
      </w:r>
      <w:r w:rsidRPr="00CE1D7F">
        <w:rPr>
          <w:iCs/>
        </w:rPr>
        <w:t>direct and indirect</w:t>
      </w:r>
      <w:r w:rsidRPr="00CE1D7F">
        <w:t xml:space="preserve"> jobs will be created in Australia under the NCGP scenario (equivalent to an annual average of 6,571 FTE jobs a year, see </w:t>
      </w:r>
      <w:r w:rsidRPr="00F87D0E">
        <w:fldChar w:fldCharType="begin"/>
      </w:r>
      <w:r w:rsidRPr="00F87D0E">
        <w:instrText xml:space="preserve"> REF _Ref129678170 \h  \* MERGEFORMAT </w:instrText>
      </w:r>
      <w:r w:rsidRPr="00F87D0E">
        <w:fldChar w:fldCharType="separate"/>
      </w:r>
      <w:r w:rsidR="000B0AC7" w:rsidRPr="000B0AC7">
        <w:t>Table 2.4</w:t>
      </w:r>
      <w:r w:rsidRPr="00F87D0E">
        <w:fldChar w:fldCharType="end"/>
      </w:r>
      <w:r w:rsidRPr="00CE1D7F">
        <w:t xml:space="preserve">). </w:t>
      </w:r>
    </w:p>
    <w:p w14:paraId="5BB90F60" w14:textId="4F9AA9D0" w:rsidR="002B32A0" w:rsidRPr="00CE1D7F" w:rsidRDefault="002B32A0" w:rsidP="000B0AC7">
      <w:pPr>
        <w:pStyle w:val="Caption"/>
        <w:ind w:left="1308" w:hanging="1308"/>
        <w:rPr>
          <w:rStyle w:val="CaptionLabel"/>
          <w:b w:val="0"/>
          <w:bCs/>
        </w:rPr>
      </w:pPr>
      <w:bookmarkStart w:id="101" w:name="_Ref129678170"/>
      <w:bookmarkStart w:id="102" w:name="_Toc71749965"/>
      <w:bookmarkStart w:id="103" w:name="_Toc119304072"/>
      <w:r w:rsidRPr="00CE1D7F">
        <w:rPr>
          <w:rStyle w:val="CaptionLabel"/>
        </w:rPr>
        <w:t>Table </w:t>
      </w:r>
      <w:r w:rsidRPr="00CE1D7F">
        <w:rPr>
          <w:rStyle w:val="CaptionLabel"/>
        </w:rPr>
        <w:fldChar w:fldCharType="begin"/>
      </w:r>
      <w:r w:rsidRPr="00CE1D7F">
        <w:rPr>
          <w:rStyle w:val="CaptionLabel"/>
        </w:rPr>
        <w:instrText xml:space="preserve"> STYLEREF 1 \S \* MERGEFORMAT </w:instrText>
      </w:r>
      <w:r w:rsidRPr="00CE1D7F">
        <w:rPr>
          <w:rStyle w:val="CaptionLabel"/>
        </w:rPr>
        <w:fldChar w:fldCharType="separate"/>
      </w:r>
      <w:r w:rsidR="000B0AC7">
        <w:rPr>
          <w:rStyle w:val="CaptionLabel"/>
          <w:noProof/>
        </w:rPr>
        <w:t>2</w:t>
      </w:r>
      <w:r w:rsidRPr="00CE1D7F">
        <w:rPr>
          <w:rStyle w:val="CaptionLabel"/>
        </w:rPr>
        <w:fldChar w:fldCharType="end"/>
      </w:r>
      <w:r w:rsidRPr="00CE1D7F">
        <w:rPr>
          <w:rStyle w:val="CaptionLabel"/>
        </w:rPr>
        <w:t>.</w:t>
      </w:r>
      <w:r w:rsidRPr="00CE1D7F">
        <w:rPr>
          <w:rStyle w:val="CaptionLabel"/>
        </w:rPr>
        <w:fldChar w:fldCharType="begin"/>
      </w:r>
      <w:r w:rsidRPr="00CE1D7F">
        <w:rPr>
          <w:rStyle w:val="CaptionLabel"/>
        </w:rPr>
        <w:instrText xml:space="preserve"> SEQ Table \* ARABIC \S 1 \* MERGEFORMAT </w:instrText>
      </w:r>
      <w:r w:rsidRPr="00CE1D7F">
        <w:rPr>
          <w:rStyle w:val="CaptionLabel"/>
        </w:rPr>
        <w:fldChar w:fldCharType="separate"/>
      </w:r>
      <w:r w:rsidR="000B0AC7">
        <w:rPr>
          <w:rStyle w:val="CaptionLabel"/>
          <w:noProof/>
        </w:rPr>
        <w:t>4</w:t>
      </w:r>
      <w:r w:rsidRPr="00CE1D7F">
        <w:rPr>
          <w:rStyle w:val="CaptionLabel"/>
        </w:rPr>
        <w:fldChar w:fldCharType="end"/>
      </w:r>
      <w:bookmarkEnd w:id="101"/>
      <w:r w:rsidRPr="00CE1D7F">
        <w:rPr>
          <w:rStyle w:val="CaptionLabel"/>
        </w:rPr>
        <w:tab/>
      </w:r>
      <w:r w:rsidRPr="00CE1D7F">
        <w:rPr>
          <w:rStyle w:val="CaptionLabel"/>
          <w:b w:val="0"/>
          <w:bCs/>
        </w:rPr>
        <w:t>Estimated change in Australian employment from 2002–2046 associated with ARC research investments from 2002 to 202</w:t>
      </w:r>
      <w:r>
        <w:rPr>
          <w:rStyle w:val="CaptionLabel"/>
          <w:b w:val="0"/>
          <w:bCs/>
        </w:rPr>
        <w:t>1</w:t>
      </w:r>
      <w:r w:rsidRPr="00CE1D7F">
        <w:rPr>
          <w:rStyle w:val="CaptionLabel"/>
          <w:b w:val="0"/>
          <w:bCs/>
        </w:rPr>
        <w:t xml:space="preserve"> </w:t>
      </w:r>
      <w:bookmarkEnd w:id="102"/>
      <w:bookmarkEnd w:id="103"/>
      <w:r w:rsidRPr="00CE1D7F">
        <w:rPr>
          <w:rStyle w:val="CaptionLabel"/>
          <w:b w:val="0"/>
          <w:bCs/>
        </w:rPr>
        <w:t>(relative to the Base Case)</w:t>
      </w:r>
    </w:p>
    <w:tbl>
      <w:tblPr>
        <w:tblStyle w:val="aacTableBasic"/>
        <w:tblW w:w="7931" w:type="dxa"/>
        <w:tblLayout w:type="fixed"/>
        <w:tblLook w:val="04A0" w:firstRow="1" w:lastRow="0" w:firstColumn="1" w:lastColumn="0" w:noHBand="0" w:noVBand="1"/>
        <w:tblCaption w:val="Table 2.4"/>
        <w:tblDescription w:val="Estimated change in Australian employment from 2002–2046 associated with ARC research investments from 2002 to 2021 (relative to the Base Case)"/>
      </w:tblPr>
      <w:tblGrid>
        <w:gridCol w:w="2126"/>
        <w:gridCol w:w="2407"/>
        <w:gridCol w:w="1279"/>
        <w:gridCol w:w="2119"/>
      </w:tblGrid>
      <w:tr w:rsidR="002B32A0" w:rsidRPr="00CE1D7F" w14:paraId="3B379273" w14:textId="77777777" w:rsidTr="000B0AC7">
        <w:trPr>
          <w:cnfStyle w:val="100000000000" w:firstRow="1" w:lastRow="0" w:firstColumn="0" w:lastColumn="0" w:oddVBand="0" w:evenVBand="0" w:oddHBand="0" w:evenHBand="0" w:firstRowFirstColumn="0" w:firstRowLastColumn="0" w:lastRowFirstColumn="0" w:lastRowLastColumn="0"/>
        </w:trPr>
        <w:tc>
          <w:tcPr>
            <w:tcW w:w="2126" w:type="dxa"/>
            <w:tcBorders>
              <w:top w:val="nil"/>
            </w:tcBorders>
            <w:shd w:val="solid" w:color="140034" w:fill="140034"/>
            <w:tcMar>
              <w:left w:w="80" w:type="dxa"/>
            </w:tcMar>
          </w:tcPr>
          <w:p w14:paraId="658FCF42" w14:textId="77777777" w:rsidR="002B32A0" w:rsidRPr="00CE1D7F" w:rsidRDefault="002B32A0" w:rsidP="006258ED">
            <w:pPr>
              <w:pStyle w:val="Tablecolumnheadings"/>
            </w:pPr>
          </w:p>
        </w:tc>
        <w:tc>
          <w:tcPr>
            <w:tcW w:w="2407" w:type="dxa"/>
            <w:tcBorders>
              <w:top w:val="nil"/>
            </w:tcBorders>
            <w:shd w:val="solid" w:color="140034" w:fill="140034"/>
            <w:hideMark/>
          </w:tcPr>
          <w:p w14:paraId="590EFAB4" w14:textId="77777777" w:rsidR="002B32A0" w:rsidRPr="00CE1D7F" w:rsidRDefault="002B32A0" w:rsidP="006258ED">
            <w:pPr>
              <w:pStyle w:val="Tablecolumnheadings"/>
              <w:jc w:val="right"/>
            </w:pPr>
            <w:r w:rsidRPr="00CE1D7F">
              <w:t>Annual average</w:t>
            </w:r>
          </w:p>
        </w:tc>
        <w:tc>
          <w:tcPr>
            <w:tcW w:w="1279" w:type="dxa"/>
            <w:tcBorders>
              <w:top w:val="nil"/>
            </w:tcBorders>
            <w:shd w:val="solid" w:color="140034" w:fill="140034"/>
          </w:tcPr>
          <w:p w14:paraId="2EB4C287" w14:textId="77777777" w:rsidR="002B32A0" w:rsidRPr="00CE1D7F" w:rsidRDefault="002B32A0" w:rsidP="006258ED">
            <w:pPr>
              <w:pStyle w:val="Tablecolumnheadings"/>
              <w:jc w:val="right"/>
            </w:pPr>
          </w:p>
        </w:tc>
        <w:tc>
          <w:tcPr>
            <w:tcW w:w="2119" w:type="dxa"/>
            <w:tcBorders>
              <w:top w:val="nil"/>
            </w:tcBorders>
            <w:shd w:val="solid" w:color="140034" w:fill="140034"/>
            <w:hideMark/>
          </w:tcPr>
          <w:p w14:paraId="67978789" w14:textId="77777777" w:rsidR="002B32A0" w:rsidRPr="00CE1D7F" w:rsidRDefault="002B32A0" w:rsidP="006258ED">
            <w:pPr>
              <w:pStyle w:val="Tablecolumnheadings"/>
              <w:jc w:val="right"/>
            </w:pPr>
            <w:r w:rsidRPr="00CE1D7F">
              <w:t>Total (2002-2046)</w:t>
            </w:r>
          </w:p>
        </w:tc>
      </w:tr>
      <w:tr w:rsidR="002B32A0" w:rsidRPr="00CE1D7F" w14:paraId="23300D2E" w14:textId="77777777" w:rsidTr="000B0AC7">
        <w:tc>
          <w:tcPr>
            <w:tcW w:w="2126" w:type="dxa"/>
            <w:tcMar>
              <w:left w:w="80" w:type="dxa"/>
            </w:tcMar>
          </w:tcPr>
          <w:p w14:paraId="5DFA0D08" w14:textId="77777777" w:rsidR="002B32A0" w:rsidRPr="00CE1D7F" w:rsidRDefault="002B32A0" w:rsidP="006258ED">
            <w:pPr>
              <w:pStyle w:val="Tabletext"/>
              <w:keepNext/>
            </w:pPr>
          </w:p>
        </w:tc>
        <w:tc>
          <w:tcPr>
            <w:tcW w:w="2407" w:type="dxa"/>
            <w:hideMark/>
          </w:tcPr>
          <w:p w14:paraId="5CD2E224" w14:textId="77777777" w:rsidR="002B32A0" w:rsidRPr="00CE1D7F" w:rsidRDefault="002B32A0" w:rsidP="006258ED">
            <w:pPr>
              <w:pStyle w:val="Tabletext"/>
              <w:keepNext/>
              <w:jc w:val="right"/>
            </w:pPr>
            <w:r w:rsidRPr="00CE1D7F">
              <w:t>FTE</w:t>
            </w:r>
          </w:p>
        </w:tc>
        <w:tc>
          <w:tcPr>
            <w:tcW w:w="1279" w:type="dxa"/>
          </w:tcPr>
          <w:p w14:paraId="213A710C" w14:textId="77777777" w:rsidR="002B32A0" w:rsidRPr="00CE1D7F" w:rsidRDefault="002B32A0" w:rsidP="006258ED">
            <w:pPr>
              <w:pStyle w:val="Tabletext"/>
              <w:keepNext/>
              <w:jc w:val="right"/>
            </w:pPr>
          </w:p>
        </w:tc>
        <w:tc>
          <w:tcPr>
            <w:tcW w:w="2119" w:type="dxa"/>
            <w:hideMark/>
          </w:tcPr>
          <w:p w14:paraId="5A0F9766" w14:textId="77777777" w:rsidR="002B32A0" w:rsidRPr="00CE1D7F" w:rsidRDefault="002B32A0" w:rsidP="006258ED">
            <w:pPr>
              <w:pStyle w:val="Tabletext"/>
              <w:keepNext/>
              <w:jc w:val="right"/>
            </w:pPr>
            <w:r w:rsidRPr="00CE1D7F">
              <w:t>Employee years</w:t>
            </w:r>
          </w:p>
        </w:tc>
      </w:tr>
      <w:tr w:rsidR="002B32A0" w:rsidRPr="00CE1D7F" w14:paraId="17617EED" w14:textId="77777777" w:rsidTr="000B0AC7">
        <w:tc>
          <w:tcPr>
            <w:tcW w:w="2126" w:type="dxa"/>
            <w:tcMar>
              <w:left w:w="80" w:type="dxa"/>
            </w:tcMar>
            <w:hideMark/>
          </w:tcPr>
          <w:p w14:paraId="0576717C" w14:textId="77777777" w:rsidR="002B32A0" w:rsidRPr="00CE1D7F" w:rsidRDefault="002B32A0" w:rsidP="006258ED">
            <w:pPr>
              <w:pStyle w:val="Tabletext"/>
              <w:keepNext/>
            </w:pPr>
            <w:r w:rsidRPr="00CE1D7F">
              <w:t>Australia</w:t>
            </w:r>
          </w:p>
        </w:tc>
        <w:tc>
          <w:tcPr>
            <w:tcW w:w="2407" w:type="dxa"/>
            <w:hideMark/>
          </w:tcPr>
          <w:p w14:paraId="2BEC585F" w14:textId="77777777" w:rsidR="002B32A0" w:rsidRPr="00CE1D7F" w:rsidRDefault="002B32A0" w:rsidP="006258ED">
            <w:pPr>
              <w:pStyle w:val="Tabletext"/>
              <w:keepNext/>
              <w:jc w:val="right"/>
            </w:pPr>
            <w:r w:rsidRPr="00CE1D7F">
              <w:t>6,571</w:t>
            </w:r>
          </w:p>
        </w:tc>
        <w:tc>
          <w:tcPr>
            <w:tcW w:w="1279" w:type="dxa"/>
          </w:tcPr>
          <w:p w14:paraId="25070270" w14:textId="77777777" w:rsidR="002B32A0" w:rsidRPr="00CE1D7F" w:rsidRDefault="002B32A0" w:rsidP="006258ED">
            <w:pPr>
              <w:pStyle w:val="Tabletext"/>
              <w:keepNext/>
              <w:jc w:val="right"/>
            </w:pPr>
          </w:p>
        </w:tc>
        <w:tc>
          <w:tcPr>
            <w:tcW w:w="2119" w:type="dxa"/>
            <w:hideMark/>
          </w:tcPr>
          <w:p w14:paraId="18F558EF" w14:textId="77777777" w:rsidR="002B32A0" w:rsidRPr="00CE1D7F" w:rsidRDefault="002B32A0" w:rsidP="006258ED">
            <w:pPr>
              <w:pStyle w:val="Tabletext"/>
              <w:keepNext/>
              <w:jc w:val="right"/>
            </w:pPr>
            <w:r w:rsidRPr="00CE1D7F">
              <w:t>295,673</w:t>
            </w:r>
          </w:p>
        </w:tc>
      </w:tr>
    </w:tbl>
    <w:p w14:paraId="38DAE9C1" w14:textId="77777777" w:rsidR="000B0AC7" w:rsidRPr="00CE1D7F" w:rsidRDefault="000B0AC7" w:rsidP="000B0AC7">
      <w:pPr>
        <w:pStyle w:val="Source"/>
      </w:pPr>
      <w:r w:rsidRPr="00CE1D7F">
        <w:t>Source: ACIL Allen.</w:t>
      </w:r>
    </w:p>
    <w:p w14:paraId="41465320" w14:textId="77777777" w:rsidR="000B0AC7" w:rsidRPr="00CE1D7F" w:rsidRDefault="000B0AC7" w:rsidP="000B0AC7">
      <w:pPr>
        <w:pStyle w:val="spacer"/>
      </w:pPr>
    </w:p>
    <w:p w14:paraId="093899F7" w14:textId="73C7DA11" w:rsidR="002B32A0" w:rsidRPr="00CE1D7F" w:rsidRDefault="002B32A0" w:rsidP="002B32A0">
      <w:pPr>
        <w:pStyle w:val="BodyText"/>
      </w:pPr>
      <w:r w:rsidRPr="00F87D0E">
        <w:fldChar w:fldCharType="begin"/>
      </w:r>
      <w:r w:rsidRPr="00F87D0E">
        <w:instrText xml:space="preserve"> REF _Ref129679430 \h  \* MERGEFORMAT </w:instrText>
      </w:r>
      <w:r w:rsidRPr="00F87D0E">
        <w:fldChar w:fldCharType="separate"/>
      </w:r>
      <w:r w:rsidR="000B0AC7" w:rsidRPr="000B0AC7">
        <w:t>Figure 2.8</w:t>
      </w:r>
      <w:r w:rsidRPr="00F87D0E">
        <w:fldChar w:fldCharType="end"/>
      </w:r>
      <w:r w:rsidRPr="00CE1D7F">
        <w:t xml:space="preserve"> illustrates the profile of </w:t>
      </w:r>
      <w:r w:rsidRPr="00CE1D7F">
        <w:rPr>
          <w:iCs/>
        </w:rPr>
        <w:t xml:space="preserve">total </w:t>
      </w:r>
      <w:r w:rsidRPr="00CE1D7F">
        <w:t xml:space="preserve">additional employment in Australia under the NCGP scenario. As shown in this figure, employment associated with ARC-funded </w:t>
      </w:r>
      <w:r>
        <w:t>grants awarded between 2002 and 2021</w:t>
      </w:r>
      <w:r w:rsidRPr="00CE1D7F">
        <w:t xml:space="preserve"> is projected to peak in 2029 at around 15,000 FTE jobs.</w:t>
      </w:r>
      <w:r w:rsidRPr="00CE1D7F">
        <w:rPr>
          <w:rStyle w:val="FootnoteReference"/>
        </w:rPr>
        <w:footnoteReference w:id="32"/>
      </w:r>
    </w:p>
    <w:p w14:paraId="7C56A1CC" w14:textId="5B750503" w:rsidR="000B0AC7" w:rsidRPr="00CE1D7F" w:rsidRDefault="000B0AC7" w:rsidP="000B0AC7">
      <w:pPr>
        <w:pStyle w:val="Caption"/>
        <w:ind w:left="1308" w:hanging="1308"/>
        <w:rPr>
          <w:rStyle w:val="CaptionLabel"/>
        </w:rPr>
      </w:pPr>
      <w:bookmarkStart w:id="104" w:name="_Ref129679430"/>
      <w:r w:rsidRPr="00CE1D7F">
        <w:rPr>
          <w:rStyle w:val="CaptionLabel"/>
        </w:rPr>
        <w:t>Figure </w:t>
      </w:r>
      <w:r w:rsidRPr="00CE1D7F">
        <w:rPr>
          <w:rStyle w:val="CaptionLabel"/>
        </w:rPr>
        <w:fldChar w:fldCharType="begin"/>
      </w:r>
      <w:r w:rsidRPr="00CE1D7F">
        <w:rPr>
          <w:rStyle w:val="CaptionLabel"/>
        </w:rPr>
        <w:instrText xml:space="preserve"> STYLEREF 1 \S \* MERGEFORMAT </w:instrText>
      </w:r>
      <w:r w:rsidRPr="00CE1D7F">
        <w:rPr>
          <w:rStyle w:val="CaptionLabel"/>
        </w:rPr>
        <w:fldChar w:fldCharType="separate"/>
      </w:r>
      <w:r>
        <w:rPr>
          <w:rStyle w:val="CaptionLabel"/>
          <w:noProof/>
        </w:rPr>
        <w:t>2</w:t>
      </w:r>
      <w:r w:rsidRPr="00CE1D7F">
        <w:rPr>
          <w:rStyle w:val="CaptionLabel"/>
        </w:rPr>
        <w:fldChar w:fldCharType="end"/>
      </w:r>
      <w:r w:rsidRPr="00CE1D7F">
        <w:rPr>
          <w:rStyle w:val="CaptionLabel"/>
        </w:rPr>
        <w:t>.</w:t>
      </w:r>
      <w:r w:rsidRPr="00CE1D7F">
        <w:rPr>
          <w:rStyle w:val="CaptionLabel"/>
        </w:rPr>
        <w:fldChar w:fldCharType="begin"/>
      </w:r>
      <w:r w:rsidRPr="00CE1D7F">
        <w:rPr>
          <w:rStyle w:val="CaptionLabel"/>
        </w:rPr>
        <w:instrText xml:space="preserve"> SEQ Figure \* ARABIC \S 1 \* MERGEFORMAT </w:instrText>
      </w:r>
      <w:r w:rsidRPr="00CE1D7F">
        <w:rPr>
          <w:rStyle w:val="CaptionLabel"/>
        </w:rPr>
        <w:fldChar w:fldCharType="separate"/>
      </w:r>
      <w:r>
        <w:rPr>
          <w:rStyle w:val="CaptionLabel"/>
          <w:noProof/>
        </w:rPr>
        <w:t>8</w:t>
      </w:r>
      <w:r w:rsidRPr="00CE1D7F">
        <w:rPr>
          <w:rStyle w:val="CaptionLabel"/>
        </w:rPr>
        <w:fldChar w:fldCharType="end"/>
      </w:r>
      <w:bookmarkEnd w:id="104"/>
      <w:r w:rsidRPr="00CE1D7F">
        <w:rPr>
          <w:rStyle w:val="CaptionLabel"/>
        </w:rPr>
        <w:tab/>
      </w:r>
      <w:r w:rsidRPr="00CE1D7F">
        <w:rPr>
          <w:rStyle w:val="CaptionLabel"/>
          <w:b w:val="0"/>
          <w:bCs/>
        </w:rPr>
        <w:t>Projected change in total (direct and indirect) employment from 2002–2046 associated with ARC research investments made from 2002 and 202</w:t>
      </w:r>
      <w:r>
        <w:rPr>
          <w:rStyle w:val="CaptionLabel"/>
          <w:b w:val="0"/>
          <w:bCs/>
        </w:rPr>
        <w:t>1</w:t>
      </w:r>
      <w:r w:rsidRPr="00CE1D7F">
        <w:rPr>
          <w:rStyle w:val="CaptionLabel"/>
          <w:b w:val="0"/>
          <w:bCs/>
        </w:rPr>
        <w:t xml:space="preserve"> (relative to the Base Case, FTE jobs)</w:t>
      </w:r>
    </w:p>
    <w:tbl>
      <w:tblPr>
        <w:tblStyle w:val="aacTableFigure"/>
        <w:tblW w:w="7937" w:type="dxa"/>
        <w:tblBorders>
          <w:top w:val="single" w:sz="4" w:space="0" w:color="000000"/>
          <w:bottom w:val="single" w:sz="4" w:space="0" w:color="000000"/>
        </w:tblBorders>
        <w:tblLayout w:type="fixed"/>
        <w:tblLook w:val="04A0" w:firstRow="1" w:lastRow="0" w:firstColumn="1" w:lastColumn="0" w:noHBand="0" w:noVBand="1"/>
      </w:tblPr>
      <w:tblGrid>
        <w:gridCol w:w="7937"/>
      </w:tblGrid>
      <w:tr w:rsidR="002B32A0" w:rsidRPr="00CE1D7F" w14:paraId="66A8CD30" w14:textId="77777777" w:rsidTr="000B0AC7">
        <w:tc>
          <w:tcPr>
            <w:tcW w:w="7937" w:type="dxa"/>
            <w:shd w:val="clear" w:color="auto" w:fill="auto"/>
            <w:hideMark/>
          </w:tcPr>
          <w:p w14:paraId="4BA07B58" w14:textId="77777777" w:rsidR="002B32A0" w:rsidRPr="00CE1D7F" w:rsidRDefault="002B32A0" w:rsidP="006258ED">
            <w:pPr>
              <w:pStyle w:val="Figure"/>
            </w:pPr>
            <w:r w:rsidRPr="00CE1D7F">
              <w:rPr>
                <w:noProof/>
              </w:rPr>
              <w:drawing>
                <wp:inline distT="0" distB="0" distL="0" distR="0" wp14:anchorId="7807E62B" wp14:editId="6215EEBD">
                  <wp:extent cx="5029835" cy="2139950"/>
                  <wp:effectExtent l="0" t="0" r="0" b="0"/>
                  <wp:docPr id="54" name="Picture 54" descr="Projected change in total (direct and indirect) employment from 2002–2046 associated with ARC research investments made from 2002 and 2021 (relative to the Base Case, FTE jo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Projected change in total (direct and indirect) employment from 2002–2046 associated with ARC research investments made from 2002 and 2021 (relative to the Base Case, FTE jobs)"/>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029835" cy="2139950"/>
                          </a:xfrm>
                          <a:prstGeom prst="rect">
                            <a:avLst/>
                          </a:prstGeom>
                          <a:noFill/>
                        </pic:spPr>
                      </pic:pic>
                    </a:graphicData>
                  </a:graphic>
                </wp:inline>
              </w:drawing>
            </w:r>
          </w:p>
        </w:tc>
      </w:tr>
    </w:tbl>
    <w:p w14:paraId="65506B42" w14:textId="77777777" w:rsidR="000B0AC7" w:rsidRPr="00CE1D7F" w:rsidRDefault="000B0AC7" w:rsidP="000B0AC7">
      <w:pPr>
        <w:pStyle w:val="Source"/>
        <w:ind w:left="1308" w:hanging="1308"/>
      </w:pPr>
      <w:r w:rsidRPr="00CE1D7F">
        <w:t>Source: ACIL Allen.</w:t>
      </w:r>
    </w:p>
    <w:p w14:paraId="592FBB63" w14:textId="77777777" w:rsidR="000B0AC7" w:rsidRPr="00CE1D7F" w:rsidRDefault="000B0AC7" w:rsidP="006258ED">
      <w:pPr>
        <w:pStyle w:val="spacer"/>
      </w:pPr>
    </w:p>
    <w:p w14:paraId="55E69115" w14:textId="77777777" w:rsidR="002B32A0" w:rsidRPr="00CE1D7F" w:rsidRDefault="002B32A0" w:rsidP="005961C7">
      <w:pPr>
        <w:pStyle w:val="Heading4"/>
      </w:pPr>
      <w:r w:rsidRPr="00CE1D7F">
        <w:t>Government revenues</w:t>
      </w:r>
    </w:p>
    <w:p w14:paraId="0958BEAE" w14:textId="77777777" w:rsidR="002B32A0" w:rsidRPr="00CE1D7F" w:rsidRDefault="002B32A0" w:rsidP="002B32A0">
      <w:pPr>
        <w:pStyle w:val="BodyText"/>
      </w:pPr>
      <w:r w:rsidRPr="00CE1D7F">
        <w:t xml:space="preserve">Government revenues are projected to rise because of the NCGP. It is likely that some of the additional revenue will be returned to private households through slightly lower effective tax </w:t>
      </w:r>
      <w:r w:rsidRPr="00CE1D7F">
        <w:lastRenderedPageBreak/>
        <w:t>rates compared to the Base Case, while the rest will be used to provide public goods and services.</w:t>
      </w:r>
    </w:p>
    <w:p w14:paraId="2C97C9D7" w14:textId="6253C49E" w:rsidR="002B32A0" w:rsidRPr="00CE1D7F" w:rsidRDefault="002B32A0" w:rsidP="002B32A0">
      <w:pPr>
        <w:pStyle w:val="BodyText"/>
      </w:pPr>
      <w:r w:rsidRPr="00F87D0E">
        <w:fldChar w:fldCharType="begin"/>
      </w:r>
      <w:r w:rsidRPr="00F87D0E">
        <w:instrText xml:space="preserve"> REF _Ref89350070 \h  \* MERGEFORMAT </w:instrText>
      </w:r>
      <w:r w:rsidRPr="00F87D0E">
        <w:fldChar w:fldCharType="separate"/>
      </w:r>
      <w:r w:rsidR="000B0AC7" w:rsidRPr="000B0AC7">
        <w:t>Table 2.5</w:t>
      </w:r>
      <w:r w:rsidRPr="00F87D0E">
        <w:fldChar w:fldCharType="end"/>
      </w:r>
      <w:r w:rsidRPr="00CE1D7F">
        <w:t xml:space="preserve"> summarises the anticipated total additional tax revenues projected to be generated because of the productivity gains generated through ARC-funded research. As shown in this table, the Australian Government is projected to benefit from higher revenues of around $34.3</w:t>
      </w:r>
      <w:r>
        <w:t> billion</w:t>
      </w:r>
      <w:r w:rsidRPr="00CE1D7F">
        <w:t xml:space="preserve"> from 2002-2046 relative to the Base Case. This is equivalent to a one-off increase of $6.5</w:t>
      </w:r>
      <w:r>
        <w:t> billion</w:t>
      </w:r>
      <w:r w:rsidRPr="00CE1D7F">
        <w:t xml:space="preserve"> (in 2022 dollars, using a 7% real discount rate).</w:t>
      </w:r>
      <w:r>
        <w:t xml:space="preserve"> </w:t>
      </w:r>
      <w:r w:rsidRPr="00CE1D7F">
        <w:t>This includes:</w:t>
      </w:r>
    </w:p>
    <w:p w14:paraId="56271286" w14:textId="77777777" w:rsidR="002B32A0" w:rsidRPr="00CE1D7F" w:rsidRDefault="002B32A0" w:rsidP="002B32A0">
      <w:pPr>
        <w:pStyle w:val="ListBullet"/>
        <w:numPr>
          <w:ilvl w:val="0"/>
          <w:numId w:val="46"/>
        </w:numPr>
      </w:pPr>
      <w:r w:rsidRPr="00CE1D7F">
        <w:t>payroll taxes of around $2.2</w:t>
      </w:r>
      <w:r>
        <w:t> billion</w:t>
      </w:r>
      <w:r w:rsidRPr="00CE1D7F">
        <w:t xml:space="preserve"> </w:t>
      </w:r>
    </w:p>
    <w:p w14:paraId="33FE7B38" w14:textId="77777777" w:rsidR="002B32A0" w:rsidRPr="00CE1D7F" w:rsidRDefault="002B32A0" w:rsidP="002B32A0">
      <w:pPr>
        <w:pStyle w:val="ListBullet"/>
        <w:numPr>
          <w:ilvl w:val="0"/>
          <w:numId w:val="46"/>
        </w:numPr>
      </w:pPr>
      <w:r w:rsidRPr="00CE1D7F">
        <w:t>federal personal income taxes of around $21.1</w:t>
      </w:r>
      <w:r>
        <w:t> billion</w:t>
      </w:r>
      <w:r w:rsidRPr="00CE1D7F">
        <w:t xml:space="preserve"> </w:t>
      </w:r>
    </w:p>
    <w:p w14:paraId="44C9D355" w14:textId="77777777" w:rsidR="002B32A0" w:rsidRPr="00CE1D7F" w:rsidRDefault="002B32A0" w:rsidP="002B32A0">
      <w:pPr>
        <w:pStyle w:val="ListBullet"/>
        <w:numPr>
          <w:ilvl w:val="0"/>
          <w:numId w:val="46"/>
        </w:numPr>
      </w:pPr>
      <w:r w:rsidRPr="00CE1D7F">
        <w:t>federal company income taxes of around $2</w:t>
      </w:r>
      <w:r>
        <w:t> billion</w:t>
      </w:r>
      <w:r w:rsidRPr="00CE1D7F">
        <w:t xml:space="preserve"> </w:t>
      </w:r>
    </w:p>
    <w:p w14:paraId="0DBD425E" w14:textId="77777777" w:rsidR="002B32A0" w:rsidRPr="00CE1D7F" w:rsidRDefault="002B32A0" w:rsidP="002B32A0">
      <w:pPr>
        <w:pStyle w:val="ListBullet"/>
        <w:numPr>
          <w:ilvl w:val="0"/>
          <w:numId w:val="46"/>
        </w:numPr>
      </w:pPr>
      <w:r w:rsidRPr="00CE1D7F">
        <w:t>GST of around $4.4</w:t>
      </w:r>
      <w:r>
        <w:t> billion</w:t>
      </w:r>
      <w:r w:rsidRPr="00CE1D7F">
        <w:t>.</w:t>
      </w:r>
    </w:p>
    <w:p w14:paraId="30A7C580" w14:textId="241026F4" w:rsidR="002B32A0" w:rsidRPr="00CE1D7F" w:rsidRDefault="002B32A0" w:rsidP="002B32A0">
      <w:pPr>
        <w:pStyle w:val="Caption"/>
        <w:ind w:left="-806"/>
        <w:rPr>
          <w:rStyle w:val="CaptionLabel"/>
          <w:b w:val="0"/>
          <w:bCs/>
        </w:rPr>
      </w:pPr>
      <w:bookmarkStart w:id="105" w:name="_Ref89350070"/>
      <w:bookmarkStart w:id="106" w:name="_Toc95831794"/>
      <w:r w:rsidRPr="00CE1D7F">
        <w:rPr>
          <w:rStyle w:val="CaptionLabel"/>
        </w:rPr>
        <w:t>Table </w:t>
      </w:r>
      <w:r w:rsidRPr="00CE1D7F">
        <w:rPr>
          <w:rStyle w:val="CaptionLabel"/>
        </w:rPr>
        <w:fldChar w:fldCharType="begin"/>
      </w:r>
      <w:r w:rsidRPr="00CE1D7F">
        <w:rPr>
          <w:rStyle w:val="CaptionLabel"/>
        </w:rPr>
        <w:instrText xml:space="preserve"> STYLEREF 1 \S \* MERGEFORMAT </w:instrText>
      </w:r>
      <w:r w:rsidRPr="00CE1D7F">
        <w:rPr>
          <w:rStyle w:val="CaptionLabel"/>
        </w:rPr>
        <w:fldChar w:fldCharType="separate"/>
      </w:r>
      <w:r w:rsidR="000B0AC7">
        <w:rPr>
          <w:rStyle w:val="CaptionLabel"/>
          <w:noProof/>
        </w:rPr>
        <w:t>2</w:t>
      </w:r>
      <w:r w:rsidRPr="00CE1D7F">
        <w:rPr>
          <w:rStyle w:val="CaptionLabel"/>
        </w:rPr>
        <w:fldChar w:fldCharType="end"/>
      </w:r>
      <w:r w:rsidRPr="00CE1D7F">
        <w:rPr>
          <w:rStyle w:val="CaptionLabel"/>
        </w:rPr>
        <w:t>.</w:t>
      </w:r>
      <w:r w:rsidRPr="00CE1D7F">
        <w:rPr>
          <w:rStyle w:val="CaptionLabel"/>
        </w:rPr>
        <w:fldChar w:fldCharType="begin"/>
      </w:r>
      <w:r w:rsidRPr="00CE1D7F">
        <w:rPr>
          <w:rStyle w:val="CaptionLabel"/>
        </w:rPr>
        <w:instrText xml:space="preserve"> SEQ Table \* ARABIC \S 1 \* MERGEFORMAT </w:instrText>
      </w:r>
      <w:r w:rsidRPr="00CE1D7F">
        <w:rPr>
          <w:rStyle w:val="CaptionLabel"/>
        </w:rPr>
        <w:fldChar w:fldCharType="separate"/>
      </w:r>
      <w:r w:rsidR="000B0AC7">
        <w:rPr>
          <w:rStyle w:val="CaptionLabel"/>
          <w:noProof/>
        </w:rPr>
        <w:t>5</w:t>
      </w:r>
      <w:r w:rsidRPr="00CE1D7F">
        <w:rPr>
          <w:rStyle w:val="CaptionLabel"/>
        </w:rPr>
        <w:fldChar w:fldCharType="end"/>
      </w:r>
      <w:bookmarkEnd w:id="105"/>
      <w:r w:rsidRPr="00CE1D7F">
        <w:rPr>
          <w:rStyle w:val="CaptionLabel"/>
        </w:rPr>
        <w:tab/>
      </w:r>
      <w:r w:rsidRPr="00CE1D7F">
        <w:rPr>
          <w:rStyle w:val="CaptionLabel"/>
          <w:b w:val="0"/>
          <w:bCs/>
        </w:rPr>
        <w:t>Projected change in real government tax revenues</w:t>
      </w:r>
      <w:bookmarkEnd w:id="106"/>
      <w:r w:rsidRPr="00CE1D7F">
        <w:rPr>
          <w:rStyle w:val="CaptionLabel"/>
          <w:b w:val="0"/>
          <w:bCs/>
        </w:rPr>
        <w:t xml:space="preserve"> from 2002–2046 associated with ARC </w:t>
      </w:r>
      <w:r>
        <w:rPr>
          <w:rStyle w:val="CaptionLabel"/>
          <w:b w:val="0"/>
          <w:bCs/>
        </w:rPr>
        <w:t>grants awarded between</w:t>
      </w:r>
      <w:r w:rsidRPr="00CE1D7F">
        <w:rPr>
          <w:rStyle w:val="CaptionLabel"/>
          <w:b w:val="0"/>
          <w:bCs/>
        </w:rPr>
        <w:t xml:space="preserve"> 2002 </w:t>
      </w:r>
      <w:r>
        <w:rPr>
          <w:rStyle w:val="CaptionLabel"/>
          <w:b w:val="0"/>
          <w:bCs/>
        </w:rPr>
        <w:t xml:space="preserve">and </w:t>
      </w:r>
      <w:r w:rsidRPr="00CE1D7F">
        <w:rPr>
          <w:rStyle w:val="CaptionLabel"/>
          <w:b w:val="0"/>
          <w:bCs/>
        </w:rPr>
        <w:t>202</w:t>
      </w:r>
      <w:r>
        <w:rPr>
          <w:rStyle w:val="CaptionLabel"/>
          <w:b w:val="0"/>
          <w:bCs/>
        </w:rPr>
        <w:t>1</w:t>
      </w:r>
      <w:r w:rsidRPr="00CE1D7F">
        <w:rPr>
          <w:rStyle w:val="CaptionLabel"/>
          <w:b w:val="0"/>
          <w:bCs/>
        </w:rPr>
        <w:t xml:space="preserve"> (relative to the Base Case)</w:t>
      </w:r>
    </w:p>
    <w:tbl>
      <w:tblPr>
        <w:tblW w:w="10350" w:type="dxa"/>
        <w:tblInd w:w="-2416" w:type="dxa"/>
        <w:tblBorders>
          <w:bottom w:val="single" w:sz="4" w:space="0" w:color="646464"/>
          <w:insideH w:val="single" w:sz="4" w:space="0" w:color="646464"/>
        </w:tblBorders>
        <w:tblLayout w:type="fixed"/>
        <w:tblCellMar>
          <w:left w:w="0" w:type="dxa"/>
          <w:bottom w:w="40" w:type="dxa"/>
          <w:right w:w="0" w:type="dxa"/>
        </w:tblCellMar>
        <w:tblLook w:val="04A0" w:firstRow="1" w:lastRow="0" w:firstColumn="1" w:lastColumn="0" w:noHBand="0" w:noVBand="1"/>
        <w:tblCaption w:val="Table 2.5 "/>
        <w:tblDescription w:val="Projected change in real government tax revenues from 2002–2046 associated with ARC grants awarded between 2002 and 2021 (relative to the Base Case)"/>
      </w:tblPr>
      <w:tblGrid>
        <w:gridCol w:w="453"/>
        <w:gridCol w:w="3804"/>
        <w:gridCol w:w="1523"/>
        <w:gridCol w:w="1523"/>
        <w:gridCol w:w="1523"/>
        <w:gridCol w:w="1524"/>
      </w:tblGrid>
      <w:tr w:rsidR="002B32A0" w:rsidRPr="00CE1D7F" w14:paraId="451218CA" w14:textId="77777777" w:rsidTr="006258ED">
        <w:trPr>
          <w:tblHeader/>
        </w:trPr>
        <w:tc>
          <w:tcPr>
            <w:tcW w:w="4259" w:type="dxa"/>
            <w:gridSpan w:val="2"/>
            <w:vMerge w:val="restart"/>
            <w:tcBorders>
              <w:top w:val="nil"/>
              <w:left w:val="nil"/>
              <w:bottom w:val="nil"/>
              <w:right w:val="nil"/>
            </w:tcBorders>
            <w:shd w:val="clear" w:color="auto" w:fill="140034"/>
            <w:tcMar>
              <w:top w:w="0" w:type="dxa"/>
              <w:left w:w="454" w:type="dxa"/>
              <w:bottom w:w="40" w:type="dxa"/>
              <w:right w:w="0" w:type="dxa"/>
            </w:tcMar>
          </w:tcPr>
          <w:p w14:paraId="2F507F91" w14:textId="77777777" w:rsidR="002B32A0" w:rsidRPr="00CE1D7F" w:rsidRDefault="002B32A0" w:rsidP="006258ED">
            <w:pPr>
              <w:pStyle w:val="Tablecolumnheadings"/>
            </w:pPr>
          </w:p>
        </w:tc>
        <w:tc>
          <w:tcPr>
            <w:tcW w:w="1523" w:type="dxa"/>
            <w:vMerge w:val="restart"/>
            <w:tcBorders>
              <w:top w:val="nil"/>
              <w:left w:val="nil"/>
              <w:bottom w:val="nil"/>
              <w:right w:val="nil"/>
            </w:tcBorders>
            <w:shd w:val="clear" w:color="auto" w:fill="140034"/>
            <w:hideMark/>
          </w:tcPr>
          <w:p w14:paraId="3E3A9CC4" w14:textId="77777777" w:rsidR="002B32A0" w:rsidRPr="00CE1D7F" w:rsidRDefault="002B32A0" w:rsidP="006258ED">
            <w:pPr>
              <w:pStyle w:val="Tablecolumnheadings"/>
              <w:jc w:val="center"/>
            </w:pPr>
            <w:r w:rsidRPr="00CE1D7F">
              <w:t xml:space="preserve">Total </w:t>
            </w:r>
          </w:p>
          <w:p w14:paraId="699CE2CB" w14:textId="77777777" w:rsidR="002B32A0" w:rsidRPr="00CE1D7F" w:rsidRDefault="002B32A0" w:rsidP="006258ED">
            <w:pPr>
              <w:pStyle w:val="Tablecolumnheadings"/>
              <w:jc w:val="center"/>
            </w:pPr>
            <w:r w:rsidRPr="00CE1D7F">
              <w:t>(2002-2046)</w:t>
            </w:r>
          </w:p>
        </w:tc>
        <w:tc>
          <w:tcPr>
            <w:tcW w:w="4570" w:type="dxa"/>
            <w:gridSpan w:val="3"/>
            <w:tcBorders>
              <w:top w:val="nil"/>
              <w:left w:val="nil"/>
              <w:bottom w:val="nil"/>
              <w:right w:val="single" w:sz="6" w:space="0" w:color="140034"/>
            </w:tcBorders>
            <w:shd w:val="clear" w:color="auto" w:fill="140034"/>
            <w:hideMark/>
          </w:tcPr>
          <w:p w14:paraId="42B56C8C" w14:textId="77777777" w:rsidR="002B32A0" w:rsidRPr="00CE1D7F" w:rsidRDefault="002B32A0" w:rsidP="006258ED">
            <w:pPr>
              <w:pStyle w:val="Tablecolumnheadings"/>
              <w:jc w:val="center"/>
            </w:pPr>
            <w:r w:rsidRPr="00CE1D7F">
              <w:t>Net present value</w:t>
            </w:r>
          </w:p>
        </w:tc>
      </w:tr>
      <w:tr w:rsidR="002B32A0" w:rsidRPr="00CE1D7F" w14:paraId="55E82A68" w14:textId="77777777" w:rsidTr="006258ED">
        <w:trPr>
          <w:tblHeader/>
        </w:trPr>
        <w:tc>
          <w:tcPr>
            <w:tcW w:w="14157" w:type="dxa"/>
            <w:gridSpan w:val="2"/>
            <w:vMerge/>
            <w:tcBorders>
              <w:top w:val="nil"/>
              <w:left w:val="nil"/>
              <w:bottom w:val="nil"/>
              <w:right w:val="nil"/>
            </w:tcBorders>
            <w:vAlign w:val="center"/>
            <w:hideMark/>
          </w:tcPr>
          <w:p w14:paraId="624DE6BB" w14:textId="77777777" w:rsidR="002B32A0" w:rsidRPr="00CE1D7F" w:rsidRDefault="002B32A0" w:rsidP="006258ED">
            <w:pPr>
              <w:spacing w:before="0" w:after="0" w:line="256" w:lineRule="auto"/>
              <w:rPr>
                <w:b/>
                <w:color w:val="FFFFFF" w:themeColor="background1"/>
                <w:sz w:val="20"/>
              </w:rPr>
            </w:pPr>
          </w:p>
        </w:tc>
        <w:tc>
          <w:tcPr>
            <w:tcW w:w="1523" w:type="dxa"/>
            <w:vMerge/>
            <w:tcBorders>
              <w:top w:val="nil"/>
              <w:left w:val="nil"/>
              <w:bottom w:val="nil"/>
              <w:right w:val="nil"/>
            </w:tcBorders>
            <w:vAlign w:val="center"/>
            <w:hideMark/>
          </w:tcPr>
          <w:p w14:paraId="61997C9B" w14:textId="77777777" w:rsidR="002B32A0" w:rsidRPr="00CE1D7F" w:rsidRDefault="002B32A0" w:rsidP="006258ED">
            <w:pPr>
              <w:spacing w:before="0" w:after="0" w:line="256" w:lineRule="auto"/>
              <w:rPr>
                <w:b/>
                <w:color w:val="FFFFFF" w:themeColor="background1"/>
                <w:sz w:val="20"/>
              </w:rPr>
            </w:pPr>
          </w:p>
        </w:tc>
        <w:tc>
          <w:tcPr>
            <w:tcW w:w="1523" w:type="dxa"/>
            <w:tcBorders>
              <w:top w:val="nil"/>
              <w:left w:val="nil"/>
              <w:bottom w:val="nil"/>
              <w:right w:val="nil"/>
            </w:tcBorders>
            <w:shd w:val="clear" w:color="auto" w:fill="140034"/>
            <w:hideMark/>
          </w:tcPr>
          <w:p w14:paraId="584E3CFE" w14:textId="77777777" w:rsidR="002B32A0" w:rsidRPr="00CE1D7F" w:rsidRDefault="002B32A0" w:rsidP="006258ED">
            <w:pPr>
              <w:pStyle w:val="Tablecolumnheadings"/>
              <w:jc w:val="right"/>
            </w:pPr>
            <w:r w:rsidRPr="00CE1D7F">
              <w:t>3%</w:t>
            </w:r>
          </w:p>
        </w:tc>
        <w:tc>
          <w:tcPr>
            <w:tcW w:w="1523" w:type="dxa"/>
            <w:tcBorders>
              <w:top w:val="nil"/>
              <w:left w:val="nil"/>
              <w:bottom w:val="nil"/>
              <w:right w:val="nil"/>
            </w:tcBorders>
            <w:shd w:val="clear" w:color="auto" w:fill="140034"/>
            <w:hideMark/>
          </w:tcPr>
          <w:p w14:paraId="4C86D1B0" w14:textId="77777777" w:rsidR="002B32A0" w:rsidRPr="00CE1D7F" w:rsidRDefault="002B32A0" w:rsidP="006258ED">
            <w:pPr>
              <w:pStyle w:val="Tablecolumnheadings"/>
              <w:jc w:val="right"/>
            </w:pPr>
            <w:r w:rsidRPr="00CE1D7F">
              <w:t>7%</w:t>
            </w:r>
          </w:p>
        </w:tc>
        <w:tc>
          <w:tcPr>
            <w:tcW w:w="1524" w:type="dxa"/>
            <w:tcBorders>
              <w:top w:val="nil"/>
              <w:left w:val="nil"/>
              <w:bottom w:val="nil"/>
              <w:right w:val="single" w:sz="6" w:space="0" w:color="140034"/>
            </w:tcBorders>
            <w:shd w:val="clear" w:color="auto" w:fill="140034"/>
            <w:hideMark/>
          </w:tcPr>
          <w:p w14:paraId="6B27189D" w14:textId="77777777" w:rsidR="002B32A0" w:rsidRPr="00CE1D7F" w:rsidRDefault="002B32A0" w:rsidP="006258ED">
            <w:pPr>
              <w:pStyle w:val="Tablecolumnheadings"/>
              <w:jc w:val="right"/>
            </w:pPr>
            <w:r w:rsidRPr="00CE1D7F">
              <w:t>10%</w:t>
            </w:r>
          </w:p>
        </w:tc>
      </w:tr>
      <w:tr w:rsidR="002B32A0" w:rsidRPr="00CE1D7F" w14:paraId="59715D2B" w14:textId="77777777" w:rsidTr="006258ED">
        <w:trPr>
          <w:gridBefore w:val="1"/>
          <w:wBefore w:w="454" w:type="dxa"/>
        </w:trPr>
        <w:tc>
          <w:tcPr>
            <w:tcW w:w="3805" w:type="dxa"/>
            <w:tcBorders>
              <w:top w:val="single" w:sz="4" w:space="0" w:color="646464"/>
              <w:left w:val="nil"/>
              <w:bottom w:val="single" w:sz="4" w:space="0" w:color="646464"/>
              <w:right w:val="nil"/>
            </w:tcBorders>
            <w:hideMark/>
          </w:tcPr>
          <w:p w14:paraId="46AFBCDC" w14:textId="77777777" w:rsidR="002B32A0" w:rsidRPr="00CE1D7F" w:rsidRDefault="002B32A0" w:rsidP="006258ED">
            <w:pPr>
              <w:pStyle w:val="Tabletext"/>
            </w:pPr>
            <w:r w:rsidRPr="00CE1D7F">
              <w:t>State and Territory payroll taxes</w:t>
            </w:r>
          </w:p>
        </w:tc>
        <w:tc>
          <w:tcPr>
            <w:tcW w:w="1523" w:type="dxa"/>
            <w:tcBorders>
              <w:top w:val="single" w:sz="4" w:space="0" w:color="646464"/>
              <w:left w:val="nil"/>
              <w:bottom w:val="single" w:sz="4" w:space="0" w:color="646464"/>
              <w:right w:val="nil"/>
            </w:tcBorders>
            <w:hideMark/>
          </w:tcPr>
          <w:p w14:paraId="5EED1F08" w14:textId="77777777" w:rsidR="002B32A0" w:rsidRPr="00CE1D7F" w:rsidRDefault="002B32A0" w:rsidP="006258ED">
            <w:pPr>
              <w:pStyle w:val="Tabletext"/>
              <w:jc w:val="right"/>
              <w:rPr>
                <w:szCs w:val="20"/>
              </w:rPr>
            </w:pPr>
            <w:r w:rsidRPr="00CE1D7F">
              <w:t xml:space="preserve"> 2,176 </w:t>
            </w:r>
          </w:p>
        </w:tc>
        <w:tc>
          <w:tcPr>
            <w:tcW w:w="1523" w:type="dxa"/>
            <w:tcBorders>
              <w:top w:val="single" w:sz="4" w:space="0" w:color="646464"/>
              <w:left w:val="nil"/>
              <w:bottom w:val="single" w:sz="4" w:space="0" w:color="646464"/>
              <w:right w:val="nil"/>
            </w:tcBorders>
            <w:hideMark/>
          </w:tcPr>
          <w:p w14:paraId="49CC7150" w14:textId="77777777" w:rsidR="002B32A0" w:rsidRPr="00CE1D7F" w:rsidRDefault="002B32A0" w:rsidP="006258ED">
            <w:pPr>
              <w:pStyle w:val="Tabletext"/>
              <w:jc w:val="right"/>
              <w:rPr>
                <w:szCs w:val="20"/>
              </w:rPr>
            </w:pPr>
            <w:r w:rsidRPr="00CE1D7F">
              <w:t xml:space="preserve"> 1,020 </w:t>
            </w:r>
          </w:p>
        </w:tc>
        <w:tc>
          <w:tcPr>
            <w:tcW w:w="1523" w:type="dxa"/>
            <w:tcBorders>
              <w:top w:val="single" w:sz="4" w:space="0" w:color="646464"/>
              <w:left w:val="nil"/>
              <w:bottom w:val="single" w:sz="4" w:space="0" w:color="646464"/>
              <w:right w:val="nil"/>
            </w:tcBorders>
            <w:hideMark/>
          </w:tcPr>
          <w:p w14:paraId="4323EA1F" w14:textId="77777777" w:rsidR="002B32A0" w:rsidRPr="00CE1D7F" w:rsidRDefault="002B32A0" w:rsidP="006258ED">
            <w:pPr>
              <w:pStyle w:val="Tabletext"/>
              <w:jc w:val="right"/>
              <w:rPr>
                <w:szCs w:val="20"/>
              </w:rPr>
            </w:pPr>
            <w:r w:rsidRPr="00CE1D7F">
              <w:t xml:space="preserve"> 416 </w:t>
            </w:r>
          </w:p>
        </w:tc>
        <w:tc>
          <w:tcPr>
            <w:tcW w:w="1524" w:type="dxa"/>
            <w:tcBorders>
              <w:top w:val="single" w:sz="4" w:space="0" w:color="646464"/>
              <w:left w:val="nil"/>
              <w:bottom w:val="single" w:sz="4" w:space="0" w:color="646464"/>
              <w:right w:val="nil"/>
            </w:tcBorders>
            <w:hideMark/>
          </w:tcPr>
          <w:p w14:paraId="53D97BDB" w14:textId="77777777" w:rsidR="002B32A0" w:rsidRPr="00CE1D7F" w:rsidRDefault="002B32A0" w:rsidP="006258ED">
            <w:pPr>
              <w:pStyle w:val="Tabletext"/>
              <w:jc w:val="right"/>
              <w:rPr>
                <w:szCs w:val="20"/>
              </w:rPr>
            </w:pPr>
            <w:r w:rsidRPr="00CE1D7F">
              <w:t xml:space="preserve"> 229 </w:t>
            </w:r>
          </w:p>
        </w:tc>
      </w:tr>
      <w:tr w:rsidR="002B32A0" w:rsidRPr="00CE1D7F" w14:paraId="10EE2255" w14:textId="77777777" w:rsidTr="006258ED">
        <w:trPr>
          <w:gridBefore w:val="1"/>
          <w:wBefore w:w="454" w:type="dxa"/>
        </w:trPr>
        <w:tc>
          <w:tcPr>
            <w:tcW w:w="3805" w:type="dxa"/>
            <w:tcBorders>
              <w:top w:val="single" w:sz="4" w:space="0" w:color="646464"/>
              <w:left w:val="nil"/>
              <w:bottom w:val="single" w:sz="4" w:space="0" w:color="646464"/>
              <w:right w:val="nil"/>
            </w:tcBorders>
            <w:hideMark/>
          </w:tcPr>
          <w:p w14:paraId="6D1027F0" w14:textId="77777777" w:rsidR="002B32A0" w:rsidRPr="00CE1D7F" w:rsidRDefault="002B32A0" w:rsidP="006258ED">
            <w:pPr>
              <w:pStyle w:val="Tabletext"/>
            </w:pPr>
            <w:r w:rsidRPr="00CE1D7F">
              <w:t>Federal personal income taxes</w:t>
            </w:r>
          </w:p>
        </w:tc>
        <w:tc>
          <w:tcPr>
            <w:tcW w:w="1523" w:type="dxa"/>
            <w:tcBorders>
              <w:top w:val="single" w:sz="4" w:space="0" w:color="646464"/>
              <w:left w:val="nil"/>
              <w:bottom w:val="single" w:sz="4" w:space="0" w:color="646464"/>
              <w:right w:val="nil"/>
            </w:tcBorders>
            <w:hideMark/>
          </w:tcPr>
          <w:p w14:paraId="1FD922EB" w14:textId="77777777" w:rsidR="002B32A0" w:rsidRPr="00CE1D7F" w:rsidRDefault="002B32A0" w:rsidP="006258ED">
            <w:pPr>
              <w:pStyle w:val="Tabletext"/>
              <w:jc w:val="right"/>
              <w:rPr>
                <w:szCs w:val="20"/>
              </w:rPr>
            </w:pPr>
            <w:r w:rsidRPr="00CE1D7F">
              <w:t xml:space="preserve"> 21,059 </w:t>
            </w:r>
          </w:p>
        </w:tc>
        <w:tc>
          <w:tcPr>
            <w:tcW w:w="1523" w:type="dxa"/>
            <w:tcBorders>
              <w:top w:val="single" w:sz="4" w:space="0" w:color="646464"/>
              <w:left w:val="nil"/>
              <w:bottom w:val="single" w:sz="4" w:space="0" w:color="646464"/>
              <w:right w:val="nil"/>
            </w:tcBorders>
            <w:hideMark/>
          </w:tcPr>
          <w:p w14:paraId="681D473E" w14:textId="77777777" w:rsidR="002B32A0" w:rsidRPr="00CE1D7F" w:rsidRDefault="002B32A0" w:rsidP="006258ED">
            <w:pPr>
              <w:pStyle w:val="Tabletext"/>
              <w:jc w:val="right"/>
              <w:rPr>
                <w:szCs w:val="20"/>
              </w:rPr>
            </w:pPr>
            <w:r w:rsidRPr="00CE1D7F">
              <w:t xml:space="preserve"> 9,776 </w:t>
            </w:r>
          </w:p>
        </w:tc>
        <w:tc>
          <w:tcPr>
            <w:tcW w:w="1523" w:type="dxa"/>
            <w:tcBorders>
              <w:top w:val="single" w:sz="4" w:space="0" w:color="646464"/>
              <w:left w:val="nil"/>
              <w:bottom w:val="single" w:sz="4" w:space="0" w:color="646464"/>
              <w:right w:val="nil"/>
            </w:tcBorders>
            <w:hideMark/>
          </w:tcPr>
          <w:p w14:paraId="4643065E" w14:textId="77777777" w:rsidR="002B32A0" w:rsidRPr="00CE1D7F" w:rsidRDefault="002B32A0" w:rsidP="006258ED">
            <w:pPr>
              <w:pStyle w:val="Tabletext"/>
              <w:jc w:val="right"/>
              <w:rPr>
                <w:szCs w:val="20"/>
              </w:rPr>
            </w:pPr>
            <w:r w:rsidRPr="00CE1D7F">
              <w:t xml:space="preserve"> 3,920 </w:t>
            </w:r>
          </w:p>
        </w:tc>
        <w:tc>
          <w:tcPr>
            <w:tcW w:w="1524" w:type="dxa"/>
            <w:tcBorders>
              <w:top w:val="single" w:sz="4" w:space="0" w:color="646464"/>
              <w:left w:val="nil"/>
              <w:bottom w:val="single" w:sz="4" w:space="0" w:color="646464"/>
              <w:right w:val="nil"/>
            </w:tcBorders>
            <w:hideMark/>
          </w:tcPr>
          <w:p w14:paraId="14580CC2" w14:textId="77777777" w:rsidR="002B32A0" w:rsidRPr="00CE1D7F" w:rsidRDefault="002B32A0" w:rsidP="006258ED">
            <w:pPr>
              <w:pStyle w:val="Tabletext"/>
              <w:jc w:val="right"/>
              <w:rPr>
                <w:szCs w:val="20"/>
              </w:rPr>
            </w:pPr>
            <w:r w:rsidRPr="00CE1D7F">
              <w:t xml:space="preserve"> 2,125 </w:t>
            </w:r>
          </w:p>
        </w:tc>
      </w:tr>
      <w:tr w:rsidR="002B32A0" w:rsidRPr="00CE1D7F" w14:paraId="49D659EC" w14:textId="77777777" w:rsidTr="006258ED">
        <w:trPr>
          <w:gridBefore w:val="1"/>
          <w:wBefore w:w="454" w:type="dxa"/>
        </w:trPr>
        <w:tc>
          <w:tcPr>
            <w:tcW w:w="3805" w:type="dxa"/>
            <w:tcBorders>
              <w:top w:val="single" w:sz="4" w:space="0" w:color="646464"/>
              <w:left w:val="nil"/>
              <w:bottom w:val="single" w:sz="4" w:space="0" w:color="646464"/>
              <w:right w:val="nil"/>
            </w:tcBorders>
            <w:hideMark/>
          </w:tcPr>
          <w:p w14:paraId="1AA7BEAB" w14:textId="77777777" w:rsidR="002B32A0" w:rsidRPr="00CE1D7F" w:rsidRDefault="002B32A0" w:rsidP="006258ED">
            <w:pPr>
              <w:pStyle w:val="Tabletext"/>
              <w:rPr>
                <w:b/>
                <w:bCs/>
              </w:rPr>
            </w:pPr>
            <w:r w:rsidRPr="00CE1D7F">
              <w:t>Federal company income taxes</w:t>
            </w:r>
          </w:p>
        </w:tc>
        <w:tc>
          <w:tcPr>
            <w:tcW w:w="1523" w:type="dxa"/>
            <w:tcBorders>
              <w:top w:val="single" w:sz="4" w:space="0" w:color="646464"/>
              <w:left w:val="nil"/>
              <w:bottom w:val="single" w:sz="4" w:space="0" w:color="646464"/>
              <w:right w:val="nil"/>
            </w:tcBorders>
            <w:hideMark/>
          </w:tcPr>
          <w:p w14:paraId="304A6AE8" w14:textId="77777777" w:rsidR="002B32A0" w:rsidRPr="00CE1D7F" w:rsidRDefault="002B32A0" w:rsidP="006258ED">
            <w:pPr>
              <w:pStyle w:val="Tabletext"/>
              <w:jc w:val="right"/>
              <w:rPr>
                <w:szCs w:val="20"/>
              </w:rPr>
            </w:pPr>
            <w:r w:rsidRPr="00CE1D7F">
              <w:t xml:space="preserve"> 2,033 </w:t>
            </w:r>
          </w:p>
        </w:tc>
        <w:tc>
          <w:tcPr>
            <w:tcW w:w="1523" w:type="dxa"/>
            <w:tcBorders>
              <w:top w:val="single" w:sz="4" w:space="0" w:color="646464"/>
              <w:left w:val="nil"/>
              <w:bottom w:val="single" w:sz="4" w:space="0" w:color="646464"/>
              <w:right w:val="nil"/>
            </w:tcBorders>
            <w:hideMark/>
          </w:tcPr>
          <w:p w14:paraId="31F41661" w14:textId="77777777" w:rsidR="002B32A0" w:rsidRPr="00CE1D7F" w:rsidRDefault="002B32A0" w:rsidP="006258ED">
            <w:pPr>
              <w:pStyle w:val="Tabletext"/>
              <w:jc w:val="right"/>
              <w:rPr>
                <w:szCs w:val="20"/>
              </w:rPr>
            </w:pPr>
            <w:r w:rsidRPr="00CE1D7F">
              <w:t xml:space="preserve"> 991 </w:t>
            </w:r>
          </w:p>
        </w:tc>
        <w:tc>
          <w:tcPr>
            <w:tcW w:w="1523" w:type="dxa"/>
            <w:tcBorders>
              <w:top w:val="single" w:sz="4" w:space="0" w:color="646464"/>
              <w:left w:val="nil"/>
              <w:bottom w:val="single" w:sz="4" w:space="0" w:color="646464"/>
              <w:right w:val="nil"/>
            </w:tcBorders>
            <w:hideMark/>
          </w:tcPr>
          <w:p w14:paraId="7C0B67BE" w14:textId="77777777" w:rsidR="002B32A0" w:rsidRPr="00CE1D7F" w:rsidRDefault="002B32A0" w:rsidP="006258ED">
            <w:pPr>
              <w:pStyle w:val="Tabletext"/>
              <w:jc w:val="right"/>
              <w:rPr>
                <w:szCs w:val="20"/>
              </w:rPr>
            </w:pPr>
            <w:r w:rsidRPr="00CE1D7F">
              <w:t xml:space="preserve"> 422 </w:t>
            </w:r>
          </w:p>
        </w:tc>
        <w:tc>
          <w:tcPr>
            <w:tcW w:w="1524" w:type="dxa"/>
            <w:tcBorders>
              <w:top w:val="single" w:sz="4" w:space="0" w:color="646464"/>
              <w:left w:val="nil"/>
              <w:bottom w:val="single" w:sz="4" w:space="0" w:color="646464"/>
              <w:right w:val="nil"/>
            </w:tcBorders>
            <w:hideMark/>
          </w:tcPr>
          <w:p w14:paraId="5C97E26D" w14:textId="77777777" w:rsidR="002B32A0" w:rsidRPr="00CE1D7F" w:rsidRDefault="002B32A0" w:rsidP="006258ED">
            <w:pPr>
              <w:pStyle w:val="Tabletext"/>
              <w:jc w:val="right"/>
              <w:rPr>
                <w:szCs w:val="20"/>
              </w:rPr>
            </w:pPr>
            <w:r w:rsidRPr="00CE1D7F">
              <w:t xml:space="preserve"> 238 </w:t>
            </w:r>
          </w:p>
        </w:tc>
      </w:tr>
      <w:tr w:rsidR="002B32A0" w:rsidRPr="00CE1D7F" w14:paraId="2A70562A" w14:textId="77777777" w:rsidTr="006258ED">
        <w:trPr>
          <w:gridBefore w:val="1"/>
          <w:wBefore w:w="454" w:type="dxa"/>
        </w:trPr>
        <w:tc>
          <w:tcPr>
            <w:tcW w:w="3805" w:type="dxa"/>
            <w:tcBorders>
              <w:top w:val="single" w:sz="4" w:space="0" w:color="646464"/>
              <w:left w:val="nil"/>
              <w:bottom w:val="single" w:sz="4" w:space="0" w:color="646464"/>
              <w:right w:val="nil"/>
            </w:tcBorders>
            <w:hideMark/>
          </w:tcPr>
          <w:p w14:paraId="3F4482E8" w14:textId="77777777" w:rsidR="002B32A0" w:rsidRPr="00CE1D7F" w:rsidRDefault="002B32A0" w:rsidP="006258ED">
            <w:pPr>
              <w:pStyle w:val="Tabletext"/>
            </w:pPr>
            <w:r w:rsidRPr="00CE1D7F">
              <w:t>GST</w:t>
            </w:r>
          </w:p>
        </w:tc>
        <w:tc>
          <w:tcPr>
            <w:tcW w:w="1523" w:type="dxa"/>
            <w:tcBorders>
              <w:top w:val="single" w:sz="4" w:space="0" w:color="646464"/>
              <w:left w:val="nil"/>
              <w:bottom w:val="single" w:sz="4" w:space="0" w:color="646464"/>
              <w:right w:val="nil"/>
            </w:tcBorders>
            <w:hideMark/>
          </w:tcPr>
          <w:p w14:paraId="425EE5C2" w14:textId="77777777" w:rsidR="002B32A0" w:rsidRPr="00CE1D7F" w:rsidRDefault="002B32A0" w:rsidP="006258ED">
            <w:pPr>
              <w:pStyle w:val="Tabletext"/>
              <w:jc w:val="right"/>
              <w:rPr>
                <w:szCs w:val="20"/>
              </w:rPr>
            </w:pPr>
            <w:r w:rsidRPr="00CE1D7F">
              <w:t xml:space="preserve"> 4,436 </w:t>
            </w:r>
          </w:p>
        </w:tc>
        <w:tc>
          <w:tcPr>
            <w:tcW w:w="1523" w:type="dxa"/>
            <w:tcBorders>
              <w:top w:val="single" w:sz="4" w:space="0" w:color="646464"/>
              <w:left w:val="nil"/>
              <w:bottom w:val="single" w:sz="4" w:space="0" w:color="646464"/>
              <w:right w:val="nil"/>
            </w:tcBorders>
            <w:hideMark/>
          </w:tcPr>
          <w:p w14:paraId="4DA11765" w14:textId="77777777" w:rsidR="002B32A0" w:rsidRPr="00CE1D7F" w:rsidRDefault="002B32A0" w:rsidP="006258ED">
            <w:pPr>
              <w:pStyle w:val="Tabletext"/>
              <w:jc w:val="right"/>
              <w:rPr>
                <w:szCs w:val="20"/>
              </w:rPr>
            </w:pPr>
            <w:r w:rsidRPr="00CE1D7F">
              <w:t xml:space="preserve"> 2,111 </w:t>
            </w:r>
          </w:p>
        </w:tc>
        <w:tc>
          <w:tcPr>
            <w:tcW w:w="1523" w:type="dxa"/>
            <w:tcBorders>
              <w:top w:val="single" w:sz="4" w:space="0" w:color="646464"/>
              <w:left w:val="nil"/>
              <w:bottom w:val="single" w:sz="4" w:space="0" w:color="646464"/>
              <w:right w:val="nil"/>
            </w:tcBorders>
            <w:hideMark/>
          </w:tcPr>
          <w:p w14:paraId="380B6851" w14:textId="77777777" w:rsidR="002B32A0" w:rsidRPr="00CE1D7F" w:rsidRDefault="002B32A0" w:rsidP="006258ED">
            <w:pPr>
              <w:pStyle w:val="Tabletext"/>
              <w:jc w:val="right"/>
              <w:rPr>
                <w:szCs w:val="20"/>
              </w:rPr>
            </w:pPr>
            <w:r w:rsidRPr="00CE1D7F">
              <w:t xml:space="preserve"> 865 </w:t>
            </w:r>
          </w:p>
        </w:tc>
        <w:tc>
          <w:tcPr>
            <w:tcW w:w="1524" w:type="dxa"/>
            <w:tcBorders>
              <w:top w:val="single" w:sz="4" w:space="0" w:color="646464"/>
              <w:left w:val="nil"/>
              <w:bottom w:val="single" w:sz="4" w:space="0" w:color="646464"/>
              <w:right w:val="nil"/>
            </w:tcBorders>
            <w:hideMark/>
          </w:tcPr>
          <w:p w14:paraId="28ADB11C" w14:textId="77777777" w:rsidR="002B32A0" w:rsidRPr="00CE1D7F" w:rsidRDefault="002B32A0" w:rsidP="006258ED">
            <w:pPr>
              <w:pStyle w:val="Tabletext"/>
              <w:jc w:val="right"/>
              <w:rPr>
                <w:szCs w:val="20"/>
              </w:rPr>
            </w:pPr>
            <w:r w:rsidRPr="00CE1D7F">
              <w:t xml:space="preserve"> 473 </w:t>
            </w:r>
          </w:p>
        </w:tc>
      </w:tr>
      <w:tr w:rsidR="002B32A0" w:rsidRPr="00CE1D7F" w14:paraId="769B8389" w14:textId="77777777" w:rsidTr="006258ED">
        <w:trPr>
          <w:gridBefore w:val="1"/>
          <w:wBefore w:w="454" w:type="dxa"/>
        </w:trPr>
        <w:tc>
          <w:tcPr>
            <w:tcW w:w="3805" w:type="dxa"/>
            <w:tcBorders>
              <w:top w:val="single" w:sz="4" w:space="0" w:color="646464"/>
              <w:left w:val="nil"/>
              <w:bottom w:val="single" w:sz="4" w:space="0" w:color="646464"/>
              <w:right w:val="nil"/>
            </w:tcBorders>
            <w:hideMark/>
          </w:tcPr>
          <w:p w14:paraId="32A65EAD" w14:textId="77777777" w:rsidR="002B32A0" w:rsidRPr="00CE1D7F" w:rsidRDefault="002B32A0" w:rsidP="006258ED">
            <w:pPr>
              <w:pStyle w:val="Tabletext"/>
            </w:pPr>
            <w:r w:rsidRPr="00CE1D7F">
              <w:t>Other State and Federal Government taxes</w:t>
            </w:r>
          </w:p>
        </w:tc>
        <w:tc>
          <w:tcPr>
            <w:tcW w:w="1523" w:type="dxa"/>
            <w:tcBorders>
              <w:top w:val="single" w:sz="4" w:space="0" w:color="646464"/>
              <w:left w:val="nil"/>
              <w:bottom w:val="single" w:sz="4" w:space="0" w:color="646464"/>
              <w:right w:val="nil"/>
            </w:tcBorders>
            <w:hideMark/>
          </w:tcPr>
          <w:p w14:paraId="338AEF63" w14:textId="77777777" w:rsidR="002B32A0" w:rsidRPr="00CE1D7F" w:rsidRDefault="002B32A0" w:rsidP="006258ED">
            <w:pPr>
              <w:pStyle w:val="Tabletext"/>
              <w:jc w:val="right"/>
              <w:rPr>
                <w:szCs w:val="20"/>
              </w:rPr>
            </w:pPr>
            <w:r w:rsidRPr="00CE1D7F">
              <w:t xml:space="preserve"> 4,616 </w:t>
            </w:r>
          </w:p>
        </w:tc>
        <w:tc>
          <w:tcPr>
            <w:tcW w:w="1523" w:type="dxa"/>
            <w:tcBorders>
              <w:top w:val="single" w:sz="4" w:space="0" w:color="646464"/>
              <w:left w:val="nil"/>
              <w:bottom w:val="single" w:sz="4" w:space="0" w:color="646464"/>
              <w:right w:val="nil"/>
            </w:tcBorders>
            <w:hideMark/>
          </w:tcPr>
          <w:p w14:paraId="740E68F3" w14:textId="77777777" w:rsidR="002B32A0" w:rsidRPr="00CE1D7F" w:rsidRDefault="002B32A0" w:rsidP="006258ED">
            <w:pPr>
              <w:pStyle w:val="Tabletext"/>
              <w:jc w:val="right"/>
              <w:rPr>
                <w:szCs w:val="20"/>
              </w:rPr>
            </w:pPr>
            <w:r w:rsidRPr="00CE1D7F">
              <w:t xml:space="preserve"> 2,103 </w:t>
            </w:r>
          </w:p>
        </w:tc>
        <w:tc>
          <w:tcPr>
            <w:tcW w:w="1523" w:type="dxa"/>
            <w:tcBorders>
              <w:top w:val="single" w:sz="4" w:space="0" w:color="646464"/>
              <w:left w:val="nil"/>
              <w:bottom w:val="single" w:sz="4" w:space="0" w:color="646464"/>
              <w:right w:val="nil"/>
            </w:tcBorders>
            <w:hideMark/>
          </w:tcPr>
          <w:p w14:paraId="67DD3720" w14:textId="77777777" w:rsidR="002B32A0" w:rsidRPr="00CE1D7F" w:rsidRDefault="002B32A0" w:rsidP="006258ED">
            <w:pPr>
              <w:pStyle w:val="Tabletext"/>
              <w:jc w:val="right"/>
              <w:rPr>
                <w:szCs w:val="20"/>
              </w:rPr>
            </w:pPr>
            <w:r w:rsidRPr="00CE1D7F">
              <w:t xml:space="preserve"> 836 </w:t>
            </w:r>
          </w:p>
        </w:tc>
        <w:tc>
          <w:tcPr>
            <w:tcW w:w="1524" w:type="dxa"/>
            <w:tcBorders>
              <w:top w:val="single" w:sz="4" w:space="0" w:color="646464"/>
              <w:left w:val="nil"/>
              <w:bottom w:val="single" w:sz="4" w:space="0" w:color="646464"/>
              <w:right w:val="nil"/>
            </w:tcBorders>
            <w:hideMark/>
          </w:tcPr>
          <w:p w14:paraId="2C98A26A" w14:textId="77777777" w:rsidR="002B32A0" w:rsidRPr="00CE1D7F" w:rsidRDefault="002B32A0" w:rsidP="006258ED">
            <w:pPr>
              <w:pStyle w:val="Tabletext"/>
              <w:jc w:val="right"/>
              <w:rPr>
                <w:szCs w:val="20"/>
              </w:rPr>
            </w:pPr>
            <w:r w:rsidRPr="00CE1D7F">
              <w:t xml:space="preserve"> 454 </w:t>
            </w:r>
          </w:p>
        </w:tc>
      </w:tr>
      <w:tr w:rsidR="002B32A0" w:rsidRPr="00CE1D7F" w14:paraId="0CB2778A" w14:textId="77777777" w:rsidTr="0057113B">
        <w:trPr>
          <w:gridBefore w:val="1"/>
          <w:wBefore w:w="454" w:type="dxa"/>
        </w:trPr>
        <w:tc>
          <w:tcPr>
            <w:tcW w:w="3805" w:type="dxa"/>
            <w:tcBorders>
              <w:top w:val="single" w:sz="4" w:space="0" w:color="646464"/>
              <w:left w:val="nil"/>
              <w:bottom w:val="single" w:sz="4" w:space="0" w:color="646464"/>
              <w:right w:val="nil"/>
            </w:tcBorders>
            <w:shd w:val="clear" w:color="auto" w:fill="EBE6F2" w:themeFill="accent1" w:themeFillTint="33"/>
            <w:hideMark/>
          </w:tcPr>
          <w:p w14:paraId="47122677" w14:textId="77777777" w:rsidR="002B32A0" w:rsidRPr="00CE1D7F" w:rsidRDefault="002B32A0" w:rsidP="006258ED">
            <w:pPr>
              <w:pStyle w:val="Tabletext"/>
              <w:rPr>
                <w:b/>
                <w:bCs/>
              </w:rPr>
            </w:pPr>
            <w:r w:rsidRPr="00CE1D7F">
              <w:rPr>
                <w:b/>
                <w:bCs/>
              </w:rPr>
              <w:t>Total Australia</w:t>
            </w:r>
          </w:p>
        </w:tc>
        <w:tc>
          <w:tcPr>
            <w:tcW w:w="1523" w:type="dxa"/>
            <w:tcBorders>
              <w:top w:val="single" w:sz="4" w:space="0" w:color="646464"/>
              <w:left w:val="nil"/>
              <w:bottom w:val="single" w:sz="4" w:space="0" w:color="646464"/>
              <w:right w:val="nil"/>
            </w:tcBorders>
            <w:shd w:val="clear" w:color="auto" w:fill="EBE6F2" w:themeFill="accent1" w:themeFillTint="33"/>
            <w:hideMark/>
          </w:tcPr>
          <w:p w14:paraId="1E5A7B46" w14:textId="77777777" w:rsidR="002B32A0" w:rsidRPr="00CE1D7F" w:rsidRDefault="002B32A0" w:rsidP="006258ED">
            <w:pPr>
              <w:pStyle w:val="Tabletext"/>
              <w:jc w:val="right"/>
              <w:rPr>
                <w:b/>
                <w:bCs/>
                <w:szCs w:val="20"/>
              </w:rPr>
            </w:pPr>
            <w:r w:rsidRPr="00CE1D7F">
              <w:rPr>
                <w:b/>
                <w:bCs/>
              </w:rPr>
              <w:t xml:space="preserve"> 34,319 </w:t>
            </w:r>
          </w:p>
        </w:tc>
        <w:tc>
          <w:tcPr>
            <w:tcW w:w="1523" w:type="dxa"/>
            <w:tcBorders>
              <w:top w:val="single" w:sz="4" w:space="0" w:color="646464"/>
              <w:left w:val="nil"/>
              <w:bottom w:val="single" w:sz="4" w:space="0" w:color="646464"/>
              <w:right w:val="nil"/>
            </w:tcBorders>
            <w:shd w:val="clear" w:color="auto" w:fill="EBE6F2" w:themeFill="accent1" w:themeFillTint="33"/>
            <w:hideMark/>
          </w:tcPr>
          <w:p w14:paraId="1037F051" w14:textId="77777777" w:rsidR="002B32A0" w:rsidRPr="00CE1D7F" w:rsidRDefault="002B32A0" w:rsidP="006258ED">
            <w:pPr>
              <w:pStyle w:val="Tabletext"/>
              <w:jc w:val="right"/>
              <w:rPr>
                <w:b/>
                <w:bCs/>
                <w:szCs w:val="20"/>
              </w:rPr>
            </w:pPr>
            <w:r w:rsidRPr="00CE1D7F">
              <w:rPr>
                <w:b/>
                <w:bCs/>
              </w:rPr>
              <w:t xml:space="preserve"> 16,003 </w:t>
            </w:r>
          </w:p>
        </w:tc>
        <w:tc>
          <w:tcPr>
            <w:tcW w:w="1523" w:type="dxa"/>
            <w:tcBorders>
              <w:top w:val="single" w:sz="4" w:space="0" w:color="646464"/>
              <w:left w:val="nil"/>
              <w:bottom w:val="single" w:sz="4" w:space="0" w:color="646464"/>
              <w:right w:val="nil"/>
            </w:tcBorders>
            <w:shd w:val="clear" w:color="auto" w:fill="EBE6F2" w:themeFill="accent1" w:themeFillTint="33"/>
            <w:hideMark/>
          </w:tcPr>
          <w:p w14:paraId="4D0B1CA1" w14:textId="77777777" w:rsidR="002B32A0" w:rsidRPr="00CE1D7F" w:rsidRDefault="002B32A0" w:rsidP="006258ED">
            <w:pPr>
              <w:pStyle w:val="Tabletext"/>
              <w:jc w:val="right"/>
              <w:rPr>
                <w:b/>
                <w:bCs/>
                <w:szCs w:val="20"/>
              </w:rPr>
            </w:pPr>
            <w:r w:rsidRPr="00CE1D7F">
              <w:rPr>
                <w:b/>
                <w:bCs/>
              </w:rPr>
              <w:t xml:space="preserve"> 6,458 </w:t>
            </w:r>
          </w:p>
        </w:tc>
        <w:tc>
          <w:tcPr>
            <w:tcW w:w="1524" w:type="dxa"/>
            <w:tcBorders>
              <w:top w:val="single" w:sz="4" w:space="0" w:color="646464"/>
              <w:left w:val="nil"/>
              <w:bottom w:val="single" w:sz="4" w:space="0" w:color="646464"/>
              <w:right w:val="nil"/>
            </w:tcBorders>
            <w:shd w:val="clear" w:color="auto" w:fill="EBE6F2" w:themeFill="accent1" w:themeFillTint="33"/>
            <w:hideMark/>
          </w:tcPr>
          <w:p w14:paraId="3E563816" w14:textId="77777777" w:rsidR="002B32A0" w:rsidRPr="00CE1D7F" w:rsidRDefault="002B32A0" w:rsidP="006258ED">
            <w:pPr>
              <w:pStyle w:val="Tabletext"/>
              <w:jc w:val="right"/>
              <w:rPr>
                <w:b/>
                <w:bCs/>
                <w:szCs w:val="20"/>
              </w:rPr>
            </w:pPr>
            <w:r w:rsidRPr="00CE1D7F">
              <w:rPr>
                <w:b/>
                <w:bCs/>
              </w:rPr>
              <w:t xml:space="preserve"> 3,520 </w:t>
            </w:r>
          </w:p>
        </w:tc>
      </w:tr>
      <w:tr w:rsidR="002B32A0" w:rsidRPr="00CE1D7F" w14:paraId="257CC7BB" w14:textId="77777777" w:rsidTr="006258ED">
        <w:trPr>
          <w:gridBefore w:val="1"/>
          <w:wBefore w:w="454" w:type="dxa"/>
        </w:trPr>
        <w:tc>
          <w:tcPr>
            <w:tcW w:w="9898" w:type="dxa"/>
            <w:gridSpan w:val="5"/>
            <w:tcBorders>
              <w:top w:val="single" w:sz="4" w:space="0" w:color="646464"/>
              <w:left w:val="nil"/>
              <w:bottom w:val="single" w:sz="4" w:space="0" w:color="646464"/>
              <w:right w:val="nil"/>
            </w:tcBorders>
            <w:hideMark/>
          </w:tcPr>
          <w:p w14:paraId="35A0B0EA" w14:textId="77777777" w:rsidR="002B32A0" w:rsidRPr="00CE1D7F" w:rsidRDefault="002B32A0" w:rsidP="006258ED">
            <w:pPr>
              <w:pStyle w:val="Source"/>
              <w:rPr>
                <w:i w:val="0"/>
                <w:iCs/>
              </w:rPr>
            </w:pPr>
            <w:r w:rsidRPr="00CE1D7F">
              <w:rPr>
                <w:i w:val="0"/>
                <w:iCs/>
              </w:rPr>
              <w:t>Note: Other State and Federal Government taxes include stamp duties, motor vehicles, gambling, insurances, excises and duties, tariffs, etc.</w:t>
            </w:r>
          </w:p>
          <w:p w14:paraId="70AFDB4B" w14:textId="77777777" w:rsidR="002B32A0" w:rsidRPr="00CE1D7F" w:rsidRDefault="002B32A0" w:rsidP="006258ED">
            <w:pPr>
              <w:pStyle w:val="Source"/>
            </w:pPr>
            <w:r w:rsidRPr="00CE1D7F">
              <w:t>Source: ACIL Allen modelling.</w:t>
            </w:r>
          </w:p>
        </w:tc>
      </w:tr>
      <w:tr w:rsidR="002B32A0" w:rsidRPr="00CE1D7F" w14:paraId="0D3AEB0F" w14:textId="77777777" w:rsidTr="006258ED">
        <w:trPr>
          <w:gridBefore w:val="1"/>
          <w:wBefore w:w="454" w:type="dxa"/>
          <w:trHeight w:val="160"/>
        </w:trPr>
        <w:tc>
          <w:tcPr>
            <w:tcW w:w="9898" w:type="dxa"/>
            <w:gridSpan w:val="5"/>
            <w:tcBorders>
              <w:top w:val="single" w:sz="4" w:space="0" w:color="646464"/>
              <w:left w:val="nil"/>
              <w:bottom w:val="nil"/>
              <w:right w:val="nil"/>
            </w:tcBorders>
          </w:tcPr>
          <w:p w14:paraId="3F071199" w14:textId="77777777" w:rsidR="002B32A0" w:rsidRPr="00CE1D7F" w:rsidRDefault="002B32A0" w:rsidP="006258ED">
            <w:pPr>
              <w:pStyle w:val="spacer"/>
            </w:pPr>
          </w:p>
        </w:tc>
      </w:tr>
      <w:bookmarkEnd w:id="55"/>
      <w:bookmarkEnd w:id="64"/>
      <w:bookmarkEnd w:id="83"/>
    </w:tbl>
    <w:p w14:paraId="28585513" w14:textId="77777777" w:rsidR="002B32A0" w:rsidRPr="00CE1D7F" w:rsidRDefault="002B32A0" w:rsidP="002B32A0">
      <w:pPr>
        <w:pStyle w:val="BodyText"/>
        <w:spacing w:before="0" w:after="0" w:line="240" w:lineRule="auto"/>
        <w:rPr>
          <w:sz w:val="8"/>
          <w:szCs w:val="8"/>
        </w:rPr>
      </w:pPr>
    </w:p>
    <w:p w14:paraId="5FC47D56" w14:textId="77777777" w:rsidR="002B32A0" w:rsidRDefault="002B32A0" w:rsidP="002B32A0">
      <w:pPr>
        <w:pStyle w:val="Heading2"/>
      </w:pPr>
      <w:bookmarkStart w:id="107" w:name="_Ref129358438"/>
      <w:bookmarkStart w:id="108" w:name="_Ref129359890"/>
      <w:bookmarkStart w:id="109" w:name="_Toc129963953"/>
      <w:bookmarkStart w:id="110" w:name="_Toc131174592"/>
      <w:bookmarkStart w:id="111" w:name="_Toc132970644"/>
      <w:bookmarkStart w:id="112" w:name="_Toc135323683"/>
      <w:bookmarkStart w:id="113" w:name="_Ref129604586"/>
      <w:r w:rsidRPr="00CE1D7F">
        <w:t>Other economi</w:t>
      </w:r>
      <w:r w:rsidRPr="00CE1D7F">
        <w:rPr>
          <w:noProof/>
        </w:rPr>
        <mc:AlternateContent>
          <mc:Choice Requires="wps">
            <w:drawing>
              <wp:anchor distT="0" distB="0" distL="114300" distR="114300" simplePos="0" relativeHeight="251664384" behindDoc="0" locked="1" layoutInCell="1" allowOverlap="1" wp14:anchorId="7E74B0E2" wp14:editId="4E643089">
                <wp:simplePos x="0" y="0"/>
                <wp:positionH relativeFrom="page">
                  <wp:posOffset>402590</wp:posOffset>
                </wp:positionH>
                <wp:positionV relativeFrom="paragraph">
                  <wp:posOffset>156210</wp:posOffset>
                </wp:positionV>
                <wp:extent cx="1289050" cy="732790"/>
                <wp:effectExtent l="0" t="0" r="0" b="0"/>
                <wp:wrapNone/>
                <wp:docPr id="579" name="Text Box 5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289050" cy="7327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6053BF2" w14:textId="77777777" w:rsidR="002B32A0" w:rsidRPr="00537EDE" w:rsidRDefault="002B32A0" w:rsidP="002B32A0">
                            <w:pPr>
                              <w:pStyle w:val="SideNoteRegularRight"/>
                              <w:jc w:val="left"/>
                              <w:rPr>
                                <w:sz w:val="24"/>
                                <w:szCs w:val="20"/>
                              </w:rPr>
                            </w:pPr>
                            <w:r w:rsidRPr="00537EDE">
                              <w:rPr>
                                <w:szCs w:val="18"/>
                              </w:rPr>
                              <w:t xml:space="preserve">KEQ 1. What are the short-, medium- and long-term outcomes and impacts of </w:t>
                            </w:r>
                            <w:r>
                              <w:rPr>
                                <w:szCs w:val="18"/>
                              </w:rPr>
                              <w:t>ARC-funded</w:t>
                            </w:r>
                            <w:r w:rsidRPr="00537EDE">
                              <w:rPr>
                                <w:szCs w:val="18"/>
                              </w:rPr>
                              <w:t xml:space="preserve"> research? Is the NCGP achieving its intended outcomes?</w:t>
                            </w:r>
                          </w:p>
                        </w:txbxContent>
                      </wps:txbx>
                      <wps:bodyPr rot="0" spcFirstLastPara="0" vertOverflow="overflow" horzOverflow="overflow" vert="horz" wrap="square" lIns="0" tIns="0" rIns="76200" bIns="762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E74B0E2" id="Text Box 579" o:spid="_x0000_s1027" type="#_x0000_t202" alt="&quot;&quot;" style="position:absolute;left:0;text-align:left;margin-left:31.7pt;margin-top:12.3pt;width:101.5pt;height:57.7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" filled="f" stroked="f" strokeweight=".5pt">
                <v:textbox style="mso-fit-shape-to-text:t" inset="0,0,6pt,6pt">
                  <w:txbxContent>
                    <w:p w14:paraId="56053BF2" w14:textId="77777777" w:rsidR="002B32A0" w:rsidRPr="00537EDE" w:rsidRDefault="002B32A0" w:rsidP="002B32A0">
                      <w:pPr>
                        <w:pStyle w:val="SideNoteRegularRight"/>
                        <w:jc w:val="left"/>
                        <w:rPr>
                          <w:sz w:val="24"/>
                          <w:szCs w:val="20"/>
                        </w:rPr>
                      </w:pPr>
                      <w:r w:rsidRPr="00537EDE">
                        <w:rPr>
                          <w:szCs w:val="18"/>
                        </w:rPr>
                        <w:t xml:space="preserve">KEQ 1. What are the short-, medium- and long-term outcomes and impacts of </w:t>
                      </w:r>
                      <w:r>
                        <w:rPr>
                          <w:szCs w:val="18"/>
                        </w:rPr>
                        <w:t>ARC-funded</w:t>
                      </w:r>
                      <w:r w:rsidRPr="00537EDE">
                        <w:rPr>
                          <w:szCs w:val="18"/>
                        </w:rPr>
                        <w:t xml:space="preserve"> research? Is the NCGP achieving its intended outcomes?</w:t>
                      </w:r>
                    </w:p>
                  </w:txbxContent>
                </v:textbox>
                <w10:wrap anchorx="page"/>
                <w10:anchorlock/>
              </v:shape>
            </w:pict>
          </mc:Fallback>
        </mc:AlternateContent>
      </w:r>
      <w:r w:rsidRPr="00CE1D7F">
        <w:t>c impacts</w:t>
      </w:r>
      <w:bookmarkEnd w:id="107"/>
      <w:bookmarkEnd w:id="108"/>
      <w:bookmarkEnd w:id="109"/>
      <w:bookmarkEnd w:id="110"/>
      <w:bookmarkEnd w:id="111"/>
      <w:bookmarkEnd w:id="112"/>
      <w:r w:rsidRPr="00CE1D7F">
        <w:t xml:space="preserve"> </w:t>
      </w:r>
      <w:bookmarkEnd w:id="113"/>
    </w:p>
    <w:p w14:paraId="401B31FB" w14:textId="0A9154CF" w:rsidR="000B0AC7" w:rsidRPr="00CE1D7F" w:rsidRDefault="000B0AC7" w:rsidP="006258ED">
      <w:pPr>
        <w:pStyle w:val="Caption"/>
      </w:pPr>
      <w:r w:rsidRPr="00CE1D7F">
        <w:rPr>
          <w:rStyle w:val="CaptionLabel"/>
        </w:rPr>
        <w:t>Key Finding </w:t>
      </w:r>
      <w:r w:rsidRPr="00CE1D7F">
        <w:rPr>
          <w:rStyle w:val="CaptionLabel"/>
        </w:rPr>
        <w:fldChar w:fldCharType="begin"/>
      </w:r>
      <w:r w:rsidRPr="00CE1D7F">
        <w:rPr>
          <w:rStyle w:val="CaptionLabel"/>
        </w:rPr>
        <w:instrText xml:space="preserve"> SEQ Key_Finding \* ARABIC  \* MERGEFORMAT </w:instrText>
      </w:r>
      <w:r w:rsidRPr="00CE1D7F">
        <w:rPr>
          <w:rStyle w:val="CaptionLabel"/>
        </w:rPr>
        <w:fldChar w:fldCharType="separate"/>
      </w:r>
      <w:r>
        <w:rPr>
          <w:rStyle w:val="CaptionLabel"/>
          <w:noProof/>
        </w:rPr>
        <w:t>2</w:t>
      </w:r>
      <w:r w:rsidRPr="00CE1D7F">
        <w:rPr>
          <w:rStyle w:val="CaptionLabel"/>
        </w:rPr>
        <w:fldChar w:fldCharType="end"/>
      </w:r>
      <w:r w:rsidRPr="00CE1D7F">
        <w:tab/>
        <w:t>Other economic impacts</w:t>
      </w:r>
    </w:p>
    <w:tbl>
      <w:tblPr>
        <w:tblStyle w:val="aacTableBox"/>
        <w:tblW w:w="0" w:type="auto"/>
        <w:tblLayout w:type="fixed"/>
        <w:tblLook w:val="04A0" w:firstRow="1" w:lastRow="0" w:firstColumn="1" w:lastColumn="0" w:noHBand="0" w:noVBand="1"/>
        <w:tblCaption w:val="Key Finding 2"/>
        <w:tblDescription w:val="Other economic impacts"/>
      </w:tblPr>
      <w:tblGrid>
        <w:gridCol w:w="7936"/>
      </w:tblGrid>
      <w:tr w:rsidR="002B32A0" w:rsidRPr="00CE1D7F" w14:paraId="7C8C1EE0" w14:textId="77777777" w:rsidTr="000B0AC7">
        <w:tc>
          <w:tcPr>
            <w:tcW w:w="7936" w:type="dxa"/>
          </w:tcPr>
          <w:p w14:paraId="1BE8E1B0" w14:textId="77777777" w:rsidR="002B32A0" w:rsidRPr="001A6DB5" w:rsidRDefault="002B32A0" w:rsidP="006258ED">
            <w:pPr>
              <w:pStyle w:val="BoxText"/>
              <w:rPr>
                <w:sz w:val="22"/>
                <w:szCs w:val="24"/>
              </w:rPr>
            </w:pPr>
            <w:bookmarkStart w:id="114" w:name="_Hlk129358098"/>
            <w:r w:rsidRPr="001A6DB5">
              <w:rPr>
                <w:sz w:val="22"/>
                <w:szCs w:val="24"/>
                <w:lang w:eastAsia="en-AU"/>
              </w:rPr>
              <w:t xml:space="preserve">The NCGP is delivering broad economic impacts, including </w:t>
            </w:r>
            <w:r w:rsidRPr="001A6DB5">
              <w:rPr>
                <w:sz w:val="22"/>
                <w:szCs w:val="24"/>
              </w:rPr>
              <w:t xml:space="preserve">commercial outcomes such as invention disclosures, patents filed, training and spin-out/spin-off companies. These directly support the intended outcomes of the Discovery and Linkage Programs. </w:t>
            </w:r>
            <w:bookmarkEnd w:id="114"/>
            <w:r w:rsidRPr="001A6DB5">
              <w:rPr>
                <w:sz w:val="22"/>
                <w:szCs w:val="24"/>
              </w:rPr>
              <w:t>Outcomes are most likely to be experienced by the Education and Training, and Professional, Scientific and Technical Services sectors.</w:t>
            </w:r>
          </w:p>
          <w:p w14:paraId="5026D37C" w14:textId="77777777" w:rsidR="002B32A0" w:rsidRPr="00CE1D7F" w:rsidRDefault="002B32A0" w:rsidP="006258ED">
            <w:pPr>
              <w:pStyle w:val="BoxText"/>
            </w:pPr>
            <w:r w:rsidRPr="001A6DB5">
              <w:rPr>
                <w:sz w:val="22"/>
                <w:szCs w:val="24"/>
              </w:rPr>
              <w:t xml:space="preserve">The case studies evidence the breadth of commercial and innovation outcomes, including commercialising and licensing technology, building innovative approaches and infrastructure, launching start-up and spin-off companies, and </w:t>
            </w:r>
            <w:r>
              <w:rPr>
                <w:sz w:val="22"/>
                <w:szCs w:val="24"/>
              </w:rPr>
              <w:t>generating intellectual property (</w:t>
            </w:r>
            <w:r w:rsidRPr="001A6DB5">
              <w:rPr>
                <w:sz w:val="22"/>
                <w:szCs w:val="24"/>
              </w:rPr>
              <w:t>IP</w:t>
            </w:r>
            <w:r>
              <w:rPr>
                <w:sz w:val="22"/>
                <w:szCs w:val="24"/>
              </w:rPr>
              <w:t>)</w:t>
            </w:r>
            <w:r w:rsidRPr="001A6DB5">
              <w:rPr>
                <w:sz w:val="22"/>
                <w:szCs w:val="24"/>
              </w:rPr>
              <w:t xml:space="preserve"> and patents.</w:t>
            </w:r>
          </w:p>
        </w:tc>
      </w:tr>
    </w:tbl>
    <w:p w14:paraId="55BDE79E" w14:textId="77777777" w:rsidR="000B0AC7" w:rsidRPr="00CE1D7F" w:rsidRDefault="000B0AC7" w:rsidP="006258ED">
      <w:pPr>
        <w:pStyle w:val="Source"/>
      </w:pPr>
    </w:p>
    <w:p w14:paraId="6FE7591B" w14:textId="77777777" w:rsidR="002B32A0" w:rsidRPr="00CE1D7F" w:rsidRDefault="002B32A0" w:rsidP="002B32A0">
      <w:r w:rsidRPr="00CE1D7F">
        <w:t xml:space="preserve">A range of other economic impacts associated with NCGP-funded research have been identified by survey recipients and are evident in the program data collected by ARC. </w:t>
      </w:r>
    </w:p>
    <w:p w14:paraId="19524A16" w14:textId="3269405F" w:rsidR="002B32A0" w:rsidRPr="00CE1D7F" w:rsidRDefault="002B32A0" w:rsidP="00DB1566">
      <w:pPr>
        <w:keepNext/>
        <w:keepLines/>
      </w:pPr>
      <w:r w:rsidRPr="00CE1D7F">
        <w:lastRenderedPageBreak/>
        <w:t xml:space="preserve">The survey results </w:t>
      </w:r>
      <w:r w:rsidRPr="000922B7">
        <w:t>and final report data show evidence of significant commercial outcomes from NCGP research</w:t>
      </w:r>
      <w:r>
        <w:t xml:space="preserve">. The survey data </w:t>
      </w:r>
      <w:r w:rsidRPr="00CE1D7F">
        <w:t>show a higher proportion of projects reporting commercial outcomes than for final report data</w:t>
      </w:r>
      <w:r>
        <w:t>, likely due to the longer lag time allowed for impact to emerge</w:t>
      </w:r>
      <w:r w:rsidRPr="00CE1D7F">
        <w:t xml:space="preserve"> (see </w:t>
      </w:r>
      <w:r w:rsidRPr="00F87D0E">
        <w:fldChar w:fldCharType="begin"/>
      </w:r>
      <w:r w:rsidRPr="00F87D0E">
        <w:instrText xml:space="preserve"> REF _Ref129355795 \h  \* MERGEFORMAT </w:instrText>
      </w:r>
      <w:r w:rsidRPr="00F87D0E">
        <w:fldChar w:fldCharType="separate"/>
      </w:r>
      <w:r w:rsidR="000B0AC7" w:rsidRPr="000B0AC7">
        <w:t>Figure D.6</w:t>
      </w:r>
      <w:r w:rsidRPr="00F87D0E">
        <w:fldChar w:fldCharType="end"/>
      </w:r>
      <w:r w:rsidRPr="00CE1D7F">
        <w:t xml:space="preserve"> and </w:t>
      </w:r>
      <w:r w:rsidRPr="00F87D0E">
        <w:fldChar w:fldCharType="begin"/>
      </w:r>
      <w:r w:rsidRPr="00F87D0E">
        <w:instrText xml:space="preserve"> REF _Ref129355831 \h  \* MERGEFORMAT </w:instrText>
      </w:r>
      <w:r w:rsidRPr="00F87D0E">
        <w:fldChar w:fldCharType="separate"/>
      </w:r>
      <w:r w:rsidR="000B0AC7" w:rsidRPr="000B0AC7">
        <w:t>Figure D.7</w:t>
      </w:r>
      <w:r w:rsidRPr="00F87D0E">
        <w:fldChar w:fldCharType="end"/>
      </w:r>
      <w:r w:rsidRPr="00CE1D7F">
        <w:t xml:space="preserve">). These commonly related to training, with 35% of Discovery and 26% of Linkage Program respondents reporting training outcomes (see </w:t>
      </w:r>
      <w:r w:rsidRPr="00F87D0E">
        <w:fldChar w:fldCharType="begin"/>
      </w:r>
      <w:r w:rsidRPr="00F87D0E">
        <w:instrText xml:space="preserve"> REF _Ref123903662 \h  \* MERGEFORMAT </w:instrText>
      </w:r>
      <w:r w:rsidRPr="00F87D0E">
        <w:fldChar w:fldCharType="separate"/>
      </w:r>
      <w:r w:rsidR="000B0AC7" w:rsidRPr="000B0AC7">
        <w:t>Figure 2.9</w:t>
      </w:r>
      <w:r w:rsidRPr="00F87D0E">
        <w:fldChar w:fldCharType="end"/>
      </w:r>
      <w:r w:rsidRPr="00CE1D7F">
        <w:t xml:space="preserve">). Discovery Program projects were next most likely to report consulting and contracting (17%), and Linkage Program projects to report improved products or services (19%). </w:t>
      </w:r>
    </w:p>
    <w:p w14:paraId="04F0F7CD" w14:textId="77777777" w:rsidR="002B32A0" w:rsidRPr="00CE1D7F" w:rsidRDefault="002B32A0" w:rsidP="002B32A0">
      <w:r w:rsidRPr="00CE1D7F">
        <w:t>The program data shows that 2</w:t>
      </w:r>
      <w:r>
        <w:t>16 unique</w:t>
      </w:r>
      <w:r w:rsidRPr="00CE1D7F">
        <w:t xml:space="preserve"> start-up/spin-out companies were formed by NCGP-funded research</w:t>
      </w:r>
      <w:r>
        <w:t>.</w:t>
      </w:r>
      <w:r w:rsidRPr="00CE1D7F">
        <w:t xml:space="preserve"> This equates to approximately 0.2</w:t>
      </w:r>
      <w:r>
        <w:t>30</w:t>
      </w:r>
      <w:r w:rsidRPr="00CE1D7F">
        <w:t xml:space="preserve"> start-up/spin-out companies per $1</w:t>
      </w:r>
      <w:r>
        <w:t> million</w:t>
      </w:r>
      <w:r w:rsidRPr="00CE1D7F">
        <w:t xml:space="preserve"> of funding invested</w:t>
      </w:r>
      <w:r>
        <w:t xml:space="preserve"> specifically</w:t>
      </w:r>
      <w:r w:rsidRPr="00CE1D7F">
        <w:t xml:space="preserve"> in the </w:t>
      </w:r>
      <w:r>
        <w:t xml:space="preserve">projects that spun out these </w:t>
      </w:r>
      <w:r w:rsidRPr="00CE1D7F">
        <w:t>companies, or 0.0188 compared to the total value of ARC funding invested. This is in line with an international comparator, with SFI funding resulting in 13 start-ups in 2021, with funding of AU$362</w:t>
      </w:r>
      <w:r>
        <w:t> million</w:t>
      </w:r>
      <w:r w:rsidRPr="00CE1D7F">
        <w:t xml:space="preserve"> awarded, or 0.036 companies per $1</w:t>
      </w:r>
      <w:r>
        <w:t> million</w:t>
      </w:r>
      <w:r w:rsidRPr="00CE1D7F">
        <w:t xml:space="preserve"> of funding invested. For UKRI, 1,027 start-ups were created between 2017-21, with AU$52.3</w:t>
      </w:r>
      <w:r>
        <w:t> billion</w:t>
      </w:r>
      <w:r w:rsidRPr="00CE1D7F">
        <w:t xml:space="preserve"> of funding invested, or 0.0196 companies per $1</w:t>
      </w:r>
      <w:r>
        <w:t> million</w:t>
      </w:r>
      <w:r w:rsidRPr="00CE1D7F">
        <w:t xml:space="preserve"> of funding invested. Although this is an approximation, it shows that the ARC-funded research is leading to start-ups at a similar rate as international comparators.</w:t>
      </w:r>
    </w:p>
    <w:p w14:paraId="2B5F23BA" w14:textId="75AA0E6C" w:rsidR="002B32A0" w:rsidRPr="00CE1D7F" w:rsidRDefault="002B32A0" w:rsidP="002B32A0">
      <w:r w:rsidRPr="00CE1D7F">
        <w:t xml:space="preserve">Survey data also shows that 2-3 times more projects report spin-out/spin-off companies than in final report data (see </w:t>
      </w:r>
      <w:r w:rsidRPr="00F87D0E">
        <w:fldChar w:fldCharType="begin"/>
      </w:r>
      <w:r w:rsidRPr="00F87D0E">
        <w:instrText xml:space="preserve"> REF _Ref129355795 \h  \* MERGEFORMAT </w:instrText>
      </w:r>
      <w:r w:rsidRPr="00F87D0E">
        <w:fldChar w:fldCharType="separate"/>
      </w:r>
      <w:r w:rsidR="000B0AC7" w:rsidRPr="000B0AC7">
        <w:t>Figure D.6</w:t>
      </w:r>
      <w:r w:rsidRPr="00F87D0E">
        <w:fldChar w:fldCharType="end"/>
      </w:r>
      <w:r w:rsidRPr="00CE1D7F">
        <w:t>). A total of 169 start-up/spin-off companies were formed across the survey respondents. While this may be influenced in part by the sample of researchers responding to the survey, this likely highlights the time taken for these impacts to emerge and the importance of capturing data at an appropriate time to ensure outcomes and impacts have had time to emerge.</w:t>
      </w:r>
    </w:p>
    <w:p w14:paraId="7BEA6F82" w14:textId="7607646C" w:rsidR="002B32A0" w:rsidRPr="00CE1D7F" w:rsidRDefault="002B32A0" w:rsidP="002B32A0">
      <w:r w:rsidRPr="00CE1D7F">
        <w:t xml:space="preserve">These outcomes are most likely to be experienced by the Education and Training sector for both Discovery (22% of respondents) and Linkage (18%) Program projects, followed by Professional, Scientific and Technical Services (both 12%, see </w:t>
      </w:r>
      <w:r w:rsidRPr="00F87D0E">
        <w:fldChar w:fldCharType="begin"/>
      </w:r>
      <w:r w:rsidRPr="00F87D0E">
        <w:instrText xml:space="preserve"> REF _Ref129355577 \h  \* MERGEFORMAT </w:instrText>
      </w:r>
      <w:r w:rsidRPr="00F87D0E">
        <w:fldChar w:fldCharType="separate"/>
      </w:r>
      <w:r w:rsidR="000B0AC7" w:rsidRPr="000B0AC7">
        <w:t>Figure B.5</w:t>
      </w:r>
      <w:r w:rsidRPr="00F87D0E">
        <w:fldChar w:fldCharType="end"/>
      </w:r>
      <w:r w:rsidRPr="00CE1D7F">
        <w:t xml:space="preserve">). </w:t>
      </w:r>
    </w:p>
    <w:p w14:paraId="1A1396FF" w14:textId="3CBF9943" w:rsidR="000B0AC7" w:rsidRPr="00CE1D7F" w:rsidRDefault="000B0AC7" w:rsidP="000B0AC7">
      <w:pPr>
        <w:pStyle w:val="Caption"/>
        <w:ind w:left="1308" w:hanging="1308"/>
      </w:pPr>
      <w:bookmarkStart w:id="115" w:name="_Ref123903662"/>
      <w:r w:rsidRPr="00CE1D7F">
        <w:rPr>
          <w:rStyle w:val="CaptionLabel"/>
        </w:rPr>
        <w:t>Figure </w:t>
      </w:r>
      <w:r w:rsidRPr="00CE1D7F">
        <w:rPr>
          <w:rStyle w:val="CaptionLabel"/>
        </w:rPr>
        <w:fldChar w:fldCharType="begin"/>
      </w:r>
      <w:r w:rsidRPr="00CE1D7F">
        <w:rPr>
          <w:rStyle w:val="CaptionLabel"/>
        </w:rPr>
        <w:instrText xml:space="preserve"> STYLEREF 1 \s </w:instrText>
      </w:r>
      <w:r w:rsidRPr="00CE1D7F">
        <w:rPr>
          <w:rStyle w:val="CaptionLabel"/>
        </w:rPr>
        <w:fldChar w:fldCharType="separate"/>
      </w:r>
      <w:r>
        <w:rPr>
          <w:rStyle w:val="CaptionLabel"/>
          <w:noProof/>
        </w:rPr>
        <w:t>2</w:t>
      </w:r>
      <w:r w:rsidRPr="00CE1D7F">
        <w:rPr>
          <w:rStyle w:val="CaptionLabel"/>
        </w:rPr>
        <w:fldChar w:fldCharType="end"/>
      </w:r>
      <w:r w:rsidRPr="00CE1D7F">
        <w:rPr>
          <w:rStyle w:val="CaptionLabel"/>
        </w:rPr>
        <w:t>.</w:t>
      </w:r>
      <w:r w:rsidRPr="00CE1D7F">
        <w:rPr>
          <w:rStyle w:val="CaptionLabel"/>
        </w:rPr>
        <w:fldChar w:fldCharType="begin"/>
      </w:r>
      <w:r w:rsidRPr="00CE1D7F">
        <w:rPr>
          <w:rStyle w:val="CaptionLabel"/>
        </w:rPr>
        <w:instrText xml:space="preserve"> SEQ Figure \* ARABIC \s 1 </w:instrText>
      </w:r>
      <w:r w:rsidRPr="00CE1D7F">
        <w:rPr>
          <w:rStyle w:val="CaptionLabel"/>
        </w:rPr>
        <w:fldChar w:fldCharType="separate"/>
      </w:r>
      <w:r>
        <w:rPr>
          <w:rStyle w:val="CaptionLabel"/>
          <w:noProof/>
        </w:rPr>
        <w:t>9</w:t>
      </w:r>
      <w:r w:rsidRPr="00CE1D7F">
        <w:rPr>
          <w:rStyle w:val="CaptionLabel"/>
        </w:rPr>
        <w:fldChar w:fldCharType="end"/>
      </w:r>
      <w:bookmarkEnd w:id="115"/>
      <w:r w:rsidRPr="00CE1D7F">
        <w:tab/>
        <w:t>Survey results on commercial outcomes from ARC-supported projects</w:t>
      </w:r>
    </w:p>
    <w:tbl>
      <w:tblPr>
        <w:tblW w:w="0" w:type="auto"/>
        <w:tblLayout w:type="fixed"/>
        <w:tblLook w:val="0000" w:firstRow="0" w:lastRow="0" w:firstColumn="0" w:lastColumn="0" w:noHBand="0" w:noVBand="0"/>
      </w:tblPr>
      <w:tblGrid>
        <w:gridCol w:w="7936"/>
      </w:tblGrid>
      <w:tr w:rsidR="002B32A0" w:rsidRPr="00CE1D7F" w14:paraId="4499EEB8" w14:textId="77777777" w:rsidTr="006258ED">
        <w:tc>
          <w:tcPr>
            <w:tcW w:w="7936" w:type="dxa"/>
            <w:tcBorders>
              <w:top w:val="single" w:sz="4" w:space="0" w:color="000100"/>
            </w:tcBorders>
            <w:shd w:val="clear" w:color="auto" w:fill="auto"/>
          </w:tcPr>
          <w:p w14:paraId="54907308" w14:textId="77777777" w:rsidR="002B32A0" w:rsidRPr="00CE1D7F" w:rsidRDefault="002B32A0" w:rsidP="006258ED">
            <w:pPr>
              <w:pStyle w:val="Figure"/>
              <w:rPr>
                <w:noProof/>
              </w:rPr>
            </w:pPr>
            <w:r w:rsidRPr="00CE1D7F">
              <w:rPr>
                <w:noProof/>
              </w:rPr>
              <w:drawing>
                <wp:inline distT="0" distB="0" distL="0" distR="0" wp14:anchorId="2DB00E88" wp14:editId="2C034145">
                  <wp:extent cx="4900931" cy="2238695"/>
                  <wp:effectExtent l="0" t="0" r="0" b="9525"/>
                  <wp:docPr id="89" name="Picture 89" descr="Survey results on commercial outcomes from ARC-supported projects, see description in text abov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Survey results on commercial outcomes from ARC-supported projects, see description in text above figure."/>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t="4248" b="3013"/>
                          <a:stretch/>
                        </pic:blipFill>
                        <pic:spPr bwMode="auto">
                          <a:xfrm>
                            <a:off x="0" y="0"/>
                            <a:ext cx="4901565" cy="223898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B32A0" w:rsidRPr="00CE1D7F" w14:paraId="78595F53" w14:textId="77777777" w:rsidTr="006258ED">
        <w:tblPrEx>
          <w:tblCellMar>
            <w:left w:w="0" w:type="dxa"/>
            <w:right w:w="0" w:type="dxa"/>
          </w:tblCellMar>
        </w:tblPrEx>
        <w:trPr>
          <w:trHeight w:val="137"/>
        </w:trPr>
        <w:tc>
          <w:tcPr>
            <w:tcW w:w="7936" w:type="dxa"/>
            <w:tcBorders>
              <w:bottom w:val="single" w:sz="4" w:space="0" w:color="000100"/>
            </w:tcBorders>
            <w:shd w:val="clear" w:color="auto" w:fill="auto"/>
            <w:tcMar>
              <w:top w:w="12" w:type="dxa"/>
              <w:bottom w:w="113" w:type="dxa"/>
            </w:tcMar>
          </w:tcPr>
          <w:p w14:paraId="6067E980" w14:textId="77777777" w:rsidR="002B32A0" w:rsidRPr="00CE1D7F" w:rsidRDefault="002B32A0" w:rsidP="006258ED">
            <w:pPr>
              <w:pStyle w:val="Source"/>
              <w:rPr>
                <w:i w:val="0"/>
                <w:iCs/>
              </w:rPr>
            </w:pPr>
            <w:r w:rsidRPr="00CE1D7F">
              <w:rPr>
                <w:i w:val="0"/>
                <w:iCs/>
              </w:rPr>
              <w:t>N= 829 Discovery Program and 640 Linkage Program respondents.</w:t>
            </w:r>
          </w:p>
          <w:p w14:paraId="0D75B97B" w14:textId="77777777" w:rsidR="002B32A0" w:rsidRPr="00CE1D7F" w:rsidRDefault="002B32A0" w:rsidP="006258ED">
            <w:pPr>
              <w:pStyle w:val="Source"/>
            </w:pPr>
            <w:r w:rsidRPr="00CE1D7F">
              <w:t>Source: ACIL Allen survey of ARC funding recipients</w:t>
            </w:r>
          </w:p>
        </w:tc>
      </w:tr>
      <w:tr w:rsidR="002B32A0" w:rsidRPr="00CE1D7F" w14:paraId="11E5573A" w14:textId="77777777" w:rsidTr="006258ED">
        <w:tblPrEx>
          <w:tblCellMar>
            <w:left w:w="0" w:type="dxa"/>
            <w:right w:w="0" w:type="dxa"/>
          </w:tblCellMar>
        </w:tblPrEx>
        <w:trPr>
          <w:trHeight w:hRule="exact" w:val="160"/>
        </w:trPr>
        <w:tc>
          <w:tcPr>
            <w:tcW w:w="7936" w:type="dxa"/>
            <w:tcBorders>
              <w:top w:val="single" w:sz="4" w:space="0" w:color="000100"/>
            </w:tcBorders>
            <w:shd w:val="clear" w:color="auto" w:fill="auto"/>
            <w:tcMar>
              <w:top w:w="0" w:type="dxa"/>
              <w:bottom w:w="40" w:type="dxa"/>
            </w:tcMar>
          </w:tcPr>
          <w:p w14:paraId="17AAE379" w14:textId="77777777" w:rsidR="002B32A0" w:rsidRPr="00CE1D7F" w:rsidRDefault="002B32A0" w:rsidP="006258ED">
            <w:pPr>
              <w:pStyle w:val="spacer"/>
            </w:pPr>
          </w:p>
        </w:tc>
      </w:tr>
    </w:tbl>
    <w:p w14:paraId="264FFD60" w14:textId="6AC17CF3" w:rsidR="002B32A0" w:rsidRPr="00CE1D7F" w:rsidRDefault="002B32A0" w:rsidP="002B32A0">
      <w:pPr>
        <w:pStyle w:val="BodyText"/>
      </w:pPr>
      <w:r w:rsidRPr="00CE1D7F">
        <w:t>The case studies (</w:t>
      </w:r>
      <w:r>
        <w:t>see chapters</w:t>
      </w:r>
      <w:r w:rsidR="004738E2">
        <w:t xml:space="preserve"> </w:t>
      </w:r>
      <w:r w:rsidR="004738E2">
        <w:fldChar w:fldCharType="begin"/>
      </w:r>
      <w:r w:rsidR="004738E2">
        <w:instrText xml:space="preserve"> REF _Ref131081145 \r \h </w:instrText>
      </w:r>
      <w:r w:rsidR="004738E2">
        <w:fldChar w:fldCharType="separate"/>
      </w:r>
      <w:r w:rsidR="000B0AC7">
        <w:t>7</w:t>
      </w:r>
      <w:r w:rsidR="004738E2">
        <w:fldChar w:fldCharType="end"/>
      </w:r>
      <w:r w:rsidR="004738E2">
        <w:t xml:space="preserve"> to </w:t>
      </w:r>
      <w:r w:rsidR="004738E2">
        <w:fldChar w:fldCharType="begin"/>
      </w:r>
      <w:r w:rsidR="004738E2">
        <w:instrText xml:space="preserve"> REF _Ref131081387 \r \h </w:instrText>
      </w:r>
      <w:r w:rsidR="004738E2">
        <w:fldChar w:fldCharType="separate"/>
      </w:r>
      <w:r w:rsidR="000B0AC7">
        <w:t>13</w:t>
      </w:r>
      <w:r w:rsidR="004738E2">
        <w:fldChar w:fldCharType="end"/>
      </w:r>
      <w:r w:rsidRPr="00CE1D7F">
        <w:t xml:space="preserve">) provide detailed narratives for how examples of excellent and innovative ARC-funded research contributes to a wide range of commercial and innovation impacts. Some examples are provided below. </w:t>
      </w:r>
      <w:bookmarkStart w:id="116" w:name="_Hlk129358083"/>
      <w:bookmarkStart w:id="117" w:name="_Hlk129358092"/>
      <w:r w:rsidRPr="00CE1D7F">
        <w:t xml:space="preserve">These examples illustrate how research funded by the NCGP delivers the intended outcomes to generate new knowledge, technologies, products and ideas (see </w:t>
      </w:r>
      <w:r>
        <w:t>section </w:t>
      </w:r>
      <w:bookmarkEnd w:id="116"/>
      <w:r w:rsidRPr="00F87D0E">
        <w:fldChar w:fldCharType="begin"/>
      </w:r>
      <w:r w:rsidRPr="00F87D0E">
        <w:instrText xml:space="preserve"> REF _Ref129357726 \r \h  \* MERGEFORMAT </w:instrText>
      </w:r>
      <w:r w:rsidRPr="00F87D0E">
        <w:fldChar w:fldCharType="separate"/>
      </w:r>
      <w:r w:rsidR="000B0AC7">
        <w:t>1.1.1</w:t>
      </w:r>
      <w:r w:rsidRPr="00F87D0E">
        <w:fldChar w:fldCharType="end"/>
      </w:r>
      <w:r w:rsidRPr="00CE1D7F">
        <w:t>).</w:t>
      </w:r>
    </w:p>
    <w:bookmarkEnd w:id="117"/>
    <w:p w14:paraId="65B81348" w14:textId="77777777" w:rsidR="002B32A0" w:rsidRPr="00CE1D7F" w:rsidRDefault="002B32A0" w:rsidP="007F0233">
      <w:pPr>
        <w:pStyle w:val="Heading3"/>
      </w:pPr>
      <w:r w:rsidRPr="00CE1D7F">
        <w:lastRenderedPageBreak/>
        <w:t>Commercialising and licensing technology</w:t>
      </w:r>
    </w:p>
    <w:p w14:paraId="61C88EF7" w14:textId="7D4E407E" w:rsidR="002B32A0" w:rsidRPr="00CE1D7F" w:rsidRDefault="002B32A0" w:rsidP="002B32A0">
      <w:pPr>
        <w:pStyle w:val="BodyText"/>
      </w:pPr>
      <w:r w:rsidRPr="00CE1D7F">
        <w:t xml:space="preserve">The technology developed by UTAS in the </w:t>
      </w:r>
      <w:r w:rsidRPr="00CE1D7F">
        <w:rPr>
          <w:i/>
          <w:iCs/>
        </w:rPr>
        <w:t>Onshore Lobster Aquaculture</w:t>
      </w:r>
      <w:r>
        <w:rPr>
          <w:i/>
          <w:iCs/>
        </w:rPr>
        <w:t xml:space="preserve"> </w:t>
      </w:r>
      <w:r>
        <w:t>(see chapter </w:t>
      </w:r>
      <w:r w:rsidRPr="00F87D0E">
        <w:fldChar w:fldCharType="begin"/>
      </w:r>
      <w:r w:rsidR="00F87D0E" w:rsidRPr="00F87D0E">
        <w:instrText xml:space="preserve"> REF _Ref131077640 \r \h  \* MERGEFORMAT </w:instrText>
      </w:r>
      <w:r w:rsidRPr="00F87D0E">
        <w:fldChar w:fldCharType="separate"/>
      </w:r>
      <w:r w:rsidR="000B0AC7">
        <w:t>10</w:t>
      </w:r>
      <w:r w:rsidRPr="00F87D0E">
        <w:fldChar w:fldCharType="end"/>
      </w:r>
      <w:r>
        <w:t>)</w:t>
      </w:r>
      <w:r w:rsidRPr="00CE1D7F">
        <w:rPr>
          <w:i/>
          <w:iCs/>
        </w:rPr>
        <w:t xml:space="preserve"> </w:t>
      </w:r>
      <w:r w:rsidRPr="00CE1D7F">
        <w:t>case study was licenced to Ornatas in 2018. This firm was specifically established to commercialise and use the technology to operate a commercial lobster aquaculture facility. 4 patents for feed composition and uses, and larval culture and grow-out tank design and operation have been granted or are pending.</w:t>
      </w:r>
    </w:p>
    <w:p w14:paraId="66218374" w14:textId="1ADCEE8D" w:rsidR="002B32A0" w:rsidRPr="00CE1D7F" w:rsidRDefault="002B32A0" w:rsidP="002B32A0">
      <w:pPr>
        <w:pStyle w:val="BodyText"/>
      </w:pPr>
      <w:r w:rsidRPr="00CE1D7F">
        <w:t xml:space="preserve">The research described in the </w:t>
      </w:r>
      <w:r w:rsidRPr="00CE1D7F">
        <w:rPr>
          <w:i/>
          <w:iCs/>
        </w:rPr>
        <w:t>Indigenous persistence in formal learning</w:t>
      </w:r>
      <w:r w:rsidRPr="00CE1D7F">
        <w:t xml:space="preserve"> case study </w:t>
      </w:r>
      <w:r w:rsidRPr="00774AEF">
        <w:t>(</w:t>
      </w:r>
      <w:r>
        <w:t>see chapter </w:t>
      </w:r>
      <w:r w:rsidRPr="00F87D0E">
        <w:fldChar w:fldCharType="begin"/>
      </w:r>
      <w:r w:rsidR="00F87D0E" w:rsidRPr="00F87D0E">
        <w:instrText xml:space="preserve"> REF _Ref131081583 \r \h  \* MERGEFORMAT </w:instrText>
      </w:r>
      <w:r w:rsidRPr="00F87D0E">
        <w:fldChar w:fldCharType="separate"/>
      </w:r>
      <w:r w:rsidR="000B0AC7">
        <w:t>12</w:t>
      </w:r>
      <w:r w:rsidRPr="00F87D0E">
        <w:fldChar w:fldCharType="end"/>
      </w:r>
      <w:r w:rsidRPr="00774AEF">
        <w:t>)</w:t>
      </w:r>
      <w:r>
        <w:t xml:space="preserve"> </w:t>
      </w:r>
      <w:r w:rsidRPr="00CE1D7F">
        <w:t>leveraged student information systems and analytics to develop a bespoke platform, WillowSoft Student Success,</w:t>
      </w:r>
      <w:r w:rsidRPr="00CE1D7F">
        <w:rPr>
          <w:rStyle w:val="FootnoteReference"/>
        </w:rPr>
        <w:footnoteReference w:id="33"/>
      </w:r>
      <w:r w:rsidRPr="00CE1D7F">
        <w:t xml:space="preserve"> for managing student learning. Prof Nakata helped develop the platform in 2018 with industry partner WillowSoft Pty Ltd. This commercial application now supports universities in applying the TAPS (Transitional, Academic, Pastoral, Support) Strategy. A subscription license can be purchased for just over $120,000 per year. As noted on the WillowSoft website:</w:t>
      </w:r>
    </w:p>
    <w:p w14:paraId="2EBCDE4C" w14:textId="77777777" w:rsidR="002B32A0" w:rsidRPr="00CE1D7F" w:rsidRDefault="002B32A0" w:rsidP="002B32A0">
      <w:pPr>
        <w:pStyle w:val="Quote"/>
      </w:pPr>
      <w:r w:rsidRPr="00CE1D7F">
        <w:t>WillowSoft is the only software platform in the world to incorporate over 20 years of Australian academic research in identifying and managing the levers for Indigenous student success. This knowledge is encapsulated in the design of the assessment tools and prescriptive case plan activities.</w:t>
      </w:r>
    </w:p>
    <w:p w14:paraId="1EA8C554" w14:textId="415E6377" w:rsidR="002B32A0" w:rsidRPr="00CE1D7F" w:rsidRDefault="002B32A0" w:rsidP="002B32A0">
      <w:pPr>
        <w:spacing w:before="113" w:after="60"/>
        <w:rPr>
          <w:rFonts w:cstheme="minorBidi"/>
          <w:color w:val="000000" w:themeColor="text1"/>
          <w:kern w:val="24"/>
        </w:rPr>
      </w:pPr>
      <w:r w:rsidRPr="00CE1D7F">
        <w:rPr>
          <w:i/>
          <w:iCs/>
        </w:rPr>
        <w:t>Quantum Computation and Communication Technology</w:t>
      </w:r>
      <w:r w:rsidRPr="00CE1D7F">
        <w:t xml:space="preserve"> </w:t>
      </w:r>
      <w:r>
        <w:t>(see chapter </w:t>
      </w:r>
      <w:r w:rsidRPr="00F87D0E">
        <w:fldChar w:fldCharType="begin"/>
      </w:r>
      <w:r w:rsidR="00F87D0E" w:rsidRPr="00F87D0E">
        <w:instrText xml:space="preserve"> REF _Ref131081145 \r \h  \* MERGEFORMAT </w:instrText>
      </w:r>
      <w:r w:rsidRPr="00F87D0E">
        <w:fldChar w:fldCharType="separate"/>
      </w:r>
      <w:r w:rsidR="000B0AC7">
        <w:t>7</w:t>
      </w:r>
      <w:r w:rsidRPr="00F87D0E">
        <w:fldChar w:fldCharType="end"/>
      </w:r>
      <w:r>
        <w:t xml:space="preserve">) </w:t>
      </w:r>
      <w:r w:rsidRPr="00CE1D7F">
        <w:rPr>
          <w:rFonts w:asciiTheme="minorHAnsi" w:hAnsiTheme="minorHAnsi"/>
        </w:rPr>
        <w:t xml:space="preserve">has contributed immensely to the field of quantum computing and communications in Australia and globally. </w:t>
      </w:r>
      <w:r w:rsidRPr="00555D94">
        <w:rPr>
          <w:rFonts w:asciiTheme="minorHAnsi" w:hAnsiTheme="minorHAnsi"/>
        </w:rPr>
        <w:t>CQC</w:t>
      </w:r>
      <w:r w:rsidRPr="00A014AC">
        <w:rPr>
          <w:rFonts w:asciiTheme="minorHAnsi" w:hAnsiTheme="minorHAnsi"/>
          <w:vertAlign w:val="superscript"/>
        </w:rPr>
        <w:t>2</w:t>
      </w:r>
      <w:r w:rsidRPr="00555D94">
        <w:rPr>
          <w:rFonts w:asciiTheme="minorHAnsi" w:hAnsiTheme="minorHAnsi"/>
        </w:rPr>
        <w:t>T’s vision was to lead the world in discovering and developing quantum information technologies and ensure long-term economic and strategic benefits for Australia. With this in mind, the Centre has implemented strong policies for IP protection and commercialisation.</w:t>
      </w:r>
      <w:r>
        <w:rPr>
          <w:rFonts w:asciiTheme="minorHAnsi" w:hAnsiTheme="minorHAnsi"/>
        </w:rPr>
        <w:t xml:space="preserve"> </w:t>
      </w:r>
      <w:r>
        <w:t xml:space="preserve">There have been over 100 granted patents </w:t>
      </w:r>
      <w:r w:rsidRPr="00F90EE4">
        <w:t>over 43 patent families</w:t>
      </w:r>
      <w:r>
        <w:t xml:space="preserve"> in the centre-related portfolio with an additional 50 patents pending or at the P</w:t>
      </w:r>
      <w:r w:rsidRPr="003B35A8">
        <w:t>atent Cooperation Treaty</w:t>
      </w:r>
      <w:r>
        <w:t xml:space="preserve"> phase. Furthermore, t</w:t>
      </w:r>
      <w:r w:rsidRPr="003B35A8">
        <w:t>he ongoing success of CQC</w:t>
      </w:r>
      <w:r w:rsidRPr="00A014AC">
        <w:rPr>
          <w:vertAlign w:val="superscript"/>
        </w:rPr>
        <w:t>2</w:t>
      </w:r>
      <w:r w:rsidRPr="003B35A8">
        <w:t xml:space="preserve">T has led to the development of </w:t>
      </w:r>
      <w:r>
        <w:t>4</w:t>
      </w:r>
      <w:r w:rsidRPr="003B35A8">
        <w:t xml:space="preserve"> Australian quantum information companies:</w:t>
      </w:r>
      <w:r>
        <w:t xml:space="preserve"> </w:t>
      </w:r>
      <w:r w:rsidRPr="003B35A8">
        <w:t>QuintessenceLabs</w:t>
      </w:r>
      <w:r>
        <w:t xml:space="preserve">, </w:t>
      </w:r>
      <w:r w:rsidRPr="003B35A8">
        <w:t>Silicon Quantum Computing</w:t>
      </w:r>
      <w:r>
        <w:t xml:space="preserve">, </w:t>
      </w:r>
      <w:r w:rsidRPr="003B35A8">
        <w:t>Diraq</w:t>
      </w:r>
      <w:r>
        <w:t xml:space="preserve">, and </w:t>
      </w:r>
      <w:r w:rsidRPr="003B35A8">
        <w:t>Aqacia</w:t>
      </w:r>
      <w:r>
        <w:t>.</w:t>
      </w:r>
    </w:p>
    <w:p w14:paraId="4BA6F870" w14:textId="641F5E2A" w:rsidR="002B32A0" w:rsidRPr="00CE1D7F" w:rsidRDefault="002B32A0" w:rsidP="002B32A0">
      <w:pPr>
        <w:spacing w:before="113" w:after="60"/>
      </w:pPr>
      <w:r w:rsidRPr="00CE1D7F">
        <w:t xml:space="preserve">The </w:t>
      </w:r>
      <w:r w:rsidRPr="00CE1D7F">
        <w:rPr>
          <w:i/>
          <w:iCs/>
        </w:rPr>
        <w:t xml:space="preserve">Irrigation Automation </w:t>
      </w:r>
      <w:r w:rsidRPr="00CE1D7F">
        <w:t xml:space="preserve">case study </w:t>
      </w:r>
      <w:r>
        <w:t>(see chapter </w:t>
      </w:r>
      <w:r w:rsidRPr="00F87D0E">
        <w:fldChar w:fldCharType="begin"/>
      </w:r>
      <w:r w:rsidR="00F87D0E" w:rsidRPr="00F87D0E">
        <w:instrText xml:space="preserve"> REF _Ref131077709 \r \h  \* MERGEFORMAT </w:instrText>
      </w:r>
      <w:r w:rsidRPr="00F87D0E">
        <w:fldChar w:fldCharType="separate"/>
      </w:r>
      <w:r w:rsidR="000B0AC7">
        <w:t>9</w:t>
      </w:r>
      <w:r w:rsidRPr="00F87D0E">
        <w:fldChar w:fldCharType="end"/>
      </w:r>
      <w:r>
        <w:t xml:space="preserve">) </w:t>
      </w:r>
      <w:r w:rsidRPr="00CE1D7F">
        <w:t xml:space="preserve">describes the impact of the Total Channel Control (TCC), which leverages intelligent control devices, software and communications to accurately measure and control the flow of water from the source (such as a river or reservoir) to the farm in real-time, and thus optimise performance monitoring of controllers and demand-driven network control. TCC was introduced to the market in 2002 with the initial pilot project. The solution is used by all major irrigation authorities in Australia, as well as in India, Italy, Central Asia and the United States, with site management solutions in countries such as Chile, Spain, France, New Zealand and Rwanda. The University of Melbourne jointly owns the intellectual property (IP) of many patents with Rubicon Water, including the patents associated with TCC. </w:t>
      </w:r>
    </w:p>
    <w:p w14:paraId="5F95C11E" w14:textId="77777777" w:rsidR="002B32A0" w:rsidRPr="00CE1D7F" w:rsidRDefault="002B32A0" w:rsidP="002B32A0">
      <w:pPr>
        <w:pStyle w:val="Heading3"/>
      </w:pPr>
      <w:r w:rsidRPr="00CE1D7F">
        <w:t>Launching start-up and spin-off companies</w:t>
      </w:r>
    </w:p>
    <w:p w14:paraId="0F1E9356" w14:textId="317B1962" w:rsidR="002B32A0" w:rsidRDefault="002B32A0" w:rsidP="002B32A0">
      <w:pPr>
        <w:pStyle w:val="BodyText"/>
        <w:rPr>
          <w:color w:val="282828"/>
          <w:shd w:val="clear" w:color="auto" w:fill="FFFFFF"/>
        </w:rPr>
      </w:pPr>
      <w:r w:rsidRPr="00CE1D7F">
        <w:rPr>
          <w:i/>
          <w:iCs/>
        </w:rPr>
        <w:t>Quantum Computation and Communication Technology</w:t>
      </w:r>
      <w:r w:rsidRPr="00CE1D7F">
        <w:t xml:space="preserve"> </w:t>
      </w:r>
      <w:r>
        <w:t>(see chapter </w:t>
      </w:r>
      <w:r w:rsidRPr="00F87D0E">
        <w:fldChar w:fldCharType="begin"/>
      </w:r>
      <w:r w:rsidR="00F87D0E" w:rsidRPr="00F87D0E">
        <w:instrText xml:space="preserve"> REF _Ref131081145 \r \h  \* MERGEFORMAT </w:instrText>
      </w:r>
      <w:r w:rsidRPr="00F87D0E">
        <w:fldChar w:fldCharType="separate"/>
      </w:r>
      <w:r w:rsidR="000B0AC7">
        <w:t>7</w:t>
      </w:r>
      <w:r w:rsidRPr="00F87D0E">
        <w:fldChar w:fldCharType="end"/>
      </w:r>
      <w:r>
        <w:t xml:space="preserve">) </w:t>
      </w:r>
      <w:r w:rsidRPr="00CE1D7F">
        <w:t>and the ongoing success of CQC</w:t>
      </w:r>
      <w:r w:rsidRPr="00CE1D7F">
        <w:rPr>
          <w:vertAlign w:val="superscript"/>
        </w:rPr>
        <w:t>2</w:t>
      </w:r>
      <w:r w:rsidRPr="00CE1D7F">
        <w:t>T has led to 4 Australian quantum information companies. For example, QuintessenceLabs</w:t>
      </w:r>
      <w:r w:rsidRPr="00CE1D7F">
        <w:rPr>
          <w:b/>
          <w:bCs/>
        </w:rPr>
        <w:t xml:space="preserve"> </w:t>
      </w:r>
      <w:r w:rsidRPr="00CE1D7F">
        <w:t>(2007), produces encryption key and policy management products, a hardware quantum random number generator, a quantum key distribution system, and other encryption solutions. The company provides these security products to companies in Australia and the United States. Silicon Quantum Computing Pty. Ltd</w:t>
      </w:r>
      <w:r w:rsidRPr="00CE1D7F">
        <w:rPr>
          <w:b/>
          <w:bCs/>
        </w:rPr>
        <w:t xml:space="preserve"> </w:t>
      </w:r>
      <w:r w:rsidRPr="00CE1D7F">
        <w:t>(SQC, 2017): Australia’s first quantum computing company, focuses on atom-based quantum computing in silicon</w:t>
      </w:r>
      <w:r w:rsidRPr="00CE1D7F">
        <w:rPr>
          <w:color w:val="282828"/>
          <w:shd w:val="clear" w:color="auto" w:fill="FFFFFF"/>
        </w:rPr>
        <w:t>. The cross-sector start-up established with $83.7</w:t>
      </w:r>
      <w:r>
        <w:rPr>
          <w:color w:val="282828"/>
          <w:shd w:val="clear" w:color="auto" w:fill="FFFFFF"/>
        </w:rPr>
        <w:t> million</w:t>
      </w:r>
      <w:r w:rsidRPr="00CE1D7F">
        <w:rPr>
          <w:color w:val="282828"/>
          <w:shd w:val="clear" w:color="auto" w:fill="FFFFFF"/>
        </w:rPr>
        <w:t xml:space="preserve"> in funding from the Commonwealth </w:t>
      </w:r>
      <w:r w:rsidRPr="00CE1D7F">
        <w:rPr>
          <w:color w:val="282828"/>
          <w:shd w:val="clear" w:color="auto" w:fill="FFFFFF"/>
        </w:rPr>
        <w:lastRenderedPageBreak/>
        <w:t xml:space="preserve">Government, the Commonwealth Bank, Telstra, UNSW and the NSW Government. SQC is spearheading the manufacture of silicon processors at the atomic-scale and is a global leader in the race to manufacture the world’s first commercial quantum computer. It has a world-class team of approximately 50 quantum scientists, engineers and technicians, and specialist equipment and globally unique laboratories at UNSW. </w:t>
      </w:r>
    </w:p>
    <w:p w14:paraId="23071240" w14:textId="77777777" w:rsidR="002B32A0" w:rsidRPr="00CE1D7F" w:rsidRDefault="002B32A0" w:rsidP="002B32A0">
      <w:pPr>
        <w:pStyle w:val="BodyText"/>
      </w:pPr>
      <w:r>
        <w:t xml:space="preserve">The </w:t>
      </w:r>
      <w:r w:rsidRPr="00982B9F">
        <w:rPr>
          <w:i/>
          <w:iCs/>
        </w:rPr>
        <w:t>Onshore Lobster Aquaculture</w:t>
      </w:r>
      <w:r w:rsidRPr="00F63A70">
        <w:t xml:space="preserve"> </w:t>
      </w:r>
      <w:r>
        <w:t>case study led to the development of Ornatas Pty. Ltd. in 2018. Ornatas was specifically established to commercialise and use research to commercialise research developed by the University of Tasmania, and technology developed to operate a commercial lobster aquaculture facility. Ornatas would not exist today without the research supported by the 2 ARC grants provided under the project.</w:t>
      </w:r>
    </w:p>
    <w:p w14:paraId="6153EA14" w14:textId="77777777" w:rsidR="002B32A0" w:rsidRPr="00CE1D7F" w:rsidRDefault="002B32A0" w:rsidP="002B32A0">
      <w:pPr>
        <w:pStyle w:val="Heading3"/>
      </w:pPr>
      <w:r w:rsidRPr="00CE1D7F">
        <w:t>IP and patents</w:t>
      </w:r>
    </w:p>
    <w:p w14:paraId="6B47F062" w14:textId="69236E2A" w:rsidR="002B32A0" w:rsidRPr="00CE1D7F" w:rsidRDefault="002B32A0" w:rsidP="002B32A0">
      <w:pPr>
        <w:pStyle w:val="BodyText"/>
        <w:rPr>
          <w:i/>
          <w:iCs/>
        </w:rPr>
      </w:pPr>
      <w:r w:rsidRPr="00CE1D7F">
        <w:t>The Centre</w:t>
      </w:r>
      <w:r>
        <w:t xml:space="preserve"> from the </w:t>
      </w:r>
      <w:r w:rsidRPr="00CE1D7F">
        <w:rPr>
          <w:i/>
          <w:iCs/>
        </w:rPr>
        <w:t>Quantum Computation and Communication Technology</w:t>
      </w:r>
      <w:r w:rsidRPr="00CE1D7F">
        <w:t xml:space="preserve"> </w:t>
      </w:r>
      <w:r>
        <w:t>case study (see chapter </w:t>
      </w:r>
      <w:r w:rsidRPr="00F87D0E">
        <w:fldChar w:fldCharType="begin"/>
      </w:r>
      <w:r w:rsidR="00F87D0E" w:rsidRPr="00F87D0E">
        <w:instrText xml:space="preserve"> REF _Ref131081145 \r \h  \* MERGEFORMAT </w:instrText>
      </w:r>
      <w:r w:rsidRPr="00F87D0E">
        <w:fldChar w:fldCharType="separate"/>
      </w:r>
      <w:r w:rsidR="000B0AC7">
        <w:t>7</w:t>
      </w:r>
      <w:r w:rsidRPr="00F87D0E">
        <w:fldChar w:fldCharType="end"/>
      </w:r>
      <w:r>
        <w:t xml:space="preserve">) </w:t>
      </w:r>
      <w:r w:rsidRPr="00CE1D7F">
        <w:t xml:space="preserve">implemented strong IP protection and commercialisation policies to capture future impacts from research identified in the </w:t>
      </w:r>
      <w:r w:rsidRPr="00CE1D7F">
        <w:rPr>
          <w:i/>
          <w:iCs/>
        </w:rPr>
        <w:t>Quantum Computation and Communication Technology</w:t>
      </w:r>
      <w:r w:rsidRPr="00CE1D7F">
        <w:t xml:space="preserve"> case study. In 2017 SQC developed the Centre’s IP in silicon-based quantum computing in a commercial context. IP developed by the team at UNSW will continue to be patented and licenced to SQC. More broadly, across all nodes, the Centre continues to actively protect its IP, with 7 provisional patents supported by Centre work at University Melbourne, RMIT, Griffith University, University of Technology Sydney and ANU. The Centre has been granted over 100 patents in over 43 patent families, including techniques for developing globally unique technologies to manufacture qubits at the atomic-scale to realise the fastest two-qubit gate in silicon; lowest noise silicon devices; and highest fidelity qubits in the solid state. </w:t>
      </w:r>
    </w:p>
    <w:p w14:paraId="41DDC7C1" w14:textId="13DD0DF7" w:rsidR="002B32A0" w:rsidRPr="00CE1D7F" w:rsidRDefault="002B32A0" w:rsidP="002B32A0">
      <w:pPr>
        <w:pStyle w:val="BodyText"/>
        <w:rPr>
          <w:lang w:eastAsia="ja-JP"/>
        </w:rPr>
      </w:pPr>
      <w:r w:rsidRPr="00CE1D7F">
        <w:rPr>
          <w:i/>
          <w:iCs/>
        </w:rPr>
        <w:t xml:space="preserve">Irrigation Automation </w:t>
      </w:r>
      <w:r>
        <w:t>(see chapter </w:t>
      </w:r>
      <w:r w:rsidRPr="00F87D0E">
        <w:fldChar w:fldCharType="begin"/>
      </w:r>
      <w:r w:rsidR="00F87D0E" w:rsidRPr="00F87D0E">
        <w:instrText xml:space="preserve"> REF _Ref131077709 \r \h  \* MERGEFORMAT </w:instrText>
      </w:r>
      <w:r w:rsidRPr="00F87D0E">
        <w:fldChar w:fldCharType="separate"/>
      </w:r>
      <w:r w:rsidR="000B0AC7">
        <w:t>9</w:t>
      </w:r>
      <w:r w:rsidRPr="00F87D0E">
        <w:fldChar w:fldCharType="end"/>
      </w:r>
      <w:r>
        <w:t xml:space="preserve">) </w:t>
      </w:r>
      <w:r w:rsidRPr="00CE1D7F">
        <w:t xml:space="preserve">demonstrates the comprehensive portfolio of 218 patents developed by Rubicon Water and the University of Melbourne, which focus on agricultural water management from dams right through to the application of water to crops. </w:t>
      </w:r>
    </w:p>
    <w:p w14:paraId="7444FD2B" w14:textId="77777777" w:rsidR="002B32A0" w:rsidRPr="00CE1D7F" w:rsidRDefault="002B32A0" w:rsidP="002B32A0">
      <w:pPr>
        <w:pStyle w:val="Heading3"/>
      </w:pPr>
      <w:bookmarkStart w:id="118" w:name="_Toc129963954"/>
      <w:bookmarkStart w:id="119" w:name="_Toc131174593"/>
      <w:r w:rsidRPr="00CE1D7F">
        <w:t xml:space="preserve">Building </w:t>
      </w:r>
      <w:r>
        <w:t xml:space="preserve">capacity through </w:t>
      </w:r>
      <w:r w:rsidRPr="00CE1D7F">
        <w:t xml:space="preserve">innovative approaches </w:t>
      </w:r>
    </w:p>
    <w:p w14:paraId="15B15475" w14:textId="22F20622" w:rsidR="002B32A0" w:rsidRPr="00CE1D7F" w:rsidRDefault="002B32A0" w:rsidP="002B32A0">
      <w:pPr>
        <w:pStyle w:val="BodyText"/>
      </w:pPr>
      <w:r w:rsidRPr="00CE1D7F">
        <w:t xml:space="preserve">The </w:t>
      </w:r>
      <w:r w:rsidRPr="00CE1D7F">
        <w:rPr>
          <w:i/>
          <w:iCs/>
        </w:rPr>
        <w:t>Aquifer Reinjection</w:t>
      </w:r>
      <w:r w:rsidRPr="00CE1D7F">
        <w:t xml:space="preserve"> </w:t>
      </w:r>
      <w:r>
        <w:t>(see chapter </w:t>
      </w:r>
      <w:r w:rsidRPr="00F87D0E">
        <w:fldChar w:fldCharType="begin"/>
      </w:r>
      <w:r w:rsidR="00F87D0E" w:rsidRPr="00F87D0E">
        <w:instrText xml:space="preserve"> REF _Ref131081228 \r \h  \* MERGEFORMAT </w:instrText>
      </w:r>
      <w:r w:rsidRPr="00F87D0E">
        <w:fldChar w:fldCharType="separate"/>
      </w:r>
      <w:r w:rsidR="000B0AC7">
        <w:t>8</w:t>
      </w:r>
      <w:r w:rsidRPr="00F87D0E">
        <w:fldChar w:fldCharType="end"/>
      </w:r>
      <w:r>
        <w:t xml:space="preserve">) </w:t>
      </w:r>
      <w:r w:rsidRPr="00CE1D7F">
        <w:t xml:space="preserve">research was the first of its kind in Australia. It was integral to the decision by the Water Corporation to develop the Groundwater Replenishment Trial (see </w:t>
      </w:r>
      <w:r>
        <w:t>section </w:t>
      </w:r>
      <w:r w:rsidRPr="00F87D0E">
        <w:fldChar w:fldCharType="begin"/>
      </w:r>
      <w:r w:rsidRPr="00F87D0E">
        <w:instrText xml:space="preserve"> REF _Ref129277657 \r \h  \* MERGEFORMAT </w:instrText>
      </w:r>
      <w:r w:rsidRPr="00F87D0E">
        <w:fldChar w:fldCharType="separate"/>
      </w:r>
      <w:r w:rsidR="000B0AC7">
        <w:t>3.2</w:t>
      </w:r>
      <w:r w:rsidRPr="00F87D0E">
        <w:fldChar w:fldCharType="end"/>
      </w:r>
      <w:r w:rsidRPr="00CE1D7F">
        <w:t xml:space="preserve"> for more detail). While aquifer recharge for indirect potable reuse had been undertaken overseas, this was the first application in Australia. Innovative ‘marker’ chemicals were also identified that could establish the effectiveness of the trial in removing contaminants: Recycled Water Quality Indicators and the Recycled Water Quality Parameters. This research also led to the construction of Australia’s first full-scale Groundwater Replenishment Scheme plant, completed in July 2016 and creating more than 180 jobs. It can recharge up to 14</w:t>
      </w:r>
      <w:r>
        <w:t> gigalitres</w:t>
      </w:r>
      <w:r w:rsidRPr="00CE1D7F">
        <w:t xml:space="preserve"> of recycled water annually into groundwater supplies. It has been so successful that an additional plant was constructed in August 2022 to double the capacity to 28</w:t>
      </w:r>
      <w:r>
        <w:t> gigalitres</w:t>
      </w:r>
      <w:r w:rsidRPr="00CE1D7F">
        <w:t xml:space="preserve"> per year. When announcing the second plant, the Water Minister, Dave Kelly, stated that:</w:t>
      </w:r>
    </w:p>
    <w:p w14:paraId="4F01CD77" w14:textId="77777777" w:rsidR="002B32A0" w:rsidRPr="00CE1D7F" w:rsidRDefault="002B32A0" w:rsidP="002B32A0">
      <w:pPr>
        <w:pStyle w:val="Quote"/>
      </w:pPr>
      <w:r w:rsidRPr="00CE1D7F">
        <w:t>[WA] Water Corporation's Groundwater Replenishment Scheme is an innovative and sustainable way to recycle large volumes of water. By recharging our precious groundwater supplies through the scheme, we are able to abstract equivalent groundwater in later years, adding to Perth's drinking water supply, while reducing impacts to the environment and other water users.</w:t>
      </w:r>
      <w:r w:rsidRPr="00CE1D7F">
        <w:rPr>
          <w:rStyle w:val="FootnoteReference"/>
        </w:rPr>
        <w:footnoteReference w:id="34"/>
      </w:r>
      <w:r w:rsidRPr="00CE1D7F">
        <w:t xml:space="preserve"> </w:t>
      </w:r>
    </w:p>
    <w:p w14:paraId="13343A94" w14:textId="77777777" w:rsidR="002B32A0" w:rsidRDefault="002B32A0" w:rsidP="002B32A0">
      <w:pPr>
        <w:pStyle w:val="Heading2"/>
      </w:pPr>
      <w:bookmarkStart w:id="120" w:name="_Toc132970645"/>
      <w:bookmarkStart w:id="121" w:name="_Toc135323684"/>
      <w:r w:rsidRPr="00CE1D7F">
        <w:lastRenderedPageBreak/>
        <w:t>C</w:t>
      </w:r>
      <w:r w:rsidRPr="00CE1D7F">
        <w:rPr>
          <w:noProof/>
        </w:rPr>
        <mc:AlternateContent>
          <mc:Choice Requires="wps">
            <w:drawing>
              <wp:anchor distT="0" distB="0" distL="114300" distR="114300" simplePos="0" relativeHeight="251671552" behindDoc="0" locked="1" layoutInCell="1" allowOverlap="1" wp14:anchorId="301CD3D4" wp14:editId="5CF733F2">
                <wp:simplePos x="0" y="0"/>
                <wp:positionH relativeFrom="page">
                  <wp:posOffset>441325</wp:posOffset>
                </wp:positionH>
                <wp:positionV relativeFrom="paragraph">
                  <wp:posOffset>-5080</wp:posOffset>
                </wp:positionV>
                <wp:extent cx="1289050" cy="732790"/>
                <wp:effectExtent l="0" t="0" r="0" b="0"/>
                <wp:wrapNone/>
                <wp:docPr id="33" name="Text Box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289050" cy="7327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45AFE5E" w14:textId="77777777" w:rsidR="002B32A0" w:rsidRPr="00537EDE" w:rsidRDefault="002B32A0" w:rsidP="002B32A0">
                            <w:pPr>
                              <w:pStyle w:val="SideNoteRegularRight"/>
                              <w:jc w:val="left"/>
                              <w:rPr>
                                <w:sz w:val="24"/>
                                <w:szCs w:val="20"/>
                              </w:rPr>
                            </w:pPr>
                            <w:r w:rsidRPr="00537EDE">
                              <w:rPr>
                                <w:szCs w:val="18"/>
                              </w:rPr>
                              <w:t xml:space="preserve">KEQ 1. What are the short-, medium- and long-term outcomes and impacts of </w:t>
                            </w:r>
                            <w:r>
                              <w:rPr>
                                <w:szCs w:val="18"/>
                              </w:rPr>
                              <w:t>ARC-funded</w:t>
                            </w:r>
                            <w:r w:rsidRPr="00537EDE">
                              <w:rPr>
                                <w:szCs w:val="18"/>
                              </w:rPr>
                              <w:t xml:space="preserve"> research? Is the NCGP achieving its intended outcomes?</w:t>
                            </w:r>
                          </w:p>
                          <w:p w14:paraId="21DD3E3B" w14:textId="77777777" w:rsidR="002B32A0" w:rsidRPr="00537EDE" w:rsidRDefault="002B32A0" w:rsidP="002B32A0">
                            <w:pPr>
                              <w:pStyle w:val="SideNoteRegularRight"/>
                              <w:rPr>
                                <w:sz w:val="24"/>
                                <w:szCs w:val="20"/>
                              </w:rPr>
                            </w:pPr>
                          </w:p>
                        </w:txbxContent>
                      </wps:txbx>
                      <wps:bodyPr rot="0" spcFirstLastPara="0" vertOverflow="overflow" horzOverflow="overflow" vert="horz" wrap="square" lIns="0" tIns="0" rIns="76200" bIns="762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01CD3D4" id="Text Box 33" o:spid="_x0000_s1028" type="#_x0000_t202" alt="&quot;&quot;" style="position:absolute;left:0;text-align:left;margin-left:34.75pt;margin-top:-.4pt;width:101.5pt;height:57.7pt;z-index:251671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" filled="f" stroked="f" strokeweight=".5pt">
                <v:textbox style="mso-fit-shape-to-text:t" inset="0,0,6pt,6pt">
                  <w:txbxContent>
                    <w:p w14:paraId="345AFE5E" w14:textId="77777777" w:rsidR="002B32A0" w:rsidRPr="00537EDE" w:rsidRDefault="002B32A0" w:rsidP="002B32A0">
                      <w:pPr>
                        <w:pStyle w:val="SideNoteRegularRight"/>
                        <w:jc w:val="left"/>
                        <w:rPr>
                          <w:sz w:val="24"/>
                          <w:szCs w:val="20"/>
                        </w:rPr>
                      </w:pPr>
                      <w:r w:rsidRPr="00537EDE">
                        <w:rPr>
                          <w:szCs w:val="18"/>
                        </w:rPr>
                        <w:t xml:space="preserve">KEQ 1. What are the short-, medium- and long-term outcomes and impacts of </w:t>
                      </w:r>
                      <w:r>
                        <w:rPr>
                          <w:szCs w:val="18"/>
                        </w:rPr>
                        <w:t>ARC-funded</w:t>
                      </w:r>
                      <w:r w:rsidRPr="00537EDE">
                        <w:rPr>
                          <w:szCs w:val="18"/>
                        </w:rPr>
                        <w:t xml:space="preserve"> research? Is the NCGP achieving its intended outcomes?</w:t>
                      </w:r>
                    </w:p>
                    <w:p w14:paraId="21DD3E3B" w14:textId="77777777" w:rsidR="002B32A0" w:rsidRPr="00537EDE" w:rsidRDefault="002B32A0" w:rsidP="002B32A0">
                      <w:pPr>
                        <w:pStyle w:val="SideNoteRegularRight"/>
                        <w:rPr>
                          <w:sz w:val="24"/>
                          <w:szCs w:val="20"/>
                        </w:rPr>
                      </w:pPr>
                    </w:p>
                  </w:txbxContent>
                </v:textbox>
                <w10:wrap anchorx="page"/>
                <w10:anchorlock/>
              </v:shape>
            </w:pict>
          </mc:Fallback>
        </mc:AlternateContent>
      </w:r>
      <w:r w:rsidRPr="00CE1D7F">
        <w:t>ase studies of excellent research that delivers quantifiable impact</w:t>
      </w:r>
      <w:bookmarkEnd w:id="118"/>
      <w:bookmarkEnd w:id="119"/>
      <w:bookmarkEnd w:id="120"/>
      <w:bookmarkEnd w:id="121"/>
    </w:p>
    <w:p w14:paraId="757110AD" w14:textId="3071E844" w:rsidR="000B0AC7" w:rsidRPr="00CE1D7F" w:rsidRDefault="000B0AC7" w:rsidP="006258ED">
      <w:pPr>
        <w:pStyle w:val="Caption"/>
      </w:pPr>
      <w:r w:rsidRPr="00CE1D7F">
        <w:rPr>
          <w:rStyle w:val="CaptionLabel"/>
        </w:rPr>
        <w:t>Key Finding </w:t>
      </w:r>
      <w:r w:rsidRPr="00CE1D7F">
        <w:rPr>
          <w:rStyle w:val="CaptionLabel"/>
        </w:rPr>
        <w:fldChar w:fldCharType="begin"/>
      </w:r>
      <w:r w:rsidRPr="00CE1D7F">
        <w:rPr>
          <w:rStyle w:val="CaptionLabel"/>
        </w:rPr>
        <w:instrText xml:space="preserve"> SEQ Key_Finding \* ARABIC  \* MERGEFORMAT </w:instrText>
      </w:r>
      <w:r w:rsidRPr="00CE1D7F">
        <w:rPr>
          <w:rStyle w:val="CaptionLabel"/>
        </w:rPr>
        <w:fldChar w:fldCharType="separate"/>
      </w:r>
      <w:r>
        <w:rPr>
          <w:rStyle w:val="CaptionLabel"/>
          <w:noProof/>
        </w:rPr>
        <w:t>3</w:t>
      </w:r>
      <w:r w:rsidRPr="00CE1D7F">
        <w:rPr>
          <w:rStyle w:val="CaptionLabel"/>
        </w:rPr>
        <w:fldChar w:fldCharType="end"/>
      </w:r>
      <w:r w:rsidRPr="00CE1D7F">
        <w:tab/>
        <w:t>Case studies of economic impact</w:t>
      </w:r>
    </w:p>
    <w:tbl>
      <w:tblPr>
        <w:tblStyle w:val="aacTableBox"/>
        <w:tblW w:w="5000" w:type="pct"/>
        <w:tblLook w:val="04A0" w:firstRow="1" w:lastRow="0" w:firstColumn="1" w:lastColumn="0" w:noHBand="0" w:noVBand="1"/>
        <w:tblCaption w:val="Key Finding 3"/>
        <w:tblDescription w:val="Case studies of economic impact"/>
      </w:tblPr>
      <w:tblGrid>
        <w:gridCol w:w="7936"/>
      </w:tblGrid>
      <w:tr w:rsidR="002B32A0" w:rsidRPr="00CE1D7F" w14:paraId="22FCBCB3" w14:textId="77777777" w:rsidTr="000B0AC7">
        <w:tc>
          <w:tcPr>
            <w:tcW w:w="5000" w:type="pct"/>
          </w:tcPr>
          <w:p w14:paraId="02F7760A" w14:textId="77777777" w:rsidR="002B32A0" w:rsidRPr="001A6DB5" w:rsidRDefault="002B32A0" w:rsidP="006258ED">
            <w:pPr>
              <w:pStyle w:val="BoxText"/>
              <w:rPr>
                <w:sz w:val="22"/>
              </w:rPr>
            </w:pPr>
            <w:r w:rsidRPr="001A6DB5">
              <w:rPr>
                <w:sz w:val="22"/>
              </w:rPr>
              <w:t xml:space="preserve">The case studies exemplify the breadth of economic impacts delivered by NCGP-funded research. The economic impacts have and are continuing to be delivered to a range of sectors and partner types. </w:t>
            </w:r>
          </w:p>
          <w:p w14:paraId="6A780F88" w14:textId="77777777" w:rsidR="002B32A0" w:rsidRDefault="002B32A0" w:rsidP="006258ED">
            <w:pPr>
              <w:pStyle w:val="BoxText"/>
              <w:rPr>
                <w:sz w:val="22"/>
              </w:rPr>
            </w:pPr>
            <w:r w:rsidRPr="001A6DB5">
              <w:rPr>
                <w:sz w:val="22"/>
              </w:rPr>
              <w:t>Economic impacts include</w:t>
            </w:r>
            <w:r>
              <w:rPr>
                <w:sz w:val="22"/>
              </w:rPr>
              <w:t>:</w:t>
            </w:r>
          </w:p>
          <w:p w14:paraId="1AF8D391" w14:textId="77777777" w:rsidR="002B32A0" w:rsidRDefault="002B32A0" w:rsidP="007F0233">
            <w:pPr>
              <w:pStyle w:val="BoxListBullet"/>
            </w:pPr>
            <w:r>
              <w:t xml:space="preserve">positive </w:t>
            </w:r>
            <w:r w:rsidRPr="00665231">
              <w:t>Benefit-Cost Ratio</w:t>
            </w:r>
            <w:r>
              <w:t xml:space="preserve">s (BCRs) from 2.49 to </w:t>
            </w:r>
            <w:r w:rsidRPr="00555D94">
              <w:t>5.76</w:t>
            </w:r>
          </w:p>
          <w:p w14:paraId="56D90F28" w14:textId="77777777" w:rsidR="002B32A0" w:rsidRDefault="002B32A0" w:rsidP="007F0233">
            <w:pPr>
              <w:pStyle w:val="BoxListBullet"/>
            </w:pPr>
            <w:r w:rsidRPr="001A6DB5">
              <w:t>additional income generated by Indigenous students that graduate at a higher rate as a result of the research</w:t>
            </w:r>
          </w:p>
          <w:p w14:paraId="6027552F" w14:textId="77777777" w:rsidR="002B32A0" w:rsidRDefault="002B32A0" w:rsidP="007F0233">
            <w:pPr>
              <w:pStyle w:val="BoxListBullet"/>
            </w:pPr>
            <w:r w:rsidRPr="001A6DB5">
              <w:t>quantum opportunity in Australia</w:t>
            </w:r>
          </w:p>
          <w:p w14:paraId="5FFBDC3E" w14:textId="77777777" w:rsidR="002B32A0" w:rsidRDefault="002B32A0" w:rsidP="007F0233">
            <w:pPr>
              <w:pStyle w:val="BoxListBullet"/>
            </w:pPr>
            <w:r w:rsidRPr="001A6DB5">
              <w:t>avoided costs associated with using desalination rather than groundwater recharge</w:t>
            </w:r>
          </w:p>
          <w:p w14:paraId="5C3D0D24" w14:textId="77777777" w:rsidR="002B32A0" w:rsidRDefault="002B32A0" w:rsidP="007F0233">
            <w:pPr>
              <w:pStyle w:val="BoxListBullet"/>
            </w:pPr>
            <w:r w:rsidRPr="001A6DB5">
              <w:t xml:space="preserve">value of future lobster production </w:t>
            </w:r>
          </w:p>
          <w:p w14:paraId="2D2DF705" w14:textId="77777777" w:rsidR="002B32A0" w:rsidRPr="001A6DB5" w:rsidRDefault="002B32A0" w:rsidP="007F0233">
            <w:pPr>
              <w:pStyle w:val="BoxListBullet"/>
            </w:pPr>
            <w:r w:rsidRPr="001A6DB5">
              <w:t>value of water savings from reduced spills, more precise delivery of water to farmers, and the reduced operational expenditure for the water distributor from automating a previously manual system.</w:t>
            </w:r>
          </w:p>
          <w:p w14:paraId="576A4598" w14:textId="77777777" w:rsidR="002B32A0" w:rsidRPr="00CE1D7F" w:rsidRDefault="002B32A0" w:rsidP="006258ED">
            <w:pPr>
              <w:pStyle w:val="BoxText"/>
            </w:pPr>
            <w:r w:rsidRPr="001A6DB5">
              <w:rPr>
                <w:sz w:val="22"/>
              </w:rPr>
              <w:t>The absence of easily quantifiable economic impacts for some case studies demonstrates the breadth of research conducted and the need to consider and measure the full suite of research impact.</w:t>
            </w:r>
            <w:r w:rsidRPr="001A6DB5">
              <w:rPr>
                <w:sz w:val="22"/>
                <w:szCs w:val="24"/>
              </w:rPr>
              <w:t xml:space="preserve"> </w:t>
            </w:r>
          </w:p>
        </w:tc>
      </w:tr>
    </w:tbl>
    <w:p w14:paraId="6CF2BC65" w14:textId="77777777" w:rsidR="000B0AC7" w:rsidRPr="00CE1D7F" w:rsidRDefault="000B0AC7" w:rsidP="006258ED">
      <w:pPr>
        <w:pStyle w:val="Source"/>
      </w:pPr>
    </w:p>
    <w:p w14:paraId="3AE9EAB0" w14:textId="7D87941C" w:rsidR="002B32A0" w:rsidRPr="00CE1D7F" w:rsidRDefault="002B32A0" w:rsidP="002B32A0">
      <w:pPr>
        <w:pStyle w:val="BodyText"/>
      </w:pPr>
      <w:r w:rsidRPr="00CE1D7F">
        <w:t xml:space="preserve">The case studies highlight the economic impact delivered by examples of excellent ARC-funded research. This impact complements the economy-wide modelling detailed in </w:t>
      </w:r>
      <w:r>
        <w:t>section </w:t>
      </w:r>
      <w:r w:rsidRPr="00F87D0E">
        <w:fldChar w:fldCharType="begin"/>
      </w:r>
      <w:r w:rsidRPr="00F87D0E">
        <w:instrText xml:space="preserve"> REF _Ref129812637 \r \h  \* MERGEFORMAT </w:instrText>
      </w:r>
      <w:r w:rsidRPr="00F87D0E">
        <w:fldChar w:fldCharType="separate"/>
      </w:r>
      <w:r w:rsidR="000B0AC7">
        <w:t>2.1</w:t>
      </w:r>
      <w:r w:rsidRPr="00F87D0E">
        <w:fldChar w:fldCharType="end"/>
      </w:r>
      <w:r w:rsidRPr="00CE1D7F">
        <w:t xml:space="preserve"> by illustrating how individual projects or work programs can potentially provide economic impacts that, in some instances, far outweigh the costs of funding research.</w:t>
      </w:r>
    </w:p>
    <w:p w14:paraId="3ADD2C58" w14:textId="1005037E" w:rsidR="002B32A0" w:rsidRPr="00CE1D7F" w:rsidRDefault="002B32A0" w:rsidP="002B32A0">
      <w:pPr>
        <w:pStyle w:val="BodyText"/>
      </w:pPr>
      <w:r w:rsidRPr="00CE1D7F">
        <w:t xml:space="preserve">These examples directly contribute to the intended outcomes of the Discovery and Linkage Program to support the creation of jobs and economic growth (see </w:t>
      </w:r>
      <w:r>
        <w:t>section </w:t>
      </w:r>
      <w:r w:rsidRPr="00F87D0E">
        <w:fldChar w:fldCharType="begin"/>
      </w:r>
      <w:r w:rsidRPr="00F87D0E">
        <w:instrText xml:space="preserve"> REF _Ref129357726 \r \h  \* MERGEFORMAT </w:instrText>
      </w:r>
      <w:r w:rsidRPr="00F87D0E">
        <w:fldChar w:fldCharType="separate"/>
      </w:r>
      <w:r w:rsidR="000B0AC7">
        <w:t>1.1.1</w:t>
      </w:r>
      <w:r w:rsidRPr="00F87D0E">
        <w:fldChar w:fldCharType="end"/>
      </w:r>
      <w:r w:rsidRPr="00CE1D7F">
        <w:t>).</w:t>
      </w:r>
    </w:p>
    <w:p w14:paraId="51FAED9B" w14:textId="77777777" w:rsidR="002B32A0" w:rsidRPr="00CE1D7F" w:rsidRDefault="002B32A0" w:rsidP="002B32A0">
      <w:pPr>
        <w:pStyle w:val="BodyText"/>
      </w:pPr>
      <w:r w:rsidRPr="00CE1D7F">
        <w:t xml:space="preserve">As part of this study, CBA was undertaken for 5 case studies. CBA was used to estimate the NPV and BCR of individual or multiple projects funded by a mixture of the Discovery and Linkage Program schemes. </w:t>
      </w:r>
    </w:p>
    <w:p w14:paraId="227A31A5" w14:textId="0E7714FE" w:rsidR="002B32A0" w:rsidRPr="00CE1D7F" w:rsidRDefault="002B32A0" w:rsidP="002B32A0">
      <w:pPr>
        <w:pStyle w:val="BodyText"/>
      </w:pPr>
      <w:r w:rsidRPr="00CE1D7F">
        <w:t xml:space="preserve">The results of these CBAs are summarised in </w:t>
      </w:r>
      <w:r w:rsidRPr="00F87D0E">
        <w:fldChar w:fldCharType="begin"/>
      </w:r>
      <w:r w:rsidRPr="00F87D0E">
        <w:instrText xml:space="preserve"> REF _Ref129198101 \h  \* MERGEFORMAT </w:instrText>
      </w:r>
      <w:r w:rsidRPr="00F87D0E">
        <w:fldChar w:fldCharType="separate"/>
      </w:r>
      <w:r w:rsidR="000B0AC7" w:rsidRPr="000B0AC7">
        <w:t>Table 2.6</w:t>
      </w:r>
      <w:r w:rsidRPr="00F87D0E">
        <w:fldChar w:fldCharType="end"/>
      </w:r>
      <w:r w:rsidRPr="00CE1D7F">
        <w:t>. The CBA results show that in all cases, NPV is positive, and the BCRs are well above one. They also show how broad support for excellent research by individuals, small teams, Centres, and partner organisations (across academic disciplines) can benefit the Australian economy. They are just a small snapshot of the types of impacts that some ARC-funded projects have delivered over the past 2 decades.</w:t>
      </w:r>
    </w:p>
    <w:p w14:paraId="44CF54B8" w14:textId="7E6B329F" w:rsidR="002B32A0" w:rsidRPr="00CE1D7F" w:rsidRDefault="002B32A0" w:rsidP="002B32A0">
      <w:pPr>
        <w:pStyle w:val="BodyText"/>
      </w:pPr>
      <w:bookmarkStart w:id="122" w:name="_Hlk129272554"/>
      <w:r w:rsidRPr="00CE1D7F">
        <w:t xml:space="preserve">A brief discussion of the costs and benefits underpinning these estimates is provided in </w:t>
      </w:r>
      <w:r w:rsidRPr="00F87D0E">
        <w:fldChar w:fldCharType="begin"/>
      </w:r>
      <w:r w:rsidRPr="00F87D0E">
        <w:instrText xml:space="preserve"> REF _Ref129198101 \h  \* MERGEFORMAT </w:instrText>
      </w:r>
      <w:r w:rsidRPr="00F87D0E">
        <w:fldChar w:fldCharType="separate"/>
      </w:r>
      <w:r w:rsidR="000B0AC7" w:rsidRPr="000B0AC7">
        <w:t>Table 2.6</w:t>
      </w:r>
      <w:r w:rsidRPr="00F87D0E">
        <w:fldChar w:fldCharType="end"/>
      </w:r>
      <w:r w:rsidRPr="00CE1D7F">
        <w:t>. Further discussion on the methodology and assumptions of the case studies are provided in each case study in Part II.</w:t>
      </w:r>
    </w:p>
    <w:p w14:paraId="60F1DF26" w14:textId="59F93215" w:rsidR="002B32A0" w:rsidRPr="00CE1D7F" w:rsidRDefault="002B32A0" w:rsidP="000B0AC7">
      <w:pPr>
        <w:pStyle w:val="Caption"/>
        <w:ind w:left="-657" w:hanging="1308"/>
      </w:pPr>
      <w:bookmarkStart w:id="123" w:name="_Ref129198101"/>
      <w:r w:rsidRPr="00CE1D7F">
        <w:rPr>
          <w:rStyle w:val="CaptionLabel"/>
        </w:rPr>
        <w:lastRenderedPageBreak/>
        <w:t>Table </w:t>
      </w:r>
      <w:r w:rsidRPr="00CE1D7F">
        <w:rPr>
          <w:rStyle w:val="CaptionLabel"/>
        </w:rPr>
        <w:fldChar w:fldCharType="begin"/>
      </w:r>
      <w:r w:rsidRPr="00CE1D7F">
        <w:rPr>
          <w:rStyle w:val="CaptionLabel"/>
        </w:rPr>
        <w:instrText xml:space="preserve"> STYLEREF 1 \S \* MERGEFORMAT </w:instrText>
      </w:r>
      <w:r w:rsidRPr="00CE1D7F">
        <w:rPr>
          <w:rStyle w:val="CaptionLabel"/>
        </w:rPr>
        <w:fldChar w:fldCharType="separate"/>
      </w:r>
      <w:r w:rsidR="000B0AC7">
        <w:rPr>
          <w:rStyle w:val="CaptionLabel"/>
          <w:noProof/>
        </w:rPr>
        <w:t>2</w:t>
      </w:r>
      <w:r w:rsidRPr="00CE1D7F">
        <w:rPr>
          <w:rStyle w:val="CaptionLabel"/>
        </w:rPr>
        <w:fldChar w:fldCharType="end"/>
      </w:r>
      <w:r w:rsidRPr="00CE1D7F">
        <w:rPr>
          <w:rStyle w:val="CaptionLabel"/>
        </w:rPr>
        <w:t>.</w:t>
      </w:r>
      <w:r w:rsidRPr="00CE1D7F">
        <w:rPr>
          <w:rStyle w:val="CaptionLabel"/>
        </w:rPr>
        <w:fldChar w:fldCharType="begin"/>
      </w:r>
      <w:r w:rsidRPr="00CE1D7F">
        <w:rPr>
          <w:rStyle w:val="CaptionLabel"/>
        </w:rPr>
        <w:instrText xml:space="preserve"> SEQ Table \* ARABIC \S 1 \* MERGEFORMAT </w:instrText>
      </w:r>
      <w:r w:rsidRPr="00CE1D7F">
        <w:rPr>
          <w:rStyle w:val="CaptionLabel"/>
        </w:rPr>
        <w:fldChar w:fldCharType="separate"/>
      </w:r>
      <w:r w:rsidR="000B0AC7">
        <w:rPr>
          <w:rStyle w:val="CaptionLabel"/>
          <w:noProof/>
        </w:rPr>
        <w:t>6</w:t>
      </w:r>
      <w:r w:rsidRPr="00CE1D7F">
        <w:rPr>
          <w:rStyle w:val="CaptionLabel"/>
        </w:rPr>
        <w:fldChar w:fldCharType="end"/>
      </w:r>
      <w:bookmarkEnd w:id="123"/>
      <w:r w:rsidRPr="00CE1D7F">
        <w:tab/>
        <w:t>Summary of case study CBAs (NPV and BCR at the 7% discount rate)</w:t>
      </w:r>
    </w:p>
    <w:tbl>
      <w:tblPr>
        <w:tblStyle w:val="aacTableBasic"/>
        <w:tblW w:w="9903" w:type="dxa"/>
        <w:tblInd w:w="-1965" w:type="dxa"/>
        <w:tblLayout w:type="fixed"/>
        <w:tblLook w:val="04A0" w:firstRow="1" w:lastRow="0" w:firstColumn="1" w:lastColumn="0" w:noHBand="0" w:noVBand="1"/>
        <w:tblCaption w:val="Table 2.6 "/>
        <w:tblDescription w:val="Summary of case study CBAs (NPV and BCR at the 7% discount rate)"/>
      </w:tblPr>
      <w:tblGrid>
        <w:gridCol w:w="1255"/>
        <w:gridCol w:w="995"/>
        <w:gridCol w:w="2975"/>
        <w:gridCol w:w="2836"/>
        <w:gridCol w:w="1274"/>
        <w:gridCol w:w="568"/>
      </w:tblGrid>
      <w:tr w:rsidR="002B32A0" w:rsidRPr="00CE1D7F" w14:paraId="393ADCC2" w14:textId="77777777" w:rsidTr="00955941">
        <w:trPr>
          <w:cnfStyle w:val="100000000000" w:firstRow="1" w:lastRow="0" w:firstColumn="0" w:lastColumn="0" w:oddVBand="0" w:evenVBand="0" w:oddHBand="0" w:evenHBand="0" w:firstRowFirstColumn="0" w:firstRowLastColumn="0" w:lastRowFirstColumn="0" w:lastRowLastColumn="0"/>
        </w:trPr>
        <w:tc>
          <w:tcPr>
            <w:tcW w:w="1251" w:type="dxa"/>
            <w:tcBorders>
              <w:top w:val="nil"/>
            </w:tcBorders>
            <w:shd w:val="solid" w:color="140034" w:fill="140034"/>
            <w:tcMar>
              <w:left w:w="80" w:type="dxa"/>
            </w:tcMar>
            <w:hideMark/>
          </w:tcPr>
          <w:p w14:paraId="3A0A9982" w14:textId="77777777" w:rsidR="002B32A0" w:rsidRPr="00CE1D7F" w:rsidRDefault="002B32A0" w:rsidP="00DF2F53">
            <w:pPr>
              <w:pStyle w:val="Tablecolumnheadings"/>
              <w:keepLines/>
            </w:pPr>
            <w:r w:rsidRPr="00CE1D7F">
              <w:t>Case study</w:t>
            </w:r>
          </w:p>
        </w:tc>
        <w:tc>
          <w:tcPr>
            <w:tcW w:w="996" w:type="dxa"/>
            <w:tcBorders>
              <w:top w:val="nil"/>
            </w:tcBorders>
            <w:shd w:val="solid" w:color="140034" w:fill="140034"/>
          </w:tcPr>
          <w:p w14:paraId="43AFEEDC" w14:textId="77777777" w:rsidR="002B32A0" w:rsidRPr="00CE1D7F" w:rsidRDefault="002B32A0" w:rsidP="00DF2F53">
            <w:pPr>
              <w:pStyle w:val="Tablecolumnheadings"/>
              <w:keepLines/>
            </w:pPr>
            <w:r w:rsidRPr="00CE1D7F">
              <w:t>Grants</w:t>
            </w:r>
          </w:p>
        </w:tc>
        <w:tc>
          <w:tcPr>
            <w:tcW w:w="2973" w:type="dxa"/>
            <w:tcBorders>
              <w:top w:val="nil"/>
            </w:tcBorders>
            <w:shd w:val="solid" w:color="140034" w:fill="140034"/>
          </w:tcPr>
          <w:p w14:paraId="4F6B5792" w14:textId="77777777" w:rsidR="002B32A0" w:rsidRPr="00CE1D7F" w:rsidRDefault="002B32A0" w:rsidP="00DF2F53">
            <w:pPr>
              <w:pStyle w:val="Tablecolumnheadings"/>
              <w:keepLines/>
            </w:pPr>
            <w:r w:rsidRPr="00CE1D7F">
              <w:t>Present Value Costs</w:t>
            </w:r>
          </w:p>
        </w:tc>
        <w:tc>
          <w:tcPr>
            <w:tcW w:w="2839" w:type="dxa"/>
            <w:tcBorders>
              <w:top w:val="nil"/>
            </w:tcBorders>
            <w:shd w:val="solid" w:color="140034" w:fill="140034"/>
          </w:tcPr>
          <w:p w14:paraId="640B5A39" w14:textId="77777777" w:rsidR="002B32A0" w:rsidRPr="00CE1D7F" w:rsidRDefault="002B32A0" w:rsidP="00DF2F53">
            <w:pPr>
              <w:pStyle w:val="Tablecolumnheadings"/>
              <w:keepLines/>
            </w:pPr>
            <w:r w:rsidRPr="00CE1D7F">
              <w:t>Present Value Benefits</w:t>
            </w:r>
          </w:p>
        </w:tc>
        <w:tc>
          <w:tcPr>
            <w:tcW w:w="1275" w:type="dxa"/>
            <w:tcBorders>
              <w:top w:val="nil"/>
            </w:tcBorders>
            <w:shd w:val="solid" w:color="140034" w:fill="140034"/>
          </w:tcPr>
          <w:p w14:paraId="229122E9" w14:textId="77777777" w:rsidR="002B32A0" w:rsidRPr="00CE1D7F" w:rsidRDefault="002B32A0" w:rsidP="00DF2F53">
            <w:pPr>
              <w:pStyle w:val="Tablecolumnheadings"/>
              <w:keepLines/>
            </w:pPr>
            <w:r w:rsidRPr="00CE1D7F">
              <w:t>Estimated NPV (million)</w:t>
            </w:r>
          </w:p>
        </w:tc>
        <w:tc>
          <w:tcPr>
            <w:tcW w:w="569" w:type="dxa"/>
            <w:tcBorders>
              <w:top w:val="nil"/>
            </w:tcBorders>
            <w:shd w:val="solid" w:color="140034" w:fill="140034"/>
            <w:hideMark/>
          </w:tcPr>
          <w:p w14:paraId="34F51532" w14:textId="77777777" w:rsidR="002B32A0" w:rsidRPr="00CE1D7F" w:rsidRDefault="002B32A0" w:rsidP="00DF2F53">
            <w:pPr>
              <w:pStyle w:val="Tablecolumnheadings"/>
              <w:keepLines/>
            </w:pPr>
            <w:r w:rsidRPr="00CE1D7F">
              <w:t>BCR</w:t>
            </w:r>
          </w:p>
        </w:tc>
      </w:tr>
      <w:tr w:rsidR="00955941" w:rsidRPr="00CE1D7F" w14:paraId="35F5D1BF" w14:textId="77777777" w:rsidTr="00955941">
        <w:tc>
          <w:tcPr>
            <w:tcW w:w="1256" w:type="dxa"/>
            <w:tcBorders>
              <w:top w:val="single" w:sz="4" w:space="0" w:color="auto"/>
              <w:bottom w:val="single" w:sz="4" w:space="0" w:color="auto"/>
            </w:tcBorders>
            <w:tcMar>
              <w:left w:w="80" w:type="dxa"/>
            </w:tcMar>
          </w:tcPr>
          <w:p w14:paraId="2233BDCB" w14:textId="77777777" w:rsidR="002B32A0" w:rsidRPr="00CE1D7F" w:rsidRDefault="002B32A0" w:rsidP="00DF2F53">
            <w:pPr>
              <w:pStyle w:val="Tabletext"/>
              <w:keepNext/>
              <w:keepLines/>
            </w:pPr>
            <w:r w:rsidRPr="00CE1D7F">
              <w:rPr>
                <w:i/>
                <w:iCs/>
              </w:rPr>
              <w:t>Indigenous Persistence in Formal Learning</w:t>
            </w:r>
            <w:r w:rsidRPr="00CE1D7F">
              <w:t xml:space="preserve"> </w:t>
            </w:r>
          </w:p>
        </w:tc>
        <w:tc>
          <w:tcPr>
            <w:tcW w:w="991" w:type="dxa"/>
            <w:tcBorders>
              <w:top w:val="single" w:sz="4" w:space="0" w:color="auto"/>
              <w:bottom w:val="single" w:sz="4" w:space="0" w:color="auto"/>
            </w:tcBorders>
          </w:tcPr>
          <w:p w14:paraId="3604DAE1" w14:textId="77777777" w:rsidR="002B32A0" w:rsidRPr="00CE1D7F" w:rsidRDefault="002B32A0" w:rsidP="00DF2F53">
            <w:pPr>
              <w:pStyle w:val="Tabletext"/>
              <w:keepNext/>
              <w:keepLines/>
            </w:pPr>
            <w:r w:rsidRPr="00CE1D7F">
              <w:t xml:space="preserve">DP, DI, 2xCE, LE </w:t>
            </w:r>
          </w:p>
          <w:p w14:paraId="734DC42D" w14:textId="77777777" w:rsidR="002B32A0" w:rsidRPr="00CE1D7F" w:rsidRDefault="002B32A0" w:rsidP="00DF2F53">
            <w:pPr>
              <w:pStyle w:val="Tabletext"/>
              <w:keepNext/>
              <w:keepLines/>
            </w:pPr>
            <w:r w:rsidRPr="00CE1D7F">
              <w:t>(only DI modelled)</w:t>
            </w:r>
          </w:p>
        </w:tc>
        <w:tc>
          <w:tcPr>
            <w:tcW w:w="2978" w:type="dxa"/>
            <w:tcBorders>
              <w:top w:val="single" w:sz="4" w:space="0" w:color="auto"/>
              <w:bottom w:val="single" w:sz="4" w:space="0" w:color="auto"/>
            </w:tcBorders>
          </w:tcPr>
          <w:p w14:paraId="096BD568" w14:textId="77777777" w:rsidR="002B32A0" w:rsidRPr="00CE1D7F" w:rsidRDefault="002B32A0" w:rsidP="00DF2F53">
            <w:pPr>
              <w:pStyle w:val="Tabletext"/>
              <w:keepNext/>
              <w:keepLines/>
            </w:pPr>
            <w:r w:rsidRPr="00CE1D7F">
              <w:t>$71.3</w:t>
            </w:r>
            <w:r>
              <w:t> million</w:t>
            </w:r>
          </w:p>
          <w:p w14:paraId="08E6AF5B" w14:textId="77777777" w:rsidR="002B32A0" w:rsidRPr="00CE1D7F" w:rsidRDefault="002B32A0" w:rsidP="00DF2F53">
            <w:pPr>
              <w:pStyle w:val="Tabletext"/>
              <w:keepNext/>
              <w:keepLines/>
            </w:pPr>
            <w:r w:rsidRPr="00CE1D7F">
              <w:t>ARC-funded research costs, and the higher education expenses of the Indigenous students supported by the program</w:t>
            </w:r>
          </w:p>
        </w:tc>
        <w:tc>
          <w:tcPr>
            <w:tcW w:w="2834" w:type="dxa"/>
            <w:tcBorders>
              <w:top w:val="single" w:sz="4" w:space="0" w:color="auto"/>
              <w:bottom w:val="single" w:sz="4" w:space="0" w:color="auto"/>
            </w:tcBorders>
          </w:tcPr>
          <w:p w14:paraId="14E1EEDB" w14:textId="77777777" w:rsidR="002B32A0" w:rsidRPr="00CE1D7F" w:rsidRDefault="002B32A0" w:rsidP="00DF2F53">
            <w:pPr>
              <w:pStyle w:val="Tabletext"/>
              <w:keepNext/>
              <w:keepLines/>
            </w:pPr>
            <w:r w:rsidRPr="00CE1D7F">
              <w:t>$176.5</w:t>
            </w:r>
            <w:r>
              <w:t> million</w:t>
            </w:r>
          </w:p>
          <w:p w14:paraId="3A951543" w14:textId="77777777" w:rsidR="002B32A0" w:rsidRPr="00CE1D7F" w:rsidRDefault="002B32A0" w:rsidP="00DF2F53">
            <w:pPr>
              <w:pStyle w:val="Tabletext"/>
              <w:keepNext/>
              <w:keepLines/>
            </w:pPr>
            <w:r w:rsidRPr="00CE1D7F">
              <w:t xml:space="preserve">Additional income generated by the Indigenous students who graduated as a result of the program and experienced higher income </w:t>
            </w:r>
          </w:p>
        </w:tc>
        <w:tc>
          <w:tcPr>
            <w:tcW w:w="1275" w:type="dxa"/>
            <w:tcBorders>
              <w:top w:val="single" w:sz="4" w:space="0" w:color="auto"/>
              <w:bottom w:val="single" w:sz="4" w:space="0" w:color="auto"/>
            </w:tcBorders>
          </w:tcPr>
          <w:p w14:paraId="045D6CAE" w14:textId="77777777" w:rsidR="002B32A0" w:rsidRPr="00CE1D7F" w:rsidRDefault="002B32A0" w:rsidP="00DF2F53">
            <w:pPr>
              <w:pStyle w:val="Tabletext"/>
              <w:keepNext/>
              <w:keepLines/>
            </w:pPr>
            <w:r w:rsidRPr="00CE1D7F">
              <w:rPr>
                <w:b/>
                <w:bCs/>
              </w:rPr>
              <w:t xml:space="preserve">$105.2 </w:t>
            </w:r>
          </w:p>
        </w:tc>
        <w:tc>
          <w:tcPr>
            <w:tcW w:w="569" w:type="dxa"/>
            <w:tcBorders>
              <w:top w:val="single" w:sz="4" w:space="0" w:color="auto"/>
              <w:bottom w:val="single" w:sz="4" w:space="0" w:color="auto"/>
            </w:tcBorders>
          </w:tcPr>
          <w:p w14:paraId="0F1F11AD" w14:textId="77777777" w:rsidR="002B32A0" w:rsidRPr="00CE1D7F" w:rsidRDefault="002B32A0" w:rsidP="00DF2F53">
            <w:pPr>
              <w:pStyle w:val="Tabletext"/>
              <w:keepNext/>
              <w:keepLines/>
            </w:pPr>
            <w:r w:rsidRPr="00CE1D7F">
              <w:rPr>
                <w:b/>
                <w:bCs/>
              </w:rPr>
              <w:t>2.48</w:t>
            </w:r>
          </w:p>
        </w:tc>
      </w:tr>
      <w:tr w:rsidR="00955941" w:rsidRPr="00CE1D7F" w14:paraId="1777CE3F" w14:textId="77777777" w:rsidTr="00955941">
        <w:tc>
          <w:tcPr>
            <w:tcW w:w="1256" w:type="dxa"/>
            <w:tcBorders>
              <w:top w:val="single" w:sz="4" w:space="0" w:color="auto"/>
              <w:bottom w:val="single" w:sz="4" w:space="0" w:color="auto"/>
            </w:tcBorders>
            <w:tcMar>
              <w:left w:w="80" w:type="dxa"/>
            </w:tcMar>
          </w:tcPr>
          <w:p w14:paraId="327C5332" w14:textId="77777777" w:rsidR="002B32A0" w:rsidRPr="00CE1D7F" w:rsidRDefault="002B32A0" w:rsidP="00DF2F53">
            <w:pPr>
              <w:pStyle w:val="Tabletext"/>
              <w:keepNext/>
              <w:keepLines/>
            </w:pPr>
            <w:r w:rsidRPr="00CE1D7F">
              <w:rPr>
                <w:i/>
                <w:iCs/>
              </w:rPr>
              <w:t>Quantum Computation and Communication Technology</w:t>
            </w:r>
          </w:p>
        </w:tc>
        <w:tc>
          <w:tcPr>
            <w:tcW w:w="991" w:type="dxa"/>
            <w:tcBorders>
              <w:top w:val="single" w:sz="4" w:space="0" w:color="auto"/>
              <w:bottom w:val="single" w:sz="4" w:space="0" w:color="auto"/>
            </w:tcBorders>
          </w:tcPr>
          <w:p w14:paraId="66907197" w14:textId="77777777" w:rsidR="002B32A0" w:rsidRPr="00CE1D7F" w:rsidRDefault="002B32A0" w:rsidP="00DF2F53">
            <w:pPr>
              <w:pStyle w:val="Tabletext"/>
              <w:keepNext/>
              <w:keepLines/>
            </w:pPr>
            <w:r w:rsidRPr="00CE1D7F">
              <w:t>3xCE, 4xFL, LE</w:t>
            </w:r>
          </w:p>
          <w:p w14:paraId="4E62922F" w14:textId="77777777" w:rsidR="002B32A0" w:rsidRPr="00CE1D7F" w:rsidRDefault="002B32A0" w:rsidP="00DF2F53">
            <w:pPr>
              <w:pStyle w:val="Tabletext"/>
              <w:keepNext/>
              <w:keepLines/>
            </w:pPr>
            <w:r w:rsidRPr="00CE1D7F">
              <w:t>(all modelled)</w:t>
            </w:r>
          </w:p>
        </w:tc>
        <w:tc>
          <w:tcPr>
            <w:tcW w:w="2978" w:type="dxa"/>
            <w:tcBorders>
              <w:top w:val="single" w:sz="4" w:space="0" w:color="auto"/>
              <w:bottom w:val="single" w:sz="4" w:space="0" w:color="auto"/>
            </w:tcBorders>
          </w:tcPr>
          <w:p w14:paraId="368EF73B" w14:textId="77777777" w:rsidR="002B32A0" w:rsidRPr="00CE1D7F" w:rsidRDefault="002B32A0" w:rsidP="00DF2F53">
            <w:pPr>
              <w:pStyle w:val="Tabletext"/>
              <w:keepNext/>
              <w:keepLines/>
            </w:pPr>
            <w:r w:rsidRPr="00CE1D7F">
              <w:t>$4</w:t>
            </w:r>
            <w:r>
              <w:t>637.7 million</w:t>
            </w:r>
          </w:p>
          <w:p w14:paraId="25AF6A54" w14:textId="77777777" w:rsidR="002B32A0" w:rsidRPr="00CE1D7F" w:rsidRDefault="002B32A0" w:rsidP="00DF2F53">
            <w:pPr>
              <w:pStyle w:val="Tabletext"/>
              <w:keepNext/>
              <w:keepLines/>
              <w:rPr>
                <w:b/>
                <w:bCs/>
              </w:rPr>
            </w:pPr>
            <w:r w:rsidRPr="00CE1D7F">
              <w:t>ARC-funded research costs</w:t>
            </w:r>
          </w:p>
        </w:tc>
        <w:tc>
          <w:tcPr>
            <w:tcW w:w="2834" w:type="dxa"/>
            <w:tcBorders>
              <w:top w:val="single" w:sz="4" w:space="0" w:color="auto"/>
              <w:bottom w:val="single" w:sz="4" w:space="0" w:color="auto"/>
            </w:tcBorders>
          </w:tcPr>
          <w:p w14:paraId="558ECE77" w14:textId="77777777" w:rsidR="002B32A0" w:rsidRPr="00CE1D7F" w:rsidRDefault="002B32A0" w:rsidP="00DF2F53">
            <w:pPr>
              <w:pStyle w:val="Tabletext"/>
              <w:keepNext/>
              <w:keepLines/>
            </w:pPr>
            <w:r w:rsidRPr="00CE1D7F">
              <w:t>$</w:t>
            </w:r>
            <w:r>
              <w:t>2.9 billion</w:t>
            </w:r>
          </w:p>
          <w:p w14:paraId="62937CAD" w14:textId="77777777" w:rsidR="002B32A0" w:rsidRPr="00CE1D7F" w:rsidRDefault="002B32A0" w:rsidP="00DF2F53">
            <w:pPr>
              <w:pStyle w:val="Tabletext"/>
              <w:keepNext/>
              <w:keepLines/>
            </w:pPr>
            <w:r>
              <w:t xml:space="preserve">Quantum computing, quantum communications and quantum sensing and measurement </w:t>
            </w:r>
            <w:r w:rsidRPr="00CE1D7F">
              <w:t>opportunity in Australia that can be attributed to the ARC-funded research</w:t>
            </w:r>
          </w:p>
        </w:tc>
        <w:tc>
          <w:tcPr>
            <w:tcW w:w="1275" w:type="dxa"/>
            <w:tcBorders>
              <w:top w:val="single" w:sz="4" w:space="0" w:color="auto"/>
              <w:bottom w:val="single" w:sz="4" w:space="0" w:color="auto"/>
            </w:tcBorders>
          </w:tcPr>
          <w:p w14:paraId="4F22E3B2" w14:textId="77777777" w:rsidR="002B32A0" w:rsidRPr="00CE1D7F" w:rsidRDefault="002B32A0" w:rsidP="00DF2F53">
            <w:pPr>
              <w:pStyle w:val="Tabletext"/>
              <w:keepNext/>
              <w:keepLines/>
              <w:rPr>
                <w:b/>
                <w:bCs/>
              </w:rPr>
            </w:pPr>
            <w:r w:rsidRPr="00CE1D7F">
              <w:rPr>
                <w:b/>
                <w:bCs/>
              </w:rPr>
              <w:t>$</w:t>
            </w:r>
            <w:r>
              <w:rPr>
                <w:b/>
                <w:bCs/>
              </w:rPr>
              <w:t>2,231.3</w:t>
            </w:r>
          </w:p>
        </w:tc>
        <w:tc>
          <w:tcPr>
            <w:tcW w:w="569" w:type="dxa"/>
            <w:tcBorders>
              <w:top w:val="single" w:sz="4" w:space="0" w:color="auto"/>
              <w:bottom w:val="single" w:sz="4" w:space="0" w:color="auto"/>
            </w:tcBorders>
          </w:tcPr>
          <w:p w14:paraId="0885FE42" w14:textId="77777777" w:rsidR="002B32A0" w:rsidRPr="00CE1D7F" w:rsidRDefault="002B32A0" w:rsidP="00DF2F53">
            <w:pPr>
              <w:pStyle w:val="Tabletext"/>
              <w:keepNext/>
              <w:keepLines/>
              <w:rPr>
                <w:b/>
                <w:bCs/>
              </w:rPr>
            </w:pPr>
            <w:r>
              <w:rPr>
                <w:b/>
                <w:bCs/>
              </w:rPr>
              <w:t>4.50</w:t>
            </w:r>
          </w:p>
        </w:tc>
      </w:tr>
      <w:tr w:rsidR="00955941" w:rsidRPr="00CE1D7F" w14:paraId="172AA72C" w14:textId="77777777" w:rsidTr="00955941">
        <w:tc>
          <w:tcPr>
            <w:tcW w:w="1256" w:type="dxa"/>
            <w:tcBorders>
              <w:top w:val="single" w:sz="4" w:space="0" w:color="auto"/>
              <w:bottom w:val="single" w:sz="4" w:space="0" w:color="auto"/>
            </w:tcBorders>
            <w:tcMar>
              <w:left w:w="80" w:type="dxa"/>
            </w:tcMar>
          </w:tcPr>
          <w:p w14:paraId="6A2FF710" w14:textId="77777777" w:rsidR="002B32A0" w:rsidRPr="00CE1D7F" w:rsidRDefault="002B32A0" w:rsidP="00DF2F53">
            <w:pPr>
              <w:pStyle w:val="Tabletext"/>
              <w:keepNext/>
              <w:keepLines/>
            </w:pPr>
            <w:r w:rsidRPr="00CE1D7F">
              <w:rPr>
                <w:i/>
                <w:iCs/>
              </w:rPr>
              <w:t>Aquifer Reinjection</w:t>
            </w:r>
          </w:p>
        </w:tc>
        <w:tc>
          <w:tcPr>
            <w:tcW w:w="991" w:type="dxa"/>
            <w:tcBorders>
              <w:top w:val="single" w:sz="4" w:space="0" w:color="auto"/>
              <w:bottom w:val="single" w:sz="4" w:space="0" w:color="auto"/>
            </w:tcBorders>
          </w:tcPr>
          <w:p w14:paraId="4D261926" w14:textId="77777777" w:rsidR="002B32A0" w:rsidRPr="00CE1D7F" w:rsidRDefault="002B32A0" w:rsidP="00DF2F53">
            <w:pPr>
              <w:pStyle w:val="Tabletext"/>
              <w:keepNext/>
              <w:keepLines/>
            </w:pPr>
            <w:r w:rsidRPr="00CE1D7F">
              <w:t xml:space="preserve">LE, 2xLP </w:t>
            </w:r>
          </w:p>
          <w:p w14:paraId="499F95B4" w14:textId="77777777" w:rsidR="002B32A0" w:rsidRPr="00CE1D7F" w:rsidRDefault="002B32A0" w:rsidP="00DF2F53">
            <w:pPr>
              <w:pStyle w:val="Tabletext"/>
              <w:keepNext/>
              <w:keepLines/>
            </w:pPr>
            <w:r w:rsidRPr="00CE1D7F">
              <w:t>(all modelled)</w:t>
            </w:r>
          </w:p>
        </w:tc>
        <w:tc>
          <w:tcPr>
            <w:tcW w:w="2978" w:type="dxa"/>
            <w:tcBorders>
              <w:top w:val="single" w:sz="4" w:space="0" w:color="auto"/>
              <w:bottom w:val="single" w:sz="4" w:space="0" w:color="auto"/>
            </w:tcBorders>
          </w:tcPr>
          <w:p w14:paraId="0A3EFE80" w14:textId="77777777" w:rsidR="002B32A0" w:rsidRPr="00CE1D7F" w:rsidRDefault="002B32A0" w:rsidP="00DF2F53">
            <w:pPr>
              <w:pStyle w:val="Tabletext"/>
              <w:keepNext/>
              <w:keepLines/>
            </w:pPr>
            <w:r w:rsidRPr="00CE1D7F">
              <w:t>$13.6</w:t>
            </w:r>
            <w:r>
              <w:t> million</w:t>
            </w:r>
          </w:p>
          <w:p w14:paraId="2DB61B64" w14:textId="77777777" w:rsidR="002B32A0" w:rsidRPr="00CE1D7F" w:rsidRDefault="002B32A0" w:rsidP="00DF2F53">
            <w:pPr>
              <w:pStyle w:val="Tabletext"/>
              <w:keepNext/>
              <w:keepLines/>
            </w:pPr>
            <w:r w:rsidRPr="00CE1D7F">
              <w:t>ARC-funded research costs</w:t>
            </w:r>
          </w:p>
        </w:tc>
        <w:tc>
          <w:tcPr>
            <w:tcW w:w="2834" w:type="dxa"/>
            <w:tcBorders>
              <w:top w:val="single" w:sz="4" w:space="0" w:color="auto"/>
              <w:bottom w:val="single" w:sz="4" w:space="0" w:color="auto"/>
            </w:tcBorders>
          </w:tcPr>
          <w:p w14:paraId="3E458938" w14:textId="77777777" w:rsidR="002B32A0" w:rsidRPr="00CE1D7F" w:rsidRDefault="002B32A0" w:rsidP="00DF2F53">
            <w:pPr>
              <w:pStyle w:val="Tabletext"/>
              <w:keepNext/>
              <w:keepLines/>
            </w:pPr>
            <w:r w:rsidRPr="00CE1D7F">
              <w:t>$78.1</w:t>
            </w:r>
            <w:r>
              <w:t> million</w:t>
            </w:r>
          </w:p>
          <w:p w14:paraId="0CAE0489" w14:textId="77777777" w:rsidR="002B32A0" w:rsidRPr="00CE1D7F" w:rsidRDefault="002B32A0" w:rsidP="00DF2F53">
            <w:pPr>
              <w:pStyle w:val="Tabletext"/>
              <w:keepNext/>
              <w:keepLines/>
            </w:pPr>
            <w:r w:rsidRPr="00CE1D7F">
              <w:t>Costs avoided by Water Corporation that would have been associated with utilising desalination over aquifer reinjection</w:t>
            </w:r>
          </w:p>
        </w:tc>
        <w:tc>
          <w:tcPr>
            <w:tcW w:w="1275" w:type="dxa"/>
            <w:tcBorders>
              <w:top w:val="single" w:sz="4" w:space="0" w:color="auto"/>
              <w:bottom w:val="single" w:sz="4" w:space="0" w:color="auto"/>
            </w:tcBorders>
          </w:tcPr>
          <w:p w14:paraId="0AF0B16C" w14:textId="77777777" w:rsidR="002B32A0" w:rsidRPr="00CE1D7F" w:rsidRDefault="002B32A0" w:rsidP="00DF2F53">
            <w:pPr>
              <w:pStyle w:val="Tabletext"/>
              <w:keepNext/>
              <w:keepLines/>
            </w:pPr>
            <w:r w:rsidRPr="00CE1D7F">
              <w:rPr>
                <w:b/>
                <w:bCs/>
              </w:rPr>
              <w:t>$64.5</w:t>
            </w:r>
          </w:p>
        </w:tc>
        <w:tc>
          <w:tcPr>
            <w:tcW w:w="569" w:type="dxa"/>
            <w:tcBorders>
              <w:top w:val="single" w:sz="4" w:space="0" w:color="auto"/>
              <w:bottom w:val="single" w:sz="4" w:space="0" w:color="auto"/>
            </w:tcBorders>
          </w:tcPr>
          <w:p w14:paraId="4ED331CF" w14:textId="77777777" w:rsidR="002B32A0" w:rsidRPr="00CE1D7F" w:rsidRDefault="002B32A0" w:rsidP="00DF2F53">
            <w:pPr>
              <w:pStyle w:val="Tabletext"/>
              <w:keepNext/>
              <w:keepLines/>
            </w:pPr>
            <w:r w:rsidRPr="00CE1D7F">
              <w:rPr>
                <w:b/>
                <w:bCs/>
              </w:rPr>
              <w:t>5.76</w:t>
            </w:r>
          </w:p>
        </w:tc>
      </w:tr>
      <w:tr w:rsidR="00955941" w:rsidRPr="00CE1D7F" w14:paraId="3CFB76C7" w14:textId="77777777" w:rsidTr="00955941">
        <w:tc>
          <w:tcPr>
            <w:tcW w:w="1256" w:type="dxa"/>
            <w:tcBorders>
              <w:top w:val="single" w:sz="4" w:space="0" w:color="auto"/>
              <w:bottom w:val="single" w:sz="4" w:space="0" w:color="auto"/>
            </w:tcBorders>
            <w:tcMar>
              <w:left w:w="80" w:type="dxa"/>
            </w:tcMar>
          </w:tcPr>
          <w:p w14:paraId="5A5BF5B6" w14:textId="77777777" w:rsidR="002B32A0" w:rsidRPr="00CE1D7F" w:rsidRDefault="002B32A0" w:rsidP="00DF2F53">
            <w:pPr>
              <w:pStyle w:val="Tabletext"/>
              <w:keepNext/>
              <w:keepLines/>
              <w:rPr>
                <w:i/>
                <w:iCs/>
              </w:rPr>
            </w:pPr>
            <w:r w:rsidRPr="00CE1D7F">
              <w:rPr>
                <w:i/>
                <w:iCs/>
              </w:rPr>
              <w:t>Onshore Lobster Aquaculture</w:t>
            </w:r>
          </w:p>
        </w:tc>
        <w:tc>
          <w:tcPr>
            <w:tcW w:w="991" w:type="dxa"/>
            <w:tcBorders>
              <w:top w:val="single" w:sz="4" w:space="0" w:color="auto"/>
              <w:bottom w:val="single" w:sz="4" w:space="0" w:color="auto"/>
            </w:tcBorders>
          </w:tcPr>
          <w:p w14:paraId="14EE1FD6" w14:textId="77777777" w:rsidR="002B32A0" w:rsidRPr="00CE1D7F" w:rsidRDefault="002B32A0" w:rsidP="00DF2F53">
            <w:pPr>
              <w:pStyle w:val="Tabletext"/>
              <w:keepNext/>
              <w:keepLines/>
            </w:pPr>
            <w:r w:rsidRPr="00CE1D7F">
              <w:t xml:space="preserve">2xIH </w:t>
            </w:r>
          </w:p>
          <w:p w14:paraId="0E480A9E" w14:textId="77777777" w:rsidR="002B32A0" w:rsidRPr="00CE1D7F" w:rsidRDefault="002B32A0" w:rsidP="00DF2F53">
            <w:pPr>
              <w:pStyle w:val="Tabletext"/>
              <w:keepNext/>
              <w:keepLines/>
            </w:pPr>
            <w:r w:rsidRPr="00CE1D7F">
              <w:t>(all modelled)</w:t>
            </w:r>
          </w:p>
        </w:tc>
        <w:tc>
          <w:tcPr>
            <w:tcW w:w="2978" w:type="dxa"/>
            <w:tcBorders>
              <w:top w:val="single" w:sz="4" w:space="0" w:color="auto"/>
              <w:bottom w:val="single" w:sz="4" w:space="0" w:color="auto"/>
            </w:tcBorders>
          </w:tcPr>
          <w:p w14:paraId="7CCC19E0" w14:textId="77777777" w:rsidR="002B32A0" w:rsidRPr="00CE1D7F" w:rsidRDefault="002B32A0" w:rsidP="00DF2F53">
            <w:pPr>
              <w:pStyle w:val="Tabletext"/>
              <w:keepNext/>
              <w:keepLines/>
            </w:pPr>
            <w:r w:rsidRPr="00CE1D7F">
              <w:t>$96.7</w:t>
            </w:r>
            <w:r>
              <w:t> million</w:t>
            </w:r>
          </w:p>
          <w:p w14:paraId="3D099558" w14:textId="77777777" w:rsidR="002B32A0" w:rsidRPr="00CE1D7F" w:rsidRDefault="002B32A0" w:rsidP="00DF2F53">
            <w:pPr>
              <w:pStyle w:val="Tabletext"/>
              <w:keepNext/>
              <w:keepLines/>
            </w:pPr>
            <w:r w:rsidRPr="00CE1D7F">
              <w:t>ARC-funded research costs, Ornatas’ capital and operational expenditure involved in lobster production</w:t>
            </w:r>
          </w:p>
        </w:tc>
        <w:tc>
          <w:tcPr>
            <w:tcW w:w="2834" w:type="dxa"/>
            <w:tcBorders>
              <w:top w:val="single" w:sz="4" w:space="0" w:color="auto"/>
              <w:bottom w:val="single" w:sz="4" w:space="0" w:color="auto"/>
            </w:tcBorders>
          </w:tcPr>
          <w:p w14:paraId="33B32B42" w14:textId="77777777" w:rsidR="002B32A0" w:rsidRPr="00CE1D7F" w:rsidRDefault="002B32A0" w:rsidP="00DF2F53">
            <w:pPr>
              <w:pStyle w:val="Tabletext"/>
              <w:keepNext/>
              <w:keepLines/>
            </w:pPr>
            <w:r w:rsidRPr="00CE1D7F">
              <w:t>$297.7</w:t>
            </w:r>
            <w:r>
              <w:t> million</w:t>
            </w:r>
          </w:p>
          <w:p w14:paraId="7B8F5817" w14:textId="77777777" w:rsidR="002B32A0" w:rsidRPr="00CE1D7F" w:rsidRDefault="002B32A0" w:rsidP="00DF2F53">
            <w:pPr>
              <w:pStyle w:val="Tabletext"/>
              <w:keepNext/>
              <w:keepLines/>
            </w:pPr>
            <w:r w:rsidRPr="00CE1D7F">
              <w:t>Value of future lobster production</w:t>
            </w:r>
          </w:p>
        </w:tc>
        <w:tc>
          <w:tcPr>
            <w:tcW w:w="1275" w:type="dxa"/>
            <w:tcBorders>
              <w:top w:val="single" w:sz="4" w:space="0" w:color="auto"/>
              <w:bottom w:val="single" w:sz="4" w:space="0" w:color="auto"/>
            </w:tcBorders>
          </w:tcPr>
          <w:p w14:paraId="453377BF" w14:textId="77777777" w:rsidR="002B32A0" w:rsidRPr="00CE1D7F" w:rsidRDefault="002B32A0" w:rsidP="00DF2F53">
            <w:pPr>
              <w:pStyle w:val="Tabletext"/>
              <w:keepNext/>
              <w:keepLines/>
            </w:pPr>
            <w:r w:rsidRPr="00CE1D7F">
              <w:rPr>
                <w:b/>
                <w:bCs/>
              </w:rPr>
              <w:t>$201.1</w:t>
            </w:r>
          </w:p>
        </w:tc>
        <w:tc>
          <w:tcPr>
            <w:tcW w:w="569" w:type="dxa"/>
            <w:tcBorders>
              <w:top w:val="single" w:sz="4" w:space="0" w:color="auto"/>
              <w:bottom w:val="single" w:sz="4" w:space="0" w:color="auto"/>
            </w:tcBorders>
          </w:tcPr>
          <w:p w14:paraId="6285AAEF" w14:textId="77777777" w:rsidR="002B32A0" w:rsidRPr="00CE1D7F" w:rsidRDefault="002B32A0" w:rsidP="00DF2F53">
            <w:pPr>
              <w:pStyle w:val="Tabletext"/>
              <w:keepNext/>
              <w:keepLines/>
            </w:pPr>
            <w:r w:rsidRPr="00CE1D7F">
              <w:rPr>
                <w:b/>
                <w:bCs/>
              </w:rPr>
              <w:t>3.08</w:t>
            </w:r>
          </w:p>
        </w:tc>
      </w:tr>
      <w:tr w:rsidR="00955941" w:rsidRPr="00CE1D7F" w14:paraId="458D01C3" w14:textId="77777777" w:rsidTr="00955941">
        <w:tc>
          <w:tcPr>
            <w:tcW w:w="1256" w:type="dxa"/>
            <w:tcBorders>
              <w:top w:val="single" w:sz="4" w:space="0" w:color="auto"/>
              <w:bottom w:val="single" w:sz="4" w:space="0" w:color="auto"/>
            </w:tcBorders>
            <w:tcMar>
              <w:left w:w="80" w:type="dxa"/>
            </w:tcMar>
          </w:tcPr>
          <w:p w14:paraId="160895F9" w14:textId="77777777" w:rsidR="002B32A0" w:rsidRPr="00CE1D7F" w:rsidRDefault="002B32A0" w:rsidP="00DF2F53">
            <w:pPr>
              <w:pStyle w:val="Tabletext"/>
              <w:keepNext/>
              <w:keepLines/>
              <w:rPr>
                <w:i/>
                <w:iCs/>
              </w:rPr>
            </w:pPr>
            <w:r w:rsidRPr="00CE1D7F">
              <w:rPr>
                <w:i/>
                <w:iCs/>
              </w:rPr>
              <w:t xml:space="preserve">Irrigation Automation </w:t>
            </w:r>
          </w:p>
        </w:tc>
        <w:tc>
          <w:tcPr>
            <w:tcW w:w="991" w:type="dxa"/>
            <w:tcBorders>
              <w:top w:val="single" w:sz="4" w:space="0" w:color="auto"/>
              <w:bottom w:val="single" w:sz="4" w:space="0" w:color="auto"/>
            </w:tcBorders>
          </w:tcPr>
          <w:p w14:paraId="626E3797" w14:textId="77777777" w:rsidR="002B32A0" w:rsidRPr="00CE1D7F" w:rsidRDefault="002B32A0" w:rsidP="00DF2F53">
            <w:pPr>
              <w:pStyle w:val="Tabletext"/>
              <w:keepNext/>
              <w:keepLines/>
            </w:pPr>
            <w:r w:rsidRPr="00CE1D7F">
              <w:t>5xLP</w:t>
            </w:r>
          </w:p>
          <w:p w14:paraId="3957764B" w14:textId="77777777" w:rsidR="002B32A0" w:rsidRPr="00CE1D7F" w:rsidRDefault="002B32A0" w:rsidP="00DF2F53">
            <w:pPr>
              <w:pStyle w:val="Tabletext"/>
              <w:keepNext/>
              <w:keepLines/>
            </w:pPr>
            <w:r w:rsidRPr="00CE1D7F">
              <w:t>(all modelled)</w:t>
            </w:r>
          </w:p>
        </w:tc>
        <w:tc>
          <w:tcPr>
            <w:tcW w:w="2978" w:type="dxa"/>
            <w:tcBorders>
              <w:top w:val="single" w:sz="4" w:space="0" w:color="auto"/>
              <w:bottom w:val="single" w:sz="4" w:space="0" w:color="auto"/>
            </w:tcBorders>
          </w:tcPr>
          <w:p w14:paraId="6B61FE4D" w14:textId="77777777" w:rsidR="002B32A0" w:rsidRPr="00CE1D7F" w:rsidRDefault="002B32A0" w:rsidP="00DF2F53">
            <w:pPr>
              <w:pStyle w:val="Tabletext"/>
              <w:keepNext/>
              <w:keepLines/>
              <w:rPr>
                <w:vertAlign w:val="superscript"/>
              </w:rPr>
            </w:pPr>
            <w:r w:rsidRPr="00CE1D7F">
              <w:t>$4.9</w:t>
            </w:r>
            <w:r>
              <w:t> billion</w:t>
            </w:r>
            <w:r w:rsidRPr="00CE1D7F">
              <w:t xml:space="preserve"> (not attributed)</w:t>
            </w:r>
            <w:r w:rsidRPr="00CE1D7F">
              <w:rPr>
                <w:vertAlign w:val="superscript"/>
              </w:rPr>
              <w:t>1</w:t>
            </w:r>
          </w:p>
          <w:p w14:paraId="2965AEC2" w14:textId="77777777" w:rsidR="002B32A0" w:rsidRPr="00CE1D7F" w:rsidRDefault="002B32A0" w:rsidP="00DF2F53">
            <w:pPr>
              <w:pStyle w:val="Tabletext"/>
              <w:keepNext/>
              <w:keepLines/>
            </w:pPr>
            <w:r w:rsidRPr="00CE1D7F">
              <w:t>ARC-funded research costs, and Golden Murray Water Connections Project capital expenditure costs to upgrade the irrigation network (VIC and Australian Government funded)</w:t>
            </w:r>
          </w:p>
        </w:tc>
        <w:tc>
          <w:tcPr>
            <w:tcW w:w="2834" w:type="dxa"/>
            <w:tcBorders>
              <w:top w:val="single" w:sz="4" w:space="0" w:color="auto"/>
              <w:bottom w:val="single" w:sz="4" w:space="0" w:color="auto"/>
            </w:tcBorders>
          </w:tcPr>
          <w:p w14:paraId="3CEE19C6" w14:textId="77777777" w:rsidR="002B32A0" w:rsidRPr="00CE1D7F" w:rsidRDefault="002B32A0" w:rsidP="00DF2F53">
            <w:pPr>
              <w:pStyle w:val="Tabletext"/>
              <w:keepNext/>
              <w:keepLines/>
              <w:rPr>
                <w:vertAlign w:val="superscript"/>
              </w:rPr>
            </w:pPr>
            <w:r w:rsidRPr="00CE1D7F">
              <w:t>$14.6</w:t>
            </w:r>
            <w:r>
              <w:t> billion</w:t>
            </w:r>
            <w:r w:rsidRPr="00CE1D7F">
              <w:t xml:space="preserve"> (not attributed)</w:t>
            </w:r>
            <w:r w:rsidRPr="00CE1D7F">
              <w:rPr>
                <w:vertAlign w:val="superscript"/>
              </w:rPr>
              <w:t>1</w:t>
            </w:r>
          </w:p>
          <w:p w14:paraId="155F9DD8" w14:textId="77777777" w:rsidR="002B32A0" w:rsidRPr="00CE1D7F" w:rsidRDefault="002B32A0" w:rsidP="00DF2F53">
            <w:pPr>
              <w:pStyle w:val="Tabletext"/>
              <w:keepNext/>
              <w:keepLines/>
            </w:pPr>
            <w:r w:rsidRPr="00CE1D7F">
              <w:t>Value of the water savings and reduced operational expenditure for the water distributor from automating a previously manual system</w:t>
            </w:r>
          </w:p>
        </w:tc>
        <w:tc>
          <w:tcPr>
            <w:tcW w:w="1275" w:type="dxa"/>
            <w:tcBorders>
              <w:top w:val="single" w:sz="4" w:space="0" w:color="auto"/>
              <w:bottom w:val="single" w:sz="4" w:space="0" w:color="auto"/>
            </w:tcBorders>
          </w:tcPr>
          <w:p w14:paraId="103723F0" w14:textId="77777777" w:rsidR="002B32A0" w:rsidRPr="00CE1D7F" w:rsidRDefault="002B32A0" w:rsidP="00DF2F53">
            <w:pPr>
              <w:pStyle w:val="Tabletext"/>
              <w:keepNext/>
              <w:keepLines/>
              <w:rPr>
                <w:vertAlign w:val="superscript"/>
              </w:rPr>
            </w:pPr>
            <w:r w:rsidRPr="00CE1D7F">
              <w:rPr>
                <w:b/>
                <w:bCs/>
              </w:rPr>
              <w:t>$9,659.0</w:t>
            </w:r>
            <w:r w:rsidRPr="00CE1D7F">
              <w:t xml:space="preserve"> </w:t>
            </w:r>
            <w:r w:rsidRPr="00CE1D7F">
              <w:br/>
              <w:t>(not attributed)</w:t>
            </w:r>
            <w:r w:rsidRPr="00CE1D7F">
              <w:rPr>
                <w:vertAlign w:val="superscript"/>
              </w:rPr>
              <w:t>1</w:t>
            </w:r>
          </w:p>
        </w:tc>
        <w:tc>
          <w:tcPr>
            <w:tcW w:w="569" w:type="dxa"/>
            <w:tcBorders>
              <w:top w:val="single" w:sz="4" w:space="0" w:color="auto"/>
              <w:bottom w:val="single" w:sz="4" w:space="0" w:color="auto"/>
            </w:tcBorders>
          </w:tcPr>
          <w:p w14:paraId="2E6A7811" w14:textId="77777777" w:rsidR="002B32A0" w:rsidRPr="00CE1D7F" w:rsidRDefault="002B32A0" w:rsidP="00DF2F53">
            <w:pPr>
              <w:pStyle w:val="Tabletext"/>
              <w:keepNext/>
              <w:keepLines/>
              <w:rPr>
                <w:b/>
                <w:bCs/>
              </w:rPr>
            </w:pPr>
            <w:r w:rsidRPr="00CE1D7F">
              <w:rPr>
                <w:b/>
                <w:bCs/>
              </w:rPr>
              <w:t>2.94</w:t>
            </w:r>
          </w:p>
        </w:tc>
      </w:tr>
    </w:tbl>
    <w:p w14:paraId="5B7B37E5" w14:textId="77777777" w:rsidR="000B0AC7" w:rsidRPr="00CE1D7F" w:rsidRDefault="000B0AC7" w:rsidP="000B0AC7">
      <w:pPr>
        <w:pStyle w:val="Source"/>
        <w:keepLines/>
        <w:spacing w:line="256" w:lineRule="auto"/>
        <w:ind w:left="-1963"/>
        <w:rPr>
          <w:i w:val="0"/>
          <w:iCs/>
        </w:rPr>
      </w:pPr>
      <w:r w:rsidRPr="00CE1D7F">
        <w:rPr>
          <w:i w:val="0"/>
          <w:iCs/>
          <w:vertAlign w:val="superscript"/>
        </w:rPr>
        <w:t>1</w:t>
      </w:r>
      <w:r w:rsidRPr="00CE1D7F">
        <w:rPr>
          <w:i w:val="0"/>
          <w:iCs/>
        </w:rPr>
        <w:t>Note that the Irrigation Automation CBA is not attributed to the ARC due to commercial sensitivities. See case study in Part II for further information.</w:t>
      </w:r>
    </w:p>
    <w:p w14:paraId="211C2B0E" w14:textId="77777777" w:rsidR="000B0AC7" w:rsidRPr="00CE1D7F" w:rsidRDefault="000B0AC7" w:rsidP="000B0AC7">
      <w:pPr>
        <w:pStyle w:val="Source"/>
        <w:keepLines/>
        <w:spacing w:line="256" w:lineRule="auto"/>
        <w:ind w:left="-1963"/>
      </w:pPr>
      <w:r w:rsidRPr="00CE1D7F">
        <w:t>Source: ACIL Allen</w:t>
      </w:r>
    </w:p>
    <w:p w14:paraId="50AC69EA" w14:textId="77777777" w:rsidR="000B0AC7" w:rsidRPr="00CE1D7F" w:rsidRDefault="000B0AC7" w:rsidP="000B0AC7">
      <w:pPr>
        <w:spacing w:before="0" w:after="160" w:line="259" w:lineRule="auto"/>
        <w:ind w:left="-1963"/>
      </w:pPr>
    </w:p>
    <w:p w14:paraId="371C9E5C" w14:textId="77777777" w:rsidR="002B32A0" w:rsidRPr="00CE1D7F" w:rsidRDefault="002B32A0" w:rsidP="002B32A0">
      <w:pPr>
        <w:pStyle w:val="BodyText"/>
      </w:pPr>
      <w:r w:rsidRPr="00CE1D7F">
        <w:t>The case studies also identify a range of potential economic and financial impacts associated with different types of research funded by the ARC. These impacts have been analysed qualitatively and are described in detail in Part II of this report.</w:t>
      </w:r>
    </w:p>
    <w:p w14:paraId="5FF405E3" w14:textId="77777777" w:rsidR="002B32A0" w:rsidRPr="00CE1D7F" w:rsidRDefault="002B32A0" w:rsidP="002B32A0">
      <w:pPr>
        <w:pStyle w:val="BodyText"/>
        <w:sectPr w:rsidR="002B32A0" w:rsidRPr="00CE1D7F" w:rsidSect="00AA5E25">
          <w:headerReference w:type="even" r:id="rId64"/>
          <w:headerReference w:type="default" r:id="rId65"/>
          <w:footerReference w:type="even" r:id="rId66"/>
          <w:footerReference w:type="default" r:id="rId67"/>
          <w:headerReference w:type="first" r:id="rId68"/>
          <w:footerReference w:type="first" r:id="rId69"/>
          <w:pgSz w:w="11906" w:h="16838" w:code="9"/>
          <w:pgMar w:top="1134" w:right="851" w:bottom="1134" w:left="3119" w:header="454" w:footer="159" w:gutter="0"/>
          <w:cols w:space="708"/>
          <w:docGrid w:linePitch="360"/>
        </w:sectPr>
      </w:pPr>
    </w:p>
    <w:p w14:paraId="17343A1C" w14:textId="5433D2CA" w:rsidR="000B0AC7" w:rsidRPr="00CE1D7F" w:rsidRDefault="000B0AC7" w:rsidP="000B0AC7">
      <w:pPr>
        <w:pStyle w:val="Caption"/>
        <w:ind w:left="-650" w:hanging="1308"/>
      </w:pPr>
      <w:r w:rsidRPr="00346479">
        <w:rPr>
          <w:noProof/>
        </w:rPr>
        <w:lastRenderedPageBreak/>
        <w:drawing>
          <wp:anchor distT="0" distB="0" distL="114300" distR="114300" simplePos="0" relativeHeight="251791360" behindDoc="0" locked="0" layoutInCell="1" allowOverlap="1" wp14:anchorId="49A5FA0C" wp14:editId="6FD4D555">
            <wp:simplePos x="0" y="0"/>
            <wp:positionH relativeFrom="column">
              <wp:posOffset>3739515</wp:posOffset>
            </wp:positionH>
            <wp:positionV relativeFrom="paragraph">
              <wp:posOffset>-21590</wp:posOffset>
            </wp:positionV>
            <wp:extent cx="1257300" cy="247650"/>
            <wp:effectExtent l="0" t="0" r="0" b="0"/>
            <wp:wrapNone/>
            <wp:docPr id="44" name="Picture 44" descr="Figure Legend for the charts showing PV costs (purple) and PV benefits (gr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Figure Legend for the charts showing PV costs (purple) and PV benefits (grey)"/>
                    <pic:cNvPicPr/>
                  </pic:nvPicPr>
                  <pic:blipFill>
                    <a:blip r:embed="rId70">
                      <a:extLst>
                        <a:ext uri="{28A0092B-C50C-407E-A947-70E740481C1C}">
                          <a14:useLocalDpi xmlns:a14="http://schemas.microsoft.com/office/drawing/2010/main" val="0"/>
                        </a:ext>
                      </a:extLst>
                    </a:blip>
                    <a:stretch>
                      <a:fillRect/>
                    </a:stretch>
                  </pic:blipFill>
                  <pic:spPr>
                    <a:xfrm>
                      <a:off x="0" y="0"/>
                      <a:ext cx="1257300" cy="247650"/>
                    </a:xfrm>
                    <a:prstGeom prst="rect">
                      <a:avLst/>
                    </a:prstGeom>
                  </pic:spPr>
                </pic:pic>
              </a:graphicData>
            </a:graphic>
          </wp:anchor>
        </w:drawing>
      </w:r>
      <w:r w:rsidRPr="00346479">
        <w:rPr>
          <w:rStyle w:val="CaptionLabel"/>
        </w:rPr>
        <w:t>Figure </w:t>
      </w:r>
      <w:r w:rsidRPr="00346479">
        <w:rPr>
          <w:rStyle w:val="CaptionLabel"/>
        </w:rPr>
        <w:fldChar w:fldCharType="begin"/>
      </w:r>
      <w:r w:rsidRPr="00346479">
        <w:rPr>
          <w:rStyle w:val="CaptionLabel"/>
        </w:rPr>
        <w:instrText xml:space="preserve"> STYLEREF 1 \S \* MERGEFORMAT </w:instrText>
      </w:r>
      <w:r w:rsidRPr="00346479">
        <w:rPr>
          <w:rStyle w:val="CaptionLabel"/>
        </w:rPr>
        <w:fldChar w:fldCharType="separate"/>
      </w:r>
      <w:r w:rsidRPr="00346479">
        <w:rPr>
          <w:rStyle w:val="CaptionLabel"/>
          <w:noProof/>
        </w:rPr>
        <w:t>2</w:t>
      </w:r>
      <w:r w:rsidRPr="00346479">
        <w:rPr>
          <w:rStyle w:val="CaptionLabel"/>
        </w:rPr>
        <w:fldChar w:fldCharType="end"/>
      </w:r>
      <w:r w:rsidRPr="00346479">
        <w:rPr>
          <w:rStyle w:val="CaptionLabel"/>
        </w:rPr>
        <w:t>.</w:t>
      </w:r>
      <w:r w:rsidRPr="00346479">
        <w:rPr>
          <w:rStyle w:val="CaptionLabel"/>
        </w:rPr>
        <w:fldChar w:fldCharType="begin"/>
      </w:r>
      <w:r w:rsidRPr="00346479">
        <w:rPr>
          <w:rStyle w:val="CaptionLabel"/>
        </w:rPr>
        <w:instrText xml:space="preserve"> SEQ Figure \* ARABIC \S 1 \* MERGEFORMAT </w:instrText>
      </w:r>
      <w:r w:rsidRPr="00346479">
        <w:rPr>
          <w:rStyle w:val="CaptionLabel"/>
        </w:rPr>
        <w:fldChar w:fldCharType="separate"/>
      </w:r>
      <w:r w:rsidRPr="00346479">
        <w:rPr>
          <w:rStyle w:val="CaptionLabel"/>
          <w:noProof/>
        </w:rPr>
        <w:t>10</w:t>
      </w:r>
      <w:r w:rsidRPr="00346479">
        <w:rPr>
          <w:rStyle w:val="CaptionLabel"/>
        </w:rPr>
        <w:fldChar w:fldCharType="end"/>
      </w:r>
      <w:r w:rsidRPr="00346479">
        <w:tab/>
        <w:t>Present value costs and benefits by year (7% DR) Legend:</w:t>
      </w:r>
      <w:r w:rsidRPr="00CE1D7F">
        <w:t xml:space="preserve"> </w:t>
      </w:r>
    </w:p>
    <w:tbl>
      <w:tblPr>
        <w:tblStyle w:val="aacTableFigure-Wide"/>
        <w:tblW w:w="14826" w:type="dxa"/>
        <w:tblBorders>
          <w:bottom w:val="single" w:sz="4" w:space="0" w:color="000000"/>
        </w:tblBorders>
        <w:tblLayout w:type="fixed"/>
        <w:tblLook w:val="04A0" w:firstRow="1" w:lastRow="0" w:firstColumn="1" w:lastColumn="0" w:noHBand="0" w:noVBand="1"/>
      </w:tblPr>
      <w:tblGrid>
        <w:gridCol w:w="7413"/>
        <w:gridCol w:w="7413"/>
      </w:tblGrid>
      <w:tr w:rsidR="002B32A0" w:rsidRPr="00CE1D7F" w14:paraId="7DA5F93D" w14:textId="77777777" w:rsidTr="000B0AC7">
        <w:tc>
          <w:tcPr>
            <w:tcW w:w="7413" w:type="dxa"/>
            <w:shd w:val="clear" w:color="auto" w:fill="auto"/>
          </w:tcPr>
          <w:p w14:paraId="0EFCA8CA" w14:textId="77777777" w:rsidR="002B32A0" w:rsidRPr="00CE1D7F" w:rsidRDefault="002B32A0" w:rsidP="006258ED">
            <w:pPr>
              <w:pStyle w:val="Figure"/>
              <w:jc w:val="center"/>
              <w:rPr>
                <w:b/>
                <w:bCs/>
                <w:i/>
                <w:iCs/>
                <w:sz w:val="20"/>
                <w:szCs w:val="28"/>
              </w:rPr>
            </w:pPr>
            <w:r w:rsidRPr="00CE1D7F">
              <w:rPr>
                <w:b/>
                <w:bCs/>
                <w:i/>
                <w:iCs/>
                <w:sz w:val="20"/>
                <w:szCs w:val="28"/>
              </w:rPr>
              <w:t>Indigenous Persistence in Formal Learning</w:t>
            </w:r>
          </w:p>
        </w:tc>
        <w:tc>
          <w:tcPr>
            <w:tcW w:w="7413" w:type="dxa"/>
            <w:shd w:val="clear" w:color="auto" w:fill="auto"/>
          </w:tcPr>
          <w:p w14:paraId="0DE3F7CC" w14:textId="77777777" w:rsidR="002B32A0" w:rsidRPr="00CE1D7F" w:rsidRDefault="002B32A0" w:rsidP="006258ED">
            <w:pPr>
              <w:pStyle w:val="Figure"/>
              <w:jc w:val="center"/>
              <w:rPr>
                <w:b/>
                <w:bCs/>
                <w:i/>
                <w:iCs/>
                <w:sz w:val="20"/>
                <w:szCs w:val="28"/>
              </w:rPr>
            </w:pPr>
            <w:r w:rsidRPr="00CE1D7F">
              <w:rPr>
                <w:b/>
                <w:bCs/>
                <w:i/>
                <w:iCs/>
                <w:sz w:val="20"/>
                <w:szCs w:val="28"/>
              </w:rPr>
              <w:t>Quantum Computation and Communication</w:t>
            </w:r>
          </w:p>
        </w:tc>
      </w:tr>
      <w:tr w:rsidR="002B32A0" w:rsidRPr="00CE1D7F" w14:paraId="3B4BBAA9" w14:textId="77777777" w:rsidTr="000B0AC7">
        <w:tc>
          <w:tcPr>
            <w:tcW w:w="7413" w:type="dxa"/>
            <w:shd w:val="clear" w:color="auto" w:fill="auto"/>
          </w:tcPr>
          <w:p w14:paraId="635798D6" w14:textId="77777777" w:rsidR="002B32A0" w:rsidRPr="00CE1D7F" w:rsidRDefault="002B32A0" w:rsidP="006258ED">
            <w:pPr>
              <w:pStyle w:val="Figure"/>
            </w:pPr>
            <w:r w:rsidRPr="00CE1D7F">
              <w:rPr>
                <w:noProof/>
              </w:rPr>
              <w:drawing>
                <wp:inline distT="0" distB="0" distL="0" distR="0" wp14:anchorId="18D6D06B" wp14:editId="7BFD2616">
                  <wp:extent cx="4490980" cy="1908000"/>
                  <wp:effectExtent l="0" t="0" r="5080" b="0"/>
                  <wp:docPr id="87" name="Picture 87" descr="Present value costs and benefits by year (7% DR) &#10;&#10;Indigenous Persistence in Formal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Present value costs and benefits by year (7% DR) &#10;&#10;Indigenous Persistence in Formal Learni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490980" cy="1908000"/>
                          </a:xfrm>
                          <a:prstGeom prst="rect">
                            <a:avLst/>
                          </a:prstGeom>
                          <a:noFill/>
                        </pic:spPr>
                      </pic:pic>
                    </a:graphicData>
                  </a:graphic>
                </wp:inline>
              </w:drawing>
            </w:r>
          </w:p>
        </w:tc>
        <w:tc>
          <w:tcPr>
            <w:tcW w:w="7413" w:type="dxa"/>
            <w:shd w:val="clear" w:color="auto" w:fill="auto"/>
          </w:tcPr>
          <w:p w14:paraId="328F375D" w14:textId="77777777" w:rsidR="002B32A0" w:rsidRPr="00CE1D7F" w:rsidRDefault="002B32A0" w:rsidP="006258ED">
            <w:pPr>
              <w:pStyle w:val="Figure"/>
            </w:pPr>
            <w:r>
              <w:rPr>
                <w:noProof/>
              </w:rPr>
              <w:drawing>
                <wp:inline distT="0" distB="0" distL="0" distR="0" wp14:anchorId="03F5FE1E" wp14:editId="33A277BF">
                  <wp:extent cx="4314336" cy="1908000"/>
                  <wp:effectExtent l="0" t="0" r="0" b="0"/>
                  <wp:docPr id="829" name="Picture 829" descr="Present value costs and benefits by year (7% DR) &#10;&#10;Quantum Computation and Commun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 name="Picture 829" descr="Present value costs and benefits by year (7% DR) &#10;&#10;Quantum Computation and Communication"/>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314336" cy="1908000"/>
                          </a:xfrm>
                          <a:prstGeom prst="rect">
                            <a:avLst/>
                          </a:prstGeom>
                          <a:noFill/>
                        </pic:spPr>
                      </pic:pic>
                    </a:graphicData>
                  </a:graphic>
                </wp:inline>
              </w:drawing>
            </w:r>
          </w:p>
        </w:tc>
      </w:tr>
      <w:tr w:rsidR="002B32A0" w:rsidRPr="00CE1D7F" w14:paraId="097F67C3" w14:textId="77777777" w:rsidTr="000B0AC7">
        <w:tc>
          <w:tcPr>
            <w:tcW w:w="7413" w:type="dxa"/>
            <w:shd w:val="clear" w:color="auto" w:fill="auto"/>
          </w:tcPr>
          <w:p w14:paraId="6344B0FF" w14:textId="77777777" w:rsidR="002B32A0" w:rsidRPr="00CE1D7F" w:rsidRDefault="002B32A0" w:rsidP="006258ED">
            <w:pPr>
              <w:pStyle w:val="Figure"/>
              <w:rPr>
                <w:sz w:val="20"/>
                <w:szCs w:val="28"/>
              </w:rPr>
            </w:pPr>
            <w:r w:rsidRPr="00CE1D7F">
              <w:rPr>
                <w:sz w:val="20"/>
                <w:szCs w:val="28"/>
              </w:rPr>
              <w:t>The analysis period (2010 to 2044), with ARC funding between 2012-14 and the bulk of costs from educational expenses, from 2018-43. The benefits of additional income to the university graduates begin to flow in 2020 and steadily increase each year as their income increases over their career and more indigenous learners graduate from university.</w:t>
            </w:r>
          </w:p>
        </w:tc>
        <w:tc>
          <w:tcPr>
            <w:tcW w:w="7413" w:type="dxa"/>
            <w:shd w:val="clear" w:color="auto" w:fill="auto"/>
          </w:tcPr>
          <w:p w14:paraId="5D470B0A" w14:textId="77777777" w:rsidR="002B32A0" w:rsidRPr="00CE1D7F" w:rsidRDefault="002B32A0" w:rsidP="006258ED">
            <w:pPr>
              <w:pStyle w:val="Figure"/>
              <w:rPr>
                <w:sz w:val="20"/>
                <w:szCs w:val="28"/>
              </w:rPr>
            </w:pPr>
            <w:r w:rsidRPr="00CE1D7F">
              <w:rPr>
                <w:sz w:val="20"/>
                <w:szCs w:val="28"/>
              </w:rPr>
              <w:t>The analysis period (2003 to 2037), with ARC funding between 2003-025. The benefits of the estimated quantum opportunity to Australia attributable to ARC begin to flow from 2022 and are reduced from 2032, noting that this is when benefits have been assumed to start flowing under the counterfactual case (i.e. in the scenario where ARC did not provide funding).</w:t>
            </w:r>
          </w:p>
        </w:tc>
      </w:tr>
      <w:tr w:rsidR="002B32A0" w:rsidRPr="00CE1D7F" w14:paraId="3B536767" w14:textId="77777777" w:rsidTr="000B0AC7">
        <w:tc>
          <w:tcPr>
            <w:tcW w:w="7413" w:type="dxa"/>
            <w:shd w:val="clear" w:color="auto" w:fill="auto"/>
          </w:tcPr>
          <w:p w14:paraId="77BC513E" w14:textId="77777777" w:rsidR="002B32A0" w:rsidRPr="00CE1D7F" w:rsidRDefault="002B32A0" w:rsidP="006258ED">
            <w:pPr>
              <w:pStyle w:val="Figure"/>
              <w:jc w:val="center"/>
              <w:rPr>
                <w:b/>
                <w:bCs/>
                <w:i/>
                <w:iCs/>
                <w:sz w:val="20"/>
                <w:szCs w:val="28"/>
              </w:rPr>
            </w:pPr>
            <w:r w:rsidRPr="00CE1D7F">
              <w:rPr>
                <w:b/>
                <w:bCs/>
                <w:i/>
                <w:iCs/>
                <w:sz w:val="20"/>
                <w:szCs w:val="28"/>
              </w:rPr>
              <w:t>Aquifer Reinjection</w:t>
            </w:r>
          </w:p>
        </w:tc>
        <w:tc>
          <w:tcPr>
            <w:tcW w:w="7413" w:type="dxa"/>
            <w:shd w:val="clear" w:color="auto" w:fill="auto"/>
          </w:tcPr>
          <w:p w14:paraId="0E85BA94" w14:textId="77777777" w:rsidR="002B32A0" w:rsidRPr="00CE1D7F" w:rsidRDefault="002B32A0" w:rsidP="006258ED">
            <w:pPr>
              <w:pStyle w:val="Figure"/>
              <w:jc w:val="center"/>
            </w:pPr>
            <w:r w:rsidRPr="00CE1D7F">
              <w:rPr>
                <w:b/>
                <w:bCs/>
                <w:i/>
                <w:iCs/>
                <w:sz w:val="20"/>
                <w:szCs w:val="28"/>
              </w:rPr>
              <w:t>Lobster Aquaculture</w:t>
            </w:r>
          </w:p>
        </w:tc>
      </w:tr>
      <w:tr w:rsidR="002B32A0" w:rsidRPr="00CE1D7F" w14:paraId="0BD76BC7" w14:textId="77777777" w:rsidTr="000B0AC7">
        <w:tc>
          <w:tcPr>
            <w:tcW w:w="7413" w:type="dxa"/>
            <w:shd w:val="clear" w:color="auto" w:fill="auto"/>
          </w:tcPr>
          <w:p w14:paraId="09B2B7A2" w14:textId="77777777" w:rsidR="002B32A0" w:rsidRPr="00CE1D7F" w:rsidRDefault="002B32A0" w:rsidP="006258ED">
            <w:pPr>
              <w:pStyle w:val="Figure"/>
              <w:jc w:val="center"/>
              <w:rPr>
                <w:b/>
                <w:bCs/>
                <w:i/>
                <w:iCs/>
                <w:sz w:val="20"/>
                <w:szCs w:val="28"/>
              </w:rPr>
            </w:pPr>
            <w:r w:rsidRPr="00CE1D7F">
              <w:rPr>
                <w:b/>
                <w:bCs/>
                <w:i/>
                <w:iCs/>
                <w:noProof/>
                <w:sz w:val="20"/>
                <w:szCs w:val="28"/>
              </w:rPr>
              <w:drawing>
                <wp:inline distT="0" distB="0" distL="0" distR="0" wp14:anchorId="35A50CC0" wp14:editId="6089259F">
                  <wp:extent cx="4412213" cy="1908000"/>
                  <wp:effectExtent l="0" t="0" r="7620" b="0"/>
                  <wp:docPr id="102" name="Picture 102" descr="Present value costs and benefits by year (7% DR) &#10;&#10;Aquifer Reinj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Present value costs and benefits by year (7% DR) &#10;&#10;Aquifer Reinjection"/>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412213" cy="1908000"/>
                          </a:xfrm>
                          <a:prstGeom prst="rect">
                            <a:avLst/>
                          </a:prstGeom>
                          <a:noFill/>
                        </pic:spPr>
                      </pic:pic>
                    </a:graphicData>
                  </a:graphic>
                </wp:inline>
              </w:drawing>
            </w:r>
          </w:p>
        </w:tc>
        <w:tc>
          <w:tcPr>
            <w:tcW w:w="7413" w:type="dxa"/>
            <w:shd w:val="clear" w:color="auto" w:fill="auto"/>
          </w:tcPr>
          <w:p w14:paraId="283B73D5" w14:textId="77777777" w:rsidR="002B32A0" w:rsidRPr="00CE1D7F" w:rsidRDefault="002B32A0" w:rsidP="006258ED">
            <w:pPr>
              <w:pStyle w:val="Figure"/>
            </w:pPr>
            <w:r w:rsidRPr="00CE1D7F">
              <w:rPr>
                <w:noProof/>
              </w:rPr>
              <w:drawing>
                <wp:inline distT="0" distB="0" distL="0" distR="0" wp14:anchorId="11CA92FD" wp14:editId="08A70545">
                  <wp:extent cx="4398455" cy="1908000"/>
                  <wp:effectExtent l="0" t="0" r="2540" b="0"/>
                  <wp:docPr id="95" name="Picture 95" descr="Present value costs and benefits by year (7% DR) &#10;&#10;Lobster Aquacul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Present value costs and benefits by year (7% DR) &#10;&#10;Lobster Aquaculture"/>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398455" cy="1908000"/>
                          </a:xfrm>
                          <a:prstGeom prst="rect">
                            <a:avLst/>
                          </a:prstGeom>
                          <a:noFill/>
                        </pic:spPr>
                      </pic:pic>
                    </a:graphicData>
                  </a:graphic>
                </wp:inline>
              </w:drawing>
            </w:r>
          </w:p>
        </w:tc>
      </w:tr>
      <w:tr w:rsidR="002B32A0" w:rsidRPr="00CE1D7F" w14:paraId="150310E6" w14:textId="77777777" w:rsidTr="000B0AC7">
        <w:tc>
          <w:tcPr>
            <w:tcW w:w="7413" w:type="dxa"/>
            <w:shd w:val="clear" w:color="auto" w:fill="auto"/>
          </w:tcPr>
          <w:p w14:paraId="624E6A03" w14:textId="77777777" w:rsidR="002B32A0" w:rsidRPr="00CE1D7F" w:rsidRDefault="002B32A0" w:rsidP="00955941">
            <w:pPr>
              <w:pStyle w:val="Figure"/>
              <w:keepNext w:val="0"/>
              <w:rPr>
                <w:sz w:val="20"/>
                <w:szCs w:val="28"/>
              </w:rPr>
            </w:pPr>
            <w:r w:rsidRPr="00CE1D7F">
              <w:rPr>
                <w:sz w:val="20"/>
                <w:szCs w:val="28"/>
              </w:rPr>
              <w:t>The analysis period (2006 to 2040), with ARC funding between 2006-18. The benefits from using aquifer reinjection over desalination begin to flow from 2016 (7GL treated in 2016, 14GL from 2017-2021, 21GL in 2022 and 28GL from 2023-25). Benefits begin to fall from 2026, noting that this is when benefits have been assumed to start flowing under the counterfactual case. Benefits that can be counted in the analysis are reduced from 2026 until they reach zero in 2032.</w:t>
            </w:r>
          </w:p>
        </w:tc>
        <w:tc>
          <w:tcPr>
            <w:tcW w:w="7413" w:type="dxa"/>
            <w:shd w:val="clear" w:color="auto" w:fill="auto"/>
          </w:tcPr>
          <w:p w14:paraId="7545E22F" w14:textId="77777777" w:rsidR="002B32A0" w:rsidRPr="00CE1D7F" w:rsidRDefault="002B32A0" w:rsidP="00955941">
            <w:pPr>
              <w:pStyle w:val="Figure"/>
              <w:keepNext w:val="0"/>
              <w:rPr>
                <w:sz w:val="20"/>
                <w:szCs w:val="28"/>
              </w:rPr>
            </w:pPr>
            <w:r w:rsidRPr="00CE1D7F">
              <w:rPr>
                <w:sz w:val="20"/>
                <w:szCs w:val="28"/>
              </w:rPr>
              <w:t>The analysis period (2012 to 2046), with ARC funding between 2012-24 and Ornatas’s costs occurring between 2020-32. The benefits of the value of lobster production begin to flow in 2025 and steadily ramp up with production capacity to 2032. Benefits begin to fall in 2033 because the production peaks at 1000 tonnes of lobster, and future benefits erode over time due to discounting.</w:t>
            </w:r>
          </w:p>
        </w:tc>
      </w:tr>
      <w:tr w:rsidR="002B32A0" w:rsidRPr="00CE1D7F" w14:paraId="2F12A0BA" w14:textId="77777777" w:rsidTr="000B0AC7">
        <w:tc>
          <w:tcPr>
            <w:tcW w:w="7413" w:type="dxa"/>
            <w:shd w:val="clear" w:color="auto" w:fill="auto"/>
          </w:tcPr>
          <w:p w14:paraId="31AC09B8" w14:textId="77777777" w:rsidR="002B32A0" w:rsidRPr="00CE1D7F" w:rsidRDefault="002B32A0" w:rsidP="00955941">
            <w:pPr>
              <w:pStyle w:val="Figure"/>
              <w:keepLines/>
              <w:jc w:val="center"/>
              <w:rPr>
                <w:sz w:val="20"/>
                <w:szCs w:val="28"/>
              </w:rPr>
            </w:pPr>
            <w:r w:rsidRPr="00CE1D7F">
              <w:rPr>
                <w:b/>
                <w:bCs/>
                <w:i/>
                <w:iCs/>
                <w:sz w:val="20"/>
                <w:szCs w:val="28"/>
              </w:rPr>
              <w:lastRenderedPageBreak/>
              <w:t>Irrigation Automation</w:t>
            </w:r>
          </w:p>
        </w:tc>
        <w:tc>
          <w:tcPr>
            <w:tcW w:w="7413" w:type="dxa"/>
            <w:shd w:val="clear" w:color="auto" w:fill="auto"/>
          </w:tcPr>
          <w:p w14:paraId="2FFD9A3B" w14:textId="77777777" w:rsidR="002B32A0" w:rsidRPr="00CE1D7F" w:rsidRDefault="002B32A0" w:rsidP="00955941">
            <w:pPr>
              <w:pStyle w:val="Figure"/>
              <w:keepLines/>
              <w:rPr>
                <w:sz w:val="20"/>
                <w:szCs w:val="28"/>
              </w:rPr>
            </w:pPr>
          </w:p>
        </w:tc>
      </w:tr>
    </w:tbl>
    <w:p w14:paraId="42650E34" w14:textId="77777777" w:rsidR="000B0AC7" w:rsidRPr="000B0AC7" w:rsidRDefault="000B0AC7" w:rsidP="000B0AC7">
      <w:pPr>
        <w:keepNext/>
        <w:spacing w:before="0" w:after="0" w:line="240" w:lineRule="auto"/>
        <w:rPr>
          <w:sz w:val="2"/>
        </w:rPr>
      </w:pPr>
    </w:p>
    <w:tbl>
      <w:tblPr>
        <w:tblStyle w:val="aacTableFigure-Wide"/>
        <w:tblW w:w="14826" w:type="dxa"/>
        <w:tblLayout w:type="fixed"/>
        <w:tblLook w:val="04A0" w:firstRow="1" w:lastRow="0" w:firstColumn="1" w:lastColumn="0" w:noHBand="0" w:noVBand="1"/>
      </w:tblPr>
      <w:tblGrid>
        <w:gridCol w:w="7413"/>
        <w:gridCol w:w="7413"/>
      </w:tblGrid>
      <w:tr w:rsidR="002B32A0" w:rsidRPr="00CE1D7F" w14:paraId="3BA87526" w14:textId="77777777" w:rsidTr="000B0AC7">
        <w:tc>
          <w:tcPr>
            <w:tcW w:w="7413" w:type="dxa"/>
            <w:shd w:val="clear" w:color="auto" w:fill="auto"/>
          </w:tcPr>
          <w:p w14:paraId="78ACCA7F" w14:textId="77777777" w:rsidR="002B32A0" w:rsidRPr="00CE1D7F" w:rsidRDefault="002B32A0" w:rsidP="006258ED">
            <w:pPr>
              <w:pStyle w:val="Figure"/>
              <w:rPr>
                <w:sz w:val="20"/>
                <w:szCs w:val="28"/>
              </w:rPr>
            </w:pPr>
            <w:r w:rsidRPr="00CE1D7F">
              <w:rPr>
                <w:noProof/>
                <w:sz w:val="20"/>
                <w:szCs w:val="28"/>
              </w:rPr>
              <w:drawing>
                <wp:inline distT="0" distB="0" distL="0" distR="0" wp14:anchorId="7674D22C" wp14:editId="265CB767">
                  <wp:extent cx="4517390" cy="2207260"/>
                  <wp:effectExtent l="0" t="0" r="0" b="2540"/>
                  <wp:docPr id="115" name="Picture 115" descr="Present value costs and benefits by year (7% DR) &#10;&#10;Irrigation Auto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Present value costs and benefits by year (7% DR) &#10;&#10;Irrigation Automation"/>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517390" cy="2207260"/>
                          </a:xfrm>
                          <a:prstGeom prst="rect">
                            <a:avLst/>
                          </a:prstGeom>
                          <a:noFill/>
                        </pic:spPr>
                      </pic:pic>
                    </a:graphicData>
                  </a:graphic>
                </wp:inline>
              </w:drawing>
            </w:r>
          </w:p>
        </w:tc>
        <w:tc>
          <w:tcPr>
            <w:tcW w:w="7413" w:type="dxa"/>
            <w:shd w:val="clear" w:color="auto" w:fill="auto"/>
          </w:tcPr>
          <w:p w14:paraId="17E15C8E" w14:textId="77777777" w:rsidR="002B32A0" w:rsidRPr="00CE1D7F" w:rsidRDefault="002B32A0" w:rsidP="006258ED">
            <w:pPr>
              <w:pStyle w:val="Figure"/>
              <w:rPr>
                <w:sz w:val="20"/>
                <w:szCs w:val="28"/>
              </w:rPr>
            </w:pPr>
          </w:p>
        </w:tc>
      </w:tr>
    </w:tbl>
    <w:p w14:paraId="1BCD1940" w14:textId="77777777" w:rsidR="000B0AC7" w:rsidRPr="000B0AC7" w:rsidRDefault="000B0AC7" w:rsidP="000B0AC7">
      <w:pPr>
        <w:keepNext/>
        <w:spacing w:before="0" w:after="0" w:line="240" w:lineRule="auto"/>
        <w:rPr>
          <w:sz w:val="2"/>
        </w:rPr>
      </w:pPr>
    </w:p>
    <w:tbl>
      <w:tblPr>
        <w:tblStyle w:val="aacTableFigure-Wide"/>
        <w:tblW w:w="14826" w:type="dxa"/>
        <w:tblBorders>
          <w:top w:val="single" w:sz="4" w:space="0" w:color="000000"/>
        </w:tblBorders>
        <w:tblLayout w:type="fixed"/>
        <w:tblLook w:val="04A0" w:firstRow="1" w:lastRow="0" w:firstColumn="1" w:lastColumn="0" w:noHBand="0" w:noVBand="1"/>
      </w:tblPr>
      <w:tblGrid>
        <w:gridCol w:w="7413"/>
        <w:gridCol w:w="7413"/>
      </w:tblGrid>
      <w:tr w:rsidR="002B32A0" w:rsidRPr="00CE1D7F" w14:paraId="2F36A509" w14:textId="77777777" w:rsidTr="000B0AC7">
        <w:tc>
          <w:tcPr>
            <w:tcW w:w="7413" w:type="dxa"/>
            <w:shd w:val="clear" w:color="auto" w:fill="auto"/>
          </w:tcPr>
          <w:p w14:paraId="48A30A2C" w14:textId="77777777" w:rsidR="002B32A0" w:rsidRPr="00CE1D7F" w:rsidRDefault="002B32A0" w:rsidP="006258ED">
            <w:pPr>
              <w:pStyle w:val="Figure"/>
              <w:rPr>
                <w:sz w:val="20"/>
                <w:szCs w:val="28"/>
              </w:rPr>
            </w:pPr>
            <w:r w:rsidRPr="00CE1D7F">
              <w:rPr>
                <w:sz w:val="20"/>
                <w:szCs w:val="28"/>
              </w:rPr>
              <w:t>The analysis period (2003 to 2037), with ARC funding for the Total Channel Control algorithm research between 2003-24 (not visible in the chart due to the magnitude of other costs and benefits). The bulk of costs from the capital expenditure on the Connections Project, from 2011-12. The benefits of the reduced operational expenditure began in 2013 following installation of initial automated infrastructure. The benefits of water savings begin in 2021, following the release of audited water savings amounts of 433</w:t>
            </w:r>
            <w:r>
              <w:rPr>
                <w:sz w:val="20"/>
                <w:szCs w:val="28"/>
              </w:rPr>
              <w:t> gigalitres</w:t>
            </w:r>
            <w:r w:rsidRPr="00CE1D7F">
              <w:rPr>
                <w:sz w:val="20"/>
                <w:szCs w:val="28"/>
              </w:rPr>
              <w:t xml:space="preserve"> per annum. The benefits flow until the end of the analysis period and decrease over this time due to discounting.</w:t>
            </w:r>
          </w:p>
        </w:tc>
        <w:tc>
          <w:tcPr>
            <w:tcW w:w="7413" w:type="dxa"/>
            <w:shd w:val="clear" w:color="auto" w:fill="auto"/>
          </w:tcPr>
          <w:p w14:paraId="31CA0BE2" w14:textId="77777777" w:rsidR="002B32A0" w:rsidRPr="00CE1D7F" w:rsidRDefault="002B32A0" w:rsidP="006258ED">
            <w:pPr>
              <w:pStyle w:val="Figure"/>
              <w:rPr>
                <w:sz w:val="20"/>
                <w:szCs w:val="28"/>
              </w:rPr>
            </w:pPr>
          </w:p>
        </w:tc>
      </w:tr>
    </w:tbl>
    <w:p w14:paraId="00DF6A72" w14:textId="77777777" w:rsidR="000B0AC7" w:rsidRPr="00CE1D7F" w:rsidRDefault="000B0AC7" w:rsidP="000B0AC7">
      <w:pPr>
        <w:pStyle w:val="Source"/>
        <w:ind w:left="-650" w:hanging="1308"/>
      </w:pPr>
      <w:r w:rsidRPr="00CE1D7F">
        <w:rPr>
          <w:noProof/>
        </w:rPr>
        <w:drawing>
          <wp:anchor distT="0" distB="0" distL="114300" distR="114300" simplePos="0" relativeHeight="251793408" behindDoc="0" locked="0" layoutInCell="1" allowOverlap="1" wp14:anchorId="175CDE81" wp14:editId="4FBA3DEF">
            <wp:simplePos x="0" y="0"/>
            <wp:positionH relativeFrom="column">
              <wp:posOffset>1358265</wp:posOffset>
            </wp:positionH>
            <wp:positionV relativeFrom="paragraph">
              <wp:posOffset>17145</wp:posOffset>
            </wp:positionV>
            <wp:extent cx="1066800" cy="160655"/>
            <wp:effectExtent l="0" t="0" r="0" b="0"/>
            <wp:wrapNone/>
            <wp:docPr id="84" name="Picture 84" descr="Figure Legend for the charts showing PV costs (purple) and PV benefits (gr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Figure Legend for the charts showing PV costs (purple) and PV benefits (grey)"/>
                    <pic:cNvPicPr/>
                  </pic:nvPicPr>
                  <pic:blipFill>
                    <a:blip r:embed="rId76">
                      <a:extLst>
                        <a:ext uri="{28A0092B-C50C-407E-A947-70E740481C1C}">
                          <a14:useLocalDpi xmlns:a14="http://schemas.microsoft.com/office/drawing/2010/main" val="0"/>
                        </a:ext>
                      </a:extLst>
                    </a:blip>
                    <a:stretch>
                      <a:fillRect/>
                    </a:stretch>
                  </pic:blipFill>
                  <pic:spPr>
                    <a:xfrm>
                      <a:off x="0" y="0"/>
                      <a:ext cx="1066800" cy="160655"/>
                    </a:xfrm>
                    <a:prstGeom prst="rect">
                      <a:avLst/>
                    </a:prstGeom>
                  </pic:spPr>
                </pic:pic>
              </a:graphicData>
            </a:graphic>
          </wp:anchor>
        </w:drawing>
      </w:r>
      <w:r w:rsidRPr="00CE1D7F">
        <w:t xml:space="preserve">Source: ACIL Allen, various Legend: </w:t>
      </w:r>
    </w:p>
    <w:p w14:paraId="16034AE5" w14:textId="77777777" w:rsidR="000B0AC7" w:rsidRPr="00CE1D7F" w:rsidRDefault="000B0AC7" w:rsidP="006258ED">
      <w:pPr>
        <w:pStyle w:val="spacer"/>
      </w:pPr>
    </w:p>
    <w:p w14:paraId="32B1D77B" w14:textId="77777777" w:rsidR="002B32A0" w:rsidRPr="00CE1D7F" w:rsidRDefault="002B32A0" w:rsidP="002B32A0">
      <w:pPr>
        <w:pStyle w:val="BodyText"/>
      </w:pPr>
    </w:p>
    <w:p w14:paraId="6BA45C7A" w14:textId="77777777" w:rsidR="002B32A0" w:rsidRPr="00CE1D7F" w:rsidRDefault="002B32A0" w:rsidP="002B32A0">
      <w:pPr>
        <w:pStyle w:val="BodyText"/>
        <w:sectPr w:rsidR="002B32A0" w:rsidRPr="00CE1D7F" w:rsidSect="00AA5E25">
          <w:headerReference w:type="even" r:id="rId77"/>
          <w:headerReference w:type="default" r:id="rId78"/>
          <w:footerReference w:type="even" r:id="rId79"/>
          <w:footerReference w:type="default" r:id="rId80"/>
          <w:headerReference w:type="first" r:id="rId81"/>
          <w:footerReference w:type="first" r:id="rId82"/>
          <w:pgSz w:w="16838" w:h="11906" w:orient="landscape" w:code="9"/>
          <w:pgMar w:top="1134" w:right="851" w:bottom="1134" w:left="3119" w:header="454" w:footer="159" w:gutter="0"/>
          <w:cols w:space="708"/>
          <w:docGrid w:linePitch="360"/>
        </w:sectPr>
      </w:pPr>
    </w:p>
    <w:p w14:paraId="7EB439FE" w14:textId="77777777" w:rsidR="000B0AC7" w:rsidRPr="00CE1D7F" w:rsidRDefault="000B0AC7" w:rsidP="000B0AC7">
      <w:pPr>
        <w:pStyle w:val="Heading1"/>
        <w:pageBreakBefore/>
        <w:ind w:left="0" w:hanging="600"/>
      </w:pPr>
      <w:bookmarkStart w:id="124" w:name="_Ref129852996"/>
      <w:bookmarkStart w:id="125" w:name="_Toc135323685"/>
      <w:bookmarkEnd w:id="122"/>
      <w:r w:rsidRPr="00CE1D7F">
        <w:lastRenderedPageBreak/>
        <w:t>Broader impacts of NCGP-funded research</w:t>
      </w:r>
      <w:bookmarkEnd w:id="124"/>
      <w:bookmarkEnd w:id="125"/>
    </w:p>
    <w:p w14:paraId="5944C5FF" w14:textId="77777777" w:rsidR="002B32A0" w:rsidRPr="00CE1D7F" w:rsidRDefault="002B32A0" w:rsidP="00244C55">
      <w:pPr>
        <w:pStyle w:val="Introduction"/>
        <w:spacing w:after="360"/>
        <w:ind w:right="119"/>
      </w:pPr>
      <w:r w:rsidRPr="00CE1D7F">
        <w:t xml:space="preserve">This </w:t>
      </w:r>
      <w:r>
        <w:t>chapter </w:t>
      </w:r>
      <w:r w:rsidRPr="00CE1D7F">
        <w:t xml:space="preserve">presents the impacts delivered to research capacity and capability, society, the environment and culture. </w:t>
      </w:r>
    </w:p>
    <w:p w14:paraId="3E6CAB38" w14:textId="77777777" w:rsidR="002B32A0" w:rsidRPr="00CE1D7F" w:rsidRDefault="002B32A0" w:rsidP="002B32A0">
      <w:pPr>
        <w:pStyle w:val="BodyText"/>
      </w:pPr>
      <w:bookmarkStart w:id="126" w:name="_Ref129617623"/>
      <w:r w:rsidRPr="00507C14">
        <w:t xml:space="preserve">Contribution to the stock of knowledge and the longer-term research capability of Australia </w:t>
      </w:r>
      <w:r>
        <w:t xml:space="preserve">as well as </w:t>
      </w:r>
      <w:r w:rsidRPr="007F210B">
        <w:t xml:space="preserve">to society, culture and the environment </w:t>
      </w:r>
      <w:r w:rsidRPr="00507C14">
        <w:t xml:space="preserve">are core purposes of the NCGP. </w:t>
      </w:r>
      <w:r w:rsidRPr="00CE1D7F">
        <w:t>The NCGP-funded research impacts below have been delivered to a broad range of beneficiaries and end-users, which vary based on the nature of the research and include government, research, industry, business and non-profit sectors. Further detail is provided in Appendix B. It is challenging to articulate at an aggregate level the impacts delivered to specific sectors and end-users, the involvement of end-users, and how this involvement has influenced research impacts. This information is more meaningful at the individual project level, as evidenced by the insights from the case studies throughout this chapter.</w:t>
      </w:r>
    </w:p>
    <w:p w14:paraId="69F1462D" w14:textId="77777777" w:rsidR="002B32A0" w:rsidRDefault="002B32A0" w:rsidP="002B32A0">
      <w:pPr>
        <w:pStyle w:val="Heading2"/>
      </w:pPr>
      <w:bookmarkStart w:id="127" w:name="_Ref129880532"/>
      <w:bookmarkStart w:id="128" w:name="_Toc129963956"/>
      <w:bookmarkStart w:id="129" w:name="_Toc131174595"/>
      <w:bookmarkStart w:id="130" w:name="_Toc132970647"/>
      <w:bookmarkStart w:id="131" w:name="_Toc135323686"/>
      <w:r w:rsidRPr="00CE1D7F">
        <w:t>Contri</w:t>
      </w:r>
      <w:r w:rsidRPr="00CE1D7F">
        <w:rPr>
          <w:noProof/>
        </w:rPr>
        <mc:AlternateContent>
          <mc:Choice Requires="wps">
            <w:drawing>
              <wp:anchor distT="0" distB="0" distL="114300" distR="114300" simplePos="0" relativeHeight="251663360" behindDoc="0" locked="1" layoutInCell="1" allowOverlap="1" wp14:anchorId="39695181" wp14:editId="1868982F">
                <wp:simplePos x="0" y="0"/>
                <wp:positionH relativeFrom="page">
                  <wp:posOffset>441325</wp:posOffset>
                </wp:positionH>
                <wp:positionV relativeFrom="paragraph">
                  <wp:posOffset>-5080</wp:posOffset>
                </wp:positionV>
                <wp:extent cx="1289050" cy="732790"/>
                <wp:effectExtent l="0" t="0" r="0" b="0"/>
                <wp:wrapNone/>
                <wp:docPr id="560" name="Text Box 56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289050" cy="7327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864397D" w14:textId="77777777" w:rsidR="002B32A0" w:rsidRPr="00537EDE" w:rsidRDefault="002B32A0" w:rsidP="002B32A0">
                            <w:pPr>
                              <w:pStyle w:val="SideNoteRegularRight"/>
                              <w:jc w:val="left"/>
                              <w:rPr>
                                <w:szCs w:val="18"/>
                              </w:rPr>
                            </w:pPr>
                            <w:r w:rsidRPr="00537EDE">
                              <w:rPr>
                                <w:szCs w:val="18"/>
                              </w:rPr>
                              <w:t xml:space="preserve">KEQ 1. What are the short-, medium- and long-term outcomes and impacts of </w:t>
                            </w:r>
                            <w:r>
                              <w:rPr>
                                <w:szCs w:val="18"/>
                              </w:rPr>
                              <w:t>ARC-funded</w:t>
                            </w:r>
                            <w:r w:rsidRPr="00537EDE">
                              <w:rPr>
                                <w:szCs w:val="18"/>
                              </w:rPr>
                              <w:t xml:space="preserve"> research? Is the NCGP achieving its intended outcomes?</w:t>
                            </w:r>
                          </w:p>
                        </w:txbxContent>
                      </wps:txbx>
                      <wps:bodyPr rot="0" spcFirstLastPara="0" vertOverflow="overflow" horzOverflow="overflow" vert="horz" wrap="square" lIns="0" tIns="0" rIns="76200" bIns="762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9695181" id="Text Box 560" o:spid="_x0000_s1029" type="#_x0000_t202" alt="&quot;&quot;" style="position:absolute;left:0;text-align:left;margin-left:34.75pt;margin-top:-.4pt;width:101.5pt;height:57.7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" filled="f" stroked="f" strokeweight=".5pt">
                <v:textbox style="mso-fit-shape-to-text:t" inset="0,0,6pt,6pt">
                  <w:txbxContent>
                    <w:p w14:paraId="5864397D" w14:textId="77777777" w:rsidR="002B32A0" w:rsidRPr="00537EDE" w:rsidRDefault="002B32A0" w:rsidP="002B32A0">
                      <w:pPr>
                        <w:pStyle w:val="SideNoteRegularRight"/>
                        <w:jc w:val="left"/>
                        <w:rPr>
                          <w:szCs w:val="18"/>
                        </w:rPr>
                      </w:pPr>
                      <w:r w:rsidRPr="00537EDE">
                        <w:rPr>
                          <w:szCs w:val="18"/>
                        </w:rPr>
                        <w:t xml:space="preserve">KEQ 1. What are the short-, medium- and long-term outcomes and impacts of </w:t>
                      </w:r>
                      <w:r>
                        <w:rPr>
                          <w:szCs w:val="18"/>
                        </w:rPr>
                        <w:t>ARC-funded</w:t>
                      </w:r>
                      <w:r w:rsidRPr="00537EDE">
                        <w:rPr>
                          <w:szCs w:val="18"/>
                        </w:rPr>
                        <w:t xml:space="preserve"> research? Is the NCGP achieving its intended outcomes?</w:t>
                      </w:r>
                    </w:p>
                  </w:txbxContent>
                </v:textbox>
                <w10:wrap anchorx="page"/>
                <w10:anchorlock/>
              </v:shape>
            </w:pict>
          </mc:Fallback>
        </mc:AlternateContent>
      </w:r>
      <w:r w:rsidRPr="00CE1D7F">
        <w:t>bution to knowledge, research and research capability</w:t>
      </w:r>
      <w:bookmarkEnd w:id="126"/>
      <w:bookmarkEnd w:id="127"/>
      <w:bookmarkEnd w:id="128"/>
      <w:bookmarkEnd w:id="129"/>
      <w:bookmarkEnd w:id="130"/>
      <w:bookmarkEnd w:id="131"/>
    </w:p>
    <w:p w14:paraId="7E88BEA3" w14:textId="3C479839" w:rsidR="000B0AC7" w:rsidRPr="00CE1D7F" w:rsidRDefault="000B0AC7" w:rsidP="006258ED">
      <w:pPr>
        <w:pStyle w:val="Caption"/>
      </w:pPr>
      <w:r w:rsidRPr="00CE1D7F">
        <w:rPr>
          <w:rStyle w:val="CaptionLabel"/>
        </w:rPr>
        <w:t>Key Finding </w:t>
      </w:r>
      <w:r w:rsidRPr="00CE1D7F">
        <w:rPr>
          <w:rStyle w:val="CaptionLabel"/>
        </w:rPr>
        <w:fldChar w:fldCharType="begin"/>
      </w:r>
      <w:r w:rsidRPr="00CE1D7F">
        <w:rPr>
          <w:rStyle w:val="CaptionLabel"/>
        </w:rPr>
        <w:instrText xml:space="preserve"> SEQ Key_Finding \* ARABIC  \* MERGEFORMAT </w:instrText>
      </w:r>
      <w:r w:rsidRPr="00CE1D7F">
        <w:rPr>
          <w:rStyle w:val="CaptionLabel"/>
        </w:rPr>
        <w:fldChar w:fldCharType="separate"/>
      </w:r>
      <w:r>
        <w:rPr>
          <w:rStyle w:val="CaptionLabel"/>
          <w:noProof/>
        </w:rPr>
        <w:t>4</w:t>
      </w:r>
      <w:r w:rsidRPr="00CE1D7F">
        <w:rPr>
          <w:rStyle w:val="CaptionLabel"/>
        </w:rPr>
        <w:fldChar w:fldCharType="end"/>
      </w:r>
      <w:r w:rsidRPr="00CE1D7F">
        <w:tab/>
        <w:t>Contribution to research capacity and capability</w:t>
      </w:r>
    </w:p>
    <w:tbl>
      <w:tblPr>
        <w:tblW w:w="0" w:type="auto"/>
        <w:tblLayout w:type="fixed"/>
        <w:tblCellMar>
          <w:left w:w="0" w:type="dxa"/>
          <w:right w:w="0" w:type="dxa"/>
        </w:tblCellMar>
        <w:tblLook w:val="0000" w:firstRow="0" w:lastRow="0" w:firstColumn="0" w:lastColumn="0" w:noHBand="0" w:noVBand="0"/>
        <w:tblCaption w:val="Key Finding 4"/>
        <w:tblDescription w:val="Contribution to research capacity and capability"/>
      </w:tblPr>
      <w:tblGrid>
        <w:gridCol w:w="7936"/>
      </w:tblGrid>
      <w:tr w:rsidR="002B32A0" w:rsidRPr="00CE1D7F" w14:paraId="12D3EDA8" w14:textId="77777777" w:rsidTr="006258ED">
        <w:tc>
          <w:tcPr>
            <w:tcW w:w="7936" w:type="dxa"/>
            <w:shd w:val="clear" w:color="auto" w:fill="E5E5E5"/>
            <w:tcMar>
              <w:top w:w="112" w:type="dxa"/>
              <w:bottom w:w="184" w:type="dxa"/>
              <w:right w:w="120" w:type="dxa"/>
            </w:tcMar>
          </w:tcPr>
          <w:p w14:paraId="05E99746" w14:textId="77777777" w:rsidR="002B32A0" w:rsidRDefault="002B32A0" w:rsidP="00D472E7">
            <w:pPr>
              <w:pStyle w:val="BoxText"/>
              <w:keepNext w:val="0"/>
              <w:rPr>
                <w:sz w:val="22"/>
              </w:rPr>
            </w:pPr>
            <w:r w:rsidRPr="001A6DB5">
              <w:rPr>
                <w:sz w:val="22"/>
              </w:rPr>
              <w:t xml:space="preserve">NCGP-funded research projects </w:t>
            </w:r>
            <w:r>
              <w:rPr>
                <w:sz w:val="22"/>
              </w:rPr>
              <w:t xml:space="preserve">contributed to the stock of knowledge, </w:t>
            </w:r>
            <w:r w:rsidRPr="001A6DB5">
              <w:rPr>
                <w:sz w:val="22"/>
              </w:rPr>
              <w:t>produc</w:t>
            </w:r>
            <w:r>
              <w:rPr>
                <w:sz w:val="22"/>
              </w:rPr>
              <w:t>ing</w:t>
            </w:r>
            <w:r w:rsidRPr="001A6DB5">
              <w:rPr>
                <w:sz w:val="22"/>
              </w:rPr>
              <w:t xml:space="preserve"> almost 400,000 outputs</w:t>
            </w:r>
            <w:r>
              <w:rPr>
                <w:sz w:val="22"/>
              </w:rPr>
              <w:t xml:space="preserve"> </w:t>
            </w:r>
            <w:r w:rsidRPr="001A6DB5">
              <w:rPr>
                <w:sz w:val="22"/>
              </w:rPr>
              <w:t>across a number of publication types. This is exemplified by the case studies in terms of publications, monitoring indicators and training materials</w:t>
            </w:r>
            <w:r>
              <w:rPr>
                <w:sz w:val="22"/>
              </w:rPr>
              <w:t>. While beyond the scope of this project, a citation impact analysis of ARC supported publications would support an understanding of the impact delivered through these publications.</w:t>
            </w:r>
          </w:p>
          <w:p w14:paraId="6D5D04C9" w14:textId="77777777" w:rsidR="002B32A0" w:rsidRPr="001A6DB5" w:rsidRDefault="002B32A0" w:rsidP="00D472E7">
            <w:pPr>
              <w:pStyle w:val="BoxText"/>
              <w:keepNext w:val="0"/>
              <w:rPr>
                <w:sz w:val="22"/>
              </w:rPr>
            </w:pPr>
            <w:r w:rsidRPr="001A6DB5">
              <w:rPr>
                <w:sz w:val="22"/>
              </w:rPr>
              <w:t xml:space="preserve">The Discovery and Linkage Programs have delivered research capacity impacts by enabling new research directions, research training (e.g. researchers and graduates) and new partnerships (in Australia and internationally). </w:t>
            </w:r>
            <w:r w:rsidRPr="004C2503">
              <w:rPr>
                <w:sz w:val="22"/>
              </w:rPr>
              <w:t>This is helping to inform further excellent research, support a strong and sustainable research workforce and promote the adoption and translation of research by industry and others.</w:t>
            </w:r>
            <w:r>
              <w:rPr>
                <w:sz w:val="22"/>
              </w:rPr>
              <w:t xml:space="preserve"> </w:t>
            </w:r>
          </w:p>
          <w:p w14:paraId="248D813E" w14:textId="77777777" w:rsidR="002B32A0" w:rsidRPr="001A6DB5" w:rsidRDefault="002B32A0" w:rsidP="00D472E7">
            <w:pPr>
              <w:pStyle w:val="BoxText"/>
              <w:keepNext w:val="0"/>
              <w:rPr>
                <w:sz w:val="22"/>
              </w:rPr>
            </w:pPr>
            <w:r>
              <w:rPr>
                <w:sz w:val="22"/>
              </w:rPr>
              <w:t xml:space="preserve">Overall, the NCGP supports significant collaboration across research, industry, government and community sectors. </w:t>
            </w:r>
            <w:r w:rsidRPr="001A6DB5">
              <w:rPr>
                <w:sz w:val="22"/>
              </w:rPr>
              <w:t>Linkage Program projects have more CIs and PIs on average, in line with the requirement for end-user engagement in some schemes.</w:t>
            </w:r>
          </w:p>
          <w:p w14:paraId="63A3E27D" w14:textId="77777777" w:rsidR="002B32A0" w:rsidRDefault="002B32A0" w:rsidP="00D472E7">
            <w:pPr>
              <w:pStyle w:val="BoxText"/>
              <w:keepNext w:val="0"/>
              <w:rPr>
                <w:sz w:val="22"/>
              </w:rPr>
            </w:pPr>
            <w:r w:rsidRPr="001A6DB5">
              <w:rPr>
                <w:sz w:val="22"/>
              </w:rPr>
              <w:t xml:space="preserve">From 2002-21, </w:t>
            </w:r>
            <w:r>
              <w:rPr>
                <w:sz w:val="22"/>
              </w:rPr>
              <w:t>p</w:t>
            </w:r>
            <w:r w:rsidRPr="001A6DB5">
              <w:rPr>
                <w:sz w:val="22"/>
              </w:rPr>
              <w:t xml:space="preserve">articipating </w:t>
            </w:r>
            <w:r>
              <w:rPr>
                <w:sz w:val="22"/>
              </w:rPr>
              <w:t>o</w:t>
            </w:r>
            <w:r w:rsidRPr="001A6DB5">
              <w:rPr>
                <w:sz w:val="22"/>
              </w:rPr>
              <w:t>rganisations made a total of $7.9</w:t>
            </w:r>
            <w:r>
              <w:rPr>
                <w:sz w:val="22"/>
              </w:rPr>
              <w:t> billion</w:t>
            </w:r>
            <w:r w:rsidRPr="001A6DB5">
              <w:rPr>
                <w:sz w:val="22"/>
              </w:rPr>
              <w:t xml:space="preserve"> cash and $9</w:t>
            </w:r>
            <w:r>
              <w:rPr>
                <w:sz w:val="22"/>
              </w:rPr>
              <w:t> billion</w:t>
            </w:r>
            <w:r w:rsidRPr="001A6DB5">
              <w:rPr>
                <w:sz w:val="22"/>
              </w:rPr>
              <w:t xml:space="preserve"> in-kind contributions to NCGP-funded projects</w:t>
            </w:r>
            <w:r>
              <w:rPr>
                <w:sz w:val="22"/>
              </w:rPr>
              <w:t xml:space="preserve"> (</w:t>
            </w:r>
            <w:r w:rsidRPr="001157A7">
              <w:rPr>
                <w:sz w:val="22"/>
              </w:rPr>
              <w:t>$1.23 per $1 of ARC funding</w:t>
            </w:r>
            <w:r>
              <w:rPr>
                <w:sz w:val="22"/>
              </w:rPr>
              <w:t>), demonstrating significant leveraging of additional resources to support Australian research</w:t>
            </w:r>
            <w:r w:rsidRPr="001A6DB5">
              <w:rPr>
                <w:sz w:val="22"/>
              </w:rPr>
              <w:t xml:space="preserve">. </w:t>
            </w:r>
            <w:r>
              <w:rPr>
                <w:sz w:val="22"/>
              </w:rPr>
              <w:t>The largest contributions were made to</w:t>
            </w:r>
            <w:r w:rsidRPr="001A6DB5">
              <w:rPr>
                <w:sz w:val="22"/>
              </w:rPr>
              <w:t xml:space="preserve"> projects in the Biological Sciences, Engineering and Physical Sciences </w:t>
            </w:r>
            <w:r>
              <w:rPr>
                <w:sz w:val="22"/>
              </w:rPr>
              <w:t>FoR</w:t>
            </w:r>
            <w:r w:rsidRPr="001A6DB5">
              <w:rPr>
                <w:sz w:val="22"/>
              </w:rPr>
              <w:t>s, and by part</w:t>
            </w:r>
            <w:r>
              <w:rPr>
                <w:sz w:val="22"/>
              </w:rPr>
              <w:t>icipating organisations</w:t>
            </w:r>
            <w:r w:rsidRPr="001A6DB5">
              <w:rPr>
                <w:sz w:val="22"/>
              </w:rPr>
              <w:t xml:space="preserve"> in Australia.</w:t>
            </w:r>
          </w:p>
          <w:p w14:paraId="2134D3BE" w14:textId="77777777" w:rsidR="002B32A0" w:rsidRPr="001A6DB5" w:rsidRDefault="002B32A0" w:rsidP="00D472E7">
            <w:pPr>
              <w:pStyle w:val="BoxText"/>
              <w:keepNext w:val="0"/>
              <w:rPr>
                <w:sz w:val="22"/>
              </w:rPr>
            </w:pPr>
            <w:r w:rsidRPr="00F7789B">
              <w:rPr>
                <w:sz w:val="22"/>
              </w:rPr>
              <w:t xml:space="preserve">ARC grants increase research capacity </w:t>
            </w:r>
            <w:r>
              <w:rPr>
                <w:sz w:val="22"/>
              </w:rPr>
              <w:t>by</w:t>
            </w:r>
            <w:r w:rsidRPr="00F7789B">
              <w:rPr>
                <w:sz w:val="22"/>
              </w:rPr>
              <w:t xml:space="preserve"> supporting students and researchers to participate in excellent projects with world-class research </w:t>
            </w:r>
            <w:r w:rsidRPr="00F7789B">
              <w:rPr>
                <w:sz w:val="22"/>
              </w:rPr>
              <w:lastRenderedPageBreak/>
              <w:t xml:space="preserve">leaders. </w:t>
            </w:r>
            <w:r>
              <w:rPr>
                <w:sz w:val="22"/>
              </w:rPr>
              <w:t>A proportion of these researchers</w:t>
            </w:r>
            <w:r w:rsidRPr="00F7789B">
              <w:rPr>
                <w:sz w:val="22"/>
              </w:rPr>
              <w:t xml:space="preserve"> go on to be employed in different sectors, boosting the capacity of Australia's innovation system.</w:t>
            </w:r>
          </w:p>
          <w:p w14:paraId="02ABDCF2" w14:textId="77777777" w:rsidR="002B32A0" w:rsidRPr="001A6DB5" w:rsidRDefault="002B32A0" w:rsidP="00D472E7">
            <w:pPr>
              <w:pStyle w:val="BoxText"/>
              <w:keepNext w:val="0"/>
              <w:rPr>
                <w:sz w:val="22"/>
              </w:rPr>
            </w:pPr>
            <w:r w:rsidRPr="001A6DB5">
              <w:rPr>
                <w:sz w:val="22"/>
              </w:rPr>
              <w:t>The case studies demonstrate the breadth of collaboration, education, and training stimulated by NCGP-funded research. This includes:</w:t>
            </w:r>
          </w:p>
          <w:p w14:paraId="1647D6E1" w14:textId="77777777" w:rsidR="002B32A0" w:rsidRPr="001A6DB5" w:rsidRDefault="002B32A0" w:rsidP="00D472E7">
            <w:pPr>
              <w:pStyle w:val="BoxListBullet"/>
              <w:keepNext w:val="0"/>
            </w:pPr>
            <w:r w:rsidRPr="001A6DB5">
              <w:t>253 honours, 398 PhD students, 87 Masters and 52 postdoctoral fellows that were/will be trained</w:t>
            </w:r>
          </w:p>
          <w:p w14:paraId="5D0B3A99" w14:textId="77777777" w:rsidR="002B32A0" w:rsidRPr="00CE1D7F" w:rsidRDefault="002B32A0" w:rsidP="00D472E7">
            <w:pPr>
              <w:pStyle w:val="BoxListBullet"/>
              <w:keepNext w:val="0"/>
            </w:pPr>
            <w:r w:rsidRPr="001A6DB5">
              <w:t>working with communities and community organisations to engage with research beneficiaries, partnering with peak bodies and training providers to translate research, collaborating with researchers in Australia and internationally to broaden the scope of the research, and working with government and industry to focus the research outputs on critical issues.</w:t>
            </w:r>
            <w:r w:rsidRPr="00CE1D7F">
              <w:t xml:space="preserve"> </w:t>
            </w:r>
          </w:p>
        </w:tc>
      </w:tr>
    </w:tbl>
    <w:p w14:paraId="74AD7174" w14:textId="2EE520B8" w:rsidR="002B32A0" w:rsidRPr="00CE1D7F" w:rsidRDefault="002B32A0" w:rsidP="00244C55">
      <w:pPr>
        <w:pStyle w:val="BodyText"/>
        <w:spacing w:before="240"/>
      </w:pPr>
      <w:r w:rsidRPr="00CE1D7F">
        <w:lastRenderedPageBreak/>
        <w:t xml:space="preserve">Contribution to the stock of knowledge and the longer-term research capability of Australia are core purposes of the NCGP. Most survey respondents agreed or strongly agreed that NCGP’s primary roles were to generate new knowledge (95%), and foster new technologies, products and ideas (86%), which is consistent (see </w:t>
      </w:r>
      <w:r w:rsidRPr="00F87D0E">
        <w:fldChar w:fldCharType="begin"/>
      </w:r>
      <w:r w:rsidRPr="00F87D0E">
        <w:instrText xml:space="preserve"> REF _Ref129810323 \h  \* MERGEFORMAT </w:instrText>
      </w:r>
      <w:r w:rsidRPr="00F87D0E">
        <w:fldChar w:fldCharType="separate"/>
      </w:r>
      <w:r w:rsidR="000B0AC7" w:rsidRPr="000B0AC7">
        <w:t>Figure C.1</w:t>
      </w:r>
      <w:r w:rsidRPr="00F87D0E">
        <w:fldChar w:fldCharType="end"/>
      </w:r>
      <w:r w:rsidRPr="00CE1D7F">
        <w:t xml:space="preserve">) with qualitative analysis of survey free text responses highlighting the importance of NCGP-funded research in generating </w:t>
      </w:r>
      <w:r w:rsidRPr="00CE1D7F">
        <w:rPr>
          <w:b/>
          <w:bCs/>
          <w:i/>
        </w:rPr>
        <w:t>knowledge</w:t>
      </w:r>
      <w:r w:rsidRPr="00CE1D7F">
        <w:t xml:space="preserve"> and </w:t>
      </w:r>
      <w:r w:rsidRPr="00CE1D7F">
        <w:rPr>
          <w:b/>
          <w:bCs/>
          <w:i/>
        </w:rPr>
        <w:t>understanding</w:t>
      </w:r>
      <w:r w:rsidRPr="00CE1D7F">
        <w:t xml:space="preserve">. The words </w:t>
      </w:r>
      <w:r w:rsidRPr="00CE1D7F">
        <w:rPr>
          <w:b/>
          <w:bCs/>
          <w:i/>
          <w:iCs/>
        </w:rPr>
        <w:t>new</w:t>
      </w:r>
      <w:r w:rsidRPr="00CE1D7F">
        <w:t xml:space="preserve"> (23), </w:t>
      </w:r>
      <w:r w:rsidRPr="00CE1D7F">
        <w:rPr>
          <w:b/>
          <w:bCs/>
          <w:i/>
          <w:iCs/>
        </w:rPr>
        <w:t>fundamental</w:t>
      </w:r>
      <w:r w:rsidRPr="00CE1D7F">
        <w:t xml:space="preserve"> (14), and </w:t>
      </w:r>
      <w:r w:rsidRPr="00CE1D7F">
        <w:rPr>
          <w:b/>
          <w:bCs/>
          <w:i/>
          <w:iCs/>
        </w:rPr>
        <w:t>scientific</w:t>
      </w:r>
      <w:r w:rsidRPr="00CE1D7F">
        <w:t xml:space="preserve"> (9) frequently preceded “knowledge”, and education and training of scientists, researchers, and students in survey responses.</w:t>
      </w:r>
    </w:p>
    <w:p w14:paraId="3CE66980" w14:textId="77777777" w:rsidR="002B32A0" w:rsidRPr="00CE1D7F" w:rsidRDefault="002B32A0" w:rsidP="002B32A0">
      <w:pPr>
        <w:pStyle w:val="BodyText"/>
      </w:pPr>
      <w:r w:rsidRPr="00CE1D7F">
        <w:t xml:space="preserve">As the evidence shows below, both the Discovery and Linkage programs play a key role in supporting these types of impact. </w:t>
      </w:r>
    </w:p>
    <w:p w14:paraId="6E6A1ECD" w14:textId="77777777" w:rsidR="002B32A0" w:rsidRDefault="002B32A0" w:rsidP="002B32A0">
      <w:pPr>
        <w:pStyle w:val="Heading3"/>
      </w:pPr>
      <w:bookmarkStart w:id="132" w:name="_Ref131174454"/>
      <w:r w:rsidRPr="00CE1D7F">
        <w:t>Contribution to the stock of knowledge</w:t>
      </w:r>
      <w:bookmarkEnd w:id="132"/>
    </w:p>
    <w:p w14:paraId="782C8D5D" w14:textId="775C5327" w:rsidR="002B32A0" w:rsidRPr="00CE1D7F" w:rsidRDefault="002B32A0" w:rsidP="002B32A0">
      <w:pPr>
        <w:pStyle w:val="BodyText"/>
      </w:pPr>
      <w:r w:rsidRPr="00F87D0E">
        <w:fldChar w:fldCharType="begin"/>
      </w:r>
      <w:r w:rsidRPr="00F87D0E">
        <w:instrText xml:space="preserve"> REF _Ref124499214 \h  \* MERGEFORMAT </w:instrText>
      </w:r>
      <w:r w:rsidRPr="00F87D0E">
        <w:fldChar w:fldCharType="separate"/>
      </w:r>
      <w:r w:rsidR="000B0AC7" w:rsidRPr="000B0AC7">
        <w:t>Figure 3.1</w:t>
      </w:r>
      <w:r w:rsidRPr="00F87D0E">
        <w:fldChar w:fldCharType="end"/>
      </w:r>
      <w:r w:rsidRPr="00CE1D7F">
        <w:t xml:space="preserve"> shows the total and average number of publications reported in final reports (left chart) and the type of publication (right chart). Discovery Program projects reported a higher total (283,181) and average (18.89 per project) number of publications compared with Linkage Program projects (115,485 and 15.69, respectively)</w:t>
      </w:r>
      <w:r>
        <w:t xml:space="preserve">. This is likely an </w:t>
      </w:r>
      <w:r w:rsidRPr="00905655">
        <w:t>underestimate</w:t>
      </w:r>
      <w:r>
        <w:t xml:space="preserve"> of the total publications produced by NCGP-funded research, as not all </w:t>
      </w:r>
      <w:r w:rsidRPr="00905655">
        <w:t xml:space="preserve">final reports for grants </w:t>
      </w:r>
      <w:r>
        <w:t>between 2002-2021</w:t>
      </w:r>
      <w:r w:rsidRPr="00905655">
        <w:t xml:space="preserve"> have been completed and publications ma</w:t>
      </w:r>
      <w:r>
        <w:t>y</w:t>
      </w:r>
      <w:r w:rsidRPr="00905655">
        <w:t xml:space="preserve"> have </w:t>
      </w:r>
      <w:r>
        <w:t>been made</w:t>
      </w:r>
      <w:r w:rsidRPr="00905655">
        <w:t xml:space="preserve"> after final report</w:t>
      </w:r>
      <w:r>
        <w:t>s were</w:t>
      </w:r>
      <w:r w:rsidRPr="00905655">
        <w:t xml:space="preserve"> submitted</w:t>
      </w:r>
      <w:r w:rsidRPr="00CE1D7F">
        <w:t xml:space="preserve">. </w:t>
      </w:r>
    </w:p>
    <w:p w14:paraId="60382264" w14:textId="77777777" w:rsidR="002B32A0" w:rsidRDefault="002B32A0" w:rsidP="002B32A0">
      <w:pPr>
        <w:pStyle w:val="BodyText"/>
      </w:pPr>
      <w:r w:rsidRPr="00CE1D7F">
        <w:t>The distribution of publication type reported was similar between the 2 Programs, with most publications reported to be journal articles (57% of publications for Discovery and 50% for Linkage Program), followed by conference papers (28% and 32%).</w:t>
      </w:r>
    </w:p>
    <w:p w14:paraId="648C4F09" w14:textId="77777777" w:rsidR="002B32A0" w:rsidRPr="00CE1D7F" w:rsidRDefault="002B32A0" w:rsidP="002B32A0">
      <w:pPr>
        <w:pStyle w:val="BodyText"/>
      </w:pPr>
      <w:r>
        <w:t>While beyond the scope of this project, a citation impact analysis of ARC supported publications would support an understanding of the impact delivered through these publications.</w:t>
      </w:r>
    </w:p>
    <w:p w14:paraId="016D9B2E" w14:textId="3E34792F" w:rsidR="000B0AC7" w:rsidRPr="00CE1D7F" w:rsidRDefault="000B0AC7" w:rsidP="000B0AC7">
      <w:pPr>
        <w:pStyle w:val="Caption"/>
        <w:ind w:left="-1102" w:hanging="1308"/>
      </w:pPr>
      <w:bookmarkStart w:id="133" w:name="_Ref124499214"/>
      <w:r w:rsidRPr="00CE1D7F">
        <w:rPr>
          <w:rStyle w:val="CaptionLabel"/>
        </w:rPr>
        <w:lastRenderedPageBreak/>
        <w:t>Figure </w:t>
      </w:r>
      <w:r w:rsidRPr="00CE1D7F">
        <w:rPr>
          <w:rStyle w:val="CaptionLabel"/>
        </w:rPr>
        <w:fldChar w:fldCharType="begin"/>
      </w:r>
      <w:r w:rsidRPr="00CE1D7F">
        <w:rPr>
          <w:rStyle w:val="CaptionLabel"/>
        </w:rPr>
        <w:instrText xml:space="preserve"> STYLEREF 1 \s </w:instrText>
      </w:r>
      <w:r w:rsidRPr="00CE1D7F">
        <w:rPr>
          <w:rStyle w:val="CaptionLabel"/>
        </w:rPr>
        <w:fldChar w:fldCharType="separate"/>
      </w:r>
      <w:r>
        <w:rPr>
          <w:rStyle w:val="CaptionLabel"/>
          <w:noProof/>
        </w:rPr>
        <w:t>3</w:t>
      </w:r>
      <w:r w:rsidRPr="00CE1D7F">
        <w:rPr>
          <w:rStyle w:val="CaptionLabel"/>
        </w:rPr>
        <w:fldChar w:fldCharType="end"/>
      </w:r>
      <w:r w:rsidRPr="00CE1D7F">
        <w:rPr>
          <w:rStyle w:val="CaptionLabel"/>
        </w:rPr>
        <w:t>.</w:t>
      </w:r>
      <w:r w:rsidRPr="00CE1D7F">
        <w:rPr>
          <w:rStyle w:val="CaptionLabel"/>
        </w:rPr>
        <w:fldChar w:fldCharType="begin"/>
      </w:r>
      <w:r w:rsidRPr="00CE1D7F">
        <w:rPr>
          <w:rStyle w:val="CaptionLabel"/>
        </w:rPr>
        <w:instrText xml:space="preserve"> SEQ Figure \* ARABIC \s 1 </w:instrText>
      </w:r>
      <w:r w:rsidRPr="00CE1D7F">
        <w:rPr>
          <w:rStyle w:val="CaptionLabel"/>
        </w:rPr>
        <w:fldChar w:fldCharType="separate"/>
      </w:r>
      <w:r>
        <w:rPr>
          <w:rStyle w:val="CaptionLabel"/>
          <w:noProof/>
        </w:rPr>
        <w:t>1</w:t>
      </w:r>
      <w:r w:rsidRPr="00CE1D7F">
        <w:rPr>
          <w:rStyle w:val="CaptionLabel"/>
        </w:rPr>
        <w:fldChar w:fldCharType="end"/>
      </w:r>
      <w:bookmarkEnd w:id="133"/>
      <w:r w:rsidRPr="00CE1D7F">
        <w:tab/>
        <w:t xml:space="preserve">Final report data on the total and average number of publications by Discovery and Linkage Programs </w:t>
      </w:r>
    </w:p>
    <w:tbl>
      <w:tblPr>
        <w:tblW w:w="0" w:type="auto"/>
        <w:tblInd w:w="-2410" w:type="dxa"/>
        <w:tblLayout w:type="fixed"/>
        <w:tblLook w:val="0000" w:firstRow="0" w:lastRow="0" w:firstColumn="0" w:lastColumn="0" w:noHBand="0" w:noVBand="0"/>
      </w:tblPr>
      <w:tblGrid>
        <w:gridCol w:w="3544"/>
        <w:gridCol w:w="6802"/>
      </w:tblGrid>
      <w:tr w:rsidR="002B32A0" w:rsidRPr="00CE1D7F" w14:paraId="01983829" w14:textId="77777777" w:rsidTr="006258ED">
        <w:tc>
          <w:tcPr>
            <w:tcW w:w="3544" w:type="dxa"/>
            <w:tcBorders>
              <w:top w:val="single" w:sz="4" w:space="0" w:color="000100"/>
            </w:tcBorders>
            <w:shd w:val="clear" w:color="auto" w:fill="auto"/>
          </w:tcPr>
          <w:p w14:paraId="58CDD80E" w14:textId="77777777" w:rsidR="002B32A0" w:rsidRPr="00CE1D7F" w:rsidRDefault="002B32A0" w:rsidP="006258ED">
            <w:pPr>
              <w:pStyle w:val="Figure"/>
              <w:jc w:val="center"/>
              <w:rPr>
                <w:b/>
                <w:bCs/>
                <w:i/>
                <w:iCs/>
                <w:noProof/>
                <w:sz w:val="20"/>
                <w:szCs w:val="28"/>
              </w:rPr>
            </w:pPr>
            <w:r w:rsidRPr="00CE1D7F">
              <w:rPr>
                <w:b/>
                <w:bCs/>
                <w:i/>
                <w:iCs/>
                <w:noProof/>
                <w:sz w:val="20"/>
                <w:szCs w:val="28"/>
              </w:rPr>
              <w:t>Publications</w:t>
            </w:r>
          </w:p>
        </w:tc>
        <w:tc>
          <w:tcPr>
            <w:tcW w:w="6802" w:type="dxa"/>
            <w:tcBorders>
              <w:top w:val="single" w:sz="4" w:space="0" w:color="000100"/>
            </w:tcBorders>
            <w:shd w:val="clear" w:color="auto" w:fill="auto"/>
          </w:tcPr>
          <w:p w14:paraId="6BE66AB3" w14:textId="77777777" w:rsidR="002B32A0" w:rsidRPr="00CE1D7F" w:rsidRDefault="002B32A0" w:rsidP="006258ED">
            <w:pPr>
              <w:pStyle w:val="Figure"/>
              <w:jc w:val="center"/>
              <w:rPr>
                <w:b/>
                <w:bCs/>
                <w:i/>
                <w:iCs/>
                <w:noProof/>
                <w:sz w:val="20"/>
                <w:szCs w:val="28"/>
              </w:rPr>
            </w:pPr>
            <w:r w:rsidRPr="00CE1D7F">
              <w:rPr>
                <w:b/>
                <w:bCs/>
                <w:i/>
                <w:iCs/>
                <w:noProof/>
                <w:sz w:val="20"/>
                <w:szCs w:val="28"/>
              </w:rPr>
              <w:t>Publication type</w:t>
            </w:r>
          </w:p>
        </w:tc>
      </w:tr>
      <w:tr w:rsidR="002B32A0" w:rsidRPr="00CE1D7F" w14:paraId="52FAE46F" w14:textId="77777777" w:rsidTr="006258ED">
        <w:tc>
          <w:tcPr>
            <w:tcW w:w="3544" w:type="dxa"/>
            <w:tcBorders>
              <w:top w:val="single" w:sz="4" w:space="0" w:color="000100"/>
            </w:tcBorders>
            <w:shd w:val="clear" w:color="auto" w:fill="auto"/>
          </w:tcPr>
          <w:p w14:paraId="47AF3C5C" w14:textId="77777777" w:rsidR="002B32A0" w:rsidRPr="00CE1D7F" w:rsidRDefault="002B32A0" w:rsidP="006258ED">
            <w:pPr>
              <w:pStyle w:val="Figure"/>
            </w:pPr>
            <w:r>
              <w:rPr>
                <w:noProof/>
              </w:rPr>
              <w:drawing>
                <wp:inline distT="0" distB="0" distL="0" distR="0" wp14:anchorId="7FA30023" wp14:editId="08E70900">
                  <wp:extent cx="2115185" cy="2115185"/>
                  <wp:effectExtent l="0" t="0" r="0" b="0"/>
                  <wp:docPr id="124" name="Picture 124" descr="Final report data on the total and average number of publications by Discovery and Linkage Programs, see description in text abov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descr="Final report data on the total and average number of publications by Discovery and Linkage Programs, see description in text above figure."/>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115185" cy="2115185"/>
                          </a:xfrm>
                          <a:prstGeom prst="rect">
                            <a:avLst/>
                          </a:prstGeom>
                          <a:noFill/>
                        </pic:spPr>
                      </pic:pic>
                    </a:graphicData>
                  </a:graphic>
                </wp:inline>
              </w:drawing>
            </w:r>
            <w:r w:rsidRPr="00CE1D7F">
              <w:rPr>
                <w:noProof/>
              </w:rPr>
              <w:t xml:space="preserve"> </w:t>
            </w:r>
          </w:p>
        </w:tc>
        <w:tc>
          <w:tcPr>
            <w:tcW w:w="6802" w:type="dxa"/>
            <w:tcBorders>
              <w:top w:val="single" w:sz="4" w:space="0" w:color="000100"/>
            </w:tcBorders>
            <w:shd w:val="clear" w:color="auto" w:fill="auto"/>
          </w:tcPr>
          <w:p w14:paraId="28AB697F" w14:textId="77777777" w:rsidR="002B32A0" w:rsidRPr="00CE1D7F" w:rsidRDefault="002B32A0" w:rsidP="006258ED">
            <w:pPr>
              <w:pStyle w:val="Figure"/>
            </w:pPr>
            <w:r w:rsidRPr="00CE1D7F">
              <w:rPr>
                <w:noProof/>
              </w:rPr>
              <w:drawing>
                <wp:inline distT="0" distB="0" distL="0" distR="0" wp14:anchorId="34362CBD" wp14:editId="55696143">
                  <wp:extent cx="4188460" cy="2091055"/>
                  <wp:effectExtent l="0" t="0" r="2540" b="4445"/>
                  <wp:docPr id="529" name="Picture 529" descr="Final report data on the total and average number of publications by Discovery and Linkage Programs, see description in text abov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Picture 529" descr="Final report data on the total and average number of publications by Discovery and Linkage Programs, see description in text above figure."/>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188460" cy="2091055"/>
                          </a:xfrm>
                          <a:prstGeom prst="rect">
                            <a:avLst/>
                          </a:prstGeom>
                          <a:noFill/>
                        </pic:spPr>
                      </pic:pic>
                    </a:graphicData>
                  </a:graphic>
                </wp:inline>
              </w:drawing>
            </w:r>
          </w:p>
        </w:tc>
      </w:tr>
      <w:tr w:rsidR="002B32A0" w:rsidRPr="00CE1D7F" w14:paraId="3BAFC1B1" w14:textId="77777777" w:rsidTr="006258ED">
        <w:tblPrEx>
          <w:tblCellMar>
            <w:left w:w="0" w:type="dxa"/>
            <w:right w:w="0" w:type="dxa"/>
          </w:tblCellMar>
        </w:tblPrEx>
        <w:trPr>
          <w:trHeight w:val="135"/>
        </w:trPr>
        <w:tc>
          <w:tcPr>
            <w:tcW w:w="10346" w:type="dxa"/>
            <w:gridSpan w:val="2"/>
            <w:tcBorders>
              <w:bottom w:val="single" w:sz="4" w:space="0" w:color="000100"/>
            </w:tcBorders>
            <w:shd w:val="clear" w:color="auto" w:fill="auto"/>
            <w:tcMar>
              <w:top w:w="12" w:type="dxa"/>
              <w:bottom w:w="113" w:type="dxa"/>
            </w:tcMar>
          </w:tcPr>
          <w:p w14:paraId="7E1A521C" w14:textId="77777777" w:rsidR="002B32A0" w:rsidRPr="00CE1D7F" w:rsidRDefault="002B32A0" w:rsidP="00244C55">
            <w:pPr>
              <w:pStyle w:val="Source"/>
              <w:rPr>
                <w:i w:val="0"/>
                <w:iCs/>
              </w:rPr>
            </w:pPr>
            <w:r w:rsidRPr="00CE1D7F">
              <w:rPr>
                <w:i w:val="0"/>
                <w:iCs/>
              </w:rPr>
              <w:t>N=22,350 final reports</w:t>
            </w:r>
          </w:p>
          <w:p w14:paraId="52CCE991" w14:textId="77777777" w:rsidR="002B32A0" w:rsidRPr="00CE1D7F" w:rsidRDefault="002B32A0" w:rsidP="00244C55">
            <w:pPr>
              <w:pStyle w:val="Source"/>
              <w:rPr>
                <w:i w:val="0"/>
                <w:iCs/>
              </w:rPr>
            </w:pPr>
            <w:r w:rsidRPr="00CE1D7F">
              <w:rPr>
                <w:i w:val="0"/>
                <w:iCs/>
              </w:rPr>
              <w:t>2 reports were excluded (LP0219732 – 620,307 total outputs and LP0561117 – 3,131,390 total outputs) due to a possible data error.</w:t>
            </w:r>
          </w:p>
          <w:p w14:paraId="1A294103" w14:textId="77777777" w:rsidR="002B32A0" w:rsidRPr="00CE1D7F" w:rsidRDefault="002B32A0" w:rsidP="00244C55">
            <w:pPr>
              <w:pStyle w:val="Source"/>
            </w:pPr>
            <w:r w:rsidRPr="00CE1D7F">
              <w:t>Source: ACIL Allen’s analysis of ARC Final Reports for grants awarded between 2002 and 2021 (with an ARC-approved Final Report by 30 June 2022).</w:t>
            </w:r>
          </w:p>
        </w:tc>
      </w:tr>
    </w:tbl>
    <w:p w14:paraId="7B74805C" w14:textId="77777777" w:rsidR="002B32A0" w:rsidRPr="00CE1D7F" w:rsidRDefault="002B32A0" w:rsidP="002B32A0">
      <w:pPr>
        <w:pStyle w:val="BodyText"/>
      </w:pPr>
      <w:r w:rsidRPr="00CE1D7F">
        <w:t xml:space="preserve">The case studies provide examples of the outputs produced by excellent NCGP-funded research. </w:t>
      </w:r>
    </w:p>
    <w:p w14:paraId="3F6D46ED" w14:textId="08830B63" w:rsidR="002B32A0" w:rsidRPr="00CE1D7F" w:rsidRDefault="002B32A0" w:rsidP="002B32A0">
      <w:pPr>
        <w:pStyle w:val="BodyText"/>
      </w:pPr>
      <w:r w:rsidRPr="00CE1D7F">
        <w:rPr>
          <w:i/>
          <w:iCs/>
        </w:rPr>
        <w:t>Quantum Computation and Communication Technology</w:t>
      </w:r>
      <w:r w:rsidRPr="00CE1D7F">
        <w:t xml:space="preserve"> </w:t>
      </w:r>
      <w:r>
        <w:t>(see chapter </w:t>
      </w:r>
      <w:r w:rsidRPr="00F87D0E">
        <w:fldChar w:fldCharType="begin"/>
      </w:r>
      <w:r w:rsidR="00F87D0E" w:rsidRPr="00F87D0E">
        <w:instrText xml:space="preserve"> REF _Ref131081145 \r \h  \* MERGEFORMAT </w:instrText>
      </w:r>
      <w:r w:rsidRPr="00F87D0E">
        <w:fldChar w:fldCharType="separate"/>
      </w:r>
      <w:r w:rsidR="000B0AC7">
        <w:t>7</w:t>
      </w:r>
      <w:r w:rsidRPr="00F87D0E">
        <w:fldChar w:fldCharType="end"/>
      </w:r>
      <w:r>
        <w:t xml:space="preserve">) </w:t>
      </w:r>
      <w:r w:rsidRPr="00CE1D7F">
        <w:t xml:space="preserve">track record of publications exemplifies its contribution to the field and the breadth of its contribution to the academic sector. Since 2000, the Centre has published more than 2,133 papers. In the past 12 years, the Centre published 176 papers in the Nature and Science suite of journals, averaging 15 papers per year with more than one article a month for over a decade. </w:t>
      </w:r>
    </w:p>
    <w:p w14:paraId="5E46D587" w14:textId="2CB69164" w:rsidR="002B32A0" w:rsidRPr="00CE1D7F" w:rsidRDefault="002B32A0" w:rsidP="002B32A0">
      <w:pPr>
        <w:pStyle w:val="BodyText"/>
      </w:pPr>
      <w:r w:rsidRPr="00CE1D7F">
        <w:rPr>
          <w:i/>
          <w:iCs/>
        </w:rPr>
        <w:t xml:space="preserve">Aquifer Reinjection </w:t>
      </w:r>
      <w:r>
        <w:t>(see chapter </w:t>
      </w:r>
      <w:r w:rsidRPr="00F87D0E">
        <w:fldChar w:fldCharType="begin"/>
      </w:r>
      <w:r w:rsidR="00F87D0E" w:rsidRPr="00F87D0E">
        <w:instrText xml:space="preserve"> REF _Ref131081228 \r \h  \* MERGEFORMAT </w:instrText>
      </w:r>
      <w:r w:rsidRPr="00F87D0E">
        <w:fldChar w:fldCharType="separate"/>
      </w:r>
      <w:r w:rsidR="000B0AC7">
        <w:t>8</w:t>
      </w:r>
      <w:r w:rsidRPr="00F87D0E">
        <w:fldChar w:fldCharType="end"/>
      </w:r>
      <w:r>
        <w:t xml:space="preserve">) </w:t>
      </w:r>
      <w:r w:rsidRPr="00CE1D7F">
        <w:t xml:space="preserve">developed indicators for the monitoring of trial water recycling plants, which continue to be used by the Water Corporation. </w:t>
      </w:r>
    </w:p>
    <w:p w14:paraId="5E7A774E" w14:textId="5C929EC1" w:rsidR="002B32A0" w:rsidRDefault="002B32A0" w:rsidP="002B32A0">
      <w:pPr>
        <w:pStyle w:val="BodyText"/>
      </w:pPr>
      <w:r w:rsidRPr="00CE1D7F">
        <w:t xml:space="preserve">Both </w:t>
      </w:r>
      <w:r w:rsidRPr="00CE1D7F">
        <w:rPr>
          <w:i/>
          <w:iCs/>
        </w:rPr>
        <w:t xml:space="preserve">Changing the law to protect survivors of DFV </w:t>
      </w:r>
      <w:r w:rsidRPr="00A014AC">
        <w:t>(</w:t>
      </w:r>
      <w:r>
        <w:t>see chapter </w:t>
      </w:r>
      <w:r w:rsidRPr="00F87D0E">
        <w:fldChar w:fldCharType="begin"/>
      </w:r>
      <w:r w:rsidR="00F87D0E" w:rsidRPr="00F87D0E">
        <w:instrText xml:space="preserve"> REF _Ref132715666 \r \h  \* MERGEFORMAT </w:instrText>
      </w:r>
      <w:r w:rsidRPr="00F87D0E">
        <w:fldChar w:fldCharType="separate"/>
      </w:r>
      <w:r w:rsidR="000B0AC7">
        <w:t>11</w:t>
      </w:r>
      <w:r w:rsidRPr="00F87D0E">
        <w:fldChar w:fldCharType="end"/>
      </w:r>
      <w:r w:rsidRPr="00A014AC">
        <w:t>)</w:t>
      </w:r>
      <w:r>
        <w:t xml:space="preserve"> </w:t>
      </w:r>
      <w:r w:rsidRPr="00CE1D7F">
        <w:t xml:space="preserve">and </w:t>
      </w:r>
      <w:r>
        <w:rPr>
          <w:i/>
          <w:iCs/>
        </w:rPr>
        <w:t xml:space="preserve">RRR: </w:t>
      </w:r>
      <w:r w:rsidRPr="00CE1D7F">
        <w:rPr>
          <w:i/>
          <w:iCs/>
        </w:rPr>
        <w:t xml:space="preserve">Indigenous Remains Repatriation </w:t>
      </w:r>
      <w:r w:rsidRPr="00774AEF">
        <w:t>(</w:t>
      </w:r>
      <w:r>
        <w:t>see chapter </w:t>
      </w:r>
      <w:r w:rsidRPr="00F87D0E">
        <w:fldChar w:fldCharType="begin"/>
      </w:r>
      <w:r w:rsidR="00F87D0E" w:rsidRPr="00F87D0E">
        <w:instrText xml:space="preserve"> REF _Ref131081387 \r \h  \* MERGEFORMAT </w:instrText>
      </w:r>
      <w:r w:rsidRPr="00F87D0E">
        <w:fldChar w:fldCharType="separate"/>
      </w:r>
      <w:r w:rsidR="000B0AC7">
        <w:t>13</w:t>
      </w:r>
      <w:r w:rsidRPr="00F87D0E">
        <w:fldChar w:fldCharType="end"/>
      </w:r>
      <w:r w:rsidRPr="00774AEF">
        <w:t>)</w:t>
      </w:r>
      <w:r>
        <w:t xml:space="preserve"> </w:t>
      </w:r>
      <w:r w:rsidRPr="00CE1D7F">
        <w:t xml:space="preserve">led to the development of education and training materials. A key output of </w:t>
      </w:r>
      <w:r w:rsidRPr="00CE1D7F">
        <w:rPr>
          <w:i/>
        </w:rPr>
        <w:t xml:space="preserve">Changing the law to protect survivors of DFV </w:t>
      </w:r>
      <w:r w:rsidRPr="00CE1D7F">
        <w:t>was the National DFV Bench Book, a centralised resource that aims to harmonise the treatment of DFV issues across jurisdictions, guide legal professionals through the sensitivities and complexities of DFV and assist with decision-making and judgement writing processes.</w:t>
      </w:r>
      <w:r w:rsidRPr="00CE1D7F">
        <w:rPr>
          <w:rStyle w:val="FootnoteReference"/>
        </w:rPr>
        <w:footnoteReference w:id="35"/>
      </w:r>
      <w:r w:rsidRPr="00CE1D7F">
        <w:t xml:space="preserve"> The DFV Bench Book has been used as a resource for first-year law students at the Australian National University (ANU), the University of Melbourne, the University of Southern Queensland and University of Technology Sydney. </w:t>
      </w:r>
    </w:p>
    <w:p w14:paraId="1B3FCE52" w14:textId="38DC8AA6" w:rsidR="002B32A0" w:rsidRPr="00CE1D7F" w:rsidRDefault="002B32A0" w:rsidP="002B32A0">
      <w:pPr>
        <w:pStyle w:val="BodyText"/>
      </w:pPr>
      <w:r>
        <w:rPr>
          <w:i/>
          <w:iCs/>
        </w:rPr>
        <w:t xml:space="preserve">RRR: </w:t>
      </w:r>
      <w:r w:rsidRPr="00CE1D7F">
        <w:rPr>
          <w:i/>
          <w:iCs/>
        </w:rPr>
        <w:t>Indigenous Remains Repatriation</w:t>
      </w:r>
      <w:r w:rsidRPr="00CE1D7F">
        <w:t xml:space="preserve"> </w:t>
      </w:r>
      <w:r w:rsidRPr="00774AEF">
        <w:t>(</w:t>
      </w:r>
      <w:r>
        <w:t>see chapter </w:t>
      </w:r>
      <w:r w:rsidRPr="00F87D0E">
        <w:fldChar w:fldCharType="begin"/>
      </w:r>
      <w:r w:rsidR="00F87D0E" w:rsidRPr="00F87D0E">
        <w:instrText xml:space="preserve"> REF _Ref131081387 \r \h  \* MERGEFORMAT </w:instrText>
      </w:r>
      <w:r w:rsidRPr="00F87D0E">
        <w:fldChar w:fldCharType="separate"/>
      </w:r>
      <w:r w:rsidR="000B0AC7">
        <w:t>13</w:t>
      </w:r>
      <w:r w:rsidRPr="00F87D0E">
        <w:fldChar w:fldCharType="end"/>
      </w:r>
      <w:r w:rsidRPr="00774AEF">
        <w:t>)</w:t>
      </w:r>
      <w:r>
        <w:t xml:space="preserve"> </w:t>
      </w:r>
      <w:r w:rsidRPr="00CE1D7F">
        <w:t xml:space="preserve">led to a masters and professional development course at ANU. </w:t>
      </w:r>
      <w:r w:rsidRPr="00CE1D7F">
        <w:rPr>
          <w:i/>
          <w:iCs/>
        </w:rPr>
        <w:t xml:space="preserve">Indigenous persistence in formal learning </w:t>
      </w:r>
      <w:r w:rsidRPr="00774AEF">
        <w:t>(</w:t>
      </w:r>
      <w:r>
        <w:t>see chapter </w:t>
      </w:r>
      <w:r w:rsidRPr="00F87D0E">
        <w:fldChar w:fldCharType="begin"/>
      </w:r>
      <w:r w:rsidR="00F87D0E" w:rsidRPr="00F87D0E">
        <w:instrText xml:space="preserve"> REF _Ref131081583 \r \h  \* MERGEFORMAT </w:instrText>
      </w:r>
      <w:r w:rsidRPr="00F87D0E">
        <w:fldChar w:fldCharType="separate"/>
      </w:r>
      <w:r w:rsidR="000B0AC7">
        <w:t>12</w:t>
      </w:r>
      <w:r w:rsidRPr="00F87D0E">
        <w:fldChar w:fldCharType="end"/>
      </w:r>
      <w:r w:rsidRPr="00774AEF">
        <w:t>)</w:t>
      </w:r>
      <w:r>
        <w:t xml:space="preserve"> </w:t>
      </w:r>
      <w:r w:rsidRPr="00CE1D7F">
        <w:t xml:space="preserve">led to the development of WillowSoft software, which aids in identifying and managing the levers for Indigenous student success. </w:t>
      </w:r>
    </w:p>
    <w:p w14:paraId="79DAD13D" w14:textId="7DD631EE" w:rsidR="002B32A0" w:rsidRPr="00CE1D7F" w:rsidRDefault="002B32A0" w:rsidP="002B32A0">
      <w:pPr>
        <w:pStyle w:val="BodyText"/>
      </w:pPr>
      <w:r w:rsidRPr="00CE1D7F">
        <w:t xml:space="preserve">The case studies also produced several commercial outputs, as discussed in </w:t>
      </w:r>
      <w:r>
        <w:t>section </w:t>
      </w:r>
      <w:r w:rsidRPr="00F87D0E">
        <w:fldChar w:fldCharType="begin"/>
      </w:r>
      <w:r w:rsidRPr="00F87D0E">
        <w:instrText xml:space="preserve"> REF _Ref129604586 \r \h  \* MERGEFORMAT </w:instrText>
      </w:r>
      <w:r w:rsidRPr="00F87D0E">
        <w:fldChar w:fldCharType="separate"/>
      </w:r>
      <w:r w:rsidR="000B0AC7">
        <w:t>2.2</w:t>
      </w:r>
      <w:r w:rsidRPr="00F87D0E">
        <w:fldChar w:fldCharType="end"/>
      </w:r>
      <w:r w:rsidRPr="00CE1D7F">
        <w:t>.</w:t>
      </w:r>
    </w:p>
    <w:p w14:paraId="5A9A0CDE" w14:textId="77777777" w:rsidR="002B32A0" w:rsidRPr="00CE1D7F" w:rsidRDefault="002B32A0" w:rsidP="002B32A0">
      <w:pPr>
        <w:pStyle w:val="Heading3"/>
      </w:pPr>
      <w:bookmarkStart w:id="134" w:name="_Ref129082771"/>
      <w:bookmarkStart w:id="135" w:name="_Ref129083728"/>
      <w:bookmarkStart w:id="136" w:name="_Ref129200088"/>
      <w:r w:rsidRPr="00CE1D7F">
        <w:t>Contribution to research capacity and capability</w:t>
      </w:r>
      <w:bookmarkEnd w:id="134"/>
      <w:bookmarkEnd w:id="135"/>
      <w:bookmarkEnd w:id="136"/>
    </w:p>
    <w:p w14:paraId="62EC764A" w14:textId="3488F993" w:rsidR="002B32A0" w:rsidRPr="00CE1D7F" w:rsidRDefault="002B32A0" w:rsidP="002B32A0">
      <w:pPr>
        <w:pStyle w:val="BodyText"/>
      </w:pPr>
      <w:r w:rsidRPr="00CE1D7F">
        <w:t xml:space="preserve">Research capability focuses on workforce development, such as educating and training students and upskilling researchers, as well as researcher collaboration and network development. These capability improvements support the development of a more highly </w:t>
      </w:r>
      <w:r w:rsidRPr="00CE1D7F">
        <w:lastRenderedPageBreak/>
        <w:t xml:space="preserve">skilled workforce, create jobs, enable knowledge transfer, and foster innovation. This directly aligns with the intended outcomes of the Discovery and Linkage Programs (see </w:t>
      </w:r>
      <w:r>
        <w:t>section </w:t>
      </w:r>
      <w:r w:rsidRPr="00F87D0E">
        <w:fldChar w:fldCharType="begin"/>
      </w:r>
      <w:r w:rsidRPr="00F87D0E">
        <w:instrText xml:space="preserve"> REF _Ref129184898 \r \h  \* MERGEFORMAT </w:instrText>
      </w:r>
      <w:r w:rsidRPr="00F87D0E">
        <w:fldChar w:fldCharType="separate"/>
      </w:r>
      <w:r w:rsidR="000B0AC7">
        <w:t>1.1.1</w:t>
      </w:r>
      <w:r w:rsidRPr="00F87D0E">
        <w:fldChar w:fldCharType="end"/>
      </w:r>
      <w:r w:rsidRPr="00CE1D7F">
        <w:t>).</w:t>
      </w:r>
    </w:p>
    <w:p w14:paraId="2482E654" w14:textId="16B3DDB9" w:rsidR="002B32A0" w:rsidRPr="00CE1D7F" w:rsidRDefault="002B32A0" w:rsidP="002B32A0">
      <w:pPr>
        <w:pStyle w:val="BodyText"/>
      </w:pPr>
      <w:r w:rsidRPr="00CE1D7F">
        <w:t xml:space="preserve">Final report data shows that the proportion of projects that reported delivering research capacity impacts is comparable for Discovery (81%) and Linkage (77%) Programs (see </w:t>
      </w:r>
      <w:r w:rsidRPr="00F87D0E">
        <w:fldChar w:fldCharType="begin"/>
      </w:r>
      <w:r w:rsidRPr="00F87D0E">
        <w:instrText xml:space="preserve"> REF _Ref129355501 \h  \* MERGEFORMAT </w:instrText>
      </w:r>
      <w:r w:rsidRPr="00F87D0E">
        <w:fldChar w:fldCharType="separate"/>
      </w:r>
      <w:r w:rsidR="000B0AC7" w:rsidRPr="000B0AC7">
        <w:t>Figure C.2</w:t>
      </w:r>
      <w:r w:rsidRPr="00F87D0E">
        <w:fldChar w:fldCharType="end"/>
      </w:r>
      <w:r w:rsidRPr="00CE1D7F">
        <w:t xml:space="preserve">). </w:t>
      </w:r>
      <w:r w:rsidRPr="00F87D0E">
        <w:fldChar w:fldCharType="begin"/>
      </w:r>
      <w:r w:rsidRPr="00F87D0E">
        <w:instrText xml:space="preserve"> REF _Ref128399327 \h  \* MERGEFORMAT </w:instrText>
      </w:r>
      <w:r w:rsidRPr="00F87D0E">
        <w:fldChar w:fldCharType="separate"/>
      </w:r>
      <w:r w:rsidR="000B0AC7" w:rsidRPr="000B0AC7">
        <w:t>Figure 3.2</w:t>
      </w:r>
      <w:r w:rsidRPr="00F87D0E">
        <w:fldChar w:fldCharType="end"/>
      </w:r>
      <w:r w:rsidRPr="00CE1D7F">
        <w:t xml:space="preserve"> shows that most Discovery and Linkage Program projects delivered research capacity impact by enabling new research directions (74% and 66%, respectively), followed by research training (55% and 54%) and new partnerships (48% and 47%). </w:t>
      </w:r>
    </w:p>
    <w:p w14:paraId="1248D53B" w14:textId="6F14E17A" w:rsidR="000B0AC7" w:rsidRPr="00CE1D7F" w:rsidRDefault="000B0AC7" w:rsidP="000B0AC7">
      <w:pPr>
        <w:pStyle w:val="Caption"/>
        <w:ind w:left="1308" w:hanging="1308"/>
      </w:pPr>
      <w:bookmarkStart w:id="137" w:name="_Ref128399327"/>
      <w:r w:rsidRPr="00CE1D7F">
        <w:rPr>
          <w:rStyle w:val="CaptionLabel"/>
        </w:rPr>
        <w:t>Figure </w:t>
      </w:r>
      <w:r w:rsidRPr="00CE1D7F">
        <w:rPr>
          <w:rStyle w:val="CaptionLabel"/>
        </w:rPr>
        <w:fldChar w:fldCharType="begin"/>
      </w:r>
      <w:r w:rsidRPr="00CE1D7F">
        <w:rPr>
          <w:rStyle w:val="CaptionLabel"/>
        </w:rPr>
        <w:instrText xml:space="preserve"> STYLEREF 1 \s </w:instrText>
      </w:r>
      <w:r w:rsidRPr="00CE1D7F">
        <w:rPr>
          <w:rStyle w:val="CaptionLabel"/>
        </w:rPr>
        <w:fldChar w:fldCharType="separate"/>
      </w:r>
      <w:r>
        <w:rPr>
          <w:rStyle w:val="CaptionLabel"/>
          <w:noProof/>
        </w:rPr>
        <w:t>3</w:t>
      </w:r>
      <w:r w:rsidRPr="00CE1D7F">
        <w:rPr>
          <w:rStyle w:val="CaptionLabel"/>
        </w:rPr>
        <w:fldChar w:fldCharType="end"/>
      </w:r>
      <w:r w:rsidRPr="00CE1D7F">
        <w:rPr>
          <w:rStyle w:val="CaptionLabel"/>
        </w:rPr>
        <w:t>.</w:t>
      </w:r>
      <w:r w:rsidRPr="00CE1D7F">
        <w:rPr>
          <w:rStyle w:val="CaptionLabel"/>
        </w:rPr>
        <w:fldChar w:fldCharType="begin"/>
      </w:r>
      <w:r w:rsidRPr="00CE1D7F">
        <w:rPr>
          <w:rStyle w:val="CaptionLabel"/>
        </w:rPr>
        <w:instrText xml:space="preserve"> SEQ Figure \* ARABIC \s 1 </w:instrText>
      </w:r>
      <w:r w:rsidRPr="00CE1D7F">
        <w:rPr>
          <w:rStyle w:val="CaptionLabel"/>
        </w:rPr>
        <w:fldChar w:fldCharType="separate"/>
      </w:r>
      <w:r>
        <w:rPr>
          <w:rStyle w:val="CaptionLabel"/>
          <w:noProof/>
        </w:rPr>
        <w:t>2</w:t>
      </w:r>
      <w:r w:rsidRPr="00CE1D7F">
        <w:rPr>
          <w:rStyle w:val="CaptionLabel"/>
        </w:rPr>
        <w:fldChar w:fldCharType="end"/>
      </w:r>
      <w:bookmarkEnd w:id="137"/>
      <w:r w:rsidRPr="00CE1D7F">
        <w:tab/>
        <w:t>Final report data on research capacity impacts by Discovery and Linkage Programs</w:t>
      </w:r>
    </w:p>
    <w:tbl>
      <w:tblPr>
        <w:tblW w:w="0" w:type="auto"/>
        <w:tblLayout w:type="fixed"/>
        <w:tblLook w:val="0000" w:firstRow="0" w:lastRow="0" w:firstColumn="0" w:lastColumn="0" w:noHBand="0" w:noVBand="0"/>
      </w:tblPr>
      <w:tblGrid>
        <w:gridCol w:w="7936"/>
      </w:tblGrid>
      <w:tr w:rsidR="002B32A0" w:rsidRPr="00CE1D7F" w14:paraId="43D483F7" w14:textId="77777777" w:rsidTr="006258ED">
        <w:tc>
          <w:tcPr>
            <w:tcW w:w="7936" w:type="dxa"/>
            <w:tcBorders>
              <w:top w:val="single" w:sz="4" w:space="0" w:color="000100"/>
            </w:tcBorders>
            <w:shd w:val="clear" w:color="auto" w:fill="auto"/>
          </w:tcPr>
          <w:p w14:paraId="5B9D7D15" w14:textId="77777777" w:rsidR="002B32A0" w:rsidRPr="00CE1D7F" w:rsidRDefault="002B32A0" w:rsidP="006258ED">
            <w:pPr>
              <w:pStyle w:val="Figure"/>
            </w:pPr>
            <w:r w:rsidRPr="00CE1D7F">
              <w:rPr>
                <w:noProof/>
              </w:rPr>
              <w:drawing>
                <wp:inline distT="0" distB="0" distL="0" distR="0" wp14:anchorId="62AAD5D2" wp14:editId="7EF6E00B">
                  <wp:extent cx="4900746" cy="2405102"/>
                  <wp:effectExtent l="0" t="0" r="0" b="0"/>
                  <wp:docPr id="527" name="Picture 527" descr="Final report data on research capacity impacts by Discovery and Linkage Programs, see description in text abov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Picture 527" descr="Final report data on research capacity impacts by Discovery and Linkage Programs, see description in text above figure."/>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907916" cy="2408621"/>
                          </a:xfrm>
                          <a:prstGeom prst="rect">
                            <a:avLst/>
                          </a:prstGeom>
                          <a:noFill/>
                        </pic:spPr>
                      </pic:pic>
                    </a:graphicData>
                  </a:graphic>
                </wp:inline>
              </w:drawing>
            </w:r>
          </w:p>
        </w:tc>
      </w:tr>
      <w:tr w:rsidR="002B32A0" w:rsidRPr="00CE1D7F" w14:paraId="1040005D" w14:textId="77777777" w:rsidTr="006258ED">
        <w:tblPrEx>
          <w:tblCellMar>
            <w:left w:w="0" w:type="dxa"/>
            <w:right w:w="0" w:type="dxa"/>
          </w:tblCellMar>
        </w:tblPrEx>
        <w:trPr>
          <w:trHeight w:val="125"/>
        </w:trPr>
        <w:tc>
          <w:tcPr>
            <w:tcW w:w="7936" w:type="dxa"/>
            <w:tcBorders>
              <w:bottom w:val="single" w:sz="4" w:space="0" w:color="000100"/>
            </w:tcBorders>
            <w:shd w:val="clear" w:color="auto" w:fill="auto"/>
            <w:tcMar>
              <w:top w:w="12" w:type="dxa"/>
              <w:bottom w:w="113" w:type="dxa"/>
            </w:tcMar>
          </w:tcPr>
          <w:p w14:paraId="4AD785CD" w14:textId="77777777" w:rsidR="002B32A0" w:rsidRPr="00CE1D7F" w:rsidRDefault="002B32A0" w:rsidP="00244C55">
            <w:pPr>
              <w:pStyle w:val="Source"/>
              <w:rPr>
                <w:i w:val="0"/>
                <w:iCs/>
              </w:rPr>
            </w:pPr>
            <w:r w:rsidRPr="00CE1D7F">
              <w:rPr>
                <w:i w:val="0"/>
                <w:iCs/>
              </w:rPr>
              <w:t>N=4,221 final reports</w:t>
            </w:r>
          </w:p>
          <w:p w14:paraId="4934F8F7" w14:textId="77777777" w:rsidR="002B32A0" w:rsidRPr="00CE1D7F" w:rsidRDefault="002B32A0" w:rsidP="00244C55">
            <w:pPr>
              <w:pStyle w:val="Source"/>
            </w:pPr>
            <w:r w:rsidRPr="00CE1D7F">
              <w:t>Source: ACIL Allen’s analysis of ARC Final Reports for grants awarded between 2002 and 2021 (with an ARC-approved Final Report by 30 June 2022).</w:t>
            </w:r>
          </w:p>
        </w:tc>
      </w:tr>
      <w:tr w:rsidR="002B32A0" w:rsidRPr="00CE1D7F" w14:paraId="69E2B6C3" w14:textId="77777777" w:rsidTr="006258ED">
        <w:tblPrEx>
          <w:tblCellMar>
            <w:left w:w="0" w:type="dxa"/>
            <w:right w:w="0" w:type="dxa"/>
          </w:tblCellMar>
        </w:tblPrEx>
        <w:trPr>
          <w:trHeight w:hRule="exact" w:val="160"/>
        </w:trPr>
        <w:tc>
          <w:tcPr>
            <w:tcW w:w="7936" w:type="dxa"/>
            <w:tcBorders>
              <w:top w:val="single" w:sz="4" w:space="0" w:color="000100"/>
            </w:tcBorders>
            <w:shd w:val="clear" w:color="auto" w:fill="auto"/>
            <w:tcMar>
              <w:top w:w="0" w:type="dxa"/>
              <w:bottom w:w="40" w:type="dxa"/>
            </w:tcMar>
          </w:tcPr>
          <w:p w14:paraId="025AA118" w14:textId="77777777" w:rsidR="002B32A0" w:rsidRPr="00CE1D7F" w:rsidRDefault="002B32A0" w:rsidP="00244C55">
            <w:pPr>
              <w:pStyle w:val="spacer"/>
            </w:pPr>
          </w:p>
        </w:tc>
      </w:tr>
    </w:tbl>
    <w:p w14:paraId="398A34A7" w14:textId="60B1CD23" w:rsidR="002B32A0" w:rsidRPr="00CE1D7F" w:rsidRDefault="002B32A0" w:rsidP="002B32A0">
      <w:pPr>
        <w:pStyle w:val="BodyText"/>
      </w:pPr>
      <w:r w:rsidRPr="00CE1D7F">
        <w:t xml:space="preserve">These findings are supported by the survey results, which, unsurprisingly, show higher proportions of projects leading to these impacts, likely due to the lag time for these to emerge (see </w:t>
      </w:r>
      <w:r w:rsidRPr="00F87D0E">
        <w:fldChar w:fldCharType="begin"/>
      </w:r>
      <w:r w:rsidRPr="00F87D0E">
        <w:instrText xml:space="preserve"> REF _Ref123903539 \h  \* MERGEFORMAT </w:instrText>
      </w:r>
      <w:r w:rsidRPr="00F87D0E">
        <w:fldChar w:fldCharType="separate"/>
      </w:r>
      <w:r w:rsidR="000B0AC7" w:rsidRPr="000B0AC7">
        <w:t>Figure 3.3</w:t>
      </w:r>
      <w:r w:rsidRPr="00F87D0E">
        <w:fldChar w:fldCharType="end"/>
      </w:r>
      <w:r w:rsidRPr="00CE1D7F">
        <w:t>).</w:t>
      </w:r>
    </w:p>
    <w:p w14:paraId="0612C509" w14:textId="395C3598" w:rsidR="002B32A0" w:rsidRPr="00CE1D7F" w:rsidRDefault="002B32A0" w:rsidP="002B32A0">
      <w:pPr>
        <w:pStyle w:val="BodyText"/>
      </w:pPr>
      <w:r w:rsidRPr="00CE1D7F">
        <w:t>Survey respondents commonly reported that their projects increased research capacity by identifying new research directions that have informed/may inform further research (</w:t>
      </w:r>
      <w:r>
        <w:t xml:space="preserve">89% on average, </w:t>
      </w:r>
      <w:r w:rsidRPr="00CE1D7F">
        <w:t xml:space="preserve">93% of Discovery and 83% of Linkage program respondents, see </w:t>
      </w:r>
      <w:r w:rsidRPr="00F87D0E">
        <w:fldChar w:fldCharType="begin"/>
      </w:r>
      <w:r w:rsidRPr="00F87D0E">
        <w:instrText xml:space="preserve"> REF _Ref123903539 \h  \* MERGEFORMAT </w:instrText>
      </w:r>
      <w:r w:rsidRPr="00F87D0E">
        <w:fldChar w:fldCharType="separate"/>
      </w:r>
      <w:r w:rsidR="000B0AC7" w:rsidRPr="000B0AC7">
        <w:t>Figure 3.3</w:t>
      </w:r>
      <w:r w:rsidRPr="00F87D0E">
        <w:fldChar w:fldCharType="end"/>
      </w:r>
      <w:r w:rsidRPr="00CE1D7F">
        <w:t>). This may suggest that researchers consider their impacts are indirect and are more likely to deliver impact by contributing to knowledge or progressing their research towards a pathway to impact, rather than (or in addition to) delivering direct impacts.</w:t>
      </w:r>
    </w:p>
    <w:p w14:paraId="191D9FFF" w14:textId="77777777" w:rsidR="002B32A0" w:rsidRPr="00CE1D7F" w:rsidRDefault="002B32A0" w:rsidP="002B32A0">
      <w:pPr>
        <w:pStyle w:val="BodyText"/>
      </w:pPr>
      <w:r>
        <w:t xml:space="preserve">Overall, survey respondents most commonly reported that their research had established and/or strengthened research networks internationally (76%) and within Australia (75%), and generated highly skilled researchers and/or research graduates (75%). </w:t>
      </w:r>
      <w:r w:rsidRPr="00CE1D7F">
        <w:t xml:space="preserve">Discovery Program respondents were more likely to report that their research had established and/or strengthened research networks internationally than Linkage Program respondents (83% and 62%, respectively). While Linkage Program respondents more commonly reported having established and/or strengthened research networks in Australia compared with Discovery Program respondents (80% and 73%, respectively). Respondents from both Programs commonly reported that their research generated highly skilled researchers and/or research graduates. </w:t>
      </w:r>
    </w:p>
    <w:p w14:paraId="208FB62E" w14:textId="77777777" w:rsidR="002B32A0" w:rsidRPr="00CE1D7F" w:rsidRDefault="002B32A0" w:rsidP="002B32A0">
      <w:pPr>
        <w:pStyle w:val="BodyText"/>
      </w:pPr>
      <w:r w:rsidRPr="00CE1D7F">
        <w:t xml:space="preserve">In free text responses, few respondents identified other ways their research had increased research capacity, including </w:t>
      </w:r>
      <w:r w:rsidRPr="00CE1D7F">
        <w:rPr>
          <w:b/>
          <w:bCs/>
          <w:i/>
          <w:iCs/>
        </w:rPr>
        <w:t>building Indigenous research capacity</w:t>
      </w:r>
      <w:r w:rsidRPr="00CE1D7F">
        <w:t xml:space="preserve"> and </w:t>
      </w:r>
      <w:r w:rsidRPr="00CE1D7F">
        <w:rPr>
          <w:b/>
          <w:bCs/>
          <w:i/>
          <w:iCs/>
        </w:rPr>
        <w:t>supporting Indigenous communities</w:t>
      </w:r>
      <w:r w:rsidRPr="00CE1D7F">
        <w:t xml:space="preserve"> (18), </w:t>
      </w:r>
      <w:r w:rsidRPr="00CE1D7F">
        <w:rPr>
          <w:b/>
          <w:bCs/>
          <w:i/>
          <w:iCs/>
        </w:rPr>
        <w:t>influencing policy</w:t>
      </w:r>
      <w:r w:rsidRPr="00CE1D7F">
        <w:t xml:space="preserve"> (13), </w:t>
      </w:r>
      <w:r w:rsidRPr="00CE1D7F">
        <w:rPr>
          <w:b/>
          <w:bCs/>
          <w:i/>
          <w:iCs/>
        </w:rPr>
        <w:t>improving industry partner networks</w:t>
      </w:r>
      <w:r w:rsidRPr="00CE1D7F">
        <w:t xml:space="preserve"> (12), </w:t>
      </w:r>
      <w:r w:rsidRPr="00CE1D7F">
        <w:rPr>
          <w:b/>
          <w:bCs/>
          <w:i/>
          <w:iCs/>
        </w:rPr>
        <w:t>increasing industry research capacity</w:t>
      </w:r>
      <w:r w:rsidRPr="00CE1D7F">
        <w:t xml:space="preserve"> (12), </w:t>
      </w:r>
      <w:r w:rsidRPr="00CE1D7F">
        <w:rPr>
          <w:b/>
          <w:bCs/>
          <w:i/>
          <w:iCs/>
        </w:rPr>
        <w:t xml:space="preserve">building new and improved </w:t>
      </w:r>
      <w:r w:rsidRPr="00CE1D7F">
        <w:rPr>
          <w:b/>
          <w:bCs/>
          <w:i/>
          <w:iCs/>
        </w:rPr>
        <w:lastRenderedPageBreak/>
        <w:t>research infrastructure</w:t>
      </w:r>
      <w:r w:rsidRPr="00CE1D7F">
        <w:t xml:space="preserve"> (11), </w:t>
      </w:r>
      <w:r w:rsidRPr="00CE1D7F">
        <w:rPr>
          <w:b/>
          <w:bCs/>
          <w:i/>
          <w:iCs/>
        </w:rPr>
        <w:t>improving industry standards</w:t>
      </w:r>
      <w:r w:rsidRPr="00CE1D7F">
        <w:t xml:space="preserve"> (7), and </w:t>
      </w:r>
      <w:r w:rsidRPr="00CE1D7F">
        <w:rPr>
          <w:b/>
          <w:bCs/>
          <w:i/>
          <w:iCs/>
        </w:rPr>
        <w:t>advancing Australia’s position in the FoR</w:t>
      </w:r>
      <w:r w:rsidRPr="00CE1D7F">
        <w:t xml:space="preserve"> (4)</w:t>
      </w:r>
      <w:r>
        <w:t>, noting that some of these themes are more related to social impact</w:t>
      </w:r>
      <w:r w:rsidRPr="00CE1D7F">
        <w:t>.</w:t>
      </w:r>
    </w:p>
    <w:p w14:paraId="23EA8C36" w14:textId="124FDCF1" w:rsidR="000B0AC7" w:rsidRPr="00CE1D7F" w:rsidRDefault="000B0AC7" w:rsidP="000B0AC7">
      <w:pPr>
        <w:pStyle w:val="Caption"/>
        <w:ind w:left="1308" w:hanging="1308"/>
      </w:pPr>
      <w:bookmarkStart w:id="138" w:name="_Ref123903539"/>
      <w:r w:rsidRPr="00CE1D7F">
        <w:rPr>
          <w:rStyle w:val="CaptionLabel"/>
        </w:rPr>
        <w:t>Figure </w:t>
      </w:r>
      <w:r w:rsidRPr="00CE1D7F">
        <w:rPr>
          <w:rStyle w:val="CaptionLabel"/>
        </w:rPr>
        <w:fldChar w:fldCharType="begin"/>
      </w:r>
      <w:r w:rsidRPr="00CE1D7F">
        <w:rPr>
          <w:rStyle w:val="CaptionLabel"/>
        </w:rPr>
        <w:instrText xml:space="preserve"> STYLEREF 1 \s </w:instrText>
      </w:r>
      <w:r w:rsidRPr="00CE1D7F">
        <w:rPr>
          <w:rStyle w:val="CaptionLabel"/>
        </w:rPr>
        <w:fldChar w:fldCharType="separate"/>
      </w:r>
      <w:r>
        <w:rPr>
          <w:rStyle w:val="CaptionLabel"/>
          <w:noProof/>
        </w:rPr>
        <w:t>3</w:t>
      </w:r>
      <w:r w:rsidRPr="00CE1D7F">
        <w:rPr>
          <w:rStyle w:val="CaptionLabel"/>
        </w:rPr>
        <w:fldChar w:fldCharType="end"/>
      </w:r>
      <w:r w:rsidRPr="00CE1D7F">
        <w:rPr>
          <w:rStyle w:val="CaptionLabel"/>
        </w:rPr>
        <w:t>.</w:t>
      </w:r>
      <w:r w:rsidRPr="00CE1D7F">
        <w:rPr>
          <w:rStyle w:val="CaptionLabel"/>
        </w:rPr>
        <w:fldChar w:fldCharType="begin"/>
      </w:r>
      <w:r w:rsidRPr="00CE1D7F">
        <w:rPr>
          <w:rStyle w:val="CaptionLabel"/>
        </w:rPr>
        <w:instrText xml:space="preserve"> SEQ Figure \* ARABIC \s 1 </w:instrText>
      </w:r>
      <w:r w:rsidRPr="00CE1D7F">
        <w:rPr>
          <w:rStyle w:val="CaptionLabel"/>
        </w:rPr>
        <w:fldChar w:fldCharType="separate"/>
      </w:r>
      <w:r>
        <w:rPr>
          <w:rStyle w:val="CaptionLabel"/>
          <w:noProof/>
        </w:rPr>
        <w:t>3</w:t>
      </w:r>
      <w:r w:rsidRPr="00CE1D7F">
        <w:rPr>
          <w:rStyle w:val="CaptionLabel"/>
        </w:rPr>
        <w:fldChar w:fldCharType="end"/>
      </w:r>
      <w:bookmarkEnd w:id="138"/>
      <w:r w:rsidRPr="00CE1D7F">
        <w:tab/>
        <w:t>Survey results on the likelihood of research resulting in increased research capacity</w:t>
      </w:r>
    </w:p>
    <w:tbl>
      <w:tblPr>
        <w:tblW w:w="0" w:type="auto"/>
        <w:tblLayout w:type="fixed"/>
        <w:tblLook w:val="0000" w:firstRow="0" w:lastRow="0" w:firstColumn="0" w:lastColumn="0" w:noHBand="0" w:noVBand="0"/>
      </w:tblPr>
      <w:tblGrid>
        <w:gridCol w:w="7936"/>
      </w:tblGrid>
      <w:tr w:rsidR="002B32A0" w:rsidRPr="00CE1D7F" w14:paraId="106D1A06" w14:textId="77777777" w:rsidTr="006258ED">
        <w:tc>
          <w:tcPr>
            <w:tcW w:w="7936" w:type="dxa"/>
            <w:tcBorders>
              <w:top w:val="single" w:sz="4" w:space="0" w:color="000100"/>
            </w:tcBorders>
            <w:shd w:val="clear" w:color="auto" w:fill="auto"/>
          </w:tcPr>
          <w:p w14:paraId="52332DB3" w14:textId="77777777" w:rsidR="002B32A0" w:rsidRPr="00CE1D7F" w:rsidRDefault="002B32A0" w:rsidP="006258ED">
            <w:pPr>
              <w:pStyle w:val="Figure"/>
              <w:rPr>
                <w:noProof/>
              </w:rPr>
            </w:pPr>
            <w:r>
              <w:rPr>
                <w:noProof/>
              </w:rPr>
              <w:drawing>
                <wp:inline distT="0" distB="0" distL="0" distR="0" wp14:anchorId="15F26E87" wp14:editId="597AF2DE">
                  <wp:extent cx="4901565" cy="2286000"/>
                  <wp:effectExtent l="0" t="0" r="0" b="0"/>
                  <wp:docPr id="826" name="Picture 826" descr="Survey results on the likelihood of research resulting in increased research capacity, see description in text abov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 name="Picture 826" descr="Survey results on the likelihood of research resulting in increased research capacity, see description in text above figur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901565" cy="2286000"/>
                          </a:xfrm>
                          <a:prstGeom prst="rect">
                            <a:avLst/>
                          </a:prstGeom>
                          <a:noFill/>
                        </pic:spPr>
                      </pic:pic>
                    </a:graphicData>
                  </a:graphic>
                </wp:inline>
              </w:drawing>
            </w:r>
          </w:p>
        </w:tc>
      </w:tr>
      <w:tr w:rsidR="002B32A0" w:rsidRPr="00CE1D7F" w14:paraId="0A0E0F7C" w14:textId="77777777" w:rsidTr="006258ED">
        <w:tblPrEx>
          <w:tblCellMar>
            <w:left w:w="0" w:type="dxa"/>
            <w:right w:w="0" w:type="dxa"/>
          </w:tblCellMar>
        </w:tblPrEx>
        <w:trPr>
          <w:trHeight w:val="137"/>
        </w:trPr>
        <w:tc>
          <w:tcPr>
            <w:tcW w:w="7936" w:type="dxa"/>
            <w:tcBorders>
              <w:bottom w:val="single" w:sz="4" w:space="0" w:color="000100"/>
            </w:tcBorders>
            <w:shd w:val="clear" w:color="auto" w:fill="auto"/>
            <w:tcMar>
              <w:top w:w="12" w:type="dxa"/>
              <w:bottom w:w="113" w:type="dxa"/>
            </w:tcMar>
          </w:tcPr>
          <w:p w14:paraId="448C2488" w14:textId="77777777" w:rsidR="002B32A0" w:rsidRPr="00CE1D7F" w:rsidRDefault="002B32A0" w:rsidP="006258ED">
            <w:pPr>
              <w:pStyle w:val="Source"/>
            </w:pPr>
            <w:r w:rsidRPr="00CE1D7F">
              <w:t>N=3,849</w:t>
            </w:r>
          </w:p>
          <w:p w14:paraId="4F6252C4" w14:textId="77777777" w:rsidR="002B32A0" w:rsidRPr="00CE1D7F" w:rsidRDefault="002B32A0" w:rsidP="006258ED">
            <w:pPr>
              <w:pStyle w:val="Source"/>
            </w:pPr>
            <w:r w:rsidRPr="00CE1D7F">
              <w:t>Source: ACIL Allen survey of ARC funding recipients</w:t>
            </w:r>
          </w:p>
        </w:tc>
      </w:tr>
      <w:tr w:rsidR="002B32A0" w:rsidRPr="00CE1D7F" w14:paraId="10F1B95D" w14:textId="77777777" w:rsidTr="006258ED">
        <w:tblPrEx>
          <w:tblCellMar>
            <w:left w:w="0" w:type="dxa"/>
            <w:right w:w="0" w:type="dxa"/>
          </w:tblCellMar>
        </w:tblPrEx>
        <w:trPr>
          <w:trHeight w:hRule="exact" w:val="160"/>
        </w:trPr>
        <w:tc>
          <w:tcPr>
            <w:tcW w:w="7936" w:type="dxa"/>
            <w:tcBorders>
              <w:top w:val="single" w:sz="4" w:space="0" w:color="000100"/>
            </w:tcBorders>
            <w:shd w:val="clear" w:color="auto" w:fill="auto"/>
            <w:tcMar>
              <w:top w:w="0" w:type="dxa"/>
              <w:bottom w:w="40" w:type="dxa"/>
            </w:tcMar>
          </w:tcPr>
          <w:p w14:paraId="5874B933" w14:textId="77777777" w:rsidR="002B32A0" w:rsidRPr="00CE1D7F" w:rsidRDefault="002B32A0" w:rsidP="006258ED">
            <w:pPr>
              <w:pStyle w:val="spacer"/>
            </w:pPr>
          </w:p>
        </w:tc>
      </w:tr>
    </w:tbl>
    <w:p w14:paraId="2460E47A" w14:textId="17696CC7" w:rsidR="002B32A0" w:rsidRPr="00CE1D7F" w:rsidRDefault="002B32A0" w:rsidP="002B32A0">
      <w:pPr>
        <w:pStyle w:val="BodyText"/>
      </w:pPr>
      <w:r w:rsidRPr="00CE1D7F">
        <w:t xml:space="preserve">Qualitative analysis of survey free text responses on the most significant impacts resulting from research projects highlights the importance of NCGP-funded research in delivering research capacity impacts. Improved </w:t>
      </w:r>
      <w:r w:rsidRPr="00CE1D7F">
        <w:rPr>
          <w:b/>
          <w:bCs/>
          <w:i/>
          <w:iCs/>
        </w:rPr>
        <w:t>understanding</w:t>
      </w:r>
      <w:r w:rsidRPr="00CE1D7F">
        <w:t xml:space="preserve"> (411)</w:t>
      </w:r>
      <w:r w:rsidRPr="00CE1D7F">
        <w:rPr>
          <w:b/>
          <w:bCs/>
          <w:i/>
          <w:iCs/>
        </w:rPr>
        <w:t xml:space="preserve"> </w:t>
      </w:r>
      <w:r w:rsidRPr="00CE1D7F">
        <w:t xml:space="preserve">and </w:t>
      </w:r>
      <w:r w:rsidRPr="00CE1D7F">
        <w:rPr>
          <w:b/>
          <w:bCs/>
          <w:i/>
          <w:iCs/>
        </w:rPr>
        <w:t>new knowledge</w:t>
      </w:r>
      <w:r w:rsidRPr="00CE1D7F">
        <w:t xml:space="preserve"> (62)</w:t>
      </w:r>
      <w:r w:rsidRPr="00CE1D7F">
        <w:rPr>
          <w:b/>
          <w:bCs/>
          <w:i/>
          <w:iCs/>
        </w:rPr>
        <w:t xml:space="preserve"> </w:t>
      </w:r>
      <w:r w:rsidRPr="00CE1D7F">
        <w:t>were frequently identified</w:t>
      </w:r>
      <w:r w:rsidRPr="00CE1D7F">
        <w:rPr>
          <w:b/>
          <w:bCs/>
          <w:i/>
          <w:iCs/>
        </w:rPr>
        <w:t xml:space="preserve"> </w:t>
      </w:r>
      <w:r w:rsidRPr="00CE1D7F">
        <w:t xml:space="preserve">(see </w:t>
      </w:r>
      <w:r w:rsidRPr="00F87D0E">
        <w:fldChar w:fldCharType="begin"/>
      </w:r>
      <w:r w:rsidRPr="00F87D0E">
        <w:instrText xml:space="preserve"> REF _Ref129615686 \h  \* MERGEFORMAT </w:instrText>
      </w:r>
      <w:r w:rsidRPr="00F87D0E">
        <w:fldChar w:fldCharType="separate"/>
      </w:r>
      <w:r w:rsidR="000B0AC7" w:rsidRPr="000B0AC7">
        <w:t>Table C.2</w:t>
      </w:r>
      <w:r w:rsidRPr="00F87D0E">
        <w:fldChar w:fldCharType="end"/>
      </w:r>
      <w:r w:rsidRPr="00CE1D7F">
        <w:t xml:space="preserve">), as well as support provided for </w:t>
      </w:r>
      <w:r w:rsidRPr="00CE1D7F">
        <w:rPr>
          <w:b/>
          <w:bCs/>
          <w:i/>
          <w:iCs/>
        </w:rPr>
        <w:t xml:space="preserve">PhD students </w:t>
      </w:r>
      <w:r w:rsidRPr="00CE1D7F">
        <w:t xml:space="preserve">(37) and </w:t>
      </w:r>
      <w:r w:rsidRPr="00CE1D7F">
        <w:rPr>
          <w:b/>
          <w:bCs/>
          <w:i/>
          <w:iCs/>
        </w:rPr>
        <w:t xml:space="preserve">early career researchers </w:t>
      </w:r>
      <w:r w:rsidRPr="00CE1D7F">
        <w:t xml:space="preserve">(10). </w:t>
      </w:r>
    </w:p>
    <w:p w14:paraId="3429DEEF" w14:textId="77777777" w:rsidR="002B32A0" w:rsidRPr="00CE1D7F" w:rsidRDefault="002B32A0" w:rsidP="002B32A0">
      <w:pPr>
        <w:pStyle w:val="Heading3"/>
      </w:pPr>
      <w:r>
        <w:t>Increased collaboration and networking</w:t>
      </w:r>
    </w:p>
    <w:p w14:paraId="455A3CA8" w14:textId="77777777" w:rsidR="002B32A0" w:rsidRPr="00CE1D7F" w:rsidRDefault="002B32A0" w:rsidP="002B32A0">
      <w:pPr>
        <w:pStyle w:val="BodyText"/>
      </w:pPr>
      <w:r w:rsidRPr="00CE1D7F">
        <w:t xml:space="preserve">There is a breadth of collaboration occurring on NCGP-funded research. This collaboration enables knowledge generation and transfer and builds workforce capability. </w:t>
      </w:r>
    </w:p>
    <w:p w14:paraId="31D5DDF6" w14:textId="6221AE2F" w:rsidR="002B32A0" w:rsidRDefault="002B32A0" w:rsidP="002B32A0">
      <w:pPr>
        <w:pStyle w:val="BodyText"/>
      </w:pPr>
      <w:r w:rsidRPr="00CE1D7F">
        <w:t>One measure of collaboration is the</w:t>
      </w:r>
      <w:r>
        <w:t xml:space="preserve"> breadth and</w:t>
      </w:r>
      <w:r w:rsidRPr="00CE1D7F">
        <w:t xml:space="preserve"> diversity of researchers involved in the projects. From 2002-21, a total of 74,971 CIs and 25,696 PIs were involved in NCGP-funded research projects (see </w:t>
      </w:r>
      <w:r w:rsidRPr="00F87D0E">
        <w:fldChar w:fldCharType="begin"/>
      </w:r>
      <w:r w:rsidRPr="00F87D0E">
        <w:instrText xml:space="preserve"> REF _Ref129106926 \h  \* MERGEFORMAT </w:instrText>
      </w:r>
      <w:r w:rsidRPr="00F87D0E">
        <w:fldChar w:fldCharType="separate"/>
      </w:r>
      <w:r w:rsidR="000B0AC7" w:rsidRPr="000B0AC7">
        <w:t>Figure 3.4</w:t>
      </w:r>
      <w:r w:rsidRPr="00F87D0E">
        <w:fldChar w:fldCharType="end"/>
      </w:r>
      <w:r w:rsidRPr="00CE1D7F">
        <w:t xml:space="preserve">, left chart). The Linkage Program, compared with the Discovery Program, had the largest number of CIs (39,002 and 35,969, respectively) and PIs (16,126 and 9,570, respectively) and the largest average number of CIs (4.2 and 1.8, respectively) and PIs (1.8 and 0.5, respectively) per grant. This aligns with end-user engagement requirements in some Linkage Program schemes (see </w:t>
      </w:r>
      <w:r w:rsidRPr="00F87D0E">
        <w:fldChar w:fldCharType="begin"/>
      </w:r>
      <w:r w:rsidRPr="00F87D0E">
        <w:instrText xml:space="preserve"> REF _Ref129356118 \h  \* MERGEFORMAT </w:instrText>
      </w:r>
      <w:r w:rsidRPr="00F87D0E">
        <w:fldChar w:fldCharType="separate"/>
      </w:r>
      <w:r w:rsidR="000B0AC7" w:rsidRPr="000B0AC7">
        <w:t>Table D.1</w:t>
      </w:r>
      <w:r w:rsidRPr="00F87D0E">
        <w:fldChar w:fldCharType="end"/>
      </w:r>
      <w:r w:rsidRPr="00CE1D7F">
        <w:t>) and the breadth and diversity of skills required to progress research toward an end-user and market-ready stage.</w:t>
      </w:r>
    </w:p>
    <w:p w14:paraId="74B0F38A" w14:textId="46C1C624" w:rsidR="002B32A0" w:rsidRDefault="002B32A0" w:rsidP="002B32A0">
      <w:pPr>
        <w:pStyle w:val="BodyText"/>
      </w:pPr>
      <w:r>
        <w:t xml:space="preserve">Another measure of collaboration is the number and diversity of participating organisations involved in NCGP projects. There have been 63,515 organisation participations on NCGP grants awarded between 2002-21 (see </w:t>
      </w:r>
      <w:r w:rsidRPr="00F87D0E">
        <w:fldChar w:fldCharType="begin"/>
      </w:r>
      <w:r w:rsidRPr="00F87D0E">
        <w:instrText xml:space="preserve"> REF _Ref128758200 \h  \* MERGEFORMAT </w:instrText>
      </w:r>
      <w:r w:rsidRPr="00F87D0E">
        <w:fldChar w:fldCharType="separate"/>
      </w:r>
      <w:r w:rsidR="000B0AC7" w:rsidRPr="000B0AC7">
        <w:t>Figure D.3</w:t>
      </w:r>
      <w:r w:rsidRPr="00F87D0E">
        <w:fldChar w:fldCharType="end"/>
      </w:r>
      <w:r>
        <w:t xml:space="preserve">). 60% of participations were from Higher Education Funding Act Organisations (primarily Australian universities), the most common participating organisation type, followed by international higher education organisations (10%), Australian companies (7%), and State and Local Government (7%). </w:t>
      </w:r>
    </w:p>
    <w:p w14:paraId="437BF8C8" w14:textId="526B58AE" w:rsidR="002B32A0" w:rsidRPr="00CE1D7F" w:rsidRDefault="002B32A0" w:rsidP="002B32A0">
      <w:pPr>
        <w:pStyle w:val="BodyText"/>
      </w:pPr>
      <w:r w:rsidRPr="00CE1D7F">
        <w:t>Information from a selection of Linkage Program schemes shows the value delivered to partners, with</w:t>
      </w:r>
      <w:r>
        <w:t xml:space="preserve"> 95% </w:t>
      </w:r>
      <w:r w:rsidRPr="00CE1D7F">
        <w:t xml:space="preserve">finding the schemes to be very beneficial or beneficial (see </w:t>
      </w:r>
      <w:r w:rsidRPr="00F87D0E">
        <w:fldChar w:fldCharType="begin"/>
      </w:r>
      <w:r w:rsidRPr="00F87D0E">
        <w:instrText xml:space="preserve"> REF _Ref129349901 \h  \* MERGEFORMAT </w:instrText>
      </w:r>
      <w:r w:rsidRPr="00F87D0E">
        <w:fldChar w:fldCharType="separate"/>
      </w:r>
      <w:r w:rsidR="000B0AC7" w:rsidRPr="000B0AC7">
        <w:t>Figure D.8</w:t>
      </w:r>
      <w:r w:rsidRPr="00F87D0E">
        <w:fldChar w:fldCharType="end"/>
      </w:r>
      <w:r w:rsidRPr="00CE1D7F">
        <w:t>).</w:t>
      </w:r>
    </w:p>
    <w:p w14:paraId="0603F00B" w14:textId="2645F521" w:rsidR="002B32A0" w:rsidRPr="00CE1D7F" w:rsidRDefault="002B32A0" w:rsidP="002B32A0">
      <w:pPr>
        <w:pStyle w:val="BodyText"/>
      </w:pPr>
      <w:r w:rsidRPr="00CE1D7F">
        <w:t>From 2002-21, $4.4</w:t>
      </w:r>
      <w:r>
        <w:t> billion</w:t>
      </w:r>
      <w:r w:rsidRPr="00CE1D7F">
        <w:t> in cash and $2.0</w:t>
      </w:r>
      <w:r>
        <w:t> billion</w:t>
      </w:r>
      <w:r w:rsidRPr="00CE1D7F">
        <w:t> in-kind contributions</w:t>
      </w:r>
      <w:r>
        <w:t xml:space="preserve"> from participating organisations</w:t>
      </w:r>
      <w:r w:rsidRPr="00CE1D7F">
        <w:t xml:space="preserve"> were made to Discovery Program projects. $</w:t>
      </w:r>
      <w:r>
        <w:t>3.5 billion</w:t>
      </w:r>
      <w:r w:rsidRPr="00CE1D7F">
        <w:t xml:space="preserve"> in cash and </w:t>
      </w:r>
      <w:r w:rsidRPr="00CE1D7F">
        <w:lastRenderedPageBreak/>
        <w:t>$</w:t>
      </w:r>
      <w:r>
        <w:t>7.0 billion</w:t>
      </w:r>
      <w:r w:rsidRPr="00CE1D7F">
        <w:t xml:space="preserve"> in-kind contributions were made to Linkage Program projects (see </w:t>
      </w:r>
      <w:r w:rsidRPr="00F87D0E">
        <w:fldChar w:fldCharType="begin"/>
      </w:r>
      <w:r w:rsidRPr="00F87D0E">
        <w:instrText xml:space="preserve"> REF _Ref129106926 \h  \* MERGEFORMAT </w:instrText>
      </w:r>
      <w:r w:rsidRPr="00F87D0E">
        <w:fldChar w:fldCharType="separate"/>
      </w:r>
      <w:r w:rsidR="000B0AC7" w:rsidRPr="000B0AC7">
        <w:t>Figure 3.4</w:t>
      </w:r>
      <w:r w:rsidRPr="00F87D0E">
        <w:fldChar w:fldCharType="end"/>
      </w:r>
      <w:r w:rsidRPr="00CE1D7F">
        <w:t>, right chart). The average value of cash contributions is higher for Linkage compared with Discovery Program projects ($</w:t>
      </w:r>
      <w:r>
        <w:t>0.4 million</w:t>
      </w:r>
      <w:r w:rsidRPr="00CE1D7F">
        <w:t xml:space="preserve"> and $0.</w:t>
      </w:r>
      <w:r>
        <w:t>2 million</w:t>
      </w:r>
      <w:r w:rsidRPr="00CE1D7F">
        <w:t xml:space="preserve">, respectively), </w:t>
      </w:r>
      <w:r>
        <w:t>but the value of in-kind is higher for the Linkage Program compared with the Discovery</w:t>
      </w:r>
      <w:r w:rsidRPr="004D4C55">
        <w:t xml:space="preserve"> </w:t>
      </w:r>
      <w:r>
        <w:t xml:space="preserve">Program </w:t>
      </w:r>
      <w:r w:rsidRPr="004D4C55">
        <w:t>($0.</w:t>
      </w:r>
      <w:r>
        <w:t>8 million</w:t>
      </w:r>
      <w:r w:rsidRPr="004D4C55">
        <w:t xml:space="preserve"> and $0.</w:t>
      </w:r>
      <w:r>
        <w:t>1 million</w:t>
      </w:r>
      <w:r w:rsidRPr="004D4C55">
        <w:t>, respectively).</w:t>
      </w:r>
      <w:r>
        <w:rPr>
          <w:rStyle w:val="FootnoteReference"/>
        </w:rPr>
        <w:footnoteReference w:id="36"/>
      </w:r>
      <w:r>
        <w:t xml:space="preserve"> The NCGP overall leveraged $0.76 in cash and in-kind contributions per $1 of ARC funding for Discovery Program, and $1.97 in cash and in-kind contributions per $1 of ARC funding for Linkage Program. Overall, the ratio was $1.23 per $1 of ARC funding.</w:t>
      </w:r>
    </w:p>
    <w:p w14:paraId="601C923D" w14:textId="15CC760D" w:rsidR="002B32A0" w:rsidRPr="00CE1D7F" w:rsidRDefault="002B32A0" w:rsidP="002B32A0">
      <w:pPr>
        <w:pStyle w:val="BodyText"/>
      </w:pPr>
      <w:r w:rsidRPr="00CE1D7F">
        <w:t xml:space="preserve">These co-contributions have varied slightly over time (see </w:t>
      </w:r>
      <w:r w:rsidRPr="00F87D0E">
        <w:fldChar w:fldCharType="begin"/>
      </w:r>
      <w:r w:rsidRPr="00F87D0E">
        <w:instrText xml:space="preserve"> REF _Ref129109973 \h  \* MERGEFORMAT </w:instrText>
      </w:r>
      <w:r w:rsidRPr="00F87D0E">
        <w:fldChar w:fldCharType="separate"/>
      </w:r>
      <w:r w:rsidR="000B0AC7" w:rsidRPr="000B0AC7">
        <w:t>Figure D.9</w:t>
      </w:r>
      <w:r w:rsidRPr="00F87D0E">
        <w:fldChar w:fldCharType="end"/>
      </w:r>
      <w:r w:rsidRPr="00CE1D7F">
        <w:t xml:space="preserve">), which has broadly aligned with the quantum of funding provided by the ARC (as discussed in </w:t>
      </w:r>
      <w:r>
        <w:t>section </w:t>
      </w:r>
      <w:r w:rsidRPr="00F87D0E">
        <w:fldChar w:fldCharType="begin"/>
      </w:r>
      <w:r w:rsidRPr="00F87D0E">
        <w:instrText xml:space="preserve"> REF _Ref129110334 \r \h  \* MERGEFORMAT </w:instrText>
      </w:r>
      <w:r w:rsidRPr="00F87D0E">
        <w:fldChar w:fldCharType="separate"/>
      </w:r>
      <w:r w:rsidR="000B0AC7">
        <w:t>1.2</w:t>
      </w:r>
      <w:r w:rsidRPr="00F87D0E">
        <w:fldChar w:fldCharType="end"/>
      </w:r>
      <w:r w:rsidRPr="00CE1D7F">
        <w:t>). In-kind contributions to Discovery Program projects were negligible before 2015. This reflect</w:t>
      </w:r>
      <w:r>
        <w:t>s that in-kind</w:t>
      </w:r>
      <w:r w:rsidRPr="00CE1D7F">
        <w:t xml:space="preserve"> </w:t>
      </w:r>
      <w:r>
        <w:t xml:space="preserve">contributions were not recorded for most Discovery Program scheme applications (i.e. DE, FT, and FL), while DP and IN only began recording in-kind contributions since 2015. </w:t>
      </w:r>
    </w:p>
    <w:p w14:paraId="4323097F" w14:textId="4E1528FB" w:rsidR="002B32A0" w:rsidRPr="00CE1D7F" w:rsidRDefault="002B32A0" w:rsidP="002B32A0">
      <w:pPr>
        <w:pStyle w:val="BodyText"/>
      </w:pPr>
      <w:r w:rsidRPr="00CE1D7F">
        <w:t xml:space="preserve">When examined by </w:t>
      </w:r>
      <w:r>
        <w:t>FoR</w:t>
      </w:r>
      <w:r w:rsidRPr="00CE1D7F">
        <w:t xml:space="preserve">, as for the distribution of ARC funding, the largest cash and in-kind contributions to both Discovery and Linkage Program projects were made to research in the Biological Sciences, Engineering and Physical Sciences </w:t>
      </w:r>
      <w:r>
        <w:t>FoR</w:t>
      </w:r>
      <w:r w:rsidRPr="00CE1D7F">
        <w:t xml:space="preserve">s (see </w:t>
      </w:r>
      <w:r w:rsidRPr="00F87D0E">
        <w:fldChar w:fldCharType="begin"/>
      </w:r>
      <w:r w:rsidRPr="00F87D0E">
        <w:instrText xml:space="preserve"> REF _Ref129355862 \h  \* MERGEFORMAT </w:instrText>
      </w:r>
      <w:r w:rsidRPr="00F87D0E">
        <w:fldChar w:fldCharType="separate"/>
      </w:r>
      <w:r w:rsidR="000B0AC7" w:rsidRPr="000B0AC7">
        <w:t>Figure D.10</w:t>
      </w:r>
      <w:r w:rsidRPr="00F87D0E">
        <w:fldChar w:fldCharType="end"/>
      </w:r>
      <w:r w:rsidRPr="00CE1D7F">
        <w:t xml:space="preserve">). This likely reflects the requirement for co-contributions across a range of ARC schemes (see </w:t>
      </w:r>
      <w:r w:rsidRPr="00F87D0E">
        <w:fldChar w:fldCharType="begin"/>
      </w:r>
      <w:r w:rsidRPr="00F87D0E">
        <w:instrText xml:space="preserve"> REF _Ref129356118 \h  \* MERGEFORMAT </w:instrText>
      </w:r>
      <w:r w:rsidRPr="00F87D0E">
        <w:fldChar w:fldCharType="separate"/>
      </w:r>
      <w:r w:rsidR="000B0AC7" w:rsidRPr="000B0AC7">
        <w:t>Table D.1</w:t>
      </w:r>
      <w:r w:rsidRPr="00F87D0E">
        <w:fldChar w:fldCharType="end"/>
      </w:r>
      <w:r w:rsidRPr="00CE1D7F">
        <w:t xml:space="preserve">), and that more ARC funding is likely to leverage more co-contributions for the same project (in its </w:t>
      </w:r>
      <w:r>
        <w:t>FoR</w:t>
      </w:r>
      <w:r w:rsidRPr="00CE1D7F">
        <w:t>).</w:t>
      </w:r>
    </w:p>
    <w:p w14:paraId="11D88380" w14:textId="4B5DC9F4" w:rsidR="000B0AC7" w:rsidRPr="00CE1D7F" w:rsidRDefault="000B0AC7" w:rsidP="000B0AC7">
      <w:pPr>
        <w:pStyle w:val="Caption"/>
        <w:ind w:left="-1102" w:hanging="1308"/>
      </w:pPr>
      <w:bookmarkStart w:id="139" w:name="_Ref129106926"/>
      <w:r w:rsidRPr="009C630F">
        <w:rPr>
          <w:rStyle w:val="CaptionLabel"/>
        </w:rPr>
        <w:t>Figure </w:t>
      </w:r>
      <w:r w:rsidRPr="009C630F">
        <w:rPr>
          <w:rStyle w:val="CaptionLabel"/>
        </w:rPr>
        <w:fldChar w:fldCharType="begin"/>
      </w:r>
      <w:r w:rsidRPr="009C630F">
        <w:rPr>
          <w:rStyle w:val="CaptionLabel"/>
        </w:rPr>
        <w:instrText xml:space="preserve"> STYLEREF 1 \S \* MERGEFORMAT </w:instrText>
      </w:r>
      <w:r w:rsidRPr="009C630F">
        <w:rPr>
          <w:rStyle w:val="CaptionLabel"/>
        </w:rPr>
        <w:fldChar w:fldCharType="separate"/>
      </w:r>
      <w:r w:rsidRPr="009C630F">
        <w:rPr>
          <w:rStyle w:val="CaptionLabel"/>
          <w:noProof/>
        </w:rPr>
        <w:t>3</w:t>
      </w:r>
      <w:r w:rsidRPr="009C630F">
        <w:rPr>
          <w:rStyle w:val="CaptionLabel"/>
        </w:rPr>
        <w:fldChar w:fldCharType="end"/>
      </w:r>
      <w:r w:rsidRPr="009C630F">
        <w:rPr>
          <w:rStyle w:val="CaptionLabel"/>
        </w:rPr>
        <w:t>.</w:t>
      </w:r>
      <w:r w:rsidRPr="009C630F">
        <w:rPr>
          <w:rStyle w:val="CaptionLabel"/>
        </w:rPr>
        <w:fldChar w:fldCharType="begin"/>
      </w:r>
      <w:r w:rsidRPr="009C630F">
        <w:rPr>
          <w:rStyle w:val="CaptionLabel"/>
        </w:rPr>
        <w:instrText xml:space="preserve"> SEQ Figure \* ARABIC \S 1 \* MERGEFORMAT </w:instrText>
      </w:r>
      <w:r w:rsidRPr="009C630F">
        <w:rPr>
          <w:rStyle w:val="CaptionLabel"/>
        </w:rPr>
        <w:fldChar w:fldCharType="separate"/>
      </w:r>
      <w:r w:rsidRPr="009C630F">
        <w:rPr>
          <w:rStyle w:val="CaptionLabel"/>
          <w:noProof/>
        </w:rPr>
        <w:t>4</w:t>
      </w:r>
      <w:r w:rsidRPr="009C630F">
        <w:rPr>
          <w:rStyle w:val="CaptionLabel"/>
        </w:rPr>
        <w:fldChar w:fldCharType="end"/>
      </w:r>
      <w:bookmarkEnd w:id="139"/>
      <w:r w:rsidRPr="009C630F">
        <w:tab/>
        <w:t>Funding data on the total and average number of CIs and PIs, and value of cash and in-kind contributions made by participating organisations, by Discovery and Linkage Program</w:t>
      </w:r>
    </w:p>
    <w:tbl>
      <w:tblPr>
        <w:tblW w:w="0" w:type="auto"/>
        <w:tblInd w:w="-2410" w:type="dxa"/>
        <w:tblLayout w:type="fixed"/>
        <w:tblLook w:val="0000" w:firstRow="0" w:lastRow="0" w:firstColumn="0" w:lastColumn="0" w:noHBand="0" w:noVBand="0"/>
      </w:tblPr>
      <w:tblGrid>
        <w:gridCol w:w="5245"/>
        <w:gridCol w:w="5101"/>
      </w:tblGrid>
      <w:tr w:rsidR="002B32A0" w:rsidRPr="00CE1D7F" w14:paraId="56A79722" w14:textId="77777777" w:rsidTr="006258ED">
        <w:tc>
          <w:tcPr>
            <w:tcW w:w="5245" w:type="dxa"/>
            <w:tcBorders>
              <w:top w:val="single" w:sz="4" w:space="0" w:color="000100"/>
            </w:tcBorders>
            <w:shd w:val="clear" w:color="auto" w:fill="auto"/>
          </w:tcPr>
          <w:p w14:paraId="5E12A7A7" w14:textId="77777777" w:rsidR="002B32A0" w:rsidRPr="00CE1D7F" w:rsidRDefault="002B32A0" w:rsidP="006258ED">
            <w:pPr>
              <w:pStyle w:val="Figure"/>
              <w:jc w:val="center"/>
              <w:rPr>
                <w:b/>
                <w:bCs/>
                <w:i/>
                <w:iCs/>
                <w:noProof/>
                <w:sz w:val="20"/>
                <w:szCs w:val="28"/>
              </w:rPr>
            </w:pPr>
            <w:r w:rsidRPr="00CE1D7F">
              <w:rPr>
                <w:b/>
                <w:bCs/>
                <w:i/>
                <w:iCs/>
                <w:sz w:val="20"/>
                <w:szCs w:val="28"/>
              </w:rPr>
              <w:t>Number of CIs and PIs</w:t>
            </w:r>
          </w:p>
        </w:tc>
        <w:tc>
          <w:tcPr>
            <w:tcW w:w="5101" w:type="dxa"/>
            <w:tcBorders>
              <w:top w:val="single" w:sz="4" w:space="0" w:color="000100"/>
            </w:tcBorders>
            <w:shd w:val="clear" w:color="auto" w:fill="auto"/>
          </w:tcPr>
          <w:p w14:paraId="0CB6AA15" w14:textId="77777777" w:rsidR="002B32A0" w:rsidRPr="00CE1D7F" w:rsidRDefault="002B32A0" w:rsidP="006258ED">
            <w:pPr>
              <w:pStyle w:val="Figure"/>
              <w:jc w:val="center"/>
              <w:rPr>
                <w:b/>
                <w:bCs/>
                <w:i/>
                <w:iCs/>
                <w:noProof/>
                <w:sz w:val="20"/>
                <w:szCs w:val="28"/>
              </w:rPr>
            </w:pPr>
            <w:r w:rsidRPr="00CE1D7F">
              <w:rPr>
                <w:b/>
                <w:bCs/>
                <w:i/>
                <w:iCs/>
                <w:noProof/>
                <w:sz w:val="20"/>
                <w:szCs w:val="28"/>
              </w:rPr>
              <w:t>Value of cash and in-kind contributions</w:t>
            </w:r>
          </w:p>
        </w:tc>
      </w:tr>
      <w:tr w:rsidR="002B32A0" w:rsidRPr="00CE1D7F" w14:paraId="6514C061" w14:textId="77777777" w:rsidTr="006258ED">
        <w:tc>
          <w:tcPr>
            <w:tcW w:w="5245" w:type="dxa"/>
            <w:tcBorders>
              <w:top w:val="single" w:sz="4" w:space="0" w:color="000100"/>
            </w:tcBorders>
            <w:shd w:val="clear" w:color="auto" w:fill="auto"/>
          </w:tcPr>
          <w:p w14:paraId="765DD355" w14:textId="77777777" w:rsidR="002B32A0" w:rsidRPr="00CE1D7F" w:rsidRDefault="002B32A0" w:rsidP="006258ED">
            <w:pPr>
              <w:pStyle w:val="Figure"/>
              <w:rPr>
                <w:noProof/>
              </w:rPr>
            </w:pPr>
            <w:r w:rsidRPr="00CE1D7F">
              <w:rPr>
                <w:noProof/>
              </w:rPr>
              <w:drawing>
                <wp:inline distT="0" distB="0" distL="0" distR="0" wp14:anchorId="22303188" wp14:editId="50C36D76">
                  <wp:extent cx="3237230" cy="1999615"/>
                  <wp:effectExtent l="0" t="0" r="1270" b="635"/>
                  <wp:docPr id="208" name="Picture 208" descr="Funding data on the total and average number of CIs and PIs, by Discovery and Linkage Program, see description in text abov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Picture 208" descr="Funding data on the total and average number of CIs and PIs, by Discovery and Linkage Program, see description in text above figure."/>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237230" cy="1999615"/>
                          </a:xfrm>
                          <a:prstGeom prst="rect">
                            <a:avLst/>
                          </a:prstGeom>
                          <a:noFill/>
                        </pic:spPr>
                      </pic:pic>
                    </a:graphicData>
                  </a:graphic>
                </wp:inline>
              </w:drawing>
            </w:r>
          </w:p>
        </w:tc>
        <w:tc>
          <w:tcPr>
            <w:tcW w:w="5101" w:type="dxa"/>
            <w:tcBorders>
              <w:top w:val="single" w:sz="4" w:space="0" w:color="000100"/>
            </w:tcBorders>
            <w:shd w:val="clear" w:color="auto" w:fill="auto"/>
          </w:tcPr>
          <w:p w14:paraId="088157DF" w14:textId="0C18F06C" w:rsidR="002B32A0" w:rsidRPr="00CE1D7F" w:rsidRDefault="00821B4F" w:rsidP="006258ED">
            <w:pPr>
              <w:pStyle w:val="Figure"/>
              <w:rPr>
                <w:noProof/>
              </w:rPr>
            </w:pPr>
            <w:r>
              <w:rPr>
                <w:noProof/>
              </w:rPr>
              <w:drawing>
                <wp:inline distT="0" distB="0" distL="0" distR="0" wp14:anchorId="4CE899DF" wp14:editId="3AC44CB2">
                  <wp:extent cx="3103245" cy="1999615"/>
                  <wp:effectExtent l="0" t="0" r="1905" b="635"/>
                  <wp:docPr id="1818491328" name="Picture 1" descr="Funding data on the value of cash and in-kind contributions made by participating organisations, by Discovery and Linkage Program, see description in text abov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491328" name="Picture 1" descr="Funding data on the value of cash and in-kind contributions made by participating organisations, by Discovery and Linkage Program, see description in text above figure."/>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103245" cy="1999615"/>
                          </a:xfrm>
                          <a:prstGeom prst="rect">
                            <a:avLst/>
                          </a:prstGeom>
                          <a:noFill/>
                        </pic:spPr>
                      </pic:pic>
                    </a:graphicData>
                  </a:graphic>
                </wp:inline>
              </w:drawing>
            </w:r>
          </w:p>
        </w:tc>
      </w:tr>
      <w:tr w:rsidR="002B32A0" w:rsidRPr="00CE1D7F" w14:paraId="04CE6EB3" w14:textId="77777777" w:rsidTr="006258ED">
        <w:tblPrEx>
          <w:tblCellMar>
            <w:left w:w="0" w:type="dxa"/>
            <w:right w:w="0" w:type="dxa"/>
          </w:tblCellMar>
        </w:tblPrEx>
        <w:trPr>
          <w:trHeight w:val="135"/>
        </w:trPr>
        <w:tc>
          <w:tcPr>
            <w:tcW w:w="10346" w:type="dxa"/>
            <w:gridSpan w:val="2"/>
            <w:tcBorders>
              <w:bottom w:val="single" w:sz="4" w:space="0" w:color="000100"/>
            </w:tcBorders>
            <w:shd w:val="clear" w:color="auto" w:fill="auto"/>
            <w:tcMar>
              <w:top w:w="12" w:type="dxa"/>
              <w:bottom w:w="113" w:type="dxa"/>
            </w:tcMar>
          </w:tcPr>
          <w:p w14:paraId="6825362F" w14:textId="77777777" w:rsidR="002B32A0" w:rsidRPr="00CE1D7F" w:rsidRDefault="002B32A0" w:rsidP="006258ED">
            <w:pPr>
              <w:pStyle w:val="Source"/>
              <w:rPr>
                <w:i w:val="0"/>
                <w:iCs/>
              </w:rPr>
            </w:pPr>
            <w:r w:rsidRPr="00CE1D7F">
              <w:rPr>
                <w:i w:val="0"/>
                <w:iCs/>
              </w:rPr>
              <w:t>N=29,303 projects</w:t>
            </w:r>
          </w:p>
          <w:p w14:paraId="769C86F5" w14:textId="2072B881" w:rsidR="002B32A0" w:rsidRPr="00CE1D7F" w:rsidRDefault="002B32A0" w:rsidP="006258ED">
            <w:pPr>
              <w:pStyle w:val="Source"/>
              <w:rPr>
                <w:i w:val="0"/>
                <w:iCs/>
              </w:rPr>
            </w:pPr>
            <w:r w:rsidRPr="00CE1D7F">
              <w:rPr>
                <w:i w:val="0"/>
                <w:iCs/>
              </w:rPr>
              <w:t>Contributions are from participating organisations. CE11 data is not available. For DE, FL (except FL10) and FT only cash contributions (no in-kind) can be entered into the application form for Administering Organisations</w:t>
            </w:r>
            <w:r>
              <w:rPr>
                <w:i w:val="0"/>
                <w:iCs/>
              </w:rPr>
              <w:t>.</w:t>
            </w:r>
            <w:r>
              <w:t xml:space="preserve"> </w:t>
            </w:r>
            <w:r w:rsidRPr="00673CF6">
              <w:rPr>
                <w:i w:val="0"/>
                <w:iCs/>
              </w:rPr>
              <w:t xml:space="preserve">In-kind contributions were not recorded for most Discovery Program scheme applications. DE, FT, and FL </w:t>
            </w:r>
            <w:r w:rsidR="00054253" w:rsidRPr="00673CF6">
              <w:rPr>
                <w:i w:val="0"/>
                <w:iCs/>
              </w:rPr>
              <w:t>do</w:t>
            </w:r>
            <w:r w:rsidRPr="00673CF6">
              <w:rPr>
                <w:i w:val="0"/>
                <w:iCs/>
              </w:rPr>
              <w:t xml:space="preserve"> not record in-kind contribution, DP and IN only record in-kind contributions since 2015.</w:t>
            </w:r>
            <w:r>
              <w:rPr>
                <w:i w:val="0"/>
                <w:iCs/>
              </w:rPr>
              <w:t xml:space="preserve"> T</w:t>
            </w:r>
            <w:r w:rsidRPr="00CE1D7F">
              <w:rPr>
                <w:i w:val="0"/>
                <w:iCs/>
              </w:rPr>
              <w:t xml:space="preserve">herefore, in-kind funding </w:t>
            </w:r>
            <w:r>
              <w:rPr>
                <w:i w:val="0"/>
                <w:iCs/>
              </w:rPr>
              <w:t>is</w:t>
            </w:r>
            <w:r w:rsidRPr="00CE1D7F">
              <w:rPr>
                <w:i w:val="0"/>
                <w:iCs/>
              </w:rPr>
              <w:t xml:space="preserve"> not recorded for these schemes.</w:t>
            </w:r>
          </w:p>
          <w:p w14:paraId="6DF255B2" w14:textId="77777777" w:rsidR="002B32A0" w:rsidRPr="00CE1D7F" w:rsidRDefault="002B32A0" w:rsidP="006258ED">
            <w:pPr>
              <w:pStyle w:val="Source"/>
            </w:pPr>
            <w:r w:rsidRPr="00CE1D7F">
              <w:t>Source: ACIL Allen’s analysis of ARC funding data for grants awarded between 2002 and 2021.</w:t>
            </w:r>
          </w:p>
        </w:tc>
      </w:tr>
      <w:tr w:rsidR="002B32A0" w:rsidRPr="00CE1D7F" w14:paraId="16F7A389" w14:textId="77777777" w:rsidTr="006258ED">
        <w:tblPrEx>
          <w:tblCellMar>
            <w:left w:w="0" w:type="dxa"/>
            <w:right w:w="0" w:type="dxa"/>
          </w:tblCellMar>
        </w:tblPrEx>
        <w:trPr>
          <w:trHeight w:hRule="exact" w:val="160"/>
        </w:trPr>
        <w:tc>
          <w:tcPr>
            <w:tcW w:w="10346" w:type="dxa"/>
            <w:gridSpan w:val="2"/>
            <w:tcBorders>
              <w:top w:val="single" w:sz="4" w:space="0" w:color="000100"/>
            </w:tcBorders>
            <w:shd w:val="clear" w:color="auto" w:fill="auto"/>
            <w:tcMar>
              <w:top w:w="0" w:type="dxa"/>
              <w:bottom w:w="40" w:type="dxa"/>
            </w:tcMar>
          </w:tcPr>
          <w:p w14:paraId="7E798531" w14:textId="77777777" w:rsidR="002B32A0" w:rsidRPr="00CE1D7F" w:rsidRDefault="002B32A0" w:rsidP="006258ED">
            <w:pPr>
              <w:pStyle w:val="spacer"/>
            </w:pPr>
          </w:p>
        </w:tc>
      </w:tr>
    </w:tbl>
    <w:p w14:paraId="354986A0" w14:textId="284E7F83" w:rsidR="002B32A0" w:rsidRPr="00CE1D7F" w:rsidRDefault="002B32A0" w:rsidP="002B32A0">
      <w:pPr>
        <w:pStyle w:val="BodyText"/>
      </w:pPr>
      <w:r w:rsidRPr="00F87D0E">
        <w:fldChar w:fldCharType="begin"/>
      </w:r>
      <w:r w:rsidRPr="00F87D0E">
        <w:instrText xml:space="preserve"> REF _Ref122533607 \h  \* MERGEFORMAT </w:instrText>
      </w:r>
      <w:r w:rsidRPr="00F87D0E">
        <w:fldChar w:fldCharType="separate"/>
      </w:r>
      <w:r w:rsidR="000B0AC7" w:rsidRPr="000B0AC7">
        <w:t>Figure 3.5</w:t>
      </w:r>
      <w:r w:rsidRPr="00F87D0E">
        <w:fldChar w:fldCharType="end"/>
      </w:r>
      <w:r w:rsidRPr="00CE1D7F">
        <w:t xml:space="preserve"> shows the top 10 countries where participating organisations were most commonly headquartered by number (left chart) and value of co-contribution (cash and in-kind) (right chart). Australia accounted for most projects (86%, 54,429) and co-contributions (85%, $14.3</w:t>
      </w:r>
      <w:r>
        <w:t> billion</w:t>
      </w:r>
      <w:r w:rsidRPr="00CE1D7F">
        <w:t>). The United States (4%, 2,610) and England (2%, 1,362) had the second-highest number of projects. The next largest co-contributors were in the United States (9%, $1.47</w:t>
      </w:r>
      <w:r>
        <w:t> billion</w:t>
      </w:r>
      <w:r w:rsidRPr="00CE1D7F">
        <w:t>).</w:t>
      </w:r>
    </w:p>
    <w:p w14:paraId="4D1429CC" w14:textId="26FE63C7" w:rsidR="000B0AC7" w:rsidRPr="00CE1D7F" w:rsidRDefault="000B0AC7" w:rsidP="000B0AC7">
      <w:pPr>
        <w:pStyle w:val="Caption"/>
        <w:ind w:left="-1102" w:hanging="1308"/>
      </w:pPr>
      <w:bookmarkStart w:id="140" w:name="_Ref122533607"/>
      <w:r w:rsidRPr="00CE1D7F">
        <w:rPr>
          <w:rStyle w:val="CaptionLabel"/>
        </w:rPr>
        <w:lastRenderedPageBreak/>
        <w:t>Figure </w:t>
      </w:r>
      <w:r w:rsidRPr="00CE1D7F">
        <w:rPr>
          <w:rStyle w:val="CaptionLabel"/>
        </w:rPr>
        <w:fldChar w:fldCharType="begin"/>
      </w:r>
      <w:r w:rsidRPr="00CE1D7F">
        <w:rPr>
          <w:rStyle w:val="CaptionLabel"/>
        </w:rPr>
        <w:instrText xml:space="preserve"> STYLEREF 1 \s </w:instrText>
      </w:r>
      <w:r w:rsidRPr="00CE1D7F">
        <w:rPr>
          <w:rStyle w:val="CaptionLabel"/>
        </w:rPr>
        <w:fldChar w:fldCharType="separate"/>
      </w:r>
      <w:r>
        <w:rPr>
          <w:rStyle w:val="CaptionLabel"/>
          <w:noProof/>
        </w:rPr>
        <w:t>3</w:t>
      </w:r>
      <w:r w:rsidRPr="00CE1D7F">
        <w:rPr>
          <w:rStyle w:val="CaptionLabel"/>
        </w:rPr>
        <w:fldChar w:fldCharType="end"/>
      </w:r>
      <w:r w:rsidRPr="00CE1D7F">
        <w:rPr>
          <w:rStyle w:val="CaptionLabel"/>
        </w:rPr>
        <w:t>.</w:t>
      </w:r>
      <w:r w:rsidRPr="00CE1D7F">
        <w:rPr>
          <w:rStyle w:val="CaptionLabel"/>
        </w:rPr>
        <w:fldChar w:fldCharType="begin"/>
      </w:r>
      <w:r w:rsidRPr="00CE1D7F">
        <w:rPr>
          <w:rStyle w:val="CaptionLabel"/>
        </w:rPr>
        <w:instrText xml:space="preserve"> SEQ Figure \* ARABIC \s 1 </w:instrText>
      </w:r>
      <w:r w:rsidRPr="00CE1D7F">
        <w:rPr>
          <w:rStyle w:val="CaptionLabel"/>
        </w:rPr>
        <w:fldChar w:fldCharType="separate"/>
      </w:r>
      <w:r>
        <w:rPr>
          <w:rStyle w:val="CaptionLabel"/>
          <w:noProof/>
        </w:rPr>
        <w:t>5</w:t>
      </w:r>
      <w:r w:rsidRPr="00CE1D7F">
        <w:rPr>
          <w:rStyle w:val="CaptionLabel"/>
        </w:rPr>
        <w:fldChar w:fldCharType="end"/>
      </w:r>
      <w:bookmarkEnd w:id="140"/>
      <w:r w:rsidRPr="00CE1D7F">
        <w:tab/>
        <w:t>Final report data on the location of and total contribution (cash and in-kind) made by participating organisations</w:t>
      </w:r>
    </w:p>
    <w:tbl>
      <w:tblPr>
        <w:tblW w:w="0" w:type="auto"/>
        <w:tblInd w:w="-2410" w:type="dxa"/>
        <w:tblLayout w:type="fixed"/>
        <w:tblLook w:val="0000" w:firstRow="0" w:lastRow="0" w:firstColumn="0" w:lastColumn="0" w:noHBand="0" w:noVBand="0"/>
      </w:tblPr>
      <w:tblGrid>
        <w:gridCol w:w="4678"/>
        <w:gridCol w:w="5668"/>
      </w:tblGrid>
      <w:tr w:rsidR="002B32A0" w:rsidRPr="00CE1D7F" w14:paraId="34BA13E2" w14:textId="77777777" w:rsidTr="006258ED">
        <w:tc>
          <w:tcPr>
            <w:tcW w:w="4678" w:type="dxa"/>
            <w:tcBorders>
              <w:top w:val="single" w:sz="4" w:space="0" w:color="000100"/>
            </w:tcBorders>
            <w:shd w:val="clear" w:color="auto" w:fill="auto"/>
          </w:tcPr>
          <w:p w14:paraId="60DFE5FB" w14:textId="77777777" w:rsidR="002B32A0" w:rsidRPr="00CE1D7F" w:rsidRDefault="002B32A0" w:rsidP="006258ED">
            <w:pPr>
              <w:pStyle w:val="Figure"/>
              <w:jc w:val="center"/>
              <w:rPr>
                <w:b/>
                <w:bCs/>
                <w:i/>
                <w:iCs/>
                <w:noProof/>
                <w:sz w:val="20"/>
                <w:szCs w:val="28"/>
              </w:rPr>
            </w:pPr>
            <w:r w:rsidRPr="00CE1D7F">
              <w:rPr>
                <w:b/>
                <w:bCs/>
                <w:i/>
                <w:iCs/>
                <w:sz w:val="20"/>
                <w:szCs w:val="28"/>
              </w:rPr>
              <w:t>Number of projects by country</w:t>
            </w:r>
          </w:p>
        </w:tc>
        <w:tc>
          <w:tcPr>
            <w:tcW w:w="5668" w:type="dxa"/>
            <w:tcBorders>
              <w:top w:val="single" w:sz="4" w:space="0" w:color="000100"/>
            </w:tcBorders>
            <w:shd w:val="clear" w:color="auto" w:fill="auto"/>
          </w:tcPr>
          <w:p w14:paraId="0886C180" w14:textId="77777777" w:rsidR="002B32A0" w:rsidRPr="00CE1D7F" w:rsidRDefault="002B32A0" w:rsidP="006258ED">
            <w:pPr>
              <w:pStyle w:val="Figure"/>
              <w:jc w:val="center"/>
              <w:rPr>
                <w:b/>
                <w:bCs/>
                <w:i/>
                <w:iCs/>
                <w:noProof/>
                <w:sz w:val="20"/>
                <w:szCs w:val="28"/>
              </w:rPr>
            </w:pPr>
            <w:r w:rsidRPr="00CE1D7F">
              <w:rPr>
                <w:b/>
                <w:bCs/>
                <w:i/>
                <w:iCs/>
                <w:sz w:val="20"/>
                <w:szCs w:val="28"/>
              </w:rPr>
              <w:t>Contribution amount by country</w:t>
            </w:r>
          </w:p>
        </w:tc>
      </w:tr>
      <w:tr w:rsidR="002B32A0" w:rsidRPr="00CE1D7F" w14:paraId="5A5FB8A8" w14:textId="77777777" w:rsidTr="006258ED">
        <w:tc>
          <w:tcPr>
            <w:tcW w:w="10346" w:type="dxa"/>
            <w:gridSpan w:val="2"/>
            <w:tcBorders>
              <w:top w:val="single" w:sz="4" w:space="0" w:color="000100"/>
            </w:tcBorders>
            <w:shd w:val="clear" w:color="auto" w:fill="auto"/>
          </w:tcPr>
          <w:p w14:paraId="61998A69" w14:textId="77777777" w:rsidR="002B32A0" w:rsidRPr="00CE1D7F" w:rsidRDefault="002B32A0" w:rsidP="006258ED">
            <w:pPr>
              <w:pStyle w:val="Figure"/>
            </w:pPr>
            <w:r w:rsidRPr="00CE1D7F">
              <w:rPr>
                <w:noProof/>
              </w:rPr>
              <w:drawing>
                <wp:inline distT="0" distB="0" distL="0" distR="0" wp14:anchorId="310C275B" wp14:editId="511C6109">
                  <wp:extent cx="2799965" cy="1989055"/>
                  <wp:effectExtent l="0" t="0" r="635" b="0"/>
                  <wp:docPr id="91" name="Picture 91" descr="Final report data on the location of contributions (cash and in-kind) made by participating organisations, see description in text abov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Final report data on the location of contributions (cash and in-kind) made by participating organisations, see description in text above figure."/>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a:stretch/>
                        </pic:blipFill>
                        <pic:spPr bwMode="auto">
                          <a:xfrm>
                            <a:off x="0" y="0"/>
                            <a:ext cx="2800350" cy="1989328"/>
                          </a:xfrm>
                          <a:prstGeom prst="rect">
                            <a:avLst/>
                          </a:prstGeom>
                          <a:noFill/>
                          <a:ln>
                            <a:noFill/>
                          </a:ln>
                          <a:extLst>
                            <a:ext uri="{53640926-AAD7-44D8-BBD7-CCE9431645EC}">
                              <a14:shadowObscured xmlns:a14="http://schemas.microsoft.com/office/drawing/2010/main"/>
                            </a:ext>
                          </a:extLst>
                        </pic:spPr>
                      </pic:pic>
                    </a:graphicData>
                  </a:graphic>
                </wp:inline>
              </w:drawing>
            </w:r>
            <w:r w:rsidRPr="00CE1D7F">
              <w:rPr>
                <w:noProof/>
              </w:rPr>
              <w:drawing>
                <wp:inline distT="0" distB="0" distL="0" distR="0" wp14:anchorId="772FCCDA" wp14:editId="5BED1B80">
                  <wp:extent cx="3609975" cy="1885361"/>
                  <wp:effectExtent l="0" t="0" r="0" b="635"/>
                  <wp:docPr id="610" name="Picture 610" descr="Final report data on the total contribution (cash and in-kind) made by participating organisations, see description in text abov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 name="Picture 610" descr="Final report data on the total contribution (cash and in-kind) made by participating organisations, see description in text above figure."/>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8286"/>
                          <a:stretch/>
                        </pic:blipFill>
                        <pic:spPr bwMode="auto">
                          <a:xfrm>
                            <a:off x="0" y="0"/>
                            <a:ext cx="3609975" cy="188536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B32A0" w:rsidRPr="00CE1D7F" w14:paraId="44A779C1" w14:textId="77777777" w:rsidTr="006258ED">
        <w:tblPrEx>
          <w:tblCellMar>
            <w:left w:w="0" w:type="dxa"/>
            <w:right w:w="0" w:type="dxa"/>
          </w:tblCellMar>
        </w:tblPrEx>
        <w:trPr>
          <w:trHeight w:val="137"/>
        </w:trPr>
        <w:tc>
          <w:tcPr>
            <w:tcW w:w="10346" w:type="dxa"/>
            <w:gridSpan w:val="2"/>
            <w:tcBorders>
              <w:bottom w:val="single" w:sz="4" w:space="0" w:color="000100"/>
            </w:tcBorders>
            <w:shd w:val="clear" w:color="auto" w:fill="auto"/>
            <w:tcMar>
              <w:top w:w="12" w:type="dxa"/>
              <w:bottom w:w="113" w:type="dxa"/>
            </w:tcMar>
          </w:tcPr>
          <w:p w14:paraId="253BEF0F" w14:textId="77777777" w:rsidR="002B32A0" w:rsidRPr="00CE1D7F" w:rsidRDefault="002B32A0" w:rsidP="006258ED">
            <w:pPr>
              <w:pStyle w:val="Source"/>
              <w:rPr>
                <w:i w:val="0"/>
                <w:iCs/>
              </w:rPr>
            </w:pPr>
            <w:r w:rsidRPr="00CE1D7F">
              <w:rPr>
                <w:i w:val="0"/>
                <w:iCs/>
              </w:rPr>
              <w:t xml:space="preserve">N=22,352 final reports </w:t>
            </w:r>
          </w:p>
          <w:p w14:paraId="074EC6C1" w14:textId="77777777" w:rsidR="002B32A0" w:rsidRPr="00CE1D7F" w:rsidRDefault="002B32A0" w:rsidP="006258ED">
            <w:pPr>
              <w:pStyle w:val="Source"/>
              <w:rPr>
                <w:i w:val="0"/>
                <w:iCs/>
              </w:rPr>
            </w:pPr>
            <w:r w:rsidRPr="00CE1D7F">
              <w:rPr>
                <w:i w:val="0"/>
                <w:iCs/>
              </w:rPr>
              <w:t>Note: funding amounts are in current dollars (i.e. the value of the funding allocated in the award year, as reported in the final report).</w:t>
            </w:r>
          </w:p>
          <w:p w14:paraId="742B8558" w14:textId="77777777" w:rsidR="002B32A0" w:rsidRPr="00CE1D7F" w:rsidRDefault="002B32A0" w:rsidP="006258ED">
            <w:pPr>
              <w:pStyle w:val="Source"/>
            </w:pPr>
            <w:r w:rsidRPr="00CE1D7F">
              <w:t>Source: ACIL Allen’s analysis of ARC Final Reports for grants awarded between 2002 and 2021 (with an ARC-approved Final Report by 30 June 2022).</w:t>
            </w:r>
          </w:p>
        </w:tc>
      </w:tr>
      <w:tr w:rsidR="002B32A0" w:rsidRPr="00CE1D7F" w14:paraId="7E4F813E" w14:textId="77777777" w:rsidTr="006258ED">
        <w:tblPrEx>
          <w:tblCellMar>
            <w:left w:w="0" w:type="dxa"/>
            <w:right w:w="0" w:type="dxa"/>
          </w:tblCellMar>
        </w:tblPrEx>
        <w:trPr>
          <w:trHeight w:hRule="exact" w:val="160"/>
        </w:trPr>
        <w:tc>
          <w:tcPr>
            <w:tcW w:w="10346" w:type="dxa"/>
            <w:gridSpan w:val="2"/>
            <w:tcBorders>
              <w:top w:val="single" w:sz="4" w:space="0" w:color="000100"/>
            </w:tcBorders>
            <w:shd w:val="clear" w:color="auto" w:fill="auto"/>
            <w:tcMar>
              <w:top w:w="0" w:type="dxa"/>
              <w:bottom w:w="40" w:type="dxa"/>
            </w:tcMar>
          </w:tcPr>
          <w:p w14:paraId="67F6B375" w14:textId="77777777" w:rsidR="002B32A0" w:rsidRPr="00CE1D7F" w:rsidRDefault="002B32A0" w:rsidP="006258ED">
            <w:pPr>
              <w:pStyle w:val="spacer"/>
            </w:pPr>
          </w:p>
        </w:tc>
      </w:tr>
    </w:tbl>
    <w:p w14:paraId="4B1E1D63" w14:textId="77777777" w:rsidR="002B32A0" w:rsidRPr="00CE1D7F" w:rsidRDefault="002B32A0" w:rsidP="002B32A0">
      <w:pPr>
        <w:pStyle w:val="Heading4"/>
      </w:pPr>
      <w:r w:rsidRPr="00CE1D7F">
        <w:t xml:space="preserve">Examples of excellent research delivering collaboration </w:t>
      </w:r>
    </w:p>
    <w:p w14:paraId="5D5A2E2A" w14:textId="77777777" w:rsidR="002B32A0" w:rsidRPr="00CE1D7F" w:rsidRDefault="002B32A0" w:rsidP="002B32A0">
      <w:pPr>
        <w:pStyle w:val="BodyText"/>
      </w:pPr>
      <w:r w:rsidRPr="00CE1D7F">
        <w:t xml:space="preserve">The case studies highlight examples of excellent NCGP-funded research contributing to collaboration and research capability impacts. </w:t>
      </w:r>
    </w:p>
    <w:p w14:paraId="67A9DADF" w14:textId="6192AA96" w:rsidR="002B32A0" w:rsidRPr="00CE1D7F" w:rsidRDefault="002B32A0" w:rsidP="002B32A0">
      <w:pPr>
        <w:pStyle w:val="BodyText"/>
      </w:pPr>
      <w:r w:rsidRPr="00CE1D7F">
        <w:rPr>
          <w:i/>
          <w:iCs/>
        </w:rPr>
        <w:t xml:space="preserve">Changing the law to protect survivors of DFV </w:t>
      </w:r>
      <w:r w:rsidRPr="00774AEF">
        <w:t>(</w:t>
      </w:r>
      <w:r>
        <w:t>see chapter </w:t>
      </w:r>
      <w:r w:rsidRPr="00F87D0E">
        <w:fldChar w:fldCharType="begin"/>
      </w:r>
      <w:r w:rsidR="00F87D0E" w:rsidRPr="00F87D0E">
        <w:instrText xml:space="preserve"> REF _Ref132715666 \r \h  \* MERGEFORMAT </w:instrText>
      </w:r>
      <w:r w:rsidRPr="00F87D0E">
        <w:fldChar w:fldCharType="separate"/>
      </w:r>
      <w:r w:rsidR="000B0AC7">
        <w:t>11</w:t>
      </w:r>
      <w:r w:rsidRPr="00F87D0E">
        <w:fldChar w:fldCharType="end"/>
      </w:r>
      <w:r w:rsidRPr="00774AEF">
        <w:t>)</w:t>
      </w:r>
      <w:r>
        <w:t xml:space="preserve"> </w:t>
      </w:r>
      <w:r w:rsidRPr="00CE1D7F">
        <w:t xml:space="preserve">involved collaboration with a broad range of researchers working in related fields in Australia and internationally. DFV support services were close partners in supporting connections with women experiencing DFV and ensuring they were supported throughout the research. This also involved a partnership with the AIJA and NJC to develop and extend the research into end-user-focused products. For example, the DFV Bench Book was developed with AIJA (see </w:t>
      </w:r>
      <w:r>
        <w:t>section </w:t>
      </w:r>
      <w:r w:rsidRPr="00F87D0E">
        <w:fldChar w:fldCharType="begin"/>
      </w:r>
      <w:r w:rsidRPr="00F87D0E">
        <w:instrText xml:space="preserve"> REF _Ref129880532 \r \h  \* MERGEFORMAT </w:instrText>
      </w:r>
      <w:r w:rsidRPr="00F87D0E">
        <w:fldChar w:fldCharType="separate"/>
      </w:r>
      <w:r w:rsidR="000B0AC7">
        <w:t>3.1</w:t>
      </w:r>
      <w:r w:rsidRPr="00F87D0E">
        <w:fldChar w:fldCharType="end"/>
      </w:r>
      <w:r w:rsidRPr="00CE1D7F">
        <w:t>). Training courses for judges, magistrates and tribunal members were developed with NJC based on the Bench Book.</w:t>
      </w:r>
    </w:p>
    <w:p w14:paraId="7A3E8023" w14:textId="0B4A775C" w:rsidR="002B32A0" w:rsidRPr="00CE1D7F" w:rsidRDefault="002B32A0" w:rsidP="002B32A0">
      <w:pPr>
        <w:pStyle w:val="BodyText"/>
      </w:pPr>
      <w:r w:rsidRPr="00CE1D7F">
        <w:rPr>
          <w:i/>
        </w:rPr>
        <w:t xml:space="preserve">RRR: Indigenous Remains Repatriation </w:t>
      </w:r>
      <w:r w:rsidRPr="00774AEF">
        <w:t>(</w:t>
      </w:r>
      <w:r>
        <w:t>see chapter </w:t>
      </w:r>
      <w:r w:rsidRPr="00F87D0E">
        <w:fldChar w:fldCharType="begin"/>
      </w:r>
      <w:r w:rsidR="00F87D0E" w:rsidRPr="00F87D0E">
        <w:instrText xml:space="preserve"> REF _Ref131081387 \r \h  \* MERGEFORMAT </w:instrText>
      </w:r>
      <w:r w:rsidRPr="00F87D0E">
        <w:fldChar w:fldCharType="separate"/>
      </w:r>
      <w:r w:rsidR="000B0AC7">
        <w:t>13</w:t>
      </w:r>
      <w:r w:rsidRPr="00F87D0E">
        <w:fldChar w:fldCharType="end"/>
      </w:r>
      <w:r w:rsidRPr="00774AEF">
        <w:t>)</w:t>
      </w:r>
      <w:r>
        <w:t xml:space="preserve"> </w:t>
      </w:r>
      <w:r w:rsidRPr="00CE1D7F">
        <w:t xml:space="preserve">involved major multi-sector collaborative partnerships between researchers, institutions, governments and community, in Australia and internationally. The research involved significant collaboration through the Indigenous community partners, including founding partners Ngarrindjeri Regional Authority (NRA), Kimberley Aboriginal Law and Culture Centre (KALACC) and the Gur A Baradharaw Kod Sea and Land Council Torres Strait Islander Corporation (GBK). </w:t>
      </w:r>
      <w:r w:rsidRPr="00F87D0E">
        <w:fldChar w:fldCharType="begin"/>
      </w:r>
      <w:r w:rsidRPr="00F87D0E">
        <w:instrText xml:space="preserve"> REF _Ref130912443 \h  \* MERGEFORMAT </w:instrText>
      </w:r>
      <w:r w:rsidRPr="00F87D0E">
        <w:fldChar w:fldCharType="separate"/>
      </w:r>
      <w:r w:rsidR="000B0AC7" w:rsidRPr="000B0AC7">
        <w:t>Figure 3.6</w:t>
      </w:r>
      <w:r w:rsidRPr="00F87D0E">
        <w:fldChar w:fldCharType="end"/>
      </w:r>
      <w:r w:rsidRPr="00CE1D7F">
        <w:t xml:space="preserve"> is a visual representation of the core RRR network, which is comprised of more than 30 researchers and collaborators across 22 universities and organisations. This network spans more than 10 countries around the world. Since the original Linkage Project for this body of research in 2013, repatriation activity has grown, and partnerships in the sector have strengthened. </w:t>
      </w:r>
    </w:p>
    <w:p w14:paraId="1E3E6A9D" w14:textId="1E27C84C" w:rsidR="000B0AC7" w:rsidRPr="00CE1D7F" w:rsidRDefault="000B0AC7" w:rsidP="000B0AC7">
      <w:pPr>
        <w:pStyle w:val="Caption"/>
        <w:ind w:left="1308" w:hanging="1308"/>
      </w:pPr>
      <w:bookmarkStart w:id="141" w:name="_Ref130912443"/>
      <w:r w:rsidRPr="00CE1D7F">
        <w:rPr>
          <w:rStyle w:val="CaptionLabel"/>
        </w:rPr>
        <w:lastRenderedPageBreak/>
        <w:t>Figure </w:t>
      </w:r>
      <w:r w:rsidRPr="00CE1D7F">
        <w:rPr>
          <w:rStyle w:val="CaptionLabel"/>
        </w:rPr>
        <w:fldChar w:fldCharType="begin"/>
      </w:r>
      <w:r w:rsidRPr="00CE1D7F">
        <w:rPr>
          <w:rStyle w:val="CaptionLabel"/>
        </w:rPr>
        <w:instrText xml:space="preserve"> STYLEREF 1 \S \* MERGEFORMAT </w:instrText>
      </w:r>
      <w:r w:rsidRPr="00CE1D7F">
        <w:rPr>
          <w:rStyle w:val="CaptionLabel"/>
        </w:rPr>
        <w:fldChar w:fldCharType="separate"/>
      </w:r>
      <w:r>
        <w:rPr>
          <w:rStyle w:val="CaptionLabel"/>
          <w:noProof/>
        </w:rPr>
        <w:t>3</w:t>
      </w:r>
      <w:r w:rsidRPr="00CE1D7F">
        <w:rPr>
          <w:rStyle w:val="CaptionLabel"/>
        </w:rPr>
        <w:fldChar w:fldCharType="end"/>
      </w:r>
      <w:r w:rsidRPr="00CE1D7F">
        <w:rPr>
          <w:rStyle w:val="CaptionLabel"/>
        </w:rPr>
        <w:t>.</w:t>
      </w:r>
      <w:r w:rsidRPr="00CE1D7F">
        <w:rPr>
          <w:rStyle w:val="CaptionLabel"/>
        </w:rPr>
        <w:fldChar w:fldCharType="begin"/>
      </w:r>
      <w:r w:rsidRPr="00CE1D7F">
        <w:rPr>
          <w:rStyle w:val="CaptionLabel"/>
        </w:rPr>
        <w:instrText xml:space="preserve"> SEQ Figure \* ARABIC \S 1 \* MERGEFORMAT </w:instrText>
      </w:r>
      <w:r w:rsidRPr="00CE1D7F">
        <w:rPr>
          <w:rStyle w:val="CaptionLabel"/>
        </w:rPr>
        <w:fldChar w:fldCharType="separate"/>
      </w:r>
      <w:r>
        <w:rPr>
          <w:rStyle w:val="CaptionLabel"/>
          <w:noProof/>
        </w:rPr>
        <w:t>6</w:t>
      </w:r>
      <w:r w:rsidRPr="00CE1D7F">
        <w:rPr>
          <w:rStyle w:val="CaptionLabel"/>
        </w:rPr>
        <w:fldChar w:fldCharType="end"/>
      </w:r>
      <w:bookmarkEnd w:id="141"/>
      <w:r w:rsidRPr="00CE1D7F">
        <w:tab/>
        <w:t>Core network of professionals, practitioners and communities connected to RRR</w:t>
      </w:r>
    </w:p>
    <w:tbl>
      <w:tblPr>
        <w:tblStyle w:val="aacTableFigure"/>
        <w:tblW w:w="0" w:type="auto"/>
        <w:tblBorders>
          <w:top w:val="single" w:sz="4" w:space="0" w:color="000000"/>
          <w:bottom w:val="single" w:sz="4" w:space="0" w:color="000000"/>
        </w:tblBorders>
        <w:tblLayout w:type="fixed"/>
        <w:tblLook w:val="04A0" w:firstRow="1" w:lastRow="0" w:firstColumn="1" w:lastColumn="0" w:noHBand="0" w:noVBand="1"/>
      </w:tblPr>
      <w:tblGrid>
        <w:gridCol w:w="7936"/>
      </w:tblGrid>
      <w:tr w:rsidR="002B32A0" w:rsidRPr="00CE1D7F" w14:paraId="59DA3236" w14:textId="77777777" w:rsidTr="000B0AC7">
        <w:tc>
          <w:tcPr>
            <w:tcW w:w="7936" w:type="dxa"/>
            <w:shd w:val="clear" w:color="auto" w:fill="auto"/>
          </w:tcPr>
          <w:p w14:paraId="4CEA76BE" w14:textId="77777777" w:rsidR="002B32A0" w:rsidRPr="00CE1D7F" w:rsidRDefault="002B32A0" w:rsidP="006258ED">
            <w:pPr>
              <w:pStyle w:val="Figure"/>
              <w:jc w:val="center"/>
            </w:pPr>
            <w:r w:rsidRPr="00CE1D7F">
              <w:rPr>
                <w:noProof/>
              </w:rPr>
              <w:drawing>
                <wp:inline distT="0" distB="0" distL="0" distR="0" wp14:anchorId="53720ECD" wp14:editId="347A0BFB">
                  <wp:extent cx="5002446" cy="5009990"/>
                  <wp:effectExtent l="0" t="0" r="8255" b="635"/>
                  <wp:docPr id="811" name="Picture 811" descr="Core network of professionals, practitioners and communities connected to RRR, see description in text abov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 name="Picture 811" descr="Core network of professionals, practitioners and communities connected to RRR, see description in text above figure."/>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015330" cy="5022894"/>
                          </a:xfrm>
                          <a:prstGeom prst="rect">
                            <a:avLst/>
                          </a:prstGeom>
                          <a:noFill/>
                        </pic:spPr>
                      </pic:pic>
                    </a:graphicData>
                  </a:graphic>
                </wp:inline>
              </w:drawing>
            </w:r>
          </w:p>
        </w:tc>
      </w:tr>
    </w:tbl>
    <w:p w14:paraId="7F0DD742" w14:textId="77777777" w:rsidR="000B0AC7" w:rsidRPr="00CE1D7F" w:rsidRDefault="000B0AC7" w:rsidP="000B0AC7">
      <w:pPr>
        <w:pStyle w:val="Source"/>
        <w:ind w:left="1308" w:hanging="1308"/>
      </w:pPr>
      <w:r w:rsidRPr="00CE1D7F">
        <w:t>Source: ANU</w:t>
      </w:r>
    </w:p>
    <w:p w14:paraId="5107F237" w14:textId="77777777" w:rsidR="000B0AC7" w:rsidRPr="00CE1D7F" w:rsidRDefault="000B0AC7" w:rsidP="006258ED">
      <w:pPr>
        <w:pStyle w:val="spacer"/>
      </w:pPr>
    </w:p>
    <w:p w14:paraId="32A9F1BC" w14:textId="0377597F" w:rsidR="002B32A0" w:rsidRPr="00CE1D7F" w:rsidRDefault="002B32A0" w:rsidP="002B32A0">
      <w:r w:rsidRPr="00CE1D7F">
        <w:rPr>
          <w:i/>
          <w:iCs/>
        </w:rPr>
        <w:t>Quantum Computation and Communication Technology’s</w:t>
      </w:r>
      <w:r w:rsidRPr="00CE1D7F">
        <w:t xml:space="preserve"> </w:t>
      </w:r>
      <w:r>
        <w:t>(see chapter </w:t>
      </w:r>
      <w:r w:rsidRPr="00F87D0E">
        <w:fldChar w:fldCharType="begin"/>
      </w:r>
      <w:r w:rsidR="00F87D0E" w:rsidRPr="00F87D0E">
        <w:instrText xml:space="preserve"> REF _Ref131081145 \r \h  \* MERGEFORMAT </w:instrText>
      </w:r>
      <w:r w:rsidRPr="00F87D0E">
        <w:fldChar w:fldCharType="separate"/>
      </w:r>
      <w:r w:rsidR="000B0AC7">
        <w:t>7</w:t>
      </w:r>
      <w:r w:rsidRPr="00F87D0E">
        <w:fldChar w:fldCharType="end"/>
      </w:r>
      <w:r>
        <w:t xml:space="preserve">) </w:t>
      </w:r>
      <w:r w:rsidRPr="00CE1D7F">
        <w:t>Centre for Quantum Computing Technology was started in 2000 when researchers across the globe established a program in silicon quantum computing that combined with the nascent optical quantum computing programs led by Gerard Milburn and Michael Nielsen at the University of Queensland. The highly successful research results and rapid development of the technology and a series of CEs in quantum physics across Australia (CQC</w:t>
      </w:r>
      <w:r w:rsidRPr="00CE1D7F">
        <w:rPr>
          <w:vertAlign w:val="superscript"/>
        </w:rPr>
        <w:t>2</w:t>
      </w:r>
      <w:r w:rsidRPr="00CE1D7F">
        <w:t>T, Engineered Quantum Systems (EQUS), Exciton Science, Future Low-Energy Electronics Technologies (FLEET), Quantum Biotechnology and Gravitational Wave Discovery) demonstrating Australian strength in this field. Prof Simmons (Director of CQC</w:t>
      </w:r>
      <w:r w:rsidRPr="00CE1D7F">
        <w:rPr>
          <w:vertAlign w:val="superscript"/>
        </w:rPr>
        <w:t>2</w:t>
      </w:r>
      <w:r w:rsidRPr="00CE1D7F">
        <w:t xml:space="preserve">T) established a unique </w:t>
      </w:r>
      <w:r w:rsidRPr="00CE1D7F">
        <w:rPr>
          <w:rFonts w:asciiTheme="minorHAnsi" w:hAnsiTheme="minorHAnsi"/>
          <w:color w:val="282828"/>
          <w:shd w:val="clear" w:color="auto" w:fill="FFFFFF"/>
        </w:rPr>
        <w:t xml:space="preserve">corporate-Government-University </w:t>
      </w:r>
      <w:r w:rsidRPr="00CE1D7F">
        <w:t>consortium to help quantum computing technologies cross the well-known “Valley of Death”. The Centre is one of the key reasons for Australia’s strong capability in quantum science and technology.</w:t>
      </w:r>
    </w:p>
    <w:p w14:paraId="3CAB9456" w14:textId="684183EB" w:rsidR="002B32A0" w:rsidRPr="00CE1D7F" w:rsidRDefault="002B32A0" w:rsidP="002B32A0">
      <w:pPr>
        <w:pStyle w:val="BodyText"/>
      </w:pPr>
      <w:r w:rsidRPr="00CE1D7F">
        <w:rPr>
          <w:i/>
          <w:iCs/>
        </w:rPr>
        <w:t xml:space="preserve">Onshore Lobster Aquaculture </w:t>
      </w:r>
      <w:r>
        <w:t>(see chapter </w:t>
      </w:r>
      <w:r w:rsidRPr="00F87D0E">
        <w:fldChar w:fldCharType="begin"/>
      </w:r>
      <w:r w:rsidR="00F87D0E" w:rsidRPr="00F87D0E">
        <w:instrText xml:space="preserve"> REF _Ref131077640 \r \h  \* MERGEFORMAT </w:instrText>
      </w:r>
      <w:r w:rsidRPr="00F87D0E">
        <w:fldChar w:fldCharType="separate"/>
      </w:r>
      <w:r w:rsidR="000B0AC7">
        <w:t>10</w:t>
      </w:r>
      <w:r w:rsidRPr="00F87D0E">
        <w:fldChar w:fldCharType="end"/>
      </w:r>
      <w:r>
        <w:t xml:space="preserve">) </w:t>
      </w:r>
      <w:r w:rsidRPr="00CE1D7F">
        <w:t>strengthened collaboration between UTAS, PFG Australia and Ornatas. This ongoing collaboration focuses on commercialising earlier research results. UTAS also collaborated with other universities. For example, the University of the Sunshine Coast researched lobster genetics to develop ways of producing sterile stock and developing all-male populations (male lobsters grow faster and are quicker to market).</w:t>
      </w:r>
    </w:p>
    <w:p w14:paraId="1D667552" w14:textId="77777777" w:rsidR="002B32A0" w:rsidRPr="00CE1D7F" w:rsidRDefault="002B32A0" w:rsidP="002B32A0">
      <w:pPr>
        <w:pStyle w:val="Heading3"/>
      </w:pPr>
      <w:r>
        <w:lastRenderedPageBreak/>
        <w:t>Supporting r</w:t>
      </w:r>
      <w:r w:rsidRPr="00CE1D7F">
        <w:t xml:space="preserve">esearch training </w:t>
      </w:r>
    </w:p>
    <w:p w14:paraId="7EAF889A" w14:textId="1A0BCE2C" w:rsidR="002B32A0" w:rsidRPr="00CE1D7F" w:rsidRDefault="002B32A0" w:rsidP="002B32A0">
      <w:pPr>
        <w:pStyle w:val="BodyText"/>
      </w:pPr>
      <w:r w:rsidRPr="00CE1D7F">
        <w:t xml:space="preserve">Education and training are essential to research capability development. NCGP-funded research specifically aims to build research capability by training researchers at various career stages, thus contributing to new jobs and increased research and innovation capacity (see </w:t>
      </w:r>
      <w:r>
        <w:t>section </w:t>
      </w:r>
      <w:r w:rsidRPr="00F87D0E">
        <w:fldChar w:fldCharType="begin"/>
      </w:r>
      <w:r w:rsidRPr="00F87D0E">
        <w:instrText xml:space="preserve"> REF _Ref129184846 \r \h  \* MERGEFORMAT </w:instrText>
      </w:r>
      <w:r w:rsidRPr="00F87D0E">
        <w:fldChar w:fldCharType="separate"/>
      </w:r>
      <w:r w:rsidR="000B0AC7">
        <w:t>1.1.1</w:t>
      </w:r>
      <w:r w:rsidRPr="00F87D0E">
        <w:fldChar w:fldCharType="end"/>
      </w:r>
      <w:r w:rsidRPr="00CE1D7F">
        <w:t>).</w:t>
      </w:r>
    </w:p>
    <w:p w14:paraId="2F187688" w14:textId="70ABA77A" w:rsidR="002B32A0" w:rsidRPr="00CE1D7F" w:rsidRDefault="002B32A0" w:rsidP="002B32A0">
      <w:pPr>
        <w:pStyle w:val="BodyText"/>
      </w:pPr>
      <w:r w:rsidRPr="00F87D0E">
        <w:fldChar w:fldCharType="begin"/>
      </w:r>
      <w:r w:rsidRPr="00F87D0E">
        <w:instrText xml:space="preserve"> REF _Ref124855485 \h  \* MERGEFORMAT </w:instrText>
      </w:r>
      <w:r w:rsidRPr="00F87D0E">
        <w:fldChar w:fldCharType="separate"/>
      </w:r>
      <w:r w:rsidR="000B0AC7" w:rsidRPr="000B0AC7">
        <w:t>Figure 3.7</w:t>
      </w:r>
      <w:r w:rsidRPr="00F87D0E">
        <w:fldChar w:fldCharType="end"/>
      </w:r>
      <w:r w:rsidRPr="00CE1D7F">
        <w:t xml:space="preserve"> shows the destinations of students (top chart) and postdoctoral researchers and fellows (bottom chart)</w:t>
      </w:r>
      <w:r>
        <w:t xml:space="preserve"> involved in NCGP-funded research</w:t>
      </w:r>
      <w:r w:rsidRPr="00CE1D7F">
        <w:t xml:space="preserve">. Most capacity development for students leads to their employment in the university sector. Most students from Discovery Program projects were employed at universities (40%) or pursued further study (23%). Students from Linkage Program projects were most employed by universities (39%) then industry (19%). </w:t>
      </w:r>
    </w:p>
    <w:p w14:paraId="5887F92D" w14:textId="77777777" w:rsidR="002B32A0" w:rsidRPr="00CE1D7F" w:rsidRDefault="002B32A0" w:rsidP="002B32A0">
      <w:pPr>
        <w:pStyle w:val="BodyText"/>
      </w:pPr>
      <w:r>
        <w:t xml:space="preserve">Among postdoctoral researchers </w:t>
      </w:r>
      <w:r w:rsidRPr="00CE1D7F">
        <w:t>involve</w:t>
      </w:r>
      <w:r>
        <w:t>d</w:t>
      </w:r>
      <w:r w:rsidRPr="00CE1D7F">
        <w:t xml:space="preserve"> in NCGP-funded projects</w:t>
      </w:r>
      <w:r>
        <w:t xml:space="preserve"> with available employment destination data</w:t>
      </w:r>
      <w:r w:rsidRPr="00CE1D7F">
        <w:t xml:space="preserve">, most </w:t>
      </w:r>
      <w:r>
        <w:t xml:space="preserve">went on to be </w:t>
      </w:r>
      <w:r w:rsidRPr="00CE1D7F">
        <w:t>employed by other universities (28%), overseas organisations (20%) and administering organisations (18%)</w:t>
      </w:r>
      <w:r>
        <w:t>, noting that data were only recorded for some Linkage Program schemes, and does not include LP, which has the largest number of grants</w:t>
      </w:r>
      <w:r w:rsidRPr="00CE1D7F">
        <w:t xml:space="preserve">. Fellows were most </w:t>
      </w:r>
      <w:r>
        <w:t xml:space="preserve">commonly </w:t>
      </w:r>
      <w:r w:rsidRPr="00CE1D7F">
        <w:t>employed by the administering organisation (75%). This highlights the broader diversity of employment outcomes for Linkage Program postdoctoral researchers, potentially due to more engagement with Participating Organisations. While the NCGP plays a clear role in training for academic and university sector, there is an opportunity to enhance the contribution of researchers to private industry, government and NGOs.</w:t>
      </w:r>
    </w:p>
    <w:p w14:paraId="736F0EE8" w14:textId="1C8ED9B4" w:rsidR="002B32A0" w:rsidRPr="00CE1D7F" w:rsidRDefault="002B32A0" w:rsidP="002B32A0">
      <w:pPr>
        <w:pStyle w:val="BodyText"/>
      </w:pPr>
      <w:r w:rsidRPr="00CE1D7F">
        <w:t xml:space="preserve">In addition to commenting on economic, societal, cultural and environmental impacts, survey respondents were asked to identify other impacts that had or were likely to be delivered by the projects. Most Discovery (61% of respondents) and Linkage (70%) Program respondents reported that the projects will not or are unlikely to result in other impacts (see </w:t>
      </w:r>
      <w:r w:rsidRPr="00F87D0E">
        <w:fldChar w:fldCharType="begin"/>
      </w:r>
      <w:r w:rsidRPr="00F87D0E">
        <w:instrText xml:space="preserve"> REF _Ref129355501 \h  \* MERGEFORMAT </w:instrText>
      </w:r>
      <w:r w:rsidRPr="00F87D0E">
        <w:fldChar w:fldCharType="separate"/>
      </w:r>
      <w:r w:rsidR="000B0AC7" w:rsidRPr="000B0AC7">
        <w:t>Figure C.2</w:t>
      </w:r>
      <w:r w:rsidRPr="00F87D0E">
        <w:fldChar w:fldCharType="end"/>
      </w:r>
      <w:r w:rsidRPr="00CE1D7F">
        <w:t>). Among the respondents that reported their research may, is likely to or had produced other impacts, these related to education and training (11), policy and law (5), and capacity increase within industry (5).</w:t>
      </w:r>
    </w:p>
    <w:p w14:paraId="4B6FCC4B" w14:textId="344AEEAB" w:rsidR="000B0AC7" w:rsidRPr="00CE1D7F" w:rsidRDefault="000B0AC7" w:rsidP="000B0AC7">
      <w:pPr>
        <w:pStyle w:val="Caption"/>
        <w:ind w:left="1308" w:hanging="1308"/>
      </w:pPr>
      <w:bookmarkStart w:id="142" w:name="_Ref124855485"/>
      <w:bookmarkStart w:id="143" w:name="_Ref124855478"/>
      <w:r w:rsidRPr="00CE1D7F">
        <w:rPr>
          <w:rStyle w:val="CaptionLabel"/>
        </w:rPr>
        <w:t>Figure </w:t>
      </w:r>
      <w:r w:rsidRPr="00CE1D7F">
        <w:rPr>
          <w:rStyle w:val="CaptionLabel"/>
        </w:rPr>
        <w:fldChar w:fldCharType="begin"/>
      </w:r>
      <w:r w:rsidRPr="00CE1D7F">
        <w:rPr>
          <w:rStyle w:val="CaptionLabel"/>
        </w:rPr>
        <w:instrText xml:space="preserve"> STYLEREF 1 \s </w:instrText>
      </w:r>
      <w:r w:rsidRPr="00CE1D7F">
        <w:rPr>
          <w:rStyle w:val="CaptionLabel"/>
        </w:rPr>
        <w:fldChar w:fldCharType="separate"/>
      </w:r>
      <w:r>
        <w:rPr>
          <w:rStyle w:val="CaptionLabel"/>
          <w:noProof/>
        </w:rPr>
        <w:t>3</w:t>
      </w:r>
      <w:r w:rsidRPr="00CE1D7F">
        <w:rPr>
          <w:rStyle w:val="CaptionLabel"/>
        </w:rPr>
        <w:fldChar w:fldCharType="end"/>
      </w:r>
      <w:r w:rsidRPr="00CE1D7F">
        <w:rPr>
          <w:rStyle w:val="CaptionLabel"/>
        </w:rPr>
        <w:t>.</w:t>
      </w:r>
      <w:r w:rsidRPr="00CE1D7F">
        <w:rPr>
          <w:rStyle w:val="CaptionLabel"/>
        </w:rPr>
        <w:fldChar w:fldCharType="begin"/>
      </w:r>
      <w:r w:rsidRPr="00CE1D7F">
        <w:rPr>
          <w:rStyle w:val="CaptionLabel"/>
        </w:rPr>
        <w:instrText xml:space="preserve"> SEQ Figure \* ARABIC \s 1 </w:instrText>
      </w:r>
      <w:r w:rsidRPr="00CE1D7F">
        <w:rPr>
          <w:rStyle w:val="CaptionLabel"/>
        </w:rPr>
        <w:fldChar w:fldCharType="separate"/>
      </w:r>
      <w:r>
        <w:rPr>
          <w:rStyle w:val="CaptionLabel"/>
          <w:noProof/>
        </w:rPr>
        <w:t>7</w:t>
      </w:r>
      <w:r w:rsidRPr="00CE1D7F">
        <w:rPr>
          <w:rStyle w:val="CaptionLabel"/>
        </w:rPr>
        <w:fldChar w:fldCharType="end"/>
      </w:r>
      <w:bookmarkEnd w:id="142"/>
      <w:r w:rsidRPr="00CE1D7F">
        <w:tab/>
        <w:t>Final report data on student (Masters and PhD) and postdoctoral and fellow destination</w:t>
      </w:r>
      <w:bookmarkEnd w:id="143"/>
      <w:r w:rsidRPr="00CE1D7F">
        <w:t>s</w:t>
      </w:r>
    </w:p>
    <w:tbl>
      <w:tblPr>
        <w:tblW w:w="0" w:type="auto"/>
        <w:tblLayout w:type="fixed"/>
        <w:tblLook w:val="0000" w:firstRow="0" w:lastRow="0" w:firstColumn="0" w:lastColumn="0" w:noHBand="0" w:noVBand="0"/>
      </w:tblPr>
      <w:tblGrid>
        <w:gridCol w:w="7936"/>
      </w:tblGrid>
      <w:tr w:rsidR="002B32A0" w:rsidRPr="00CE1D7F" w14:paraId="51062643" w14:textId="77777777" w:rsidTr="006258ED">
        <w:tc>
          <w:tcPr>
            <w:tcW w:w="7936" w:type="dxa"/>
            <w:tcBorders>
              <w:top w:val="single" w:sz="4" w:space="0" w:color="000100"/>
              <w:bottom w:val="single" w:sz="4" w:space="0" w:color="auto"/>
            </w:tcBorders>
            <w:shd w:val="clear" w:color="auto" w:fill="auto"/>
          </w:tcPr>
          <w:p w14:paraId="44141212" w14:textId="77777777" w:rsidR="002B32A0" w:rsidRPr="00CE1D7F" w:rsidRDefault="002B32A0" w:rsidP="006258ED">
            <w:pPr>
              <w:pStyle w:val="Figure"/>
              <w:spacing w:before="40" w:after="40"/>
              <w:jc w:val="center"/>
              <w:rPr>
                <w:b/>
                <w:bCs/>
                <w:i/>
                <w:iCs/>
                <w:sz w:val="22"/>
                <w:szCs w:val="32"/>
              </w:rPr>
            </w:pPr>
            <w:r w:rsidRPr="00CE1D7F">
              <w:rPr>
                <w:b/>
                <w:bCs/>
                <w:i/>
                <w:iCs/>
                <w:sz w:val="20"/>
                <w:szCs w:val="28"/>
              </w:rPr>
              <w:t>Student destination</w:t>
            </w:r>
          </w:p>
        </w:tc>
      </w:tr>
      <w:tr w:rsidR="002B32A0" w:rsidRPr="00CE1D7F" w14:paraId="5BD06CDA" w14:textId="77777777" w:rsidTr="006258ED">
        <w:trPr>
          <w:trHeight w:val="135"/>
        </w:trPr>
        <w:tc>
          <w:tcPr>
            <w:tcW w:w="7936" w:type="dxa"/>
            <w:tcBorders>
              <w:top w:val="single" w:sz="4" w:space="0" w:color="auto"/>
              <w:bottom w:val="single" w:sz="4" w:space="0" w:color="000100"/>
            </w:tcBorders>
            <w:shd w:val="clear" w:color="auto" w:fill="auto"/>
          </w:tcPr>
          <w:p w14:paraId="73F6BD7D" w14:textId="77777777" w:rsidR="002B32A0" w:rsidRPr="00CE1D7F" w:rsidRDefault="002B32A0" w:rsidP="006258ED">
            <w:pPr>
              <w:pStyle w:val="Source"/>
              <w:jc w:val="center"/>
              <w:rPr>
                <w:i w:val="0"/>
                <w:iCs/>
                <w:noProof/>
                <w:sz w:val="20"/>
                <w:szCs w:val="28"/>
              </w:rPr>
            </w:pPr>
            <w:r w:rsidRPr="00CE1D7F">
              <w:rPr>
                <w:i w:val="0"/>
                <w:iCs/>
                <w:noProof/>
                <w:sz w:val="20"/>
                <w:szCs w:val="28"/>
              </w:rPr>
              <w:drawing>
                <wp:inline distT="0" distB="0" distL="0" distR="0" wp14:anchorId="1B22E642" wp14:editId="3C459CC4">
                  <wp:extent cx="4900101" cy="1360074"/>
                  <wp:effectExtent l="0" t="0" r="0" b="0"/>
                  <wp:docPr id="568" name="Picture 568" descr="Final report data on student (Masters and PhD) destinations, see description in text abov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Picture 568" descr="Final report data on student (Masters and PhD) destinations, see description in text above figure."/>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918991" cy="1365317"/>
                          </a:xfrm>
                          <a:prstGeom prst="rect">
                            <a:avLst/>
                          </a:prstGeom>
                          <a:noFill/>
                        </pic:spPr>
                      </pic:pic>
                    </a:graphicData>
                  </a:graphic>
                </wp:inline>
              </w:drawing>
            </w:r>
          </w:p>
        </w:tc>
      </w:tr>
      <w:tr w:rsidR="002B32A0" w:rsidRPr="00CE1D7F" w14:paraId="4B22D4FD" w14:textId="77777777" w:rsidTr="006258ED">
        <w:tblPrEx>
          <w:tblCellMar>
            <w:left w:w="0" w:type="dxa"/>
            <w:right w:w="0" w:type="dxa"/>
          </w:tblCellMar>
        </w:tblPrEx>
        <w:trPr>
          <w:trHeight w:val="20"/>
        </w:trPr>
        <w:tc>
          <w:tcPr>
            <w:tcW w:w="7936" w:type="dxa"/>
            <w:tcBorders>
              <w:bottom w:val="single" w:sz="4" w:space="0" w:color="000100"/>
            </w:tcBorders>
            <w:shd w:val="clear" w:color="auto" w:fill="auto"/>
            <w:tcMar>
              <w:top w:w="12" w:type="dxa"/>
              <w:bottom w:w="113" w:type="dxa"/>
            </w:tcMar>
          </w:tcPr>
          <w:p w14:paraId="65ECDE8E" w14:textId="77777777" w:rsidR="002B32A0" w:rsidRPr="00CE1D7F" w:rsidRDefault="002B32A0" w:rsidP="006258ED">
            <w:pPr>
              <w:pStyle w:val="Figure"/>
              <w:spacing w:before="40"/>
              <w:jc w:val="center"/>
              <w:rPr>
                <w:b/>
                <w:bCs/>
                <w:i/>
                <w:iCs/>
                <w:sz w:val="20"/>
                <w:szCs w:val="28"/>
              </w:rPr>
            </w:pPr>
            <w:r w:rsidRPr="00CE1D7F">
              <w:rPr>
                <w:b/>
                <w:bCs/>
                <w:i/>
                <w:iCs/>
                <w:sz w:val="20"/>
                <w:szCs w:val="28"/>
              </w:rPr>
              <w:t>Postdoctoral and Fellow destination</w:t>
            </w:r>
          </w:p>
        </w:tc>
      </w:tr>
      <w:tr w:rsidR="002B32A0" w:rsidRPr="00CE1D7F" w14:paraId="647A78AA" w14:textId="77777777" w:rsidTr="006258ED">
        <w:trPr>
          <w:trHeight w:val="135"/>
        </w:trPr>
        <w:tc>
          <w:tcPr>
            <w:tcW w:w="7936" w:type="dxa"/>
            <w:tcBorders>
              <w:bottom w:val="single" w:sz="4" w:space="0" w:color="000100"/>
            </w:tcBorders>
            <w:shd w:val="clear" w:color="auto" w:fill="auto"/>
          </w:tcPr>
          <w:p w14:paraId="1251BADD" w14:textId="77777777" w:rsidR="002B32A0" w:rsidRPr="00CE1D7F" w:rsidRDefault="002B32A0" w:rsidP="006258ED">
            <w:pPr>
              <w:pStyle w:val="Source"/>
            </w:pPr>
            <w:r w:rsidRPr="00CE1D7F">
              <w:rPr>
                <w:noProof/>
              </w:rPr>
              <w:drawing>
                <wp:inline distT="0" distB="0" distL="0" distR="0" wp14:anchorId="783F6CD4" wp14:editId="6CF5A982">
                  <wp:extent cx="4901565" cy="1506071"/>
                  <wp:effectExtent l="0" t="0" r="0" b="0"/>
                  <wp:docPr id="569" name="Picture 569" descr="Final report data on postdoctoral and fellow destinations, see description in text abov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Picture 569" descr="Final report data on postdoctoral and fellow destinations, see description in text above figure."/>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908906" cy="1508327"/>
                          </a:xfrm>
                          <a:prstGeom prst="rect">
                            <a:avLst/>
                          </a:prstGeom>
                          <a:noFill/>
                        </pic:spPr>
                      </pic:pic>
                    </a:graphicData>
                  </a:graphic>
                </wp:inline>
              </w:drawing>
            </w:r>
          </w:p>
        </w:tc>
      </w:tr>
      <w:tr w:rsidR="002B32A0" w:rsidRPr="00CE1D7F" w14:paraId="6065EEFB" w14:textId="77777777" w:rsidTr="006258ED">
        <w:tblPrEx>
          <w:tblCellMar>
            <w:left w:w="0" w:type="dxa"/>
            <w:right w:w="0" w:type="dxa"/>
          </w:tblCellMar>
        </w:tblPrEx>
        <w:trPr>
          <w:trHeight w:val="135"/>
        </w:trPr>
        <w:tc>
          <w:tcPr>
            <w:tcW w:w="7936" w:type="dxa"/>
            <w:tcBorders>
              <w:bottom w:val="single" w:sz="4" w:space="0" w:color="000100"/>
            </w:tcBorders>
            <w:shd w:val="clear" w:color="auto" w:fill="auto"/>
            <w:tcMar>
              <w:top w:w="12" w:type="dxa"/>
              <w:bottom w:w="113" w:type="dxa"/>
            </w:tcMar>
          </w:tcPr>
          <w:p w14:paraId="4973FD6E" w14:textId="77777777" w:rsidR="002B32A0" w:rsidRPr="00CE1D7F" w:rsidRDefault="002B32A0" w:rsidP="001F542C">
            <w:pPr>
              <w:pStyle w:val="Source"/>
              <w:rPr>
                <w:i w:val="0"/>
                <w:iCs/>
              </w:rPr>
            </w:pPr>
            <w:r w:rsidRPr="00CE1D7F">
              <w:rPr>
                <w:i w:val="0"/>
                <w:iCs/>
              </w:rPr>
              <w:lastRenderedPageBreak/>
              <w:t>N=</w:t>
            </w:r>
            <w:r>
              <w:rPr>
                <w:i w:val="0"/>
                <w:iCs/>
              </w:rPr>
              <w:t>4,221 for students, N=46 for postdoctoral researchers, and N=1,108 for fellows</w:t>
            </w:r>
            <w:r w:rsidRPr="00CE1D7F">
              <w:rPr>
                <w:i w:val="0"/>
                <w:iCs/>
              </w:rPr>
              <w:t>. Note all postdocs were involved in Linkage Program projects</w:t>
            </w:r>
            <w:r>
              <w:rPr>
                <w:i w:val="0"/>
                <w:iCs/>
              </w:rPr>
              <w:t xml:space="preserve"> (CE, IC, IH and SR)</w:t>
            </w:r>
            <w:r w:rsidRPr="00CE1D7F">
              <w:rPr>
                <w:i w:val="0"/>
                <w:iCs/>
              </w:rPr>
              <w:t>, all fellows were involved in Discovery Program projects</w:t>
            </w:r>
            <w:r>
              <w:rPr>
                <w:i w:val="0"/>
                <w:iCs/>
              </w:rPr>
              <w:t xml:space="preserve"> (DE, FL, FT and IN)</w:t>
            </w:r>
            <w:r w:rsidRPr="00CE1D7F">
              <w:rPr>
                <w:i w:val="0"/>
                <w:iCs/>
              </w:rPr>
              <w:t>.</w:t>
            </w:r>
          </w:p>
          <w:p w14:paraId="01CE3F7A" w14:textId="77777777" w:rsidR="002B32A0" w:rsidRPr="00CE1D7F" w:rsidRDefault="002B32A0" w:rsidP="001F542C">
            <w:pPr>
              <w:pStyle w:val="Source"/>
            </w:pPr>
            <w:r w:rsidRPr="00CE1D7F">
              <w:t>Source: ACIL Allen’s analysis of ARC Final Reports for grants awarded between 2002 and 2021 (with an ARC-approved Final Report by 30 June 2022).</w:t>
            </w:r>
          </w:p>
        </w:tc>
      </w:tr>
    </w:tbl>
    <w:p w14:paraId="4C3419AE" w14:textId="77777777" w:rsidR="002B32A0" w:rsidRPr="00CE1D7F" w:rsidRDefault="002B32A0" w:rsidP="002B32A0">
      <w:pPr>
        <w:pStyle w:val="Heading4"/>
      </w:pPr>
      <w:r w:rsidRPr="00CE1D7F">
        <w:t xml:space="preserve">Examples of excellent research delivering </w:t>
      </w:r>
      <w:r>
        <w:t>innovation system capacity</w:t>
      </w:r>
    </w:p>
    <w:p w14:paraId="05C9FB76" w14:textId="77777777" w:rsidR="002B32A0" w:rsidRPr="00CE1D7F" w:rsidRDefault="002B32A0" w:rsidP="002B32A0">
      <w:pPr>
        <w:pStyle w:val="BodyText"/>
      </w:pPr>
      <w:r w:rsidRPr="00CE1D7F">
        <w:t>The case studies highlight examples of excellent NCGP-funded research contributing to education and training impacts. In total, 253 honours, 398 PhD students, 87 Masters and 52 postdoctoral fellows were and will be trained across the 7 case studies. The case studies also demonstrate an ongoing commitment to educate and train the next generation of researchers and support students in research careers. This includes:</w:t>
      </w:r>
    </w:p>
    <w:p w14:paraId="30C089C7" w14:textId="2A429C5C" w:rsidR="002B32A0" w:rsidRPr="00CE1D7F" w:rsidRDefault="002B32A0" w:rsidP="001F542C">
      <w:pPr>
        <w:pStyle w:val="ListBullet"/>
      </w:pPr>
      <w:r w:rsidRPr="00CE1D7F">
        <w:rPr>
          <w:i/>
        </w:rPr>
        <w:t>Quantum Computation and Communication Technology</w:t>
      </w:r>
      <w:r w:rsidRPr="00CE1D7F">
        <w:t xml:space="preserve"> </w:t>
      </w:r>
      <w:r>
        <w:t>(see chapter </w:t>
      </w:r>
      <w:r w:rsidRPr="00F87D0E">
        <w:fldChar w:fldCharType="begin"/>
      </w:r>
      <w:r w:rsidR="00F87D0E" w:rsidRPr="00F87D0E">
        <w:instrText xml:space="preserve"> REF _Ref131081145 \r \h  \* MERGEFORMAT </w:instrText>
      </w:r>
      <w:r w:rsidRPr="00F87D0E">
        <w:fldChar w:fldCharType="separate"/>
      </w:r>
      <w:r w:rsidR="000B0AC7">
        <w:t>7</w:t>
      </w:r>
      <w:r w:rsidRPr="00F87D0E">
        <w:fldChar w:fldCharType="end"/>
      </w:r>
      <w:r>
        <w:t xml:space="preserve">) </w:t>
      </w:r>
      <w:r w:rsidRPr="00CE1D7F">
        <w:t>has had a significant impact on research capability. Since 2000, 275 PhD, 65 Master students and 229 Honours have graduated or worked with various CEs. Many students obtain a first-Class Honours degree or win the University Medal. 8 researchers have won the Bragg Medal for the best PhD in physics since 1995. Each year the Centre holds a full-day workshop at UNSW, attracting approximately 200 primary and high school students to tour the facilities and see research in action. The Centre focuses on increasing the number of girls and women in STEM, engaging with them from primary through secondary school and through to our research leaders.</w:t>
      </w:r>
    </w:p>
    <w:p w14:paraId="65725BB3" w14:textId="239A5B1D" w:rsidR="002B32A0" w:rsidRPr="00CE1D7F" w:rsidRDefault="002B32A0" w:rsidP="001F542C">
      <w:pPr>
        <w:pStyle w:val="ListBullet"/>
      </w:pPr>
      <w:r w:rsidRPr="00CE1D7F">
        <w:rPr>
          <w:i/>
          <w:iCs/>
        </w:rPr>
        <w:t xml:space="preserve">Onshore Lobster Aquaculture </w:t>
      </w:r>
      <w:r>
        <w:t>(see chapter </w:t>
      </w:r>
      <w:r w:rsidRPr="00F87D0E">
        <w:fldChar w:fldCharType="begin"/>
      </w:r>
      <w:r w:rsidR="00F87D0E" w:rsidRPr="00F87D0E">
        <w:instrText xml:space="preserve"> REF _Ref131077640 \r \h  \* MERGEFORMAT </w:instrText>
      </w:r>
      <w:r w:rsidRPr="00F87D0E">
        <w:fldChar w:fldCharType="separate"/>
      </w:r>
      <w:r w:rsidR="000B0AC7">
        <w:t>10</w:t>
      </w:r>
      <w:r w:rsidRPr="00F87D0E">
        <w:fldChar w:fldCharType="end"/>
      </w:r>
      <w:r>
        <w:t xml:space="preserve">) </w:t>
      </w:r>
      <w:r w:rsidRPr="00CE1D7F">
        <w:t>has trained 26 PhD students.</w:t>
      </w:r>
    </w:p>
    <w:p w14:paraId="6F34DC02" w14:textId="49F64AC4" w:rsidR="002B32A0" w:rsidRPr="00CE1D7F" w:rsidRDefault="002B32A0" w:rsidP="001F542C">
      <w:pPr>
        <w:pStyle w:val="ListBullet"/>
      </w:pPr>
      <w:r w:rsidRPr="008B5752">
        <w:rPr>
          <w:i/>
          <w:iCs/>
        </w:rPr>
        <w:t xml:space="preserve">Aquifer Reinjection </w:t>
      </w:r>
      <w:r>
        <w:t>(see chapter </w:t>
      </w:r>
      <w:r w:rsidRPr="00F87D0E">
        <w:fldChar w:fldCharType="begin"/>
      </w:r>
      <w:r w:rsidR="00F87D0E" w:rsidRPr="00F87D0E">
        <w:instrText xml:space="preserve"> REF _Ref131081228 \r \h  \* MERGEFORMAT </w:instrText>
      </w:r>
      <w:r w:rsidRPr="00F87D0E">
        <w:fldChar w:fldCharType="separate"/>
      </w:r>
      <w:r w:rsidR="000B0AC7">
        <w:t>8</w:t>
      </w:r>
      <w:r w:rsidRPr="00F87D0E">
        <w:fldChar w:fldCharType="end"/>
      </w:r>
      <w:r>
        <w:t xml:space="preserve">) </w:t>
      </w:r>
      <w:r w:rsidRPr="00CE1D7F">
        <w:t>trained 2 PhD students who specifically worked on the water recycling research, and both are currently writing their theses and working full-time in industry. Of the other PhD graduates from the Curtin Water Quality Research Centre, 2 are employed by the Water Corporation, 2 by consulting engineering firms, 3 by commercial analytical laboratories, and 5 in postdoctoral fellowships/academia. The Centre has provided a steady supply of graduates contributing their expertise to the operations of different businesses and carrying out further research.</w:t>
      </w:r>
      <w:r w:rsidRPr="00CE1D7F">
        <w:rPr>
          <w:rStyle w:val="FootnoteReference"/>
        </w:rPr>
        <w:footnoteReference w:id="37"/>
      </w:r>
      <w:r w:rsidRPr="00CE1D7F">
        <w:t xml:space="preserve"> </w:t>
      </w:r>
    </w:p>
    <w:p w14:paraId="59E92DD7" w14:textId="77777777" w:rsidR="002B32A0" w:rsidRDefault="002B32A0" w:rsidP="002B32A0">
      <w:pPr>
        <w:pStyle w:val="Heading2"/>
      </w:pPr>
      <w:bookmarkStart w:id="144" w:name="_Ref129277657"/>
      <w:bookmarkStart w:id="145" w:name="_Ref129852313"/>
      <w:bookmarkStart w:id="146" w:name="_Toc129963957"/>
      <w:bookmarkStart w:id="147" w:name="_Toc131174596"/>
      <w:bookmarkStart w:id="148" w:name="_Toc132970648"/>
      <w:bookmarkStart w:id="149" w:name="_Toc135323687"/>
      <w:r w:rsidRPr="00CE1D7F">
        <w:t>So</w:t>
      </w:r>
      <w:r w:rsidRPr="00CE1D7F">
        <w:rPr>
          <w:noProof/>
        </w:rPr>
        <mc:AlternateContent>
          <mc:Choice Requires="wps">
            <w:drawing>
              <wp:anchor distT="0" distB="0" distL="114300" distR="114300" simplePos="0" relativeHeight="251672576" behindDoc="0" locked="1" layoutInCell="1" allowOverlap="1" wp14:anchorId="6E192A5E" wp14:editId="2003DE63">
                <wp:simplePos x="0" y="0"/>
                <wp:positionH relativeFrom="page">
                  <wp:posOffset>356235</wp:posOffset>
                </wp:positionH>
                <wp:positionV relativeFrom="paragraph">
                  <wp:posOffset>125095</wp:posOffset>
                </wp:positionV>
                <wp:extent cx="1289050" cy="732790"/>
                <wp:effectExtent l="0" t="0" r="0" b="0"/>
                <wp:wrapNone/>
                <wp:docPr id="110" name="Text Box 1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289050" cy="7327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5E2B7D7" w14:textId="77777777" w:rsidR="002B32A0" w:rsidRPr="00537EDE" w:rsidRDefault="002B32A0" w:rsidP="002B32A0">
                            <w:pPr>
                              <w:pStyle w:val="SideNoteRegularRight"/>
                              <w:jc w:val="left"/>
                              <w:rPr>
                                <w:szCs w:val="18"/>
                              </w:rPr>
                            </w:pPr>
                            <w:r w:rsidRPr="00537EDE">
                              <w:rPr>
                                <w:szCs w:val="18"/>
                              </w:rPr>
                              <w:t xml:space="preserve">KEQ 1. What are the short-, medium- and long-term outcomes and impacts of </w:t>
                            </w:r>
                            <w:r>
                              <w:rPr>
                                <w:szCs w:val="18"/>
                              </w:rPr>
                              <w:t>ARC-funded</w:t>
                            </w:r>
                            <w:r w:rsidRPr="00537EDE">
                              <w:rPr>
                                <w:szCs w:val="18"/>
                              </w:rPr>
                              <w:t xml:space="preserve"> research? Is the NCGP achieving its intended outcomes?</w:t>
                            </w:r>
                          </w:p>
                          <w:p w14:paraId="35B37BF0" w14:textId="77777777" w:rsidR="002B32A0" w:rsidRPr="00537EDE" w:rsidRDefault="002B32A0" w:rsidP="002B32A0">
                            <w:pPr>
                              <w:pStyle w:val="SideNoteRegularRight"/>
                              <w:rPr>
                                <w:sz w:val="24"/>
                                <w:szCs w:val="20"/>
                              </w:rPr>
                            </w:pPr>
                          </w:p>
                        </w:txbxContent>
                      </wps:txbx>
                      <wps:bodyPr rot="0" spcFirstLastPara="0" vertOverflow="overflow" horzOverflow="overflow" vert="horz" wrap="square" lIns="0" tIns="0" rIns="76200" bIns="762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E192A5E" id="Text Box 110" o:spid="_x0000_s1030" type="#_x0000_t202" alt="&quot;&quot;" style="position:absolute;left:0;text-align:left;margin-left:28.05pt;margin-top:9.85pt;width:101.5pt;height:57.7pt;z-index:251672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" filled="f" stroked="f" strokeweight=".5pt">
                <v:textbox style="mso-fit-shape-to-text:t" inset="0,0,6pt,6pt">
                  <w:txbxContent>
                    <w:p w14:paraId="15E2B7D7" w14:textId="77777777" w:rsidR="002B32A0" w:rsidRPr="00537EDE" w:rsidRDefault="002B32A0" w:rsidP="002B32A0">
                      <w:pPr>
                        <w:pStyle w:val="SideNoteRegularRight"/>
                        <w:jc w:val="left"/>
                        <w:rPr>
                          <w:szCs w:val="18"/>
                        </w:rPr>
                      </w:pPr>
                      <w:r w:rsidRPr="00537EDE">
                        <w:rPr>
                          <w:szCs w:val="18"/>
                        </w:rPr>
                        <w:t xml:space="preserve">KEQ 1. What are the short-, medium- and long-term outcomes and impacts of </w:t>
                      </w:r>
                      <w:r>
                        <w:rPr>
                          <w:szCs w:val="18"/>
                        </w:rPr>
                        <w:t>ARC-funded</w:t>
                      </w:r>
                      <w:r w:rsidRPr="00537EDE">
                        <w:rPr>
                          <w:szCs w:val="18"/>
                        </w:rPr>
                        <w:t xml:space="preserve"> research? Is the NCGP achieving its intended outcomes?</w:t>
                      </w:r>
                    </w:p>
                    <w:p w14:paraId="35B37BF0" w14:textId="77777777" w:rsidR="002B32A0" w:rsidRPr="00537EDE" w:rsidRDefault="002B32A0" w:rsidP="002B32A0">
                      <w:pPr>
                        <w:pStyle w:val="SideNoteRegularRight"/>
                        <w:rPr>
                          <w:sz w:val="24"/>
                          <w:szCs w:val="20"/>
                        </w:rPr>
                      </w:pPr>
                    </w:p>
                  </w:txbxContent>
                </v:textbox>
                <w10:wrap anchorx="page"/>
                <w10:anchorlock/>
              </v:shape>
            </w:pict>
          </mc:Fallback>
        </mc:AlternateContent>
      </w:r>
      <w:r w:rsidRPr="00CE1D7F">
        <w:t xml:space="preserve">cial </w:t>
      </w:r>
      <w:bookmarkEnd w:id="144"/>
      <w:r w:rsidRPr="00CE1D7F">
        <w:t>impacts</w:t>
      </w:r>
      <w:bookmarkEnd w:id="145"/>
      <w:bookmarkEnd w:id="146"/>
      <w:bookmarkEnd w:id="147"/>
      <w:bookmarkEnd w:id="148"/>
      <w:bookmarkEnd w:id="149"/>
    </w:p>
    <w:p w14:paraId="37DE80AA" w14:textId="47A1C7E2" w:rsidR="000B0AC7" w:rsidRPr="00CE1D7F" w:rsidRDefault="000B0AC7" w:rsidP="006258ED">
      <w:pPr>
        <w:pStyle w:val="Caption"/>
      </w:pPr>
      <w:r w:rsidRPr="00CE1D7F">
        <w:rPr>
          <w:rStyle w:val="CaptionLabel"/>
        </w:rPr>
        <w:t>Key Finding </w:t>
      </w:r>
      <w:r w:rsidRPr="00CE1D7F">
        <w:rPr>
          <w:rStyle w:val="CaptionLabel"/>
        </w:rPr>
        <w:fldChar w:fldCharType="begin"/>
      </w:r>
      <w:r w:rsidRPr="00CE1D7F">
        <w:rPr>
          <w:rStyle w:val="CaptionLabel"/>
        </w:rPr>
        <w:instrText xml:space="preserve"> SEQ Key_Finding \* ARABIC  \* MERGEFORMAT </w:instrText>
      </w:r>
      <w:r w:rsidRPr="00CE1D7F">
        <w:rPr>
          <w:rStyle w:val="CaptionLabel"/>
        </w:rPr>
        <w:fldChar w:fldCharType="separate"/>
      </w:r>
      <w:r>
        <w:rPr>
          <w:rStyle w:val="CaptionLabel"/>
          <w:noProof/>
        </w:rPr>
        <w:t>5</w:t>
      </w:r>
      <w:r w:rsidRPr="00CE1D7F">
        <w:rPr>
          <w:rStyle w:val="CaptionLabel"/>
        </w:rPr>
        <w:fldChar w:fldCharType="end"/>
      </w:r>
      <w:r w:rsidRPr="00CE1D7F">
        <w:tab/>
        <w:t>Contribution to society</w:t>
      </w:r>
    </w:p>
    <w:tbl>
      <w:tblPr>
        <w:tblStyle w:val="aacTableBox"/>
        <w:tblW w:w="0" w:type="auto"/>
        <w:tblLayout w:type="fixed"/>
        <w:tblLook w:val="04A0" w:firstRow="1" w:lastRow="0" w:firstColumn="1" w:lastColumn="0" w:noHBand="0" w:noVBand="1"/>
        <w:tblCaption w:val="Key Finding 5"/>
        <w:tblDescription w:val="Contribution to society"/>
      </w:tblPr>
      <w:tblGrid>
        <w:gridCol w:w="7936"/>
      </w:tblGrid>
      <w:tr w:rsidR="002B32A0" w:rsidRPr="00CE1D7F" w14:paraId="3C2E8D6D" w14:textId="77777777" w:rsidTr="000B0AC7">
        <w:tc>
          <w:tcPr>
            <w:tcW w:w="7936" w:type="dxa"/>
          </w:tcPr>
          <w:p w14:paraId="66875421" w14:textId="77777777" w:rsidR="002B32A0" w:rsidRPr="001A6DB5" w:rsidRDefault="002B32A0" w:rsidP="006258ED">
            <w:pPr>
              <w:pStyle w:val="BoxText"/>
              <w:rPr>
                <w:sz w:val="22"/>
                <w:szCs w:val="24"/>
              </w:rPr>
            </w:pPr>
            <w:r w:rsidRPr="001A6DB5">
              <w:rPr>
                <w:sz w:val="22"/>
                <w:szCs w:val="24"/>
              </w:rPr>
              <w:t xml:space="preserve">NCGP-funded research has produced broad social impacts, including improved health and wellbeing, informed decision-making, improved safety and security, and reduced social problems. </w:t>
            </w:r>
          </w:p>
          <w:p w14:paraId="70B358AB" w14:textId="77777777" w:rsidR="002B32A0" w:rsidRPr="001A6DB5" w:rsidRDefault="002B32A0" w:rsidP="006258ED">
            <w:pPr>
              <w:pStyle w:val="BoxText"/>
              <w:rPr>
                <w:sz w:val="22"/>
                <w:szCs w:val="24"/>
              </w:rPr>
            </w:pPr>
            <w:r w:rsidRPr="001A6DB5">
              <w:rPr>
                <w:sz w:val="22"/>
                <w:szCs w:val="24"/>
              </w:rPr>
              <w:t xml:space="preserve">The Linkage Program has </w:t>
            </w:r>
            <w:r>
              <w:rPr>
                <w:sz w:val="22"/>
                <w:szCs w:val="24"/>
              </w:rPr>
              <w:t xml:space="preserve">been reported to </w:t>
            </w:r>
            <w:r w:rsidRPr="001A6DB5">
              <w:rPr>
                <w:sz w:val="22"/>
                <w:szCs w:val="24"/>
              </w:rPr>
              <w:t>deliver more social impacts, likely due to the more applied nature of the research.</w:t>
            </w:r>
          </w:p>
          <w:p w14:paraId="2B5D7A6E" w14:textId="77777777" w:rsidR="002B32A0" w:rsidRPr="00CE1D7F" w:rsidRDefault="002B32A0" w:rsidP="006258ED">
            <w:pPr>
              <w:pStyle w:val="BoxText"/>
            </w:pPr>
            <w:r w:rsidRPr="001A6DB5">
              <w:rPr>
                <w:sz w:val="22"/>
                <w:szCs w:val="24"/>
              </w:rPr>
              <w:t xml:space="preserve">Case studies highlight significant contributions to social impacts, including supporting stronger community engagement and entitlements, improving wellbeing and quality of life, improving the accuracy, responsiveness and efficiency of the legal and justice system, reducing pain and suffering, and enhancing community wellbeing and advancing reconciliation. </w:t>
            </w:r>
          </w:p>
        </w:tc>
      </w:tr>
    </w:tbl>
    <w:p w14:paraId="1D896A8E" w14:textId="77777777" w:rsidR="000B0AC7" w:rsidRPr="00CE1D7F" w:rsidRDefault="000B0AC7" w:rsidP="006258ED">
      <w:pPr>
        <w:pStyle w:val="Source"/>
      </w:pPr>
      <w:bookmarkStart w:id="150" w:name="_Hlk131077330"/>
    </w:p>
    <w:bookmarkEnd w:id="150"/>
    <w:p w14:paraId="5737633B" w14:textId="029353C8" w:rsidR="002B32A0" w:rsidRPr="00CE1D7F" w:rsidRDefault="002B32A0" w:rsidP="002B32A0">
      <w:r w:rsidRPr="00CE1D7F">
        <w:t xml:space="preserve">Contribution to society is a core purpose of the NCGP and aligns with the intended outcomes of developing new technologies, products and ideas, creating jobs, growing the economy and enhancing the quality of life in Australia (see </w:t>
      </w:r>
      <w:r>
        <w:t>section </w:t>
      </w:r>
      <w:r w:rsidRPr="00F87D0E">
        <w:fldChar w:fldCharType="begin"/>
      </w:r>
      <w:r w:rsidRPr="00F87D0E">
        <w:instrText xml:space="preserve"> REF _Ref129851768 \r \h  \* MERGEFORMAT </w:instrText>
      </w:r>
      <w:r w:rsidRPr="00F87D0E">
        <w:fldChar w:fldCharType="separate"/>
      </w:r>
      <w:r w:rsidR="000B0AC7">
        <w:t>1.1.1</w:t>
      </w:r>
      <w:r w:rsidRPr="00F87D0E">
        <w:fldChar w:fldCharType="end"/>
      </w:r>
      <w:r w:rsidRPr="00CE1D7F">
        <w:t xml:space="preserve">). As overviewed in </w:t>
      </w:r>
      <w:r w:rsidRPr="00F87D0E">
        <w:fldChar w:fldCharType="begin"/>
      </w:r>
      <w:r w:rsidRPr="00F87D0E">
        <w:instrText xml:space="preserve"> REF _Ref129598297 \h  \* MERGEFORMAT </w:instrText>
      </w:r>
      <w:r w:rsidRPr="00F87D0E">
        <w:fldChar w:fldCharType="separate"/>
      </w:r>
      <w:r w:rsidR="000B0AC7" w:rsidRPr="000B0AC7">
        <w:t>Figure 2.1</w:t>
      </w:r>
      <w:r w:rsidRPr="00F87D0E">
        <w:fldChar w:fldCharType="end"/>
      </w:r>
      <w:r w:rsidRPr="00CE1D7F">
        <w:t xml:space="preserve">, this </w:t>
      </w:r>
      <w:r w:rsidRPr="00CE1D7F">
        <w:lastRenderedPageBreak/>
        <w:t>includes, for example, improved health and wellbeing; access to resources, opportunities, jobs, infrastructure and services; community resilience; and safety</w:t>
      </w:r>
      <w:r>
        <w:t xml:space="preserve"> (see case studies from page </w:t>
      </w:r>
      <w:r>
        <w:fldChar w:fldCharType="begin"/>
      </w:r>
      <w:r>
        <w:instrText xml:space="preserve"> PAGEREF _Ref131077453 \h </w:instrText>
      </w:r>
      <w:r>
        <w:fldChar w:fldCharType="separate"/>
      </w:r>
      <w:r w:rsidR="000B0AC7">
        <w:rPr>
          <w:noProof/>
        </w:rPr>
        <w:t>168</w:t>
      </w:r>
      <w:r>
        <w:fldChar w:fldCharType="end"/>
      </w:r>
      <w:r>
        <w:t xml:space="preserve"> onwards)</w:t>
      </w:r>
      <w:r w:rsidRPr="00CE1D7F">
        <w:t xml:space="preserve">. </w:t>
      </w:r>
    </w:p>
    <w:p w14:paraId="02E6A62E" w14:textId="085AD685" w:rsidR="002B32A0" w:rsidRPr="00CE1D7F" w:rsidRDefault="002B32A0" w:rsidP="002B32A0">
      <w:pPr>
        <w:pStyle w:val="BodyText"/>
      </w:pPr>
      <w:r w:rsidRPr="00CE1D7F">
        <w:t xml:space="preserve">As the evidence shows below, both the Discovery and Linkage programs play a key role in supporting these types of impact, noting that this is only a small proportion of the potential impact delivered by the NCGP. This could be documented with additional evidence and a systematic assessment framework (see </w:t>
      </w:r>
      <w:r>
        <w:t>chapter </w:t>
      </w:r>
      <w:r w:rsidRPr="00F87D0E">
        <w:fldChar w:fldCharType="begin"/>
      </w:r>
      <w:r w:rsidRPr="00F87D0E">
        <w:instrText xml:space="preserve"> REF _Ref129851328 \r \h  \* MERGEFORMAT </w:instrText>
      </w:r>
      <w:r w:rsidRPr="00F87D0E">
        <w:fldChar w:fldCharType="separate"/>
      </w:r>
      <w:r w:rsidR="000B0AC7">
        <w:t>5</w:t>
      </w:r>
      <w:r w:rsidRPr="00F87D0E">
        <w:fldChar w:fldCharType="end"/>
      </w:r>
      <w:r w:rsidRPr="00CE1D7F">
        <w:t>).</w:t>
      </w:r>
    </w:p>
    <w:p w14:paraId="6581DAB8" w14:textId="77777777" w:rsidR="002B32A0" w:rsidRPr="00CE1D7F" w:rsidRDefault="002B32A0" w:rsidP="002B32A0">
      <w:pPr>
        <w:pStyle w:val="Heading3"/>
      </w:pPr>
      <w:r w:rsidRPr="00CE1D7F">
        <w:t>Evidence of social impact</w:t>
      </w:r>
    </w:p>
    <w:p w14:paraId="41B0C4E6" w14:textId="306A2305" w:rsidR="002B32A0" w:rsidRPr="00CE1D7F" w:rsidRDefault="002B32A0" w:rsidP="002B32A0">
      <w:r w:rsidRPr="00CE1D7F">
        <w:t>Most survey respondents from the Linkage (</w:t>
      </w:r>
      <w:r>
        <w:t>79</w:t>
      </w:r>
      <w:r w:rsidRPr="00CE1D7F">
        <w:t xml:space="preserve">%) and Discovery (72%) programs reported that their projects may, will likely or had already produced social impacts (see </w:t>
      </w:r>
      <w:r w:rsidRPr="00F87D0E">
        <w:fldChar w:fldCharType="begin"/>
      </w:r>
      <w:r w:rsidRPr="00F87D0E">
        <w:instrText xml:space="preserve"> REF _Ref129355501 \h  \* MERGEFORMAT </w:instrText>
      </w:r>
      <w:r w:rsidRPr="00F87D0E">
        <w:fldChar w:fldCharType="separate"/>
      </w:r>
      <w:r w:rsidR="000B0AC7" w:rsidRPr="000B0AC7">
        <w:t>Figure C.2</w:t>
      </w:r>
      <w:r w:rsidRPr="00F87D0E">
        <w:fldChar w:fldCharType="end"/>
      </w:r>
      <w:r w:rsidRPr="00CE1D7F">
        <w:t xml:space="preserve">). As expected, more Linkage Program respondents reported societal impacts, likely due to the more applied nature of the research. </w:t>
      </w:r>
    </w:p>
    <w:p w14:paraId="357E864B" w14:textId="21012104" w:rsidR="002B32A0" w:rsidRPr="00CE1D7F" w:rsidRDefault="002B32A0" w:rsidP="002B32A0">
      <w:r w:rsidRPr="00CE1D7F">
        <w:t xml:space="preserve">This is also the case for more detailed social impacts (see </w:t>
      </w:r>
      <w:r w:rsidRPr="00F87D0E">
        <w:fldChar w:fldCharType="begin"/>
      </w:r>
      <w:r w:rsidRPr="00F87D0E">
        <w:instrText xml:space="preserve"> REF _Ref128399351 \h  \* MERGEFORMAT </w:instrText>
      </w:r>
      <w:r w:rsidRPr="00F87D0E">
        <w:fldChar w:fldCharType="separate"/>
      </w:r>
      <w:r w:rsidR="000B0AC7" w:rsidRPr="000B0AC7">
        <w:t>Figure 3.8</w:t>
      </w:r>
      <w:r w:rsidRPr="00F87D0E">
        <w:fldChar w:fldCharType="end"/>
      </w:r>
      <w:r w:rsidRPr="00CE1D7F">
        <w:t>), with both Discovery and Linkage Program projects commonly reporting contributing to improved health and wellbeing and informed decision-making. Other impacts included an enhanced skill base, improved safety and security, reduced social problems and others. The proportion of projects reporting detailed social impacts was similar across the Discovery and Linkage Programs for most impact types. However, Linkage Program projects more commonly led to improved health and wellbeing than Discovery Program grants (24% and 18%, respectively). Again, this is to be expected due to the more applied nature of the research.</w:t>
      </w:r>
    </w:p>
    <w:p w14:paraId="49A49805" w14:textId="0220957C" w:rsidR="000B0AC7" w:rsidRPr="00CE1D7F" w:rsidRDefault="000B0AC7" w:rsidP="000B0AC7">
      <w:pPr>
        <w:pStyle w:val="Caption"/>
        <w:ind w:left="1308" w:hanging="1308"/>
      </w:pPr>
      <w:bookmarkStart w:id="151" w:name="_Ref128399351"/>
      <w:r w:rsidRPr="00E92185">
        <w:rPr>
          <w:rStyle w:val="CaptionLabel"/>
        </w:rPr>
        <w:t>Figure </w:t>
      </w:r>
      <w:r w:rsidRPr="00E92185">
        <w:rPr>
          <w:rStyle w:val="CaptionLabel"/>
        </w:rPr>
        <w:fldChar w:fldCharType="begin"/>
      </w:r>
      <w:r w:rsidRPr="00E92185">
        <w:rPr>
          <w:rStyle w:val="CaptionLabel"/>
        </w:rPr>
        <w:instrText xml:space="preserve"> STYLEREF 1 \s </w:instrText>
      </w:r>
      <w:r w:rsidRPr="00E92185">
        <w:rPr>
          <w:rStyle w:val="CaptionLabel"/>
        </w:rPr>
        <w:fldChar w:fldCharType="separate"/>
      </w:r>
      <w:r w:rsidRPr="00E92185">
        <w:rPr>
          <w:rStyle w:val="CaptionLabel"/>
          <w:noProof/>
        </w:rPr>
        <w:t>3</w:t>
      </w:r>
      <w:r w:rsidRPr="00E92185">
        <w:rPr>
          <w:rStyle w:val="CaptionLabel"/>
        </w:rPr>
        <w:fldChar w:fldCharType="end"/>
      </w:r>
      <w:r w:rsidRPr="00E92185">
        <w:rPr>
          <w:rStyle w:val="CaptionLabel"/>
        </w:rPr>
        <w:t>.</w:t>
      </w:r>
      <w:r w:rsidRPr="00E92185">
        <w:rPr>
          <w:rStyle w:val="CaptionLabel"/>
        </w:rPr>
        <w:fldChar w:fldCharType="begin"/>
      </w:r>
      <w:r w:rsidRPr="00E92185">
        <w:rPr>
          <w:rStyle w:val="CaptionLabel"/>
        </w:rPr>
        <w:instrText xml:space="preserve"> SEQ Figure \* ARABIC \s 1 </w:instrText>
      </w:r>
      <w:r w:rsidRPr="00E92185">
        <w:rPr>
          <w:rStyle w:val="CaptionLabel"/>
        </w:rPr>
        <w:fldChar w:fldCharType="separate"/>
      </w:r>
      <w:r w:rsidRPr="00E92185">
        <w:rPr>
          <w:rStyle w:val="CaptionLabel"/>
          <w:noProof/>
        </w:rPr>
        <w:t>8</w:t>
      </w:r>
      <w:r w:rsidRPr="00E92185">
        <w:rPr>
          <w:rStyle w:val="CaptionLabel"/>
        </w:rPr>
        <w:fldChar w:fldCharType="end"/>
      </w:r>
      <w:bookmarkEnd w:id="151"/>
      <w:r w:rsidRPr="00E92185">
        <w:tab/>
        <w:t>Final report data on social impacts by Discovery and Linkage Programs</w:t>
      </w:r>
    </w:p>
    <w:tbl>
      <w:tblPr>
        <w:tblW w:w="0" w:type="auto"/>
        <w:tblLayout w:type="fixed"/>
        <w:tblLook w:val="0000" w:firstRow="0" w:lastRow="0" w:firstColumn="0" w:lastColumn="0" w:noHBand="0" w:noVBand="0"/>
      </w:tblPr>
      <w:tblGrid>
        <w:gridCol w:w="7936"/>
      </w:tblGrid>
      <w:tr w:rsidR="002B32A0" w:rsidRPr="00CE1D7F" w14:paraId="5AF4F195" w14:textId="77777777" w:rsidTr="006258ED">
        <w:tc>
          <w:tcPr>
            <w:tcW w:w="7936" w:type="dxa"/>
            <w:tcBorders>
              <w:top w:val="single" w:sz="4" w:space="0" w:color="000100"/>
            </w:tcBorders>
            <w:shd w:val="clear" w:color="auto" w:fill="auto"/>
          </w:tcPr>
          <w:p w14:paraId="0FAF8102" w14:textId="77777777" w:rsidR="002B32A0" w:rsidRPr="00CE1D7F" w:rsidRDefault="002B32A0" w:rsidP="006258ED">
            <w:pPr>
              <w:pStyle w:val="Figure"/>
            </w:pPr>
            <w:r w:rsidRPr="00CE1D7F">
              <w:rPr>
                <w:noProof/>
              </w:rPr>
              <w:drawing>
                <wp:inline distT="0" distB="0" distL="0" distR="0" wp14:anchorId="5222073C" wp14:editId="366AC140">
                  <wp:extent cx="4962525" cy="2243455"/>
                  <wp:effectExtent l="0" t="0" r="9525" b="4445"/>
                  <wp:docPr id="562" name="Picture 562" descr="Final report data on social impacts by Discovery and Linkage Programs, see description in text abov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Picture 562" descr="Final report data on social impacts by Discovery and Linkage Programs, see description in text above figure."/>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962525" cy="2243455"/>
                          </a:xfrm>
                          <a:prstGeom prst="rect">
                            <a:avLst/>
                          </a:prstGeom>
                          <a:noFill/>
                        </pic:spPr>
                      </pic:pic>
                    </a:graphicData>
                  </a:graphic>
                </wp:inline>
              </w:drawing>
            </w:r>
          </w:p>
        </w:tc>
      </w:tr>
      <w:tr w:rsidR="002B32A0" w:rsidRPr="00CE1D7F" w14:paraId="2CB764C6" w14:textId="77777777" w:rsidTr="006258ED">
        <w:tblPrEx>
          <w:tblCellMar>
            <w:left w:w="0" w:type="dxa"/>
            <w:right w:w="0" w:type="dxa"/>
          </w:tblCellMar>
        </w:tblPrEx>
        <w:trPr>
          <w:trHeight w:val="125"/>
        </w:trPr>
        <w:tc>
          <w:tcPr>
            <w:tcW w:w="7936" w:type="dxa"/>
            <w:tcBorders>
              <w:bottom w:val="single" w:sz="4" w:space="0" w:color="000100"/>
            </w:tcBorders>
            <w:shd w:val="clear" w:color="auto" w:fill="auto"/>
            <w:tcMar>
              <w:top w:w="12" w:type="dxa"/>
              <w:bottom w:w="113" w:type="dxa"/>
            </w:tcMar>
          </w:tcPr>
          <w:p w14:paraId="01E4C264" w14:textId="77777777" w:rsidR="002B32A0" w:rsidRPr="00CE1D7F" w:rsidRDefault="002B32A0" w:rsidP="006258ED">
            <w:pPr>
              <w:pStyle w:val="Source"/>
              <w:rPr>
                <w:i w:val="0"/>
                <w:iCs/>
              </w:rPr>
            </w:pPr>
            <w:r w:rsidRPr="00CE1D7F">
              <w:rPr>
                <w:i w:val="0"/>
                <w:iCs/>
              </w:rPr>
              <w:t>N=</w:t>
            </w:r>
            <w:r>
              <w:rPr>
                <w:i w:val="0"/>
                <w:iCs/>
              </w:rPr>
              <w:t>4,221</w:t>
            </w:r>
          </w:p>
          <w:p w14:paraId="400220F6" w14:textId="77777777" w:rsidR="002B32A0" w:rsidRPr="00CE1D7F" w:rsidRDefault="002B32A0" w:rsidP="006258ED">
            <w:pPr>
              <w:pStyle w:val="Source"/>
            </w:pPr>
            <w:r w:rsidRPr="00CE1D7F">
              <w:t>Source: ACIL Allen’s analysis of ARC Final Reports for grants awarded between 2002 and 2021 (with an ARC-approved Final Report by 30 June 2022).</w:t>
            </w:r>
          </w:p>
        </w:tc>
      </w:tr>
      <w:tr w:rsidR="002B32A0" w:rsidRPr="00CE1D7F" w14:paraId="61F07CFE" w14:textId="77777777" w:rsidTr="006258ED">
        <w:tblPrEx>
          <w:tblCellMar>
            <w:left w:w="0" w:type="dxa"/>
            <w:right w:w="0" w:type="dxa"/>
          </w:tblCellMar>
        </w:tblPrEx>
        <w:trPr>
          <w:trHeight w:hRule="exact" w:val="160"/>
        </w:trPr>
        <w:tc>
          <w:tcPr>
            <w:tcW w:w="7936" w:type="dxa"/>
            <w:tcBorders>
              <w:top w:val="single" w:sz="4" w:space="0" w:color="000100"/>
            </w:tcBorders>
            <w:shd w:val="clear" w:color="auto" w:fill="auto"/>
            <w:tcMar>
              <w:top w:w="0" w:type="dxa"/>
              <w:bottom w:w="40" w:type="dxa"/>
            </w:tcMar>
          </w:tcPr>
          <w:p w14:paraId="12A1BD86" w14:textId="77777777" w:rsidR="002B32A0" w:rsidRPr="00CE1D7F" w:rsidRDefault="002B32A0" w:rsidP="006258ED">
            <w:pPr>
              <w:pStyle w:val="spacer"/>
              <w:spacing w:before="52"/>
            </w:pPr>
          </w:p>
        </w:tc>
      </w:tr>
    </w:tbl>
    <w:p w14:paraId="61F808C5" w14:textId="77777777" w:rsidR="002B32A0" w:rsidRPr="00CE1D7F" w:rsidRDefault="002B32A0" w:rsidP="002B32A0">
      <w:pPr>
        <w:pStyle w:val="Heading3"/>
      </w:pPr>
      <w:r w:rsidRPr="00CE1D7F">
        <w:t>Examples of excellent research delivering social impacts</w:t>
      </w:r>
    </w:p>
    <w:p w14:paraId="03754802" w14:textId="77777777" w:rsidR="002B32A0" w:rsidRPr="00CE1D7F" w:rsidRDefault="002B32A0" w:rsidP="002B32A0">
      <w:pPr>
        <w:pStyle w:val="BodyText"/>
      </w:pPr>
      <w:r w:rsidRPr="00CE1D7F">
        <w:t xml:space="preserve">The case studies highlight examples of how excellent NCGP-funded research contributes to society and delivers a social impact that is far-reaching. This is directly enhancing the quality of life in Australia a key purpose of the NCGP. </w:t>
      </w:r>
    </w:p>
    <w:p w14:paraId="4558316B" w14:textId="490564AE" w:rsidR="002B32A0" w:rsidRPr="00CE1D7F" w:rsidRDefault="002B32A0" w:rsidP="002B32A0">
      <w:pPr>
        <w:pStyle w:val="BodyText"/>
      </w:pPr>
      <w:r w:rsidRPr="00CE1D7F">
        <w:t xml:space="preserve">The </w:t>
      </w:r>
      <w:r w:rsidRPr="00CE1D7F">
        <w:rPr>
          <w:i/>
          <w:iCs/>
        </w:rPr>
        <w:t>Irrigation Automation</w:t>
      </w:r>
      <w:r w:rsidRPr="00CE1D7F">
        <w:t xml:space="preserve"> </w:t>
      </w:r>
      <w:r>
        <w:t>case study (see chapter </w:t>
      </w:r>
      <w:r w:rsidRPr="00F87D0E">
        <w:fldChar w:fldCharType="begin"/>
      </w:r>
      <w:r w:rsidR="00F87D0E" w:rsidRPr="00F87D0E">
        <w:instrText xml:space="preserve"> REF _Ref131077709 \r \h  \* MERGEFORMAT </w:instrText>
      </w:r>
      <w:r w:rsidRPr="00F87D0E">
        <w:fldChar w:fldCharType="separate"/>
      </w:r>
      <w:r w:rsidR="000B0AC7">
        <w:t>9</w:t>
      </w:r>
      <w:r w:rsidRPr="00F87D0E">
        <w:fldChar w:fldCharType="end"/>
      </w:r>
      <w:r>
        <w:t xml:space="preserve">) </w:t>
      </w:r>
      <w:r w:rsidRPr="00CE1D7F">
        <w:t>led to the successful recovery of over 429</w:t>
      </w:r>
      <w:r>
        <w:t> gigalitres</w:t>
      </w:r>
      <w:r w:rsidRPr="00CE1D7F">
        <w:t xml:space="preserve"> through Australia’s largest irrigation modernisation project to date, the </w:t>
      </w:r>
      <w:r w:rsidRPr="00CE1D7F">
        <w:lastRenderedPageBreak/>
        <w:t>Connections Project.</w:t>
      </w:r>
      <w:r w:rsidRPr="00CE1D7F">
        <w:rPr>
          <w:rStyle w:val="FootnoteReference"/>
        </w:rPr>
        <w:footnoteReference w:id="38"/>
      </w:r>
      <w:r w:rsidRPr="00CE1D7F">
        <w:t xml:space="preserve"> Under the project, water allocation was committed to irrigators, the environment, the Melbourne retail water corporations, and Traditional Owners. This was the first time that Traditional Owners in northern Victoria received a water entitlement as part of the Government’s commitment to Indigenous values and aspirations for water. By reducing the time required for manual watering and improving farmer’s capability and capacity, the irrigation technology provides peace of mind, a better lifestyle, and longevity for farmers on their properties. This has led to improved farmer wellbeing and quality of life.</w:t>
      </w:r>
    </w:p>
    <w:p w14:paraId="636CB4A7" w14:textId="65BCADC1" w:rsidR="002B32A0" w:rsidRPr="00CE1D7F" w:rsidRDefault="002B32A0" w:rsidP="002B32A0">
      <w:pPr>
        <w:pStyle w:val="ListBullet"/>
        <w:numPr>
          <w:ilvl w:val="0"/>
          <w:numId w:val="0"/>
        </w:numPr>
      </w:pPr>
      <w:r w:rsidRPr="00CE1D7F">
        <w:rPr>
          <w:i/>
        </w:rPr>
        <w:t>Changing the law to protect survivors of DFV</w:t>
      </w:r>
      <w:r w:rsidRPr="00CE1D7F" w:rsidDel="00F929EA">
        <w:t xml:space="preserve"> </w:t>
      </w:r>
      <w:r w:rsidRPr="00774AEF">
        <w:t>(</w:t>
      </w:r>
      <w:r>
        <w:t>see chapter </w:t>
      </w:r>
      <w:r w:rsidRPr="00F87D0E">
        <w:fldChar w:fldCharType="begin"/>
      </w:r>
      <w:r w:rsidR="00F87D0E" w:rsidRPr="00F87D0E">
        <w:instrText xml:space="preserve"> REF _Ref132715666 \r \h  \* MERGEFORMAT </w:instrText>
      </w:r>
      <w:r w:rsidRPr="00F87D0E">
        <w:fldChar w:fldCharType="separate"/>
      </w:r>
      <w:r w:rsidR="000B0AC7">
        <w:t>11</w:t>
      </w:r>
      <w:r w:rsidRPr="00F87D0E">
        <w:fldChar w:fldCharType="end"/>
      </w:r>
      <w:r w:rsidRPr="00774AEF">
        <w:t>)</w:t>
      </w:r>
      <w:r>
        <w:t xml:space="preserve"> </w:t>
      </w:r>
      <w:r w:rsidRPr="00CE1D7F">
        <w:t xml:space="preserve">has supported fundamental changes in the way government, the legal and justice systems, and society understand and respond to DFV. This research ultimately aims to improve the accuracy, responsiveness and efficiency of the legal system in the context of DFV. This research significantly influenced the introduction of a non-fatal strangulation law in Queensland in 2016, the first in Australia. In 2019, a similar law was introduced in South Australia, which had clear parallels to and was modelled from the Queensland law. As noted in </w:t>
      </w:r>
      <w:r>
        <w:t>section </w:t>
      </w:r>
      <w:r w:rsidRPr="00F87D0E">
        <w:fldChar w:fldCharType="begin"/>
      </w:r>
      <w:r w:rsidRPr="00F87D0E">
        <w:instrText xml:space="preserve"> REF _Ref131174454 \r \h  \* MERGEFORMAT </w:instrText>
      </w:r>
      <w:r w:rsidRPr="00F87D0E">
        <w:fldChar w:fldCharType="separate"/>
      </w:r>
      <w:r w:rsidR="000B0AC7">
        <w:t>3.1.1</w:t>
      </w:r>
      <w:r w:rsidRPr="00F87D0E">
        <w:fldChar w:fldCharType="end"/>
      </w:r>
      <w:r w:rsidRPr="00CE1D7F">
        <w:t xml:space="preserve">, the research resulted in the development of the DFV Bench Book, which has been highly impactful in informing and guiding legal professionals through the complexities of DFV. </w:t>
      </w:r>
    </w:p>
    <w:p w14:paraId="5C5B6241" w14:textId="71D10AC0" w:rsidR="002B32A0" w:rsidRPr="00CE1D7F" w:rsidRDefault="002B32A0" w:rsidP="002B32A0">
      <w:pPr>
        <w:pStyle w:val="BodyText"/>
      </w:pPr>
      <w:r w:rsidRPr="00CE1D7F">
        <w:rPr>
          <w:i/>
          <w:iCs/>
        </w:rPr>
        <w:t>RRR: Indigenous Remains Repatriation</w:t>
      </w:r>
      <w:r w:rsidRPr="00CE1D7F">
        <w:t xml:space="preserve"> </w:t>
      </w:r>
      <w:r w:rsidRPr="00774AEF">
        <w:t>(</w:t>
      </w:r>
      <w:r>
        <w:t>see chapter </w:t>
      </w:r>
      <w:r w:rsidRPr="00F87D0E">
        <w:fldChar w:fldCharType="begin"/>
      </w:r>
      <w:r w:rsidR="00F87D0E" w:rsidRPr="00F87D0E">
        <w:instrText xml:space="preserve"> REF _Ref131081387 \r \h  \* MERGEFORMAT </w:instrText>
      </w:r>
      <w:r w:rsidRPr="00F87D0E">
        <w:fldChar w:fldCharType="separate"/>
      </w:r>
      <w:r w:rsidR="000B0AC7">
        <w:t>13</w:t>
      </w:r>
      <w:r w:rsidRPr="00F87D0E">
        <w:fldChar w:fldCharType="end"/>
      </w:r>
      <w:r w:rsidRPr="00774AEF">
        <w:t>)</w:t>
      </w:r>
      <w:r>
        <w:t xml:space="preserve"> </w:t>
      </w:r>
      <w:r w:rsidRPr="00CE1D7F">
        <w:t>established the RRR Archive, website and global network of repatriation scholars, practitioners and communities. The RRR Archive</w:t>
      </w:r>
      <w:r w:rsidRPr="00CE1D7F" w:rsidDel="00E21192">
        <w:t xml:space="preserve"> </w:t>
      </w:r>
      <w:r w:rsidRPr="00CE1D7F">
        <w:t>is a web-accessible, centralised digital database of repatriation knowledge that can be shared sensitively and appropriately. The research has been particularly impactful for the community partners involved in the research, the NRA, KALACC and GBK. The removal of ancestors has caused significant and lasting pain to these communities. Repatriation represents a declaration of respect for their ancestors and cultural beliefs, and combines a number of factors that are integral to healing and wellbeing, including nation building, cultural governance, identity and knowledge building.</w:t>
      </w:r>
      <w:r w:rsidRPr="00CE1D7F">
        <w:rPr>
          <w:rStyle w:val="FootnoteReference"/>
        </w:rPr>
        <w:footnoteReference w:id="39"/>
      </w:r>
      <w:r w:rsidRPr="00CE1D7F">
        <w:t xml:space="preserve"> Informing and enabling future repatriation, and reducing the time taken to repatriate remains has reduced the associated pain, suffering and trauma for individuals and communities involved in repatriation. With continued support and expansion, RRR has the potential to influence the healing and wellbeing of other communities in Australia and overseas. The RRR Archive may also become a critical evidence base and an important underpinning digital infrastructure that supports a future ‘National Resting Place’ in Canberra. This would house and provide long-term care for remains that are returned from overseas with limited-provenance and thus cannot be specifically repatriated to Indigenous lands within Australia or require further research before they can be returned to Country.</w:t>
      </w:r>
    </w:p>
    <w:p w14:paraId="38D52D8F" w14:textId="534A16F5" w:rsidR="002B32A0" w:rsidRPr="00CE1D7F" w:rsidRDefault="002B32A0" w:rsidP="002B32A0">
      <w:pPr>
        <w:pStyle w:val="BodyText"/>
      </w:pPr>
      <w:r w:rsidRPr="00CE1D7F">
        <w:t xml:space="preserve">The </w:t>
      </w:r>
      <w:r w:rsidRPr="00CE1D7F">
        <w:rPr>
          <w:i/>
          <w:iCs/>
        </w:rPr>
        <w:t xml:space="preserve">Aquifer Reinjection </w:t>
      </w:r>
      <w:r w:rsidRPr="00CE1D7F">
        <w:t xml:space="preserve">case study </w:t>
      </w:r>
      <w:r>
        <w:t>(see chapter </w:t>
      </w:r>
      <w:r w:rsidRPr="00F87D0E">
        <w:fldChar w:fldCharType="begin"/>
      </w:r>
      <w:r w:rsidR="00F87D0E" w:rsidRPr="00F87D0E">
        <w:instrText xml:space="preserve"> REF _Ref131081228 \r \h  \* MERGEFORMAT </w:instrText>
      </w:r>
      <w:r w:rsidRPr="00F87D0E">
        <w:fldChar w:fldCharType="separate"/>
      </w:r>
      <w:r w:rsidR="000B0AC7">
        <w:t>8</w:t>
      </w:r>
      <w:r w:rsidRPr="00F87D0E">
        <w:fldChar w:fldCharType="end"/>
      </w:r>
      <w:r>
        <w:t xml:space="preserve">) </w:t>
      </w:r>
      <w:r w:rsidRPr="00CE1D7F">
        <w:t xml:space="preserve">aimed to secure water supplies for Perth and address the reduced streamflows in the southwest of Western Australia resulting from lower winter rainfall and hotter summers. This led to the introduction of aquifer reinjection to Western Australia’s water supply. Water Corporation and university partners went through several years of testing and established a trial plant to prove the effectiveness of aquifer reinjection. Part of the trial was a customer perception program run by Water Corporation, which involved working with the local community (e.g. tours with the public and school groups, open days) to improve awareness of the effectiveness of the chemical treatment and the process of aquifer reinjection. More than 7,300 community members toured the water recycling facility during the trial. Rigorous testing, including assurance that 62,300 water </w:t>
      </w:r>
      <w:r w:rsidRPr="00CE1D7F">
        <w:lastRenderedPageBreak/>
        <w:t>quality samples met the required health and safety guidelines, declared the trial a success. The public outreach helped ensure that 76% of the public supported the construction of a full-scale scheme. By 2030, it is estimated that up to 8% of Perth’s water supply may be from aquifer reinjection.</w:t>
      </w:r>
      <w:r w:rsidRPr="00CE1D7F">
        <w:rPr>
          <w:rStyle w:val="FootnoteReference"/>
        </w:rPr>
        <w:footnoteReference w:id="40"/>
      </w:r>
      <w:r w:rsidRPr="00CE1D7F">
        <w:t xml:space="preserve"> This has helped diversify Perth’s water resources, contributed to future regional stability and enabled the public to enjoy the wetlands and lakes.</w:t>
      </w:r>
    </w:p>
    <w:p w14:paraId="65418789" w14:textId="59A9FE1F" w:rsidR="002B32A0" w:rsidRPr="00CE1D7F" w:rsidRDefault="002B32A0" w:rsidP="002B32A0">
      <w:pPr>
        <w:pStyle w:val="BodyText"/>
      </w:pPr>
      <w:r w:rsidRPr="00CE1D7F">
        <w:t xml:space="preserve">The </w:t>
      </w:r>
      <w:r w:rsidRPr="00CE1D7F">
        <w:rPr>
          <w:i/>
          <w:iCs/>
        </w:rPr>
        <w:t>Indigenous Persistence in Formal Learning</w:t>
      </w:r>
      <w:r w:rsidRPr="00CE1D7F">
        <w:t xml:space="preserve"> case study </w:t>
      </w:r>
      <w:r w:rsidRPr="00774AEF">
        <w:t>(</w:t>
      </w:r>
      <w:r>
        <w:t>see chapter </w:t>
      </w:r>
      <w:r w:rsidRPr="00F87D0E">
        <w:fldChar w:fldCharType="begin"/>
      </w:r>
      <w:r w:rsidR="00F87D0E" w:rsidRPr="00F87D0E">
        <w:instrText xml:space="preserve"> REF _Ref131081583 \r \h  \* MERGEFORMAT </w:instrText>
      </w:r>
      <w:r w:rsidRPr="00F87D0E">
        <w:fldChar w:fldCharType="separate"/>
      </w:r>
      <w:r w:rsidR="000B0AC7">
        <w:t>12</w:t>
      </w:r>
      <w:r w:rsidRPr="00F87D0E">
        <w:fldChar w:fldCharType="end"/>
      </w:r>
      <w:r w:rsidRPr="00774AEF">
        <w:t>)</w:t>
      </w:r>
      <w:r>
        <w:t xml:space="preserve"> </w:t>
      </w:r>
      <w:r w:rsidRPr="00CE1D7F">
        <w:t>aimed to address the lower educational outcomes (and interconnected life outcomes, like health and wellbeing)</w:t>
      </w:r>
      <w:r w:rsidRPr="00CE1D7F">
        <w:rPr>
          <w:rStyle w:val="FootnoteReference"/>
        </w:rPr>
        <w:footnoteReference w:id="41"/>
      </w:r>
      <w:r w:rsidRPr="00CE1D7F">
        <w:t xml:space="preserve"> encountered by Indigenous students. The research resulted in the development of the TAPS strategy, a wrap-around supportive approach to building learner identity, self-efficacy in learners and academic performance. This model has been applied at Edith Cowan, James Cook and Griffith Universities and UNSW, where it has almost doubled the graduation rate of Indigenous students. TAPS has improved Indigenous student’s stress levels, satisfaction, proactive support-seeking behaviours, success rates and retention rates, and is helping close the gap on student education objectives. It is also being applied across other priority cohorts and is showing strong signs of success, including students with disabilities and those in remote high schools in Queensland. </w:t>
      </w:r>
    </w:p>
    <w:p w14:paraId="1DF982A4" w14:textId="74273263" w:rsidR="002B32A0" w:rsidRPr="00CE1D7F" w:rsidRDefault="002B32A0" w:rsidP="002B32A0">
      <w:pPr>
        <w:pStyle w:val="BodyText"/>
      </w:pPr>
      <w:r w:rsidRPr="00CE1D7F">
        <w:t xml:space="preserve">Quantum computing has the potential to bring about significant impacts in many facets of our society. The </w:t>
      </w:r>
      <w:r w:rsidRPr="00CE1D7F">
        <w:rPr>
          <w:i/>
          <w:iCs/>
        </w:rPr>
        <w:t>Quantum Computation and Communication Technology</w:t>
      </w:r>
      <w:r w:rsidRPr="00CE1D7F">
        <w:t xml:space="preserve"> case study </w:t>
      </w:r>
      <w:r>
        <w:t>(see chapter </w:t>
      </w:r>
      <w:r w:rsidRPr="00F87D0E">
        <w:fldChar w:fldCharType="begin"/>
      </w:r>
      <w:r w:rsidR="00F87D0E" w:rsidRPr="00F87D0E">
        <w:instrText xml:space="preserve"> REF _Ref131081145 \r \h  \* MERGEFORMAT </w:instrText>
      </w:r>
      <w:r w:rsidRPr="00F87D0E">
        <w:fldChar w:fldCharType="separate"/>
      </w:r>
      <w:r w:rsidR="000B0AC7">
        <w:t>7</w:t>
      </w:r>
      <w:r w:rsidRPr="00F87D0E">
        <w:fldChar w:fldCharType="end"/>
      </w:r>
      <w:r>
        <w:t xml:space="preserve">) </w:t>
      </w:r>
      <w:r w:rsidRPr="00CE1D7F">
        <w:t>demonstrates a few examples of the sectors that may be affected by quantum technology:</w:t>
      </w:r>
    </w:p>
    <w:p w14:paraId="08158853" w14:textId="77777777" w:rsidR="002B32A0" w:rsidRPr="00CE1D7F" w:rsidRDefault="002B32A0" w:rsidP="001F542C">
      <w:pPr>
        <w:pStyle w:val="ListBullet"/>
        <w:rPr>
          <w:rFonts w:cstheme="minorBidi"/>
        </w:rPr>
      </w:pPr>
      <w:r w:rsidRPr="00CE1D7F">
        <w:t>Materials science: by optimising and discovering new materials (e.g. more efficient solar cells and battery technology).</w:t>
      </w:r>
    </w:p>
    <w:p w14:paraId="3D1B9B37" w14:textId="77777777" w:rsidR="002B32A0" w:rsidRPr="00CE1D7F" w:rsidRDefault="002B32A0" w:rsidP="001F542C">
      <w:pPr>
        <w:pStyle w:val="ListBullet"/>
      </w:pPr>
      <w:r w:rsidRPr="00CE1D7F">
        <w:t>Drug discovery: by expediting the discovery and development of new drugs by simulating complex molecular interactions.</w:t>
      </w:r>
    </w:p>
    <w:p w14:paraId="671E5642" w14:textId="77777777" w:rsidR="002B32A0" w:rsidRPr="00CE1D7F" w:rsidRDefault="002B32A0" w:rsidP="001F542C">
      <w:pPr>
        <w:pStyle w:val="ListBullet"/>
      </w:pPr>
      <w:r w:rsidRPr="00CE1D7F">
        <w:t>Financial modelling: by helping financial organisations better model and understand complex financial systems and make more accurate financial predictions.</w:t>
      </w:r>
    </w:p>
    <w:p w14:paraId="11E0148C" w14:textId="77777777" w:rsidR="002B32A0" w:rsidRPr="00CE1D7F" w:rsidRDefault="002B32A0" w:rsidP="001F542C">
      <w:pPr>
        <w:pStyle w:val="ListBullet"/>
      </w:pPr>
      <w:r w:rsidRPr="00CE1D7F">
        <w:t>Supply chain optimisation: by helping to optimise supply chain networks, reducing waste and increasing efficiency in areas such as transportation and logistics.</w:t>
      </w:r>
    </w:p>
    <w:p w14:paraId="5C80E7EB" w14:textId="77777777" w:rsidR="002B32A0" w:rsidRPr="00CE1D7F" w:rsidRDefault="002B32A0" w:rsidP="001F542C">
      <w:pPr>
        <w:pStyle w:val="ListBullet"/>
      </w:pPr>
      <w:r w:rsidRPr="00CE1D7F">
        <w:t>Artificial Intelligence: by significantly enhancing the performance and capabilities of artificial intelligence systems, enabling the development of more advanced and intelligent systems.</w:t>
      </w:r>
    </w:p>
    <w:p w14:paraId="584E10E4" w14:textId="77777777" w:rsidR="002B32A0" w:rsidRPr="00CE1D7F" w:rsidRDefault="002B32A0" w:rsidP="001F542C">
      <w:pPr>
        <w:pStyle w:val="ListBullet"/>
      </w:pPr>
      <w:r w:rsidRPr="00CE1D7F">
        <w:t>Cryptography: by improving the security of sensitive data.</w:t>
      </w:r>
    </w:p>
    <w:p w14:paraId="45EAD198" w14:textId="77777777" w:rsidR="002B32A0" w:rsidRDefault="002B32A0" w:rsidP="002B32A0">
      <w:pPr>
        <w:pStyle w:val="Heading2"/>
      </w:pPr>
      <w:bookmarkStart w:id="152" w:name="_Toc129963958"/>
      <w:bookmarkStart w:id="153" w:name="_Toc131174597"/>
      <w:bookmarkStart w:id="154" w:name="_Toc132970649"/>
      <w:bookmarkStart w:id="155" w:name="_Toc135323688"/>
      <w:r w:rsidRPr="00CE1D7F">
        <w:lastRenderedPageBreak/>
        <w:t>Environm</w:t>
      </w:r>
      <w:r w:rsidRPr="00CE1D7F">
        <w:rPr>
          <w:noProof/>
        </w:rPr>
        <mc:AlternateContent>
          <mc:Choice Requires="wps">
            <w:drawing>
              <wp:anchor distT="0" distB="0" distL="114300" distR="114300" simplePos="0" relativeHeight="251673600" behindDoc="0" locked="1" layoutInCell="1" allowOverlap="1" wp14:anchorId="07EBD5D8" wp14:editId="0B2F00D0">
                <wp:simplePos x="0" y="0"/>
                <wp:positionH relativeFrom="page">
                  <wp:posOffset>387350</wp:posOffset>
                </wp:positionH>
                <wp:positionV relativeFrom="paragraph">
                  <wp:posOffset>109855</wp:posOffset>
                </wp:positionV>
                <wp:extent cx="1289050" cy="732790"/>
                <wp:effectExtent l="0" t="0" r="0" b="0"/>
                <wp:wrapNone/>
                <wp:docPr id="111" name="Text Box 1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289050" cy="7327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8FAFBB4" w14:textId="77777777" w:rsidR="002B32A0" w:rsidRPr="00537EDE" w:rsidRDefault="002B32A0" w:rsidP="002B32A0">
                            <w:pPr>
                              <w:pStyle w:val="SideNoteRegularRight"/>
                              <w:jc w:val="left"/>
                              <w:rPr>
                                <w:sz w:val="24"/>
                                <w:szCs w:val="20"/>
                              </w:rPr>
                            </w:pPr>
                            <w:r w:rsidRPr="00537EDE">
                              <w:rPr>
                                <w:szCs w:val="18"/>
                              </w:rPr>
                              <w:t xml:space="preserve">KEQ 1. What are the short-, medium- and long-term outcomes and impacts of </w:t>
                            </w:r>
                            <w:r>
                              <w:rPr>
                                <w:szCs w:val="18"/>
                              </w:rPr>
                              <w:t>ARC-funded</w:t>
                            </w:r>
                            <w:r w:rsidRPr="00537EDE">
                              <w:rPr>
                                <w:szCs w:val="18"/>
                              </w:rPr>
                              <w:t xml:space="preserve"> research? Is the NCGP achieving its intended outcomes?</w:t>
                            </w:r>
                          </w:p>
                        </w:txbxContent>
                      </wps:txbx>
                      <wps:bodyPr rot="0" spcFirstLastPara="0" vertOverflow="overflow" horzOverflow="overflow" vert="horz" wrap="square" lIns="0" tIns="0" rIns="76200" bIns="762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7EBD5D8" id="Text Box 111" o:spid="_x0000_s1031" type="#_x0000_t202" alt="&quot;&quot;" style="position:absolute;left:0;text-align:left;margin-left:30.5pt;margin-top:8.65pt;width:101.5pt;height:57.7pt;z-index:251673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" filled="f" stroked="f" strokeweight=".5pt">
                <v:textbox style="mso-fit-shape-to-text:t" inset="0,0,6pt,6pt">
                  <w:txbxContent>
                    <w:p w14:paraId="28FAFBB4" w14:textId="77777777" w:rsidR="002B32A0" w:rsidRPr="00537EDE" w:rsidRDefault="002B32A0" w:rsidP="002B32A0">
                      <w:pPr>
                        <w:pStyle w:val="SideNoteRegularRight"/>
                        <w:jc w:val="left"/>
                        <w:rPr>
                          <w:sz w:val="24"/>
                          <w:szCs w:val="20"/>
                        </w:rPr>
                      </w:pPr>
                      <w:r w:rsidRPr="00537EDE">
                        <w:rPr>
                          <w:szCs w:val="18"/>
                        </w:rPr>
                        <w:t xml:space="preserve">KEQ 1. What are the short-, medium- and long-term outcomes and impacts of </w:t>
                      </w:r>
                      <w:r>
                        <w:rPr>
                          <w:szCs w:val="18"/>
                        </w:rPr>
                        <w:t>ARC-funded</w:t>
                      </w:r>
                      <w:r w:rsidRPr="00537EDE">
                        <w:rPr>
                          <w:szCs w:val="18"/>
                        </w:rPr>
                        <w:t xml:space="preserve"> research? Is the NCGP achieving its intended outcomes?</w:t>
                      </w:r>
                    </w:p>
                  </w:txbxContent>
                </v:textbox>
                <w10:wrap anchorx="page"/>
                <w10:anchorlock/>
              </v:shape>
            </w:pict>
          </mc:Fallback>
        </mc:AlternateContent>
      </w:r>
      <w:r w:rsidRPr="00CE1D7F">
        <w:t>ental impacts</w:t>
      </w:r>
      <w:bookmarkEnd w:id="152"/>
      <w:bookmarkEnd w:id="153"/>
      <w:bookmarkEnd w:id="154"/>
      <w:bookmarkEnd w:id="155"/>
    </w:p>
    <w:p w14:paraId="3CF9D294" w14:textId="406199B1" w:rsidR="000B0AC7" w:rsidRPr="00CE1D7F" w:rsidRDefault="000B0AC7" w:rsidP="006258ED">
      <w:pPr>
        <w:pStyle w:val="Caption"/>
      </w:pPr>
      <w:r w:rsidRPr="00CE1D7F">
        <w:rPr>
          <w:rStyle w:val="CaptionLabel"/>
        </w:rPr>
        <w:t>Key Finding </w:t>
      </w:r>
      <w:r w:rsidRPr="00CE1D7F">
        <w:rPr>
          <w:rStyle w:val="CaptionLabel"/>
        </w:rPr>
        <w:fldChar w:fldCharType="begin"/>
      </w:r>
      <w:r w:rsidRPr="00CE1D7F">
        <w:rPr>
          <w:rStyle w:val="CaptionLabel"/>
        </w:rPr>
        <w:instrText xml:space="preserve"> SEQ Key_Finding \* ARABIC  \* MERGEFORMAT </w:instrText>
      </w:r>
      <w:r w:rsidRPr="00CE1D7F">
        <w:rPr>
          <w:rStyle w:val="CaptionLabel"/>
        </w:rPr>
        <w:fldChar w:fldCharType="separate"/>
      </w:r>
      <w:r>
        <w:rPr>
          <w:rStyle w:val="CaptionLabel"/>
          <w:noProof/>
        </w:rPr>
        <w:t>6</w:t>
      </w:r>
      <w:r w:rsidRPr="00CE1D7F">
        <w:rPr>
          <w:rStyle w:val="CaptionLabel"/>
        </w:rPr>
        <w:fldChar w:fldCharType="end"/>
      </w:r>
      <w:r w:rsidRPr="00CE1D7F">
        <w:tab/>
        <w:t>Contribution to the environment</w:t>
      </w:r>
    </w:p>
    <w:tbl>
      <w:tblPr>
        <w:tblStyle w:val="aacTableBox"/>
        <w:tblW w:w="0" w:type="auto"/>
        <w:tblLayout w:type="fixed"/>
        <w:tblLook w:val="04A0" w:firstRow="1" w:lastRow="0" w:firstColumn="1" w:lastColumn="0" w:noHBand="0" w:noVBand="1"/>
        <w:tblCaption w:val="Key Finding 6"/>
        <w:tblDescription w:val="Contribution to the environment"/>
      </w:tblPr>
      <w:tblGrid>
        <w:gridCol w:w="7936"/>
      </w:tblGrid>
      <w:tr w:rsidR="002B32A0" w:rsidRPr="00CE1D7F" w14:paraId="6ACC9418" w14:textId="77777777" w:rsidTr="000B0AC7">
        <w:tc>
          <w:tcPr>
            <w:tcW w:w="7936" w:type="dxa"/>
          </w:tcPr>
          <w:p w14:paraId="6FA122A0" w14:textId="77777777" w:rsidR="002B32A0" w:rsidRPr="001A6DB5" w:rsidRDefault="002B32A0" w:rsidP="006258ED">
            <w:pPr>
              <w:pStyle w:val="BoxText"/>
              <w:rPr>
                <w:sz w:val="22"/>
                <w:szCs w:val="24"/>
              </w:rPr>
            </w:pPr>
            <w:r w:rsidRPr="001A6DB5">
              <w:rPr>
                <w:sz w:val="22"/>
                <w:szCs w:val="24"/>
              </w:rPr>
              <w:t>About half of the projects have or may contribute to environmental outcomes in the future. These impacts include contributing to better natural resource management and reduced environmental damage. Again, this was more common</w:t>
            </w:r>
            <w:r>
              <w:rPr>
                <w:sz w:val="22"/>
                <w:szCs w:val="24"/>
              </w:rPr>
              <w:t>ly reported</w:t>
            </w:r>
            <w:r w:rsidRPr="001A6DB5">
              <w:rPr>
                <w:sz w:val="22"/>
                <w:szCs w:val="24"/>
              </w:rPr>
              <w:t xml:space="preserve"> among Linkage Program projects. </w:t>
            </w:r>
          </w:p>
          <w:p w14:paraId="13BA3D41" w14:textId="77777777" w:rsidR="002B32A0" w:rsidRPr="00CE1D7F" w:rsidRDefault="002B32A0" w:rsidP="006258ED">
            <w:pPr>
              <w:pStyle w:val="BoxText"/>
            </w:pPr>
            <w:r w:rsidRPr="001A6DB5">
              <w:rPr>
                <w:sz w:val="22"/>
                <w:szCs w:val="24"/>
              </w:rPr>
              <w:t>The case studies highlight the significant impact of the research on the environment, including supporting the environmental sustainability of Australia’s emerging lobster aquaculture industry; modernising irrigation to save water and support water quality and ecological outcomes, mitigate some drought impacts and protect key refuges for endangered species; developing more efficient clean energy technologies; reducing energy consumption and emissions; and enabling injection of water into aquifers to protect important wetlands and lakes, and, in turn, helping ensure the protection of flora and fauna that depend on those wetlands.</w:t>
            </w:r>
          </w:p>
        </w:tc>
      </w:tr>
    </w:tbl>
    <w:p w14:paraId="4D9EF5D2" w14:textId="77777777" w:rsidR="000B0AC7" w:rsidRPr="00CE1D7F" w:rsidRDefault="000B0AC7" w:rsidP="006258ED">
      <w:pPr>
        <w:pStyle w:val="Source"/>
      </w:pPr>
    </w:p>
    <w:p w14:paraId="51AFE592" w14:textId="6299CA7A" w:rsidR="002B32A0" w:rsidRPr="00CE1D7F" w:rsidRDefault="002B32A0" w:rsidP="002B32A0">
      <w:r w:rsidRPr="00CE1D7F">
        <w:t xml:space="preserve">Contribution to environmental impact is a core purpose of the NCGP and aligns with the intended outcomes of developing new technologies, products and ideas, creating jobs, growing the economy and enhancing the quality of life in Australia (see </w:t>
      </w:r>
      <w:r>
        <w:t>section </w:t>
      </w:r>
      <w:r w:rsidRPr="00F87D0E">
        <w:fldChar w:fldCharType="begin"/>
      </w:r>
      <w:r w:rsidRPr="00F87D0E">
        <w:instrText xml:space="preserve"> REF _Ref129851768 \r \h  \* MERGEFORMAT </w:instrText>
      </w:r>
      <w:r w:rsidRPr="00F87D0E">
        <w:fldChar w:fldCharType="separate"/>
      </w:r>
      <w:r w:rsidR="000B0AC7">
        <w:t>1.1.1</w:t>
      </w:r>
      <w:r w:rsidRPr="00F87D0E">
        <w:fldChar w:fldCharType="end"/>
      </w:r>
      <w:r w:rsidRPr="00CE1D7F">
        <w:t xml:space="preserve">). As overviewed in </w:t>
      </w:r>
      <w:r w:rsidRPr="00F87D0E">
        <w:fldChar w:fldCharType="begin"/>
      </w:r>
      <w:r w:rsidRPr="00F87D0E">
        <w:instrText xml:space="preserve"> REF _Ref129598297 \h  \* MERGEFORMAT </w:instrText>
      </w:r>
      <w:r w:rsidRPr="00F87D0E">
        <w:fldChar w:fldCharType="separate"/>
      </w:r>
      <w:r w:rsidR="000B0AC7" w:rsidRPr="000B0AC7">
        <w:t>Figure 2.1</w:t>
      </w:r>
      <w:r w:rsidRPr="00F87D0E">
        <w:fldChar w:fldCharType="end"/>
      </w:r>
      <w:r w:rsidRPr="00CE1D7F">
        <w:t>, this includes, for example, water savings and improved reliability, improved air quality and management of natural resources, reduced CO</w:t>
      </w:r>
      <w:r w:rsidRPr="00A014AC">
        <w:rPr>
          <w:vertAlign w:val="subscript"/>
        </w:rPr>
        <w:t>2</w:t>
      </w:r>
      <w:r w:rsidRPr="00CE1D7F">
        <w:t xml:space="preserve"> emissions, improved ecosystem health and integrity and reduced use of natural resources.</w:t>
      </w:r>
    </w:p>
    <w:p w14:paraId="6406E2BC" w14:textId="4423F2F5" w:rsidR="002B32A0" w:rsidRPr="00CE1D7F" w:rsidRDefault="002B32A0" w:rsidP="002B32A0">
      <w:pPr>
        <w:pStyle w:val="BodyText"/>
      </w:pPr>
      <w:r w:rsidRPr="00CE1D7F">
        <w:t xml:space="preserve">As the evidence shows below, both the Discovery and Linkage programs play a key role in supporting these types of impact, noting that this is only a small proportion of the potential impact delivered by the NCGP. This could be documented with additional evidence and a systematic assessment framework (see </w:t>
      </w:r>
      <w:r>
        <w:t>chapter </w:t>
      </w:r>
      <w:r w:rsidRPr="00F87D0E">
        <w:fldChar w:fldCharType="begin"/>
      </w:r>
      <w:r w:rsidRPr="00F87D0E">
        <w:instrText xml:space="preserve"> REF _Ref129851328 \r \h  \* MERGEFORMAT </w:instrText>
      </w:r>
      <w:r w:rsidRPr="00F87D0E">
        <w:fldChar w:fldCharType="separate"/>
      </w:r>
      <w:r w:rsidR="000B0AC7">
        <w:t>5</w:t>
      </w:r>
      <w:r w:rsidRPr="00F87D0E">
        <w:fldChar w:fldCharType="end"/>
      </w:r>
      <w:r w:rsidRPr="00CE1D7F">
        <w:t>).</w:t>
      </w:r>
    </w:p>
    <w:p w14:paraId="7735382F" w14:textId="77777777" w:rsidR="002B32A0" w:rsidRPr="00CE1D7F" w:rsidRDefault="002B32A0" w:rsidP="002B32A0">
      <w:pPr>
        <w:pStyle w:val="Heading3"/>
      </w:pPr>
      <w:r w:rsidRPr="00CE1D7F">
        <w:t>Evidence of environmental impact</w:t>
      </w:r>
    </w:p>
    <w:p w14:paraId="4FB966DF" w14:textId="4D112165" w:rsidR="002B32A0" w:rsidRPr="00CE1D7F" w:rsidRDefault="002B32A0" w:rsidP="002B32A0">
      <w:pPr>
        <w:pStyle w:val="BodyText"/>
      </w:pPr>
      <w:r w:rsidRPr="00CE1D7F">
        <w:t xml:space="preserve">Final report data shows a higher proportion of Linkage Program projects reported delivering environmental impacts (39%) than Discovery Program projects (28%, see </w:t>
      </w:r>
      <w:r w:rsidRPr="00F87D0E">
        <w:fldChar w:fldCharType="begin"/>
      </w:r>
      <w:r w:rsidRPr="00F87D0E">
        <w:instrText xml:space="preserve"> REF _Ref129355755 \h  \* MERGEFORMAT </w:instrText>
      </w:r>
      <w:r w:rsidRPr="00F87D0E">
        <w:fldChar w:fldCharType="separate"/>
      </w:r>
      <w:r w:rsidR="000B0AC7" w:rsidRPr="000B0AC7">
        <w:t>Figure D.4</w:t>
      </w:r>
      <w:r w:rsidRPr="00F87D0E">
        <w:fldChar w:fldCharType="end"/>
      </w:r>
      <w:r w:rsidRPr="00CE1D7F">
        <w:t xml:space="preserve">). </w:t>
      </w:r>
    </w:p>
    <w:p w14:paraId="16AC6656" w14:textId="5DCBA79A" w:rsidR="002B32A0" w:rsidRPr="00CE1D7F" w:rsidRDefault="002B32A0" w:rsidP="002B32A0">
      <w:pPr>
        <w:pStyle w:val="BodyText"/>
      </w:pPr>
      <w:r w:rsidRPr="00CE1D7F">
        <w:t xml:space="preserve">Analysis of detailed environmental impacts (see </w:t>
      </w:r>
      <w:r w:rsidRPr="00F87D0E">
        <w:fldChar w:fldCharType="begin"/>
      </w:r>
      <w:r w:rsidRPr="00F87D0E">
        <w:instrText xml:space="preserve"> REF _Ref128399021 \h  \* MERGEFORMAT </w:instrText>
      </w:r>
      <w:r w:rsidRPr="00F87D0E">
        <w:fldChar w:fldCharType="separate"/>
      </w:r>
      <w:r w:rsidR="000B0AC7" w:rsidRPr="000B0AC7">
        <w:t>Figure 3.9</w:t>
      </w:r>
      <w:r w:rsidRPr="00F87D0E">
        <w:fldChar w:fldCharType="end"/>
      </w:r>
      <w:r w:rsidRPr="00CE1D7F">
        <w:t>) shows that both Discovery and Linkage Program respondents commonly reported that their projects contributed to better natural resource management (15% and 21%, respectively) and reduced environmental damage (14% and 22%, respectively). Again, this is to be expected due to the more applied nature of the research.</w:t>
      </w:r>
    </w:p>
    <w:p w14:paraId="24915494" w14:textId="6345EAAC" w:rsidR="000B0AC7" w:rsidRPr="00CE1D7F" w:rsidRDefault="000B0AC7" w:rsidP="000B0AC7">
      <w:pPr>
        <w:pStyle w:val="Caption"/>
        <w:ind w:left="1308" w:hanging="1308"/>
      </w:pPr>
      <w:bookmarkStart w:id="156" w:name="_Ref128399021"/>
      <w:r w:rsidRPr="00CE1D7F">
        <w:rPr>
          <w:rStyle w:val="CaptionLabel"/>
        </w:rPr>
        <w:lastRenderedPageBreak/>
        <w:t>Figure </w:t>
      </w:r>
      <w:r w:rsidRPr="00CE1D7F">
        <w:rPr>
          <w:rStyle w:val="CaptionLabel"/>
        </w:rPr>
        <w:fldChar w:fldCharType="begin"/>
      </w:r>
      <w:r w:rsidRPr="00CE1D7F">
        <w:rPr>
          <w:rStyle w:val="CaptionLabel"/>
        </w:rPr>
        <w:instrText xml:space="preserve"> STYLEREF 1 \s </w:instrText>
      </w:r>
      <w:r w:rsidRPr="00CE1D7F">
        <w:rPr>
          <w:rStyle w:val="CaptionLabel"/>
        </w:rPr>
        <w:fldChar w:fldCharType="separate"/>
      </w:r>
      <w:r>
        <w:rPr>
          <w:rStyle w:val="CaptionLabel"/>
          <w:noProof/>
        </w:rPr>
        <w:t>3</w:t>
      </w:r>
      <w:r w:rsidRPr="00CE1D7F">
        <w:rPr>
          <w:rStyle w:val="CaptionLabel"/>
        </w:rPr>
        <w:fldChar w:fldCharType="end"/>
      </w:r>
      <w:r w:rsidRPr="00CE1D7F">
        <w:rPr>
          <w:rStyle w:val="CaptionLabel"/>
        </w:rPr>
        <w:t>.</w:t>
      </w:r>
      <w:r w:rsidRPr="00CE1D7F">
        <w:rPr>
          <w:rStyle w:val="CaptionLabel"/>
        </w:rPr>
        <w:fldChar w:fldCharType="begin"/>
      </w:r>
      <w:r w:rsidRPr="00CE1D7F">
        <w:rPr>
          <w:rStyle w:val="CaptionLabel"/>
        </w:rPr>
        <w:instrText xml:space="preserve"> SEQ Figure \* ARABIC \s 1 </w:instrText>
      </w:r>
      <w:r w:rsidRPr="00CE1D7F">
        <w:rPr>
          <w:rStyle w:val="CaptionLabel"/>
        </w:rPr>
        <w:fldChar w:fldCharType="separate"/>
      </w:r>
      <w:r>
        <w:rPr>
          <w:rStyle w:val="CaptionLabel"/>
          <w:noProof/>
        </w:rPr>
        <w:t>9</w:t>
      </w:r>
      <w:r w:rsidRPr="00CE1D7F">
        <w:rPr>
          <w:rStyle w:val="CaptionLabel"/>
        </w:rPr>
        <w:fldChar w:fldCharType="end"/>
      </w:r>
      <w:bookmarkEnd w:id="156"/>
      <w:r w:rsidRPr="00CE1D7F">
        <w:tab/>
        <w:t>Final report data on environmental impacts by Discovery and Linkage Programs</w:t>
      </w:r>
    </w:p>
    <w:tbl>
      <w:tblPr>
        <w:tblW w:w="0" w:type="auto"/>
        <w:tblLayout w:type="fixed"/>
        <w:tblLook w:val="0000" w:firstRow="0" w:lastRow="0" w:firstColumn="0" w:lastColumn="0" w:noHBand="0" w:noVBand="0"/>
      </w:tblPr>
      <w:tblGrid>
        <w:gridCol w:w="7936"/>
      </w:tblGrid>
      <w:tr w:rsidR="002B32A0" w:rsidRPr="00CE1D7F" w14:paraId="6BF7448E" w14:textId="77777777" w:rsidTr="006258ED">
        <w:tc>
          <w:tcPr>
            <w:tcW w:w="7936" w:type="dxa"/>
            <w:tcBorders>
              <w:top w:val="single" w:sz="4" w:space="0" w:color="000100"/>
            </w:tcBorders>
            <w:shd w:val="clear" w:color="auto" w:fill="auto"/>
          </w:tcPr>
          <w:p w14:paraId="43749EA7" w14:textId="77777777" w:rsidR="002B32A0" w:rsidRPr="00CE1D7F" w:rsidRDefault="002B32A0" w:rsidP="006258ED">
            <w:pPr>
              <w:pStyle w:val="Figure"/>
              <w:rPr>
                <w:noProof/>
              </w:rPr>
            </w:pPr>
            <w:r w:rsidRPr="00CE1D7F">
              <w:rPr>
                <w:noProof/>
              </w:rPr>
              <w:drawing>
                <wp:inline distT="0" distB="0" distL="0" distR="0" wp14:anchorId="69CF479A" wp14:editId="6FEBD7BC">
                  <wp:extent cx="4962525" cy="2243455"/>
                  <wp:effectExtent l="0" t="0" r="9525" b="4445"/>
                  <wp:docPr id="571" name="Picture 571" descr="Final report data on environmental impacts by Discovery and Linkage Programs, see description in text abov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Picture 571" descr="Final report data on environmental impacts by Discovery and Linkage Programs, see description in text above figure."/>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962525" cy="2243455"/>
                          </a:xfrm>
                          <a:prstGeom prst="rect">
                            <a:avLst/>
                          </a:prstGeom>
                          <a:noFill/>
                        </pic:spPr>
                      </pic:pic>
                    </a:graphicData>
                  </a:graphic>
                </wp:inline>
              </w:drawing>
            </w:r>
          </w:p>
        </w:tc>
      </w:tr>
      <w:tr w:rsidR="002B32A0" w:rsidRPr="00CE1D7F" w14:paraId="007D06DF" w14:textId="77777777" w:rsidTr="006258ED">
        <w:tblPrEx>
          <w:tblCellMar>
            <w:left w:w="0" w:type="dxa"/>
            <w:right w:w="0" w:type="dxa"/>
          </w:tblCellMar>
        </w:tblPrEx>
        <w:trPr>
          <w:trHeight w:val="125"/>
        </w:trPr>
        <w:tc>
          <w:tcPr>
            <w:tcW w:w="7936" w:type="dxa"/>
            <w:tcBorders>
              <w:bottom w:val="single" w:sz="4" w:space="0" w:color="000100"/>
            </w:tcBorders>
            <w:shd w:val="clear" w:color="auto" w:fill="auto"/>
            <w:tcMar>
              <w:top w:w="12" w:type="dxa"/>
              <w:bottom w:w="113" w:type="dxa"/>
            </w:tcMar>
          </w:tcPr>
          <w:p w14:paraId="080DFE44" w14:textId="77777777" w:rsidR="002B32A0" w:rsidRPr="00CE1D7F" w:rsidRDefault="002B32A0" w:rsidP="006258ED">
            <w:pPr>
              <w:pStyle w:val="Source"/>
              <w:rPr>
                <w:i w:val="0"/>
                <w:iCs/>
              </w:rPr>
            </w:pPr>
            <w:r w:rsidRPr="00CE1D7F">
              <w:rPr>
                <w:i w:val="0"/>
                <w:iCs/>
              </w:rPr>
              <w:t>N=4,221 final reports</w:t>
            </w:r>
          </w:p>
          <w:p w14:paraId="1BE021CA" w14:textId="77777777" w:rsidR="002B32A0" w:rsidRPr="00CE1D7F" w:rsidRDefault="002B32A0" w:rsidP="006258ED">
            <w:pPr>
              <w:pStyle w:val="Source"/>
            </w:pPr>
            <w:r w:rsidRPr="00CE1D7F">
              <w:t>Source: ACIL Allen’s analysis of ARC Final Reports for grants awarded between 2002 and 2021 (with an ARC-approved Final Report by 30 June 2022).</w:t>
            </w:r>
          </w:p>
        </w:tc>
      </w:tr>
      <w:tr w:rsidR="002B32A0" w:rsidRPr="00CE1D7F" w14:paraId="7D08E7C9" w14:textId="77777777" w:rsidTr="006258ED">
        <w:tblPrEx>
          <w:tblCellMar>
            <w:left w:w="0" w:type="dxa"/>
            <w:right w:w="0" w:type="dxa"/>
          </w:tblCellMar>
        </w:tblPrEx>
        <w:trPr>
          <w:trHeight w:hRule="exact" w:val="160"/>
        </w:trPr>
        <w:tc>
          <w:tcPr>
            <w:tcW w:w="7936" w:type="dxa"/>
            <w:tcBorders>
              <w:top w:val="single" w:sz="4" w:space="0" w:color="000100"/>
            </w:tcBorders>
            <w:shd w:val="clear" w:color="auto" w:fill="auto"/>
            <w:tcMar>
              <w:top w:w="0" w:type="dxa"/>
              <w:bottom w:w="40" w:type="dxa"/>
            </w:tcMar>
          </w:tcPr>
          <w:p w14:paraId="577D4D3C" w14:textId="77777777" w:rsidR="002B32A0" w:rsidRPr="00CE1D7F" w:rsidRDefault="002B32A0" w:rsidP="006258ED">
            <w:pPr>
              <w:pStyle w:val="spacer"/>
            </w:pPr>
          </w:p>
        </w:tc>
      </w:tr>
    </w:tbl>
    <w:p w14:paraId="59B11263" w14:textId="631B20C4" w:rsidR="002B32A0" w:rsidRPr="00CE1D7F" w:rsidRDefault="002B32A0" w:rsidP="002B32A0">
      <w:r w:rsidRPr="00CE1D7F">
        <w:t xml:space="preserve">Survey respondents were asked to report on whether they had or were likely to deliver environmental impacts (see </w:t>
      </w:r>
      <w:r w:rsidRPr="00F87D0E">
        <w:fldChar w:fldCharType="begin"/>
      </w:r>
      <w:r w:rsidRPr="00F87D0E">
        <w:instrText xml:space="preserve"> REF _Ref129355501 \h  \* MERGEFORMAT </w:instrText>
      </w:r>
      <w:r w:rsidRPr="00F87D0E">
        <w:fldChar w:fldCharType="separate"/>
      </w:r>
      <w:r w:rsidR="000B0AC7" w:rsidRPr="000B0AC7">
        <w:t>Figure C.2</w:t>
      </w:r>
      <w:r w:rsidRPr="00F87D0E">
        <w:fldChar w:fldCharType="end"/>
      </w:r>
      <w:r w:rsidRPr="00CE1D7F">
        <w:t xml:space="preserve">). As expected, a higher proportion of projects reported delivering environmental impacts due to the lag time allowed for these impacts to emerge since final reporting (see </w:t>
      </w:r>
      <w:r w:rsidRPr="00F87D0E">
        <w:fldChar w:fldCharType="begin"/>
      </w:r>
      <w:r w:rsidRPr="00F87D0E">
        <w:instrText xml:space="preserve"> REF _Ref129355755 \h  \* MERGEFORMAT </w:instrText>
      </w:r>
      <w:r w:rsidRPr="00F87D0E">
        <w:fldChar w:fldCharType="separate"/>
      </w:r>
      <w:r w:rsidR="000B0AC7" w:rsidRPr="000B0AC7">
        <w:t>Figure D.4</w:t>
      </w:r>
      <w:r w:rsidRPr="00F87D0E">
        <w:fldChar w:fldCharType="end"/>
      </w:r>
      <w:r w:rsidRPr="00CE1D7F">
        <w:t xml:space="preserve">). 44% of Discovery and 54% of Linkage Program respondents reported that their projects may, were likely to or had produced environmental impacts. The remaining respondents considered that this was unlikely to or would not occur. </w:t>
      </w:r>
    </w:p>
    <w:p w14:paraId="791B5047" w14:textId="01EE2AB9" w:rsidR="002B32A0" w:rsidRDefault="002B32A0" w:rsidP="002B32A0">
      <w:r w:rsidRPr="00CE1D7F">
        <w:t xml:space="preserve">As discussed in </w:t>
      </w:r>
      <w:r>
        <w:t>section </w:t>
      </w:r>
      <w:r w:rsidRPr="00F87D0E">
        <w:fldChar w:fldCharType="begin"/>
      </w:r>
      <w:r w:rsidRPr="00F87D0E">
        <w:instrText xml:space="preserve"> REF _Ref129200088 \r \h  \* MERGEFORMAT </w:instrText>
      </w:r>
      <w:r w:rsidRPr="00F87D0E">
        <w:fldChar w:fldCharType="separate"/>
      </w:r>
      <w:r w:rsidR="000B0AC7">
        <w:t>3.1.2</w:t>
      </w:r>
      <w:r w:rsidRPr="00F87D0E">
        <w:fldChar w:fldCharType="end"/>
      </w:r>
      <w:r w:rsidRPr="00CE1D7F">
        <w:t xml:space="preserve">, survey respondents were asked to identify the most significant impacts resulting from research projects (see </w:t>
      </w:r>
      <w:r w:rsidRPr="00F87D0E">
        <w:fldChar w:fldCharType="begin"/>
      </w:r>
      <w:r w:rsidRPr="00F87D0E">
        <w:instrText xml:space="preserve"> REF _Ref129615686 \h  \* MERGEFORMAT </w:instrText>
      </w:r>
      <w:r w:rsidRPr="00F87D0E">
        <w:fldChar w:fldCharType="separate"/>
      </w:r>
      <w:r w:rsidR="000B0AC7" w:rsidRPr="000B0AC7">
        <w:t>Table C.2</w:t>
      </w:r>
      <w:r w:rsidRPr="00F87D0E">
        <w:fldChar w:fldCharType="end"/>
      </w:r>
      <w:r w:rsidRPr="00CE1D7F">
        <w:t xml:space="preserve">). Qualitative analysis identified terms such as </w:t>
      </w:r>
      <w:r w:rsidRPr="00CE1D7F">
        <w:rPr>
          <w:b/>
          <w:bCs/>
          <w:i/>
          <w:iCs/>
        </w:rPr>
        <w:t xml:space="preserve">climate change </w:t>
      </w:r>
      <w:r w:rsidRPr="00CE1D7F">
        <w:t xml:space="preserve">(56), reduction in </w:t>
      </w:r>
      <w:r w:rsidRPr="00CE1D7F">
        <w:rPr>
          <w:b/>
          <w:bCs/>
          <w:i/>
          <w:iCs/>
        </w:rPr>
        <w:t>carbon emissions</w:t>
      </w:r>
      <w:r w:rsidRPr="00CE1D7F">
        <w:t xml:space="preserve"> (17) and </w:t>
      </w:r>
      <w:r w:rsidRPr="00CE1D7F">
        <w:rPr>
          <w:b/>
          <w:bCs/>
          <w:i/>
          <w:iCs/>
        </w:rPr>
        <w:t xml:space="preserve">rising sea levels </w:t>
      </w:r>
      <w:r w:rsidRPr="00CE1D7F">
        <w:t>(6) were frequently mentioned. Given this question was not specifically targeted toward environmental impacts, the nature of the responses shows the important impact of NCGP-funded research on the environment and achieving outcomes for significant environmental challenges.</w:t>
      </w:r>
    </w:p>
    <w:p w14:paraId="27E3BEB6" w14:textId="77777777" w:rsidR="002B32A0" w:rsidRPr="00CE1D7F" w:rsidRDefault="002B32A0" w:rsidP="002B32A0">
      <w:pPr>
        <w:pStyle w:val="Quote"/>
      </w:pPr>
      <w:r w:rsidRPr="00CE1D7F">
        <w:t>“My research has trained countless scientists in the environmental sciences, and has contributed to the development of new ways of managing and conserving biodiversity under climate change.” – Survey respondent</w:t>
      </w:r>
    </w:p>
    <w:p w14:paraId="67181CF6" w14:textId="77777777" w:rsidR="002B32A0" w:rsidRPr="00CE1D7F" w:rsidRDefault="002B32A0" w:rsidP="002B32A0">
      <w:pPr>
        <w:pStyle w:val="Heading3"/>
      </w:pPr>
      <w:r w:rsidRPr="00CE1D7F">
        <w:t>Examples of excellent research delivering environmental impacts</w:t>
      </w:r>
    </w:p>
    <w:p w14:paraId="231C0932" w14:textId="77777777" w:rsidR="002B32A0" w:rsidRPr="00CE1D7F" w:rsidRDefault="002B32A0" w:rsidP="002B32A0">
      <w:pPr>
        <w:pStyle w:val="BodyText"/>
      </w:pPr>
      <w:r w:rsidRPr="00CE1D7F">
        <w:t>The case studies highlight examples of excellent NCGP-funded research that has and will continue to deliver environmental impacts. This is enhancing the quality of life in Australia by improving Australian’s engagement with the environment.</w:t>
      </w:r>
    </w:p>
    <w:p w14:paraId="0599985D" w14:textId="24EB4343" w:rsidR="002B32A0" w:rsidRPr="00CE1D7F" w:rsidRDefault="002B32A0" w:rsidP="002B32A0">
      <w:pPr>
        <w:pStyle w:val="BodyText"/>
      </w:pPr>
      <w:r w:rsidRPr="00CE1D7F">
        <w:rPr>
          <w:i/>
          <w:iCs/>
        </w:rPr>
        <w:t xml:space="preserve">Onshore Lobster Aquaculture </w:t>
      </w:r>
      <w:r>
        <w:t>(see chapter </w:t>
      </w:r>
      <w:r w:rsidRPr="00F87D0E">
        <w:fldChar w:fldCharType="begin"/>
      </w:r>
      <w:r w:rsidR="00F87D0E" w:rsidRPr="00F87D0E">
        <w:instrText xml:space="preserve"> REF _Ref131077640 \r \h  \* MERGEFORMAT </w:instrText>
      </w:r>
      <w:r w:rsidRPr="00F87D0E">
        <w:fldChar w:fldCharType="separate"/>
      </w:r>
      <w:r w:rsidR="000B0AC7">
        <w:t>10</w:t>
      </w:r>
      <w:r w:rsidRPr="00F87D0E">
        <w:fldChar w:fldCharType="end"/>
      </w:r>
      <w:r>
        <w:t xml:space="preserve">) </w:t>
      </w:r>
      <w:r w:rsidRPr="00CE1D7F">
        <w:t>research will help ensure the environmental sustainability of Australia’s emerging lobster aquaculture industry, in particular, by ensuring that lobster feed is environmentally sustainable. Less reliance on the live catch will help maintain wild populations. This is increasingly important as climate change impacts wild lobsters, which become severely stressed by sustained, hostile environmental conditions and above-average water temperatures.</w:t>
      </w:r>
      <w:r w:rsidRPr="00CE1D7F">
        <w:rPr>
          <w:rStyle w:val="FootnoteReference"/>
        </w:rPr>
        <w:footnoteReference w:id="42"/>
      </w:r>
    </w:p>
    <w:p w14:paraId="7076C90D" w14:textId="017F6FFE" w:rsidR="002B32A0" w:rsidRDefault="002B32A0" w:rsidP="002B32A0">
      <w:r w:rsidRPr="00CE1D7F">
        <w:t xml:space="preserve">The </w:t>
      </w:r>
      <w:r w:rsidRPr="00CE1D7F">
        <w:rPr>
          <w:i/>
        </w:rPr>
        <w:t>Irrigation Automation</w:t>
      </w:r>
      <w:r w:rsidRPr="00CE1D7F">
        <w:t xml:space="preserve"> case study </w:t>
      </w:r>
      <w:r>
        <w:t>(see chapter </w:t>
      </w:r>
      <w:r w:rsidRPr="00F87D0E">
        <w:fldChar w:fldCharType="begin"/>
      </w:r>
      <w:r w:rsidR="00F87D0E" w:rsidRPr="00F87D0E">
        <w:instrText xml:space="preserve"> REF _Ref131077709 \r \h  \* MERGEFORMAT </w:instrText>
      </w:r>
      <w:r w:rsidRPr="00F87D0E">
        <w:fldChar w:fldCharType="separate"/>
      </w:r>
      <w:r w:rsidR="000B0AC7">
        <w:t>9</w:t>
      </w:r>
      <w:r w:rsidRPr="00F87D0E">
        <w:fldChar w:fldCharType="end"/>
      </w:r>
      <w:r>
        <w:t xml:space="preserve">) </w:t>
      </w:r>
      <w:r w:rsidRPr="00CE1D7F">
        <w:t xml:space="preserve">demonstrates the impact of Rubicon Water’s technology on the environment. Irrigation accounts for more than 70% of the global </w:t>
      </w:r>
      <w:r w:rsidRPr="00CE1D7F">
        <w:lastRenderedPageBreak/>
        <w:t xml:space="preserve">demand for fresh water. However, less than 70% of distributed irrigation water </w:t>
      </w:r>
      <w:r w:rsidRPr="00CE1D7F">
        <w:rPr>
          <w:lang w:eastAsia="ja-JP"/>
        </w:rPr>
        <w:t xml:space="preserve">reaches farms due to a range of water losses, most commonly </w:t>
      </w:r>
      <w:r w:rsidRPr="00CE1D7F">
        <w:t>from ‘spills’ (20-46% of all losses),</w:t>
      </w:r>
      <w:r w:rsidRPr="00CE1D7F">
        <w:rPr>
          <w:rStyle w:val="FootnoteReference"/>
        </w:rPr>
        <w:footnoteReference w:id="43"/>
      </w:r>
      <w:r w:rsidRPr="00CE1D7F">
        <w:t xml:space="preserve"> an operational problem when water is not precisely controlled in manually operated canal systems. </w:t>
      </w:r>
    </w:p>
    <w:p w14:paraId="180BEA71" w14:textId="77777777" w:rsidR="002B32A0" w:rsidRPr="00CE1D7F" w:rsidRDefault="002B32A0" w:rsidP="002B32A0">
      <w:r w:rsidRPr="00CE1D7F">
        <w:t>Rubicon’s modernised irrigation automation system addresses many of these issues through accurate measurement and accounting, eliminating spills, improving the reliability and timeliness of water supply, and enabling precise crop application. This has led to significant water savings. For example, the Goulburn Murray Water Connections Project enabled the recovery of 279</w:t>
      </w:r>
      <w:r>
        <w:t> gigalitres</w:t>
      </w:r>
      <w:r w:rsidRPr="00CE1D7F">
        <w:t xml:space="preserve"> of water for the environment.</w:t>
      </w:r>
      <w:r w:rsidRPr="00CE1D7F">
        <w:rPr>
          <w:rStyle w:val="FootnoteReference"/>
        </w:rPr>
        <w:footnoteReference w:id="44"/>
      </w:r>
      <w:r w:rsidRPr="00CE1D7F">
        <w:t xml:space="preserve"> To put this into perspective, the municipality of Melbourne uses 18.5</w:t>
      </w:r>
      <w:r>
        <w:t> gigalitres</w:t>
      </w:r>
      <w:r w:rsidRPr="00CE1D7F">
        <w:t xml:space="preserve"> of mains water per year.</w:t>
      </w:r>
      <w:r w:rsidRPr="00CE1D7F">
        <w:rPr>
          <w:rStyle w:val="FootnoteReference"/>
        </w:rPr>
        <w:footnoteReference w:id="45"/>
      </w:r>
      <w:r w:rsidRPr="00CE1D7F">
        <w:t xml:space="preserve"> Over the 10-year period from 2021-31, the Project is expected to return over 3,000</w:t>
      </w:r>
      <w:r>
        <w:t> gigalitres</w:t>
      </w:r>
      <w:r w:rsidRPr="00CE1D7F">
        <w:t xml:space="preserve"> to the environment. </w:t>
      </w:r>
      <w:bookmarkStart w:id="157" w:name="_Hlk129077814"/>
      <w:r w:rsidRPr="00CE1D7F">
        <w:t>This water will maintain the long-term health of Victoria’s rivers and groundwater ecosystems, and the plants and animals that depend on them.</w:t>
      </w:r>
      <w:r w:rsidRPr="00CE1D7F">
        <w:rPr>
          <w:rStyle w:val="FootnoteReference"/>
        </w:rPr>
        <w:footnoteReference w:id="46"/>
      </w:r>
      <w:r w:rsidRPr="00CE1D7F">
        <w:t xml:space="preserve"> A study by the Productivity Commission shows early evidence of improved water quality and ecological outcomes at the local level, including mitigation of some of the most severe impacts of drought through the protection of key refuges and prevention of some species’ extinctions.</w:t>
      </w:r>
      <w:r w:rsidRPr="00CE1D7F">
        <w:rPr>
          <w:rStyle w:val="FootnoteReference"/>
        </w:rPr>
        <w:footnoteReference w:id="47"/>
      </w:r>
    </w:p>
    <w:bookmarkEnd w:id="157"/>
    <w:p w14:paraId="1C2DA820" w14:textId="67C45469" w:rsidR="002B32A0" w:rsidRPr="00CE1D7F" w:rsidRDefault="002B32A0" w:rsidP="002B32A0">
      <w:pPr>
        <w:pStyle w:val="BodyText"/>
      </w:pPr>
      <w:r w:rsidRPr="00CE1D7F">
        <w:t xml:space="preserve">In addition to the many impacts described in </w:t>
      </w:r>
      <w:r>
        <w:t>section </w:t>
      </w:r>
      <w:r w:rsidRPr="00F87D0E">
        <w:fldChar w:fldCharType="begin"/>
      </w:r>
      <w:r w:rsidRPr="00F87D0E">
        <w:instrText xml:space="preserve"> REF _Ref129277657 \r \h  \* MERGEFORMAT </w:instrText>
      </w:r>
      <w:r w:rsidRPr="00F87D0E">
        <w:fldChar w:fldCharType="separate"/>
      </w:r>
      <w:r w:rsidR="000B0AC7">
        <w:t>3.2</w:t>
      </w:r>
      <w:r w:rsidRPr="00F87D0E">
        <w:fldChar w:fldCharType="end"/>
      </w:r>
      <w:r w:rsidRPr="00CE1D7F">
        <w:t xml:space="preserve"> </w:t>
      </w:r>
      <w:r w:rsidRPr="00CE1D7F">
        <w:rPr>
          <w:i/>
          <w:iCs/>
        </w:rPr>
        <w:t>Quantum Computation and Communication Technology</w:t>
      </w:r>
      <w:r w:rsidRPr="00CE1D7F">
        <w:t xml:space="preserve"> </w:t>
      </w:r>
      <w:r>
        <w:t>(see chapter </w:t>
      </w:r>
      <w:r w:rsidRPr="00F87D0E">
        <w:fldChar w:fldCharType="begin"/>
      </w:r>
      <w:r w:rsidR="00F87D0E" w:rsidRPr="00F87D0E">
        <w:instrText xml:space="preserve"> REF _Ref131081145 \r \h  \* MERGEFORMAT </w:instrText>
      </w:r>
      <w:r w:rsidRPr="00F87D0E">
        <w:fldChar w:fldCharType="separate"/>
      </w:r>
      <w:r w:rsidR="000B0AC7">
        <w:t>7</w:t>
      </w:r>
      <w:r w:rsidRPr="00F87D0E">
        <w:fldChar w:fldCharType="end"/>
      </w:r>
      <w:r>
        <w:t xml:space="preserve">) </w:t>
      </w:r>
      <w:r w:rsidRPr="00CE1D7F">
        <w:t>is also expected to deliver environmental and sustainability impacts, for example, by improving our understanding of weather patterns and developing more efficient clean energy technologies.</w:t>
      </w:r>
    </w:p>
    <w:p w14:paraId="1E979A82" w14:textId="4AF37DAC" w:rsidR="002B32A0" w:rsidRPr="00CE1D7F" w:rsidRDefault="002B32A0" w:rsidP="002B32A0">
      <w:pPr>
        <w:pStyle w:val="BodyText"/>
      </w:pPr>
      <w:r w:rsidRPr="00CE1D7F">
        <w:rPr>
          <w:i/>
          <w:iCs/>
        </w:rPr>
        <w:t>Aquifer Reinjection</w:t>
      </w:r>
      <w:r w:rsidRPr="00CE1D7F">
        <w:t xml:space="preserve"> </w:t>
      </w:r>
      <w:r>
        <w:t>(see chapter </w:t>
      </w:r>
      <w:r w:rsidRPr="00F87D0E">
        <w:fldChar w:fldCharType="begin"/>
      </w:r>
      <w:r w:rsidR="00F87D0E" w:rsidRPr="00F87D0E">
        <w:instrText xml:space="preserve"> REF _Ref131081228 \r \h  \* MERGEFORMAT </w:instrText>
      </w:r>
      <w:r w:rsidRPr="00F87D0E">
        <w:fldChar w:fldCharType="separate"/>
      </w:r>
      <w:r w:rsidR="000B0AC7">
        <w:t>8</w:t>
      </w:r>
      <w:r w:rsidRPr="00F87D0E">
        <w:fldChar w:fldCharType="end"/>
      </w:r>
      <w:r>
        <w:t xml:space="preserve">) </w:t>
      </w:r>
      <w:r w:rsidRPr="00CE1D7F">
        <w:t>research has enabled the Water Corporation to source an estimated total of 100</w:t>
      </w:r>
      <w:r>
        <w:t> gigalitres</w:t>
      </w:r>
      <w:r w:rsidRPr="00CE1D7F">
        <w:t xml:space="preserve"> of groundwater from Perth’s aquifers. This has enabled the Water Corporation to significantly reduce its energy consumption and help it meet its emissions reduction targets. The injection of water into Perth’s aquifers is helping protect important wetlands and lakes, and, in turn, ensure the protection of flora and fauna dependent on those wetlands. </w:t>
      </w:r>
    </w:p>
    <w:p w14:paraId="390F409F" w14:textId="77777777" w:rsidR="002B32A0" w:rsidRDefault="002B32A0" w:rsidP="002B32A0">
      <w:pPr>
        <w:pStyle w:val="Heading2"/>
      </w:pPr>
      <w:bookmarkStart w:id="158" w:name="_Ref129083740"/>
      <w:bookmarkStart w:id="159" w:name="_Toc129963959"/>
      <w:bookmarkStart w:id="160" w:name="_Toc131174598"/>
      <w:bookmarkStart w:id="161" w:name="_Toc132970650"/>
      <w:bookmarkStart w:id="162" w:name="_Toc135323689"/>
      <w:r w:rsidRPr="00CE1D7F">
        <w:lastRenderedPageBreak/>
        <w:t>Cultural</w:t>
      </w:r>
      <w:r w:rsidRPr="00CE1D7F">
        <w:rPr>
          <w:noProof/>
        </w:rPr>
        <mc:AlternateContent>
          <mc:Choice Requires="wps">
            <w:drawing>
              <wp:anchor distT="0" distB="0" distL="114300" distR="114300" simplePos="0" relativeHeight="251674624" behindDoc="0" locked="1" layoutInCell="1" allowOverlap="1" wp14:anchorId="644A1DC1" wp14:editId="7C37E1A2">
                <wp:simplePos x="0" y="0"/>
                <wp:positionH relativeFrom="page">
                  <wp:posOffset>379730</wp:posOffset>
                </wp:positionH>
                <wp:positionV relativeFrom="paragraph">
                  <wp:posOffset>-5080</wp:posOffset>
                </wp:positionV>
                <wp:extent cx="1289050" cy="732790"/>
                <wp:effectExtent l="0" t="0" r="0" b="0"/>
                <wp:wrapNone/>
                <wp:docPr id="112" name="Text Box 1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289050" cy="7327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C40C582" w14:textId="77777777" w:rsidR="002B32A0" w:rsidRPr="00537EDE" w:rsidRDefault="002B32A0" w:rsidP="002B32A0">
                            <w:pPr>
                              <w:pStyle w:val="SideNoteRegularRight"/>
                              <w:jc w:val="left"/>
                              <w:rPr>
                                <w:szCs w:val="18"/>
                              </w:rPr>
                            </w:pPr>
                            <w:r w:rsidRPr="00537EDE">
                              <w:rPr>
                                <w:szCs w:val="18"/>
                              </w:rPr>
                              <w:t xml:space="preserve">KEQ 1. What are the short-, medium- and long-term outcomes and impacts of </w:t>
                            </w:r>
                            <w:r>
                              <w:rPr>
                                <w:szCs w:val="18"/>
                              </w:rPr>
                              <w:t>ARC-funded</w:t>
                            </w:r>
                            <w:r w:rsidRPr="00537EDE">
                              <w:rPr>
                                <w:szCs w:val="18"/>
                              </w:rPr>
                              <w:t xml:space="preserve"> research? Is the NCGP achieving its intended outcomes?</w:t>
                            </w:r>
                          </w:p>
                          <w:p w14:paraId="7BE5D547" w14:textId="77777777" w:rsidR="002B32A0" w:rsidRPr="00537EDE" w:rsidRDefault="002B32A0" w:rsidP="002B32A0">
                            <w:pPr>
                              <w:pStyle w:val="SideNoteRegularRight"/>
                              <w:rPr>
                                <w:sz w:val="24"/>
                                <w:szCs w:val="20"/>
                              </w:rPr>
                            </w:pPr>
                          </w:p>
                        </w:txbxContent>
                      </wps:txbx>
                      <wps:bodyPr rot="0" spcFirstLastPara="0" vertOverflow="overflow" horzOverflow="overflow" vert="horz" wrap="square" lIns="0" tIns="0" rIns="76200" bIns="762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44A1DC1" id="Text Box 112" o:spid="_x0000_s1032" type="#_x0000_t202" alt="&quot;&quot;" style="position:absolute;left:0;text-align:left;margin-left:29.9pt;margin-top:-.4pt;width:101.5pt;height:57.7pt;z-index:251674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" filled="f" stroked="f" strokeweight=".5pt">
                <v:textbox style="mso-fit-shape-to-text:t" inset="0,0,6pt,6pt">
                  <w:txbxContent>
                    <w:p w14:paraId="1C40C582" w14:textId="77777777" w:rsidR="002B32A0" w:rsidRPr="00537EDE" w:rsidRDefault="002B32A0" w:rsidP="002B32A0">
                      <w:pPr>
                        <w:pStyle w:val="SideNoteRegularRight"/>
                        <w:jc w:val="left"/>
                        <w:rPr>
                          <w:szCs w:val="18"/>
                        </w:rPr>
                      </w:pPr>
                      <w:r w:rsidRPr="00537EDE">
                        <w:rPr>
                          <w:szCs w:val="18"/>
                        </w:rPr>
                        <w:t xml:space="preserve">KEQ 1. What are the short-, medium- and long-term outcomes and impacts of </w:t>
                      </w:r>
                      <w:r>
                        <w:rPr>
                          <w:szCs w:val="18"/>
                        </w:rPr>
                        <w:t>ARC-funded</w:t>
                      </w:r>
                      <w:r w:rsidRPr="00537EDE">
                        <w:rPr>
                          <w:szCs w:val="18"/>
                        </w:rPr>
                        <w:t xml:space="preserve"> research? Is the NCGP achieving its intended outcomes?</w:t>
                      </w:r>
                    </w:p>
                    <w:p w14:paraId="7BE5D547" w14:textId="77777777" w:rsidR="002B32A0" w:rsidRPr="00537EDE" w:rsidRDefault="002B32A0" w:rsidP="002B32A0">
                      <w:pPr>
                        <w:pStyle w:val="SideNoteRegularRight"/>
                        <w:rPr>
                          <w:sz w:val="24"/>
                          <w:szCs w:val="20"/>
                        </w:rPr>
                      </w:pPr>
                    </w:p>
                  </w:txbxContent>
                </v:textbox>
                <w10:wrap anchorx="page"/>
                <w10:anchorlock/>
              </v:shape>
            </w:pict>
          </mc:Fallback>
        </mc:AlternateContent>
      </w:r>
      <w:r w:rsidRPr="00CE1D7F">
        <w:t xml:space="preserve"> </w:t>
      </w:r>
      <w:bookmarkEnd w:id="158"/>
      <w:r w:rsidRPr="00CE1D7F">
        <w:t>impacts</w:t>
      </w:r>
      <w:bookmarkEnd w:id="159"/>
      <w:bookmarkEnd w:id="160"/>
      <w:bookmarkEnd w:id="161"/>
      <w:bookmarkEnd w:id="162"/>
      <w:r w:rsidRPr="00CE1D7F">
        <w:t xml:space="preserve"> </w:t>
      </w:r>
    </w:p>
    <w:p w14:paraId="214C1FD0" w14:textId="119996D2" w:rsidR="000B0AC7" w:rsidRPr="00CE1D7F" w:rsidRDefault="000B0AC7" w:rsidP="006258ED">
      <w:pPr>
        <w:pStyle w:val="Caption"/>
      </w:pPr>
      <w:r w:rsidRPr="00CE1D7F">
        <w:rPr>
          <w:rStyle w:val="CaptionLabel"/>
        </w:rPr>
        <w:t>Key Finding </w:t>
      </w:r>
      <w:r w:rsidRPr="00CE1D7F">
        <w:rPr>
          <w:rStyle w:val="CaptionLabel"/>
        </w:rPr>
        <w:fldChar w:fldCharType="begin"/>
      </w:r>
      <w:r w:rsidRPr="00CE1D7F">
        <w:rPr>
          <w:rStyle w:val="CaptionLabel"/>
        </w:rPr>
        <w:instrText xml:space="preserve"> SEQ Key_Finding \* ARABIC  \* MERGEFORMAT </w:instrText>
      </w:r>
      <w:r w:rsidRPr="00CE1D7F">
        <w:rPr>
          <w:rStyle w:val="CaptionLabel"/>
        </w:rPr>
        <w:fldChar w:fldCharType="separate"/>
      </w:r>
      <w:r>
        <w:rPr>
          <w:rStyle w:val="CaptionLabel"/>
          <w:noProof/>
        </w:rPr>
        <w:t>7</w:t>
      </w:r>
      <w:r w:rsidRPr="00CE1D7F">
        <w:rPr>
          <w:rStyle w:val="CaptionLabel"/>
        </w:rPr>
        <w:fldChar w:fldCharType="end"/>
      </w:r>
      <w:r w:rsidRPr="00CE1D7F">
        <w:tab/>
        <w:t>Contribution to culture</w:t>
      </w:r>
    </w:p>
    <w:tbl>
      <w:tblPr>
        <w:tblW w:w="0" w:type="auto"/>
        <w:tblLayout w:type="fixed"/>
        <w:tblCellMar>
          <w:left w:w="0" w:type="dxa"/>
          <w:right w:w="0" w:type="dxa"/>
        </w:tblCellMar>
        <w:tblLook w:val="0000" w:firstRow="0" w:lastRow="0" w:firstColumn="0" w:lastColumn="0" w:noHBand="0" w:noVBand="0"/>
        <w:tblCaption w:val="Key Finding 7"/>
        <w:tblDescription w:val="Contribution to culture"/>
      </w:tblPr>
      <w:tblGrid>
        <w:gridCol w:w="7936"/>
      </w:tblGrid>
      <w:tr w:rsidR="002B32A0" w:rsidRPr="00CE1D7F" w14:paraId="34E4C1CA" w14:textId="77777777" w:rsidTr="006258ED">
        <w:tc>
          <w:tcPr>
            <w:tcW w:w="7936" w:type="dxa"/>
            <w:shd w:val="clear" w:color="auto" w:fill="E5E5E5"/>
            <w:tcMar>
              <w:top w:w="112" w:type="dxa"/>
              <w:bottom w:w="184" w:type="dxa"/>
              <w:right w:w="120" w:type="dxa"/>
            </w:tcMar>
          </w:tcPr>
          <w:p w14:paraId="265EF57F" w14:textId="77777777" w:rsidR="002B32A0" w:rsidRPr="00B412F4" w:rsidRDefault="002B32A0" w:rsidP="006258ED">
            <w:pPr>
              <w:pStyle w:val="BoxText"/>
              <w:rPr>
                <w:sz w:val="22"/>
              </w:rPr>
            </w:pPr>
            <w:r>
              <w:rPr>
                <w:sz w:val="22"/>
              </w:rPr>
              <w:t xml:space="preserve">About half of </w:t>
            </w:r>
            <w:r w:rsidRPr="00B412F4">
              <w:rPr>
                <w:sz w:val="22"/>
              </w:rPr>
              <w:t xml:space="preserve">NCGP-funded </w:t>
            </w:r>
            <w:r>
              <w:rPr>
                <w:sz w:val="22"/>
              </w:rPr>
              <w:t>researchers reported</w:t>
            </w:r>
            <w:r w:rsidRPr="00B412F4">
              <w:rPr>
                <w:sz w:val="22"/>
              </w:rPr>
              <w:t xml:space="preserve"> deliver</w:t>
            </w:r>
            <w:r>
              <w:rPr>
                <w:sz w:val="22"/>
              </w:rPr>
              <w:t>ing</w:t>
            </w:r>
            <w:r w:rsidRPr="00B412F4">
              <w:rPr>
                <w:sz w:val="22"/>
              </w:rPr>
              <w:t xml:space="preserve"> cultural impacts. Projects reported contributing to cultural impacts by improving cultural understanding and preservation.</w:t>
            </w:r>
          </w:p>
          <w:p w14:paraId="23FCD0D8" w14:textId="77777777" w:rsidR="002B32A0" w:rsidRPr="00CE1D7F" w:rsidRDefault="002B32A0" w:rsidP="006258ED">
            <w:pPr>
              <w:pStyle w:val="BoxText"/>
            </w:pPr>
            <w:r w:rsidRPr="00B412F4">
              <w:rPr>
                <w:sz w:val="22"/>
              </w:rPr>
              <w:t>The case studies highlight the significant impacts of the research on culture, including supporting a culture change movement on DFV, and enabling deeper cultural connections, understanding and engagement across 3 community partners and other end-users globally.</w:t>
            </w:r>
            <w:r w:rsidRPr="001A6DB5">
              <w:rPr>
                <w:sz w:val="22"/>
                <w:szCs w:val="24"/>
              </w:rPr>
              <w:t xml:space="preserve"> </w:t>
            </w:r>
          </w:p>
        </w:tc>
      </w:tr>
    </w:tbl>
    <w:p w14:paraId="46EB3B9F" w14:textId="77777777" w:rsidR="002B32A0" w:rsidRPr="001A6DB5" w:rsidRDefault="002B32A0" w:rsidP="002B32A0">
      <w:pPr>
        <w:pStyle w:val="BodyText"/>
      </w:pPr>
    </w:p>
    <w:p w14:paraId="495B296A" w14:textId="1BB58808" w:rsidR="002B32A0" w:rsidRPr="00CE1D7F" w:rsidRDefault="002B32A0" w:rsidP="002B32A0">
      <w:r w:rsidRPr="00CE1D7F">
        <w:t xml:space="preserve">Contribution to cultural impact is a core purpose of the NCGP and aligns with the intended outcomes of enhancing the quality of life in Australia (see </w:t>
      </w:r>
      <w:r>
        <w:t>section </w:t>
      </w:r>
      <w:r w:rsidRPr="00F87D0E">
        <w:fldChar w:fldCharType="begin"/>
      </w:r>
      <w:r w:rsidRPr="00F87D0E">
        <w:instrText xml:space="preserve"> REF _Ref129851768 \r \h  \* MERGEFORMAT </w:instrText>
      </w:r>
      <w:r w:rsidRPr="00F87D0E">
        <w:fldChar w:fldCharType="separate"/>
      </w:r>
      <w:r w:rsidR="000B0AC7">
        <w:t>1.1.1</w:t>
      </w:r>
      <w:r w:rsidRPr="00F87D0E">
        <w:fldChar w:fldCharType="end"/>
      </w:r>
      <w:r w:rsidRPr="00CE1D7F">
        <w:t xml:space="preserve">). As overviewed in </w:t>
      </w:r>
      <w:r w:rsidRPr="00F87D0E">
        <w:fldChar w:fldCharType="begin"/>
      </w:r>
      <w:r w:rsidRPr="00F87D0E">
        <w:instrText xml:space="preserve"> REF _Ref129598297 \h  \* MERGEFORMAT </w:instrText>
      </w:r>
      <w:r w:rsidRPr="00F87D0E">
        <w:fldChar w:fldCharType="separate"/>
      </w:r>
      <w:r w:rsidR="000B0AC7" w:rsidRPr="000B0AC7">
        <w:t>Figure 2.1</w:t>
      </w:r>
      <w:r w:rsidRPr="00F87D0E">
        <w:fldChar w:fldCharType="end"/>
      </w:r>
      <w:r w:rsidRPr="00CE1D7F">
        <w:t xml:space="preserve">, this includes, for example, improved cultural understanding, preservation and creativity, improved documentation and incorporation of cultural values and practices, and improved cultural sensitivity and awareness. Cultural impacts are closely tied with social impacts (see </w:t>
      </w:r>
      <w:r>
        <w:t>section </w:t>
      </w:r>
      <w:r w:rsidRPr="00F87D0E">
        <w:fldChar w:fldCharType="begin"/>
      </w:r>
      <w:r w:rsidRPr="00F87D0E">
        <w:instrText xml:space="preserve"> REF _Ref129852313 \r \h  \* MERGEFORMAT </w:instrText>
      </w:r>
      <w:r w:rsidRPr="00F87D0E">
        <w:fldChar w:fldCharType="separate"/>
      </w:r>
      <w:r w:rsidR="000B0AC7">
        <w:t>3.2</w:t>
      </w:r>
      <w:r w:rsidRPr="00F87D0E">
        <w:fldChar w:fldCharType="end"/>
      </w:r>
      <w:r w:rsidRPr="00CE1D7F">
        <w:t xml:space="preserve">) as improved understanding and preservation of culture leads to improved social cohesion within and beyond Australia and benefits a broad range of community members. </w:t>
      </w:r>
    </w:p>
    <w:p w14:paraId="49509B81" w14:textId="3EA9125C" w:rsidR="002B32A0" w:rsidRPr="00CE1D7F" w:rsidRDefault="002B32A0" w:rsidP="002B32A0">
      <w:pPr>
        <w:pStyle w:val="BodyText"/>
      </w:pPr>
      <w:r w:rsidRPr="00CE1D7F">
        <w:t xml:space="preserve">The Discovery and Linkage programs play a key role in supporting cultural impacts, noting that the evidence below is a small proportion of the potential impact delivered by the NCGP. This could be documented with additional evidence and a systematic assessment framework (see </w:t>
      </w:r>
      <w:r>
        <w:t>chapter </w:t>
      </w:r>
      <w:r w:rsidRPr="00F87D0E">
        <w:fldChar w:fldCharType="begin"/>
      </w:r>
      <w:r w:rsidRPr="00F87D0E">
        <w:instrText xml:space="preserve"> REF _Ref129851328 \r \h  \* MERGEFORMAT </w:instrText>
      </w:r>
      <w:r w:rsidRPr="00F87D0E">
        <w:fldChar w:fldCharType="separate"/>
      </w:r>
      <w:r w:rsidR="000B0AC7">
        <w:t>5</w:t>
      </w:r>
      <w:r w:rsidRPr="00F87D0E">
        <w:fldChar w:fldCharType="end"/>
      </w:r>
      <w:r w:rsidRPr="00CE1D7F">
        <w:t>).</w:t>
      </w:r>
    </w:p>
    <w:p w14:paraId="346A6F18" w14:textId="77777777" w:rsidR="002B32A0" w:rsidRPr="00CE1D7F" w:rsidRDefault="002B32A0" w:rsidP="002B32A0">
      <w:pPr>
        <w:pStyle w:val="Heading3"/>
      </w:pPr>
      <w:r w:rsidRPr="00CE1D7F">
        <w:t>Evidence of cultural impact</w:t>
      </w:r>
    </w:p>
    <w:p w14:paraId="7234AD47" w14:textId="7761AA67" w:rsidR="002B32A0" w:rsidRPr="00CE1D7F" w:rsidRDefault="002B32A0" w:rsidP="002B32A0">
      <w:pPr>
        <w:pStyle w:val="BodyText"/>
      </w:pPr>
      <w:r w:rsidRPr="00CE1D7F">
        <w:t xml:space="preserve">Final report data (see </w:t>
      </w:r>
      <w:r w:rsidRPr="00F87D0E">
        <w:fldChar w:fldCharType="begin"/>
      </w:r>
      <w:r w:rsidRPr="00F87D0E">
        <w:instrText xml:space="preserve"> REF _Ref129355755 \h  \* MERGEFORMAT </w:instrText>
      </w:r>
      <w:r w:rsidRPr="00F87D0E">
        <w:fldChar w:fldCharType="separate"/>
      </w:r>
      <w:r w:rsidR="000B0AC7" w:rsidRPr="000B0AC7">
        <w:t>Figure D.4</w:t>
      </w:r>
      <w:r w:rsidRPr="00F87D0E">
        <w:fldChar w:fldCharType="end"/>
      </w:r>
      <w:r w:rsidRPr="00CE1D7F">
        <w:t>) shows that Discovery and Linkage Program projects reported a similar proportion of projects delivering cultural impacts (13% and 11%, respectively). This was the least commonly reported impact type.</w:t>
      </w:r>
    </w:p>
    <w:p w14:paraId="69E87A85" w14:textId="7FB0D675" w:rsidR="002B32A0" w:rsidRPr="00CE1D7F" w:rsidRDefault="002B32A0" w:rsidP="002B32A0">
      <w:pPr>
        <w:pStyle w:val="BodyText"/>
      </w:pPr>
      <w:r w:rsidRPr="00CE1D7F">
        <w:t xml:space="preserve">More detailed cultural impacts (see </w:t>
      </w:r>
      <w:r w:rsidRPr="00F87D0E">
        <w:fldChar w:fldCharType="begin"/>
      </w:r>
      <w:r w:rsidRPr="00F87D0E">
        <w:instrText xml:space="preserve"> REF _Ref128398141 \h  \* MERGEFORMAT </w:instrText>
      </w:r>
      <w:r w:rsidRPr="00F87D0E">
        <w:fldChar w:fldCharType="separate"/>
      </w:r>
      <w:r w:rsidR="000B0AC7" w:rsidRPr="000B0AC7">
        <w:t>Figure 3.10</w:t>
      </w:r>
      <w:r w:rsidRPr="00F87D0E">
        <w:fldChar w:fldCharType="end"/>
      </w:r>
      <w:r w:rsidRPr="00CE1D7F">
        <w:t>) were slightly more likely to be delivered by Discovery Program projects, particularly for improved cultural understanding, where 9.7% of Discovery and 7.4% of Linkage Program projects reported this impact. Both Programs were most likely to improve cultural understanding, followed by cultural preservation.</w:t>
      </w:r>
    </w:p>
    <w:p w14:paraId="266D9725" w14:textId="03B0EC96" w:rsidR="000B0AC7" w:rsidRPr="00CE1D7F" w:rsidRDefault="000B0AC7" w:rsidP="000B0AC7">
      <w:pPr>
        <w:pStyle w:val="Caption"/>
        <w:ind w:left="1308" w:hanging="1308"/>
      </w:pPr>
      <w:bookmarkStart w:id="163" w:name="_Ref128398141"/>
      <w:r w:rsidRPr="00FC0C7C">
        <w:rPr>
          <w:rStyle w:val="CaptionLabel"/>
        </w:rPr>
        <w:t>Figure </w:t>
      </w:r>
      <w:r w:rsidRPr="00FC0C7C">
        <w:rPr>
          <w:rStyle w:val="CaptionLabel"/>
        </w:rPr>
        <w:fldChar w:fldCharType="begin"/>
      </w:r>
      <w:r w:rsidRPr="00FC0C7C">
        <w:rPr>
          <w:rStyle w:val="CaptionLabel"/>
        </w:rPr>
        <w:instrText xml:space="preserve"> STYLEREF 1 \s </w:instrText>
      </w:r>
      <w:r w:rsidRPr="00FC0C7C">
        <w:rPr>
          <w:rStyle w:val="CaptionLabel"/>
        </w:rPr>
        <w:fldChar w:fldCharType="separate"/>
      </w:r>
      <w:r w:rsidRPr="00FC0C7C">
        <w:rPr>
          <w:rStyle w:val="CaptionLabel"/>
          <w:noProof/>
        </w:rPr>
        <w:t>3</w:t>
      </w:r>
      <w:r w:rsidRPr="00FC0C7C">
        <w:rPr>
          <w:rStyle w:val="CaptionLabel"/>
        </w:rPr>
        <w:fldChar w:fldCharType="end"/>
      </w:r>
      <w:r w:rsidRPr="00FC0C7C">
        <w:rPr>
          <w:rStyle w:val="CaptionLabel"/>
        </w:rPr>
        <w:t>.</w:t>
      </w:r>
      <w:r w:rsidRPr="00FC0C7C">
        <w:rPr>
          <w:rStyle w:val="CaptionLabel"/>
        </w:rPr>
        <w:fldChar w:fldCharType="begin"/>
      </w:r>
      <w:r w:rsidRPr="00FC0C7C">
        <w:rPr>
          <w:rStyle w:val="CaptionLabel"/>
        </w:rPr>
        <w:instrText xml:space="preserve"> SEQ Figure \* ARABIC \s 1 </w:instrText>
      </w:r>
      <w:r w:rsidRPr="00FC0C7C">
        <w:rPr>
          <w:rStyle w:val="CaptionLabel"/>
        </w:rPr>
        <w:fldChar w:fldCharType="separate"/>
      </w:r>
      <w:r w:rsidRPr="00FC0C7C">
        <w:rPr>
          <w:rStyle w:val="CaptionLabel"/>
          <w:noProof/>
        </w:rPr>
        <w:t>10</w:t>
      </w:r>
      <w:r w:rsidRPr="00FC0C7C">
        <w:rPr>
          <w:rStyle w:val="CaptionLabel"/>
        </w:rPr>
        <w:fldChar w:fldCharType="end"/>
      </w:r>
      <w:bookmarkEnd w:id="163"/>
      <w:r w:rsidRPr="00FC0C7C">
        <w:tab/>
        <w:t>Final report data on cultural impacts by Discovery and Linkage Programs</w:t>
      </w:r>
    </w:p>
    <w:tbl>
      <w:tblPr>
        <w:tblW w:w="0" w:type="auto"/>
        <w:tblLayout w:type="fixed"/>
        <w:tblLook w:val="0000" w:firstRow="0" w:lastRow="0" w:firstColumn="0" w:lastColumn="0" w:noHBand="0" w:noVBand="0"/>
      </w:tblPr>
      <w:tblGrid>
        <w:gridCol w:w="7936"/>
      </w:tblGrid>
      <w:tr w:rsidR="002B32A0" w:rsidRPr="00CE1D7F" w14:paraId="54A9D11C" w14:textId="77777777" w:rsidTr="006258ED">
        <w:tc>
          <w:tcPr>
            <w:tcW w:w="7936" w:type="dxa"/>
            <w:tcBorders>
              <w:top w:val="single" w:sz="4" w:space="0" w:color="000100"/>
            </w:tcBorders>
            <w:shd w:val="clear" w:color="auto" w:fill="auto"/>
          </w:tcPr>
          <w:p w14:paraId="734261AB" w14:textId="77777777" w:rsidR="002B32A0" w:rsidRPr="00CE1D7F" w:rsidRDefault="002B32A0" w:rsidP="006258ED">
            <w:pPr>
              <w:pStyle w:val="Figure"/>
              <w:rPr>
                <w:noProof/>
              </w:rPr>
            </w:pPr>
            <w:r w:rsidRPr="00CE1D7F">
              <w:rPr>
                <w:noProof/>
              </w:rPr>
              <w:drawing>
                <wp:inline distT="0" distB="0" distL="0" distR="0" wp14:anchorId="4712E2D8" wp14:editId="16C52D0F">
                  <wp:extent cx="4932045" cy="2243455"/>
                  <wp:effectExtent l="0" t="0" r="1905" b="4445"/>
                  <wp:docPr id="613" name="Picture 613" descr="Final report data on cultural impacts by Discovery and Linkage Programs, see description in text abov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 name="Picture 613" descr="Final report data on cultural impacts by Discovery and Linkage Programs, see description in text above figure."/>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932045" cy="2243455"/>
                          </a:xfrm>
                          <a:prstGeom prst="rect">
                            <a:avLst/>
                          </a:prstGeom>
                          <a:noFill/>
                        </pic:spPr>
                      </pic:pic>
                    </a:graphicData>
                  </a:graphic>
                </wp:inline>
              </w:drawing>
            </w:r>
          </w:p>
        </w:tc>
      </w:tr>
      <w:tr w:rsidR="002B32A0" w:rsidRPr="00CE1D7F" w14:paraId="6839552B" w14:textId="77777777" w:rsidTr="006258ED">
        <w:tblPrEx>
          <w:tblCellMar>
            <w:left w:w="0" w:type="dxa"/>
            <w:right w:w="0" w:type="dxa"/>
          </w:tblCellMar>
        </w:tblPrEx>
        <w:trPr>
          <w:trHeight w:val="125"/>
        </w:trPr>
        <w:tc>
          <w:tcPr>
            <w:tcW w:w="7936" w:type="dxa"/>
            <w:tcBorders>
              <w:bottom w:val="single" w:sz="4" w:space="0" w:color="000100"/>
            </w:tcBorders>
            <w:shd w:val="clear" w:color="auto" w:fill="auto"/>
            <w:tcMar>
              <w:top w:w="12" w:type="dxa"/>
              <w:bottom w:w="113" w:type="dxa"/>
            </w:tcMar>
          </w:tcPr>
          <w:p w14:paraId="11C7FFE8" w14:textId="77777777" w:rsidR="002B32A0" w:rsidRPr="00CE1D7F" w:rsidRDefault="002B32A0" w:rsidP="006258ED">
            <w:pPr>
              <w:pStyle w:val="Source"/>
              <w:rPr>
                <w:i w:val="0"/>
                <w:iCs/>
              </w:rPr>
            </w:pPr>
            <w:r w:rsidRPr="00CE1D7F">
              <w:rPr>
                <w:i w:val="0"/>
                <w:iCs/>
              </w:rPr>
              <w:t>N=4,221 final reports</w:t>
            </w:r>
          </w:p>
          <w:p w14:paraId="40B12DDD" w14:textId="77777777" w:rsidR="002B32A0" w:rsidRPr="00CE1D7F" w:rsidRDefault="002B32A0" w:rsidP="006258ED">
            <w:pPr>
              <w:pStyle w:val="Source"/>
            </w:pPr>
            <w:r w:rsidRPr="00CE1D7F">
              <w:lastRenderedPageBreak/>
              <w:t>Source: ACIL Allen’s analysis of ARC Final Reports for grants awarded between 2002 and 2021 (with an ARC-approved Final Report by 30 June 2022).</w:t>
            </w:r>
          </w:p>
        </w:tc>
      </w:tr>
      <w:tr w:rsidR="002B32A0" w:rsidRPr="00CE1D7F" w14:paraId="65743518" w14:textId="77777777" w:rsidTr="006258ED">
        <w:tblPrEx>
          <w:tblCellMar>
            <w:left w:w="0" w:type="dxa"/>
            <w:right w:w="0" w:type="dxa"/>
          </w:tblCellMar>
        </w:tblPrEx>
        <w:trPr>
          <w:trHeight w:hRule="exact" w:val="160"/>
        </w:trPr>
        <w:tc>
          <w:tcPr>
            <w:tcW w:w="7936" w:type="dxa"/>
            <w:tcBorders>
              <w:top w:val="single" w:sz="4" w:space="0" w:color="000100"/>
            </w:tcBorders>
            <w:shd w:val="clear" w:color="auto" w:fill="auto"/>
            <w:tcMar>
              <w:top w:w="0" w:type="dxa"/>
              <w:bottom w:w="40" w:type="dxa"/>
            </w:tcMar>
          </w:tcPr>
          <w:p w14:paraId="7A85434F" w14:textId="77777777" w:rsidR="002B32A0" w:rsidRPr="00CE1D7F" w:rsidRDefault="002B32A0" w:rsidP="006258ED">
            <w:pPr>
              <w:pStyle w:val="spacer"/>
            </w:pPr>
          </w:p>
        </w:tc>
      </w:tr>
    </w:tbl>
    <w:p w14:paraId="3625BC40" w14:textId="2526DC30" w:rsidR="002B32A0" w:rsidRPr="00CE1D7F" w:rsidRDefault="002B32A0" w:rsidP="002B32A0">
      <w:pPr>
        <w:pStyle w:val="BodyText"/>
      </w:pPr>
      <w:r w:rsidRPr="00CE1D7F">
        <w:t xml:space="preserve">This is supported by survey data, which shows that Discovery and Linkage Program projects were equally likely to deliver cultural impacts (may, likely to or has produced, 52% and 50%, respectively) (see </w:t>
      </w:r>
      <w:r w:rsidRPr="00F87D0E">
        <w:fldChar w:fldCharType="begin"/>
      </w:r>
      <w:r w:rsidRPr="00F87D0E">
        <w:instrText xml:space="preserve"> REF _Ref129355501 \h  \* MERGEFORMAT </w:instrText>
      </w:r>
      <w:r w:rsidRPr="00F87D0E">
        <w:fldChar w:fldCharType="separate"/>
      </w:r>
      <w:r w:rsidR="000B0AC7" w:rsidRPr="000B0AC7">
        <w:t>Figure C.2</w:t>
      </w:r>
      <w:r w:rsidRPr="00F87D0E">
        <w:fldChar w:fldCharType="end"/>
      </w:r>
      <w:r w:rsidRPr="00CE1D7F">
        <w:t>). Similar to the findings for other impacts presented above, survey data identifies a higher proportion of projects reporting cultural impacts.</w:t>
      </w:r>
    </w:p>
    <w:p w14:paraId="60B3B79E" w14:textId="77777777" w:rsidR="002B32A0" w:rsidRPr="00CE1D7F" w:rsidRDefault="002B32A0" w:rsidP="002B32A0">
      <w:pPr>
        <w:pStyle w:val="BodyText"/>
      </w:pPr>
      <w:r w:rsidRPr="00CE1D7F">
        <w:t xml:space="preserve">Qualitative analysis of survey free text responses to the question on unintended impacts achieved by the research shows that respondents awarded Linkage Program grants frequently reference </w:t>
      </w:r>
      <w:r w:rsidRPr="00CE1D7F">
        <w:rPr>
          <w:b/>
          <w:bCs/>
          <w:i/>
          <w:iCs/>
        </w:rPr>
        <w:t xml:space="preserve">culture </w:t>
      </w:r>
      <w:r w:rsidRPr="00CE1D7F">
        <w:t xml:space="preserve">(10) and </w:t>
      </w:r>
      <w:r w:rsidRPr="00CE1D7F">
        <w:rPr>
          <w:b/>
          <w:bCs/>
          <w:i/>
          <w:iCs/>
        </w:rPr>
        <w:t xml:space="preserve">collaboration </w:t>
      </w:r>
      <w:r w:rsidRPr="00CE1D7F">
        <w:t>(8).</w:t>
      </w:r>
    </w:p>
    <w:p w14:paraId="69981677" w14:textId="77777777" w:rsidR="002B32A0" w:rsidRPr="00CE1D7F" w:rsidRDefault="002B32A0" w:rsidP="002B32A0">
      <w:pPr>
        <w:pStyle w:val="Quote"/>
      </w:pPr>
      <w:r w:rsidRPr="00CE1D7F">
        <w:t>“Improved cultural understanding for Indigenous communities on K'gari, with possible tourism implications.” – Survey respondent</w:t>
      </w:r>
    </w:p>
    <w:p w14:paraId="0AA2CCEB" w14:textId="77777777" w:rsidR="002B32A0" w:rsidRPr="00CE1D7F" w:rsidRDefault="002B32A0" w:rsidP="002B32A0">
      <w:pPr>
        <w:pStyle w:val="Heading3"/>
      </w:pPr>
      <w:r w:rsidRPr="00CE1D7F">
        <w:t>Examples of excellent research delivering cultural impacts</w:t>
      </w:r>
    </w:p>
    <w:p w14:paraId="229C0640" w14:textId="77777777" w:rsidR="002B32A0" w:rsidRPr="00CE1D7F" w:rsidRDefault="002B32A0" w:rsidP="002B32A0">
      <w:pPr>
        <w:pStyle w:val="BodyText"/>
      </w:pPr>
      <w:r w:rsidRPr="00CE1D7F">
        <w:t>The case studies highlight excellent NCGP-funded research that contributes to cultural impacts across Australia and internationally. This directly enhances the quality of life in Australia and internationally by impacting communities and cultures.</w:t>
      </w:r>
    </w:p>
    <w:p w14:paraId="56A8858A" w14:textId="693B441F" w:rsidR="002B32A0" w:rsidRPr="00CE1D7F" w:rsidRDefault="002B32A0" w:rsidP="002B32A0">
      <w:pPr>
        <w:pStyle w:val="BodyText"/>
      </w:pPr>
      <w:r w:rsidRPr="00CE1D7F">
        <w:rPr>
          <w:i/>
          <w:iCs/>
        </w:rPr>
        <w:t>Changing the law to protect survivors of DFV</w:t>
      </w:r>
      <w:r w:rsidRPr="00CE1D7F" w:rsidDel="00F929EA">
        <w:t xml:space="preserve"> </w:t>
      </w:r>
      <w:r w:rsidRPr="00774AEF">
        <w:t>(</w:t>
      </w:r>
      <w:r>
        <w:t>see chapter </w:t>
      </w:r>
      <w:r w:rsidRPr="00F87D0E">
        <w:fldChar w:fldCharType="begin"/>
      </w:r>
      <w:r w:rsidR="00F87D0E" w:rsidRPr="00F87D0E">
        <w:instrText xml:space="preserve"> REF _Ref132715666 \r \h  \* MERGEFORMAT </w:instrText>
      </w:r>
      <w:r w:rsidRPr="00F87D0E">
        <w:fldChar w:fldCharType="separate"/>
      </w:r>
      <w:r w:rsidR="000B0AC7">
        <w:t>11</w:t>
      </w:r>
      <w:r w:rsidRPr="00F87D0E">
        <w:fldChar w:fldCharType="end"/>
      </w:r>
      <w:r w:rsidRPr="00774AEF">
        <w:t>)</w:t>
      </w:r>
      <w:r>
        <w:t xml:space="preserve"> </w:t>
      </w:r>
      <w:r w:rsidRPr="00CE1D7F">
        <w:t xml:space="preserve">provided an evidence base to inform and raise awareness of a wider culture change movement in the way society considers and responds to DFV. This has in part been driven by recent high-profile DFV cases, the me too Movement, government policy responses and growing investment in the space. </w:t>
      </w:r>
    </w:p>
    <w:p w14:paraId="1A17D321" w14:textId="27D3E92B" w:rsidR="002B32A0" w:rsidRPr="00CE1D7F" w:rsidRDefault="002B32A0" w:rsidP="002B32A0">
      <w:pPr>
        <w:pStyle w:val="BodyText"/>
      </w:pPr>
      <w:bookmarkStart w:id="164" w:name="_Hlk129183248"/>
      <w:r w:rsidRPr="00CE1D7F">
        <w:rPr>
          <w:i/>
        </w:rPr>
        <w:t>RRR: Indigenous Remains Repatriation</w:t>
      </w:r>
      <w:r w:rsidRPr="00CE1D7F">
        <w:t xml:space="preserve"> </w:t>
      </w:r>
      <w:r w:rsidRPr="00774AEF">
        <w:t>(</w:t>
      </w:r>
      <w:r>
        <w:t>see chapter </w:t>
      </w:r>
      <w:r w:rsidRPr="00F87D0E">
        <w:fldChar w:fldCharType="begin"/>
      </w:r>
      <w:r w:rsidR="00F87D0E" w:rsidRPr="00F87D0E">
        <w:instrText xml:space="preserve"> REF _Ref131081387 \r \h  \* MERGEFORMAT </w:instrText>
      </w:r>
      <w:r w:rsidRPr="00F87D0E">
        <w:fldChar w:fldCharType="separate"/>
      </w:r>
      <w:r w:rsidR="000B0AC7">
        <w:t>13</w:t>
      </w:r>
      <w:r w:rsidRPr="00F87D0E">
        <w:fldChar w:fldCharType="end"/>
      </w:r>
      <w:r w:rsidRPr="00774AEF">
        <w:t>)</w:t>
      </w:r>
      <w:r>
        <w:t xml:space="preserve"> </w:t>
      </w:r>
      <w:r w:rsidRPr="00CE1D7F">
        <w:t>significantly contributed to understanding the history of removal and return of ancestral remains, the relationship between heritage and reconciliation, and the economics and valuation mechanisms of the modern commercial trade in Indigenous remains. The research has been particularly culturally impactful for the 3 community partners. Before the RRR Archive, no centralised resource was available to provide the NRA with information on the ancestors in their Keeping Place or in domestic and international museums, while KALACC had only limited and paper-based information about the ancestral remains in its care. The GBK does not yet have a Resting Place but had similarly poor access to information about their ancestors held in domestic and international institutions.</w:t>
      </w:r>
    </w:p>
    <w:p w14:paraId="1F0B6438" w14:textId="77777777" w:rsidR="002B32A0" w:rsidRPr="00CE1D7F" w:rsidRDefault="002B32A0" w:rsidP="002B32A0">
      <w:pPr>
        <w:pStyle w:val="BodyText"/>
      </w:pPr>
      <w:r w:rsidRPr="00CE1D7F">
        <w:t xml:space="preserve">The RRR Community Partner Extension compiled information relating to the ancestral remains of the NRA, KALACC and GBK, synthesising and organising the information into a manageable form. The information relating to each group is stored in its own private </w:t>
      </w:r>
      <w:r>
        <w:t>section </w:t>
      </w:r>
      <w:r w:rsidRPr="00CE1D7F">
        <w:t>of the RRR Archive for access by each group. This information provided the NRA, KALACC and GBK with a greater understanding of the history and whereabouts of their ancestral remains and served as a tool to guide future repatriation processes. This information has been of significant cultural importance to each community partner. Access to such information can contribute to healing and wellbeing for Indigenous communities by supporting nation-building, self-determination, knowledge transmission, cultural governance and identity.</w:t>
      </w:r>
      <w:r w:rsidRPr="00CE1D7F">
        <w:rPr>
          <w:rStyle w:val="FootnoteReference"/>
        </w:rPr>
        <w:footnoteReference w:id="48"/>
      </w:r>
    </w:p>
    <w:p w14:paraId="131079E9" w14:textId="77777777" w:rsidR="002B32A0" w:rsidRDefault="002B32A0" w:rsidP="002B32A0">
      <w:pPr>
        <w:pStyle w:val="Heading2"/>
      </w:pPr>
      <w:bookmarkStart w:id="165" w:name="_Toc129963960"/>
      <w:bookmarkStart w:id="166" w:name="_Toc131174599"/>
      <w:bookmarkStart w:id="167" w:name="_Toc132970651"/>
      <w:bookmarkStart w:id="168" w:name="_Toc135323690"/>
      <w:bookmarkEnd w:id="164"/>
      <w:r w:rsidRPr="00CE1D7F">
        <w:lastRenderedPageBreak/>
        <w:t xml:space="preserve">Alignment with Government </w:t>
      </w:r>
      <w:r w:rsidRPr="00CE1D7F">
        <w:rPr>
          <w:noProof/>
        </w:rPr>
        <mc:AlternateContent>
          <mc:Choice Requires="wps">
            <w:drawing>
              <wp:anchor distT="0" distB="0" distL="114300" distR="114300" simplePos="0" relativeHeight="251666432" behindDoc="0" locked="1" layoutInCell="1" allowOverlap="1" wp14:anchorId="0E696807" wp14:editId="7CC89727">
                <wp:simplePos x="0" y="0"/>
                <wp:positionH relativeFrom="page">
                  <wp:posOffset>441325</wp:posOffset>
                </wp:positionH>
                <wp:positionV relativeFrom="paragraph">
                  <wp:posOffset>-5080</wp:posOffset>
                </wp:positionV>
                <wp:extent cx="1289050" cy="732790"/>
                <wp:effectExtent l="0" t="0" r="0" b="0"/>
                <wp:wrapNone/>
                <wp:docPr id="24" name="Text Box 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289050" cy="7327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64315DD" w14:textId="77777777" w:rsidR="002B32A0" w:rsidRPr="00537EDE" w:rsidRDefault="002B32A0" w:rsidP="002B32A0">
                            <w:pPr>
                              <w:pStyle w:val="SideNoteRegularRight"/>
                              <w:jc w:val="left"/>
                            </w:pPr>
                            <w:r w:rsidRPr="00537EDE">
                              <w:t>KEQ 2. Do the outcomes and impacts delivered by the NCGP align with the Government’s strategic priorities?</w:t>
                            </w:r>
                          </w:p>
                        </w:txbxContent>
                      </wps:txbx>
                      <wps:bodyPr rot="0" spcFirstLastPara="0" vertOverflow="overflow" horzOverflow="overflow" vert="horz" wrap="square" lIns="0" tIns="0" rIns="76200" bIns="762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E696807" id="Text Box 24" o:spid="_x0000_s1033" type="#_x0000_t202" alt="&quot;&quot;" style="position:absolute;left:0;text-align:left;margin-left:34.75pt;margin-top:-.4pt;width:101.5pt;height:57.7pt;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" filled="f" stroked="f" strokeweight=".5pt">
                <v:textbox style="mso-fit-shape-to-text:t" inset="0,0,6pt,6pt">
                  <w:txbxContent>
                    <w:p w14:paraId="564315DD" w14:textId="77777777" w:rsidR="002B32A0" w:rsidRPr="00537EDE" w:rsidRDefault="002B32A0" w:rsidP="002B32A0">
                      <w:pPr>
                        <w:pStyle w:val="SideNoteRegularRight"/>
                        <w:jc w:val="left"/>
                      </w:pPr>
                      <w:r w:rsidRPr="00537EDE">
                        <w:t>KEQ 2. Do the outcomes and impacts delivered by the NCGP align with the Government’s strategic priorities?</w:t>
                      </w:r>
                    </w:p>
                  </w:txbxContent>
                </v:textbox>
                <w10:wrap anchorx="page"/>
                <w10:anchorlock/>
              </v:shape>
            </w:pict>
          </mc:Fallback>
        </mc:AlternateContent>
      </w:r>
      <w:r w:rsidRPr="00CE1D7F">
        <w:t>priorities</w:t>
      </w:r>
      <w:bookmarkEnd w:id="165"/>
      <w:bookmarkEnd w:id="166"/>
      <w:bookmarkEnd w:id="167"/>
      <w:bookmarkEnd w:id="168"/>
    </w:p>
    <w:p w14:paraId="33AC6465" w14:textId="682B03AC" w:rsidR="000B0AC7" w:rsidRPr="00CE1D7F" w:rsidRDefault="000B0AC7" w:rsidP="006258ED">
      <w:pPr>
        <w:pStyle w:val="Caption"/>
      </w:pPr>
      <w:r w:rsidRPr="00CE1D7F">
        <w:rPr>
          <w:rStyle w:val="CaptionLabel"/>
        </w:rPr>
        <w:t>Key Finding </w:t>
      </w:r>
      <w:r w:rsidRPr="00CE1D7F">
        <w:rPr>
          <w:rStyle w:val="CaptionLabel"/>
        </w:rPr>
        <w:fldChar w:fldCharType="begin"/>
      </w:r>
      <w:r w:rsidRPr="00CE1D7F">
        <w:rPr>
          <w:rStyle w:val="CaptionLabel"/>
        </w:rPr>
        <w:instrText xml:space="preserve"> SEQ Key_Finding \* ARABIC  \* MERGEFORMAT </w:instrText>
      </w:r>
      <w:r w:rsidRPr="00CE1D7F">
        <w:rPr>
          <w:rStyle w:val="CaptionLabel"/>
        </w:rPr>
        <w:fldChar w:fldCharType="separate"/>
      </w:r>
      <w:r>
        <w:rPr>
          <w:rStyle w:val="CaptionLabel"/>
          <w:noProof/>
        </w:rPr>
        <w:t>8</w:t>
      </w:r>
      <w:r w:rsidRPr="00CE1D7F">
        <w:rPr>
          <w:rStyle w:val="CaptionLabel"/>
        </w:rPr>
        <w:fldChar w:fldCharType="end"/>
      </w:r>
      <w:r w:rsidRPr="00CE1D7F">
        <w:tab/>
        <w:t>Alignment of NCGP outcomes and impacts with Government’s strategic priorities</w:t>
      </w:r>
    </w:p>
    <w:tbl>
      <w:tblPr>
        <w:tblW w:w="0" w:type="auto"/>
        <w:tblLayout w:type="fixed"/>
        <w:tblCellMar>
          <w:left w:w="0" w:type="dxa"/>
          <w:right w:w="0" w:type="dxa"/>
        </w:tblCellMar>
        <w:tblLook w:val="0000" w:firstRow="0" w:lastRow="0" w:firstColumn="0" w:lastColumn="0" w:noHBand="0" w:noVBand="0"/>
        <w:tblCaption w:val="Key Finding 8"/>
        <w:tblDescription w:val="Alignment of NCGP outcomes and impacts with Government’s strategic priorities"/>
      </w:tblPr>
      <w:tblGrid>
        <w:gridCol w:w="7936"/>
      </w:tblGrid>
      <w:tr w:rsidR="002B32A0" w:rsidRPr="00CE1D7F" w14:paraId="10F206E3" w14:textId="77777777" w:rsidTr="006258ED">
        <w:tc>
          <w:tcPr>
            <w:tcW w:w="7936" w:type="dxa"/>
            <w:shd w:val="clear" w:color="auto" w:fill="E5E5E5"/>
            <w:tcMar>
              <w:top w:w="112" w:type="dxa"/>
              <w:bottom w:w="184" w:type="dxa"/>
              <w:right w:w="120" w:type="dxa"/>
            </w:tcMar>
          </w:tcPr>
          <w:p w14:paraId="2BDC4CE6" w14:textId="77777777" w:rsidR="002B32A0" w:rsidRDefault="002B32A0" w:rsidP="006258ED">
            <w:pPr>
              <w:pStyle w:val="BoxText"/>
              <w:rPr>
                <w:sz w:val="22"/>
                <w:szCs w:val="24"/>
              </w:rPr>
            </w:pPr>
            <w:r w:rsidRPr="001A6DB5">
              <w:rPr>
                <w:sz w:val="22"/>
                <w:szCs w:val="24"/>
              </w:rPr>
              <w:t xml:space="preserve">The government has a strategic role in identifying areas of focus and critical needs. This enables universities and industries to plan for future activity and investment. The case studies exemplify excellent research that delivers on Australia’s </w:t>
            </w:r>
            <w:r>
              <w:rPr>
                <w:sz w:val="22"/>
                <w:szCs w:val="24"/>
              </w:rPr>
              <w:t xml:space="preserve">National </w:t>
            </w:r>
            <w:r w:rsidRPr="001A6DB5">
              <w:rPr>
                <w:sz w:val="22"/>
                <w:szCs w:val="24"/>
              </w:rPr>
              <w:t>Science and Research Priorities and other government priorities.</w:t>
            </w:r>
            <w:r>
              <w:rPr>
                <w:sz w:val="22"/>
                <w:szCs w:val="24"/>
              </w:rPr>
              <w:t xml:space="preserve"> This highlights the role of NCGP-funded research in contributing to a range of government priorities, including those outside the National Science and Research Priorities.</w:t>
            </w:r>
          </w:p>
          <w:p w14:paraId="46DC6A97" w14:textId="6927E061" w:rsidR="002B32A0" w:rsidRPr="00CE1D7F" w:rsidRDefault="002B32A0" w:rsidP="00462B60">
            <w:pPr>
              <w:pStyle w:val="BoxText"/>
            </w:pPr>
            <w:r w:rsidRPr="001A6DB5">
              <w:rPr>
                <w:sz w:val="22"/>
                <w:szCs w:val="24"/>
              </w:rPr>
              <w:t>To effectively drive research</w:t>
            </w:r>
            <w:r>
              <w:rPr>
                <w:sz w:val="22"/>
                <w:szCs w:val="24"/>
              </w:rPr>
              <w:t xml:space="preserve"> in the future</w:t>
            </w:r>
            <w:r w:rsidRPr="001A6DB5">
              <w:rPr>
                <w:sz w:val="22"/>
                <w:szCs w:val="24"/>
              </w:rPr>
              <w:t>, the priorities should balance currency with stability and consistency.</w:t>
            </w:r>
            <w:r>
              <w:rPr>
                <w:sz w:val="22"/>
                <w:szCs w:val="24"/>
              </w:rPr>
              <w:t xml:space="preserve"> More consideration needs to be given to the role of strategic </w:t>
            </w:r>
            <w:r w:rsidRPr="001A6DB5">
              <w:rPr>
                <w:sz w:val="22"/>
                <w:szCs w:val="24"/>
              </w:rPr>
              <w:t xml:space="preserve">priorities </w:t>
            </w:r>
            <w:r>
              <w:rPr>
                <w:sz w:val="22"/>
                <w:szCs w:val="24"/>
              </w:rPr>
              <w:t>in</w:t>
            </w:r>
            <w:r w:rsidRPr="001A6DB5">
              <w:rPr>
                <w:sz w:val="22"/>
                <w:szCs w:val="24"/>
              </w:rPr>
              <w:t xml:space="preserve"> applied</w:t>
            </w:r>
            <w:r>
              <w:rPr>
                <w:sz w:val="22"/>
                <w:szCs w:val="24"/>
              </w:rPr>
              <w:t>,</w:t>
            </w:r>
            <w:r w:rsidRPr="001A6DB5">
              <w:rPr>
                <w:sz w:val="22"/>
                <w:szCs w:val="24"/>
              </w:rPr>
              <w:t xml:space="preserve"> mission-based</w:t>
            </w:r>
            <w:r>
              <w:rPr>
                <w:sz w:val="22"/>
                <w:szCs w:val="24"/>
              </w:rPr>
              <w:t xml:space="preserve"> discovery research</w:t>
            </w:r>
            <w:r w:rsidRPr="001A6DB5">
              <w:rPr>
                <w:sz w:val="22"/>
                <w:szCs w:val="24"/>
              </w:rPr>
              <w:t xml:space="preserve">. </w:t>
            </w:r>
          </w:p>
        </w:tc>
      </w:tr>
    </w:tbl>
    <w:p w14:paraId="2FFEF8C0" w14:textId="77777777" w:rsidR="002B32A0" w:rsidRDefault="002B32A0" w:rsidP="00821B4F">
      <w:pPr>
        <w:pStyle w:val="BodyText"/>
        <w:spacing w:before="0" w:after="0" w:line="240" w:lineRule="auto"/>
        <w:rPr>
          <w:sz w:val="2"/>
          <w:szCs w:val="2"/>
        </w:rPr>
      </w:pPr>
    </w:p>
    <w:p w14:paraId="136CD540" w14:textId="77777777" w:rsidR="00821B4F" w:rsidRDefault="00821B4F" w:rsidP="00821B4F">
      <w:pPr>
        <w:pStyle w:val="BodyText"/>
        <w:spacing w:before="0" w:after="0" w:line="240" w:lineRule="auto"/>
        <w:rPr>
          <w:sz w:val="2"/>
          <w:szCs w:val="2"/>
        </w:rPr>
      </w:pPr>
    </w:p>
    <w:p w14:paraId="0AB612D7" w14:textId="77777777" w:rsidR="00821B4F" w:rsidRPr="00821B4F" w:rsidRDefault="00821B4F" w:rsidP="00821B4F">
      <w:pPr>
        <w:pStyle w:val="BodyText"/>
        <w:spacing w:before="0" w:after="0" w:line="240" w:lineRule="auto"/>
        <w:rPr>
          <w:sz w:val="2"/>
          <w:szCs w:val="2"/>
        </w:rPr>
      </w:pPr>
    </w:p>
    <w:p w14:paraId="63999FC3" w14:textId="7EF496E8" w:rsidR="002B32A0" w:rsidRPr="00CE1D7F" w:rsidRDefault="002B32A0" w:rsidP="002B32A0">
      <w:pPr>
        <w:pStyle w:val="Heading3"/>
        <w:rPr>
          <w:lang w:eastAsia="en-AU"/>
        </w:rPr>
      </w:pPr>
      <w:bookmarkStart w:id="169" w:name="_Ref129808880"/>
      <w:r w:rsidRPr="00CE1D7F">
        <w:rPr>
          <w:lang w:eastAsia="en-AU"/>
        </w:rPr>
        <w:t>Application of priorities at a strategic level</w:t>
      </w:r>
      <w:bookmarkEnd w:id="169"/>
    </w:p>
    <w:p w14:paraId="1792D6A8" w14:textId="77777777" w:rsidR="002B32A0" w:rsidRPr="00CE1D7F" w:rsidRDefault="002B32A0" w:rsidP="002B32A0">
      <w:pPr>
        <w:pStyle w:val="BodyText"/>
        <w:rPr>
          <w:lang w:eastAsia="en-AU"/>
        </w:rPr>
      </w:pPr>
      <w:r w:rsidRPr="00CE1D7F">
        <w:t xml:space="preserve">All domestic </w:t>
      </w:r>
      <w:r w:rsidRPr="00CE1D7F">
        <w:rPr>
          <w:lang w:eastAsia="en-AU"/>
        </w:rPr>
        <w:t xml:space="preserve">stakeholders </w:t>
      </w:r>
      <w:r w:rsidRPr="00CE1D7F">
        <w:t xml:space="preserve">saw a strategic role for the Australian Government in identifying areas of focus and signalling Australia’s critical needs. This was particularly important in Australia, which has a relatively small research sector and funding envelope. Government priorities were also important signals universities and industry can use to plan for future activity and investment. One domestic </w:t>
      </w:r>
      <w:r w:rsidRPr="00CE1D7F">
        <w:rPr>
          <w:lang w:eastAsia="en-AU"/>
        </w:rPr>
        <w:t xml:space="preserve">stakeholder </w:t>
      </w:r>
      <w:r w:rsidRPr="00CE1D7F">
        <w:t xml:space="preserve">noted that these priorities should align with our international strengths to generate funding and leverage </w:t>
      </w:r>
      <w:r>
        <w:t xml:space="preserve">our </w:t>
      </w:r>
      <w:r w:rsidRPr="00CE1D7F">
        <w:t xml:space="preserve">capability. One domestic stakeholder used the example of prioritising </w:t>
      </w:r>
      <w:r w:rsidRPr="00CE1D7F">
        <w:rPr>
          <w:lang w:eastAsia="en-AU"/>
        </w:rPr>
        <w:t xml:space="preserve">research translation </w:t>
      </w:r>
      <w:r w:rsidRPr="00CE1D7F">
        <w:t xml:space="preserve">as a way of </w:t>
      </w:r>
      <w:r w:rsidRPr="00CE1D7F">
        <w:rPr>
          <w:lang w:eastAsia="en-AU"/>
        </w:rPr>
        <w:t>investment signalling by Commonwealth, state and territory governments for greater research translation and adoption.</w:t>
      </w:r>
    </w:p>
    <w:p w14:paraId="7741A433" w14:textId="77777777" w:rsidR="002B32A0" w:rsidRPr="00CE1D7F" w:rsidRDefault="002B32A0" w:rsidP="002B32A0">
      <w:pPr>
        <w:pStyle w:val="BodyText"/>
      </w:pPr>
      <w:r w:rsidRPr="00CE1D7F">
        <w:t>The National Manufacturing Priorities</w:t>
      </w:r>
      <w:r w:rsidRPr="00CE1D7F">
        <w:rPr>
          <w:rStyle w:val="FootnoteReference"/>
        </w:rPr>
        <w:footnoteReference w:id="49"/>
      </w:r>
      <w:r w:rsidRPr="00CE1D7F">
        <w:t xml:space="preserve"> and National Reconstruction Fund prioritie</w:t>
      </w:r>
      <w:r w:rsidRPr="00CE1D7F">
        <w:rPr>
          <w:lang w:eastAsia="en-AU"/>
        </w:rPr>
        <w:t>s</w:t>
      </w:r>
      <w:r w:rsidRPr="00CE1D7F">
        <w:rPr>
          <w:rStyle w:val="FootnoteReference"/>
          <w:lang w:eastAsia="en-AU"/>
        </w:rPr>
        <w:footnoteReference w:id="50"/>
      </w:r>
      <w:r w:rsidRPr="00CE1D7F">
        <w:rPr>
          <w:lang w:eastAsia="en-AU"/>
        </w:rPr>
        <w:t xml:space="preserve"> were identified </w:t>
      </w:r>
      <w:r w:rsidRPr="00CE1D7F">
        <w:t>as examples of priorities that have guided research activity. However, the National Manufacturing Priorities were considered narrow in focus relative to the breadth of research that was funded under the ARC and potentially misaligned with the core intent of basic research.</w:t>
      </w:r>
    </w:p>
    <w:p w14:paraId="2C452912" w14:textId="77777777" w:rsidR="002B32A0" w:rsidRPr="00CE1D7F" w:rsidRDefault="002B32A0" w:rsidP="002B32A0">
      <w:pPr>
        <w:pStyle w:val="BodyText"/>
        <w:rPr>
          <w:lang w:eastAsia="en-AU"/>
        </w:rPr>
      </w:pPr>
      <w:r w:rsidRPr="00CE1D7F">
        <w:t xml:space="preserve">Domestic </w:t>
      </w:r>
      <w:r w:rsidRPr="00CE1D7F">
        <w:rPr>
          <w:lang w:eastAsia="en-AU"/>
        </w:rPr>
        <w:t xml:space="preserve">stakeholders </w:t>
      </w:r>
      <w:r w:rsidRPr="00CE1D7F">
        <w:t xml:space="preserve">considered that </w:t>
      </w:r>
      <w:r w:rsidRPr="00CE1D7F">
        <w:rPr>
          <w:lang w:eastAsia="en-AU"/>
        </w:rPr>
        <w:t>government priorities should be broad and flexible and applied only to particular types of research. Most considered that discovery research should not be required to align with national priorities, as it should be ‘blue sky’ and investigator-driven. This aligns with the Haldane Principle,</w:t>
      </w:r>
      <w:r w:rsidRPr="00CE1D7F">
        <w:t xml:space="preserve"> as mentioned by a stakeholder, which states that “decisions about which research projects to fund should be made through independent evaluation by experts, based on the quality and likely impact of that research”</w:t>
      </w:r>
      <w:r w:rsidRPr="00CE1D7F">
        <w:rPr>
          <w:lang w:eastAsia="en-AU"/>
        </w:rPr>
        <w:t>.</w:t>
      </w:r>
      <w:r w:rsidRPr="00CE1D7F">
        <w:rPr>
          <w:rStyle w:val="FootnoteReference"/>
        </w:rPr>
        <w:footnoteReference w:id="51"/>
      </w:r>
      <w:r w:rsidRPr="00CE1D7F">
        <w:rPr>
          <w:lang w:eastAsia="en-AU"/>
        </w:rPr>
        <w:t xml:space="preserve"> This is because discovery research outcomes are challenging to predict and can vary widely from </w:t>
      </w:r>
      <w:r w:rsidRPr="00CE1D7F">
        <w:rPr>
          <w:lang w:eastAsia="en-AU"/>
        </w:rPr>
        <w:lastRenderedPageBreak/>
        <w:t>those initially proposed and that outcomes can arise decades after the initial grant funding, when priorities may have changed.</w:t>
      </w:r>
    </w:p>
    <w:p w14:paraId="74456AC8" w14:textId="77777777" w:rsidR="002B32A0" w:rsidRPr="00CE1D7F" w:rsidRDefault="002B32A0" w:rsidP="002B32A0">
      <w:pPr>
        <w:pStyle w:val="BodyText"/>
        <w:rPr>
          <w:lang w:eastAsia="en-AU"/>
        </w:rPr>
      </w:pPr>
      <w:r w:rsidRPr="00CE1D7F">
        <w:t xml:space="preserve">Domestic </w:t>
      </w:r>
      <w:r w:rsidRPr="00CE1D7F">
        <w:rPr>
          <w:lang w:eastAsia="en-AU"/>
        </w:rPr>
        <w:t xml:space="preserve">stakeholders identified a stronger role for government priorities in guiding more applied research (i.e. higher up the TRL scale, and Linkage funding) and mission-based work (as occurs internationally). This could also extend to start-ups, industry organisations and small-medium enterprises (SMEs). As the research becomes more applied, other government and industry organisations (such as RDCs and Public Research Organisations (i.e. CSIRO)) can invest. </w:t>
      </w:r>
    </w:p>
    <w:p w14:paraId="261E734B" w14:textId="77777777" w:rsidR="002B32A0" w:rsidRPr="00CE1D7F" w:rsidRDefault="002B32A0" w:rsidP="002B32A0">
      <w:pPr>
        <w:pStyle w:val="BodyText"/>
      </w:pPr>
      <w:r w:rsidRPr="00CE1D7F">
        <w:t>International comparators also saw a strategic role for government priorities in guiding research. The UKRI was not established to deliver on Government priorities yet supports government priorities and receives funding based on national science priorities. It seeks to shape funding direction on a portfolio level and through strategic projects. However, most funding is determined by researchers at the project level independently from government, using the Haldane principle.</w:t>
      </w:r>
      <w:r w:rsidRPr="00CE1D7F">
        <w:rPr>
          <w:rStyle w:val="FootnoteReference"/>
        </w:rPr>
        <w:footnoteReference w:id="52"/>
      </w:r>
    </w:p>
    <w:p w14:paraId="7939C8CD" w14:textId="77777777" w:rsidR="002B32A0" w:rsidRPr="00CE1D7F" w:rsidRDefault="002B32A0" w:rsidP="002B32A0">
      <w:pPr>
        <w:pStyle w:val="BodyText"/>
      </w:pPr>
      <w:r w:rsidRPr="00CE1D7F">
        <w:t xml:space="preserve">In contrast, Horizon Europe, SFI and MBIE all fund research aligned with the government priorities. Horizon Europe facilitates the achievement of European Union (EU) science priorities, SFI aligns with Ireland’s national science priorities and supports Government ambitions outlined in the Innovation 2020 program, and MBIE funds research portfolios and mission-based research based on national science priorities. </w:t>
      </w:r>
    </w:p>
    <w:p w14:paraId="38D96865" w14:textId="77777777" w:rsidR="002B32A0" w:rsidRPr="00CE1D7F" w:rsidRDefault="002B32A0" w:rsidP="002B32A0">
      <w:pPr>
        <w:pStyle w:val="Heading3"/>
        <w:rPr>
          <w:lang w:eastAsia="en-AU"/>
        </w:rPr>
      </w:pPr>
      <w:r w:rsidRPr="00CE1D7F">
        <w:rPr>
          <w:lang w:eastAsia="en-AU"/>
        </w:rPr>
        <w:t>Application of priorities at the project level</w:t>
      </w:r>
    </w:p>
    <w:p w14:paraId="0786B15A" w14:textId="3224FD19" w:rsidR="002B32A0" w:rsidRPr="00CE1D7F" w:rsidRDefault="002B32A0" w:rsidP="002B32A0">
      <w:pPr>
        <w:pStyle w:val="BodyText"/>
      </w:pPr>
      <w:r>
        <w:rPr>
          <w:lang w:eastAsia="en-AU"/>
        </w:rPr>
        <w:t>The ARC supports the highest-quality research, including research that is not related to priority areas. The ARC supports research under the Science and Research Priorities by asking applicants for funding to indicate whether their research proposal relates to one of the priorities and, where relevant, assessing the potential of research proposals to contribute to the priorities</w:t>
      </w:r>
      <w:r w:rsidRPr="00CE1D7F">
        <w:rPr>
          <w:lang w:eastAsia="en-AU"/>
        </w:rPr>
        <w:t xml:space="preserve">. </w:t>
      </w:r>
      <w:r>
        <w:rPr>
          <w:lang w:eastAsia="en-AU"/>
        </w:rPr>
        <w:t xml:space="preserve">From 2004, </w:t>
      </w:r>
      <w:r>
        <w:t>78</w:t>
      </w:r>
      <w:r w:rsidRPr="00CE1D7F">
        <w:t xml:space="preserve">% of Discovery and </w:t>
      </w:r>
      <w:r>
        <w:t>89</w:t>
      </w:r>
      <w:r w:rsidRPr="00CE1D7F">
        <w:t xml:space="preserve">% of Linkage Program projects align with government </w:t>
      </w:r>
      <w:r>
        <w:t xml:space="preserve">research </w:t>
      </w:r>
      <w:r w:rsidRPr="00CE1D7F">
        <w:t xml:space="preserve">priorities (see </w:t>
      </w:r>
      <w:r w:rsidRPr="00F87D0E">
        <w:fldChar w:fldCharType="begin"/>
      </w:r>
      <w:r w:rsidRPr="00F87D0E">
        <w:instrText xml:space="preserve"> REF _Ref129286448 \h  \* MERGEFORMAT </w:instrText>
      </w:r>
      <w:r w:rsidRPr="00F87D0E">
        <w:fldChar w:fldCharType="separate"/>
      </w:r>
      <w:r w:rsidR="000B0AC7" w:rsidRPr="000B0AC7">
        <w:t>Figure D.11</w:t>
      </w:r>
      <w:r w:rsidRPr="00F87D0E">
        <w:fldChar w:fldCharType="end"/>
      </w:r>
      <w:r w:rsidRPr="00CE1D7F">
        <w:t xml:space="preserve">). This has varied over time (see </w:t>
      </w:r>
      <w:r w:rsidRPr="00F87D0E">
        <w:fldChar w:fldCharType="begin"/>
      </w:r>
      <w:r w:rsidRPr="00F87D0E">
        <w:instrText xml:space="preserve"> REF _Ref129858396 \h  \* MERGEFORMAT </w:instrText>
      </w:r>
      <w:r w:rsidRPr="00F87D0E">
        <w:fldChar w:fldCharType="separate"/>
      </w:r>
      <w:r w:rsidR="000B0AC7" w:rsidRPr="000B0AC7">
        <w:t>Figure 3.11</w:t>
      </w:r>
      <w:r w:rsidRPr="00F87D0E">
        <w:fldChar w:fldCharType="end"/>
      </w:r>
      <w:r w:rsidRPr="00CE1D7F">
        <w:t xml:space="preserve">), noting that there have been several iterations of Government </w:t>
      </w:r>
      <w:r>
        <w:t xml:space="preserve">research </w:t>
      </w:r>
      <w:r w:rsidRPr="00CE1D7F">
        <w:t xml:space="preserve">priorities (see </w:t>
      </w:r>
      <w:r>
        <w:t>section </w:t>
      </w:r>
      <w:r w:rsidRPr="00F87D0E">
        <w:fldChar w:fldCharType="begin"/>
      </w:r>
      <w:r w:rsidRPr="00F87D0E">
        <w:instrText xml:space="preserve"> REF _Ref110262842 \r \h  \* MERGEFORMAT </w:instrText>
      </w:r>
      <w:r w:rsidRPr="00F87D0E">
        <w:fldChar w:fldCharType="separate"/>
      </w:r>
      <w:r w:rsidR="000B0AC7">
        <w:t>1.1.2</w:t>
      </w:r>
      <w:r w:rsidRPr="00F87D0E">
        <w:fldChar w:fldCharType="end"/>
      </w:r>
      <w:r w:rsidRPr="00CE1D7F">
        <w:t>).</w:t>
      </w:r>
    </w:p>
    <w:p w14:paraId="554E882F" w14:textId="77777777" w:rsidR="002B32A0" w:rsidRPr="00CE1D7F" w:rsidRDefault="002B32A0" w:rsidP="002B32A0">
      <w:pPr>
        <w:pStyle w:val="BodyText"/>
        <w:rPr>
          <w:lang w:eastAsia="en-AU"/>
        </w:rPr>
      </w:pPr>
      <w:r>
        <w:t>W</w:t>
      </w:r>
      <w:r w:rsidRPr="00CE1D7F">
        <w:t>hile almost all projects aligned from 2005-16</w:t>
      </w:r>
      <w:r>
        <w:t>, alignment</w:t>
      </w:r>
      <w:r w:rsidRPr="00CE1D7F">
        <w:t xml:space="preserve"> decreased from 2015-17 and remained at approximately 60-70% </w:t>
      </w:r>
      <w:r>
        <w:t>from</w:t>
      </w:r>
      <w:r w:rsidRPr="00CE1D7F">
        <w:t xml:space="preserve"> 2017</w:t>
      </w:r>
      <w:r>
        <w:t>-21</w:t>
      </w:r>
      <w:r w:rsidRPr="00CE1D7F">
        <w:t xml:space="preserve">. </w:t>
      </w:r>
      <w:r>
        <w:t xml:space="preserve">This lower level of alignment coincides with the introduction of the </w:t>
      </w:r>
      <w:r w:rsidRPr="00146763">
        <w:t>National Science and Research Priorities. This is likely to reflect the nature of the priorities, which highlight specific thematic focuses.</w:t>
      </w:r>
      <w:r>
        <w:t xml:space="preserve"> In contrast, the</w:t>
      </w:r>
      <w:r w:rsidRPr="00146763">
        <w:t xml:space="preserve"> </w:t>
      </w:r>
      <w:r>
        <w:t xml:space="preserve">previous </w:t>
      </w:r>
      <w:r w:rsidRPr="00146763">
        <w:t xml:space="preserve">National Research Priorities and Strategic Research Priorities </w:t>
      </w:r>
      <w:r>
        <w:t>had</w:t>
      </w:r>
      <w:r w:rsidRPr="00146763">
        <w:t xml:space="preserve"> greater thematic breadth and generality. </w:t>
      </w:r>
    </w:p>
    <w:p w14:paraId="40CB5FA5" w14:textId="77777777" w:rsidR="002B32A0" w:rsidRPr="00CE1D7F" w:rsidRDefault="002B32A0" w:rsidP="002B32A0">
      <w:pPr>
        <w:pStyle w:val="BodyText"/>
      </w:pPr>
      <w:r w:rsidRPr="00CE1D7F">
        <w:t xml:space="preserve">To effectively drive research, domestic </w:t>
      </w:r>
      <w:r w:rsidRPr="00CE1D7F">
        <w:rPr>
          <w:lang w:eastAsia="en-AU"/>
        </w:rPr>
        <w:t xml:space="preserve">stakeholders </w:t>
      </w:r>
      <w:r w:rsidRPr="00CE1D7F">
        <w:t xml:space="preserve">wanted a balance between current and frequently reviewed/refreshed priorities, with the need for stability and consistency. Many considered it had been too long since Australia’s </w:t>
      </w:r>
      <w:r>
        <w:rPr>
          <w:szCs w:val="24"/>
        </w:rPr>
        <w:t xml:space="preserve">National </w:t>
      </w:r>
      <w:r w:rsidRPr="00CE1D7F">
        <w:t>Science and Research Priorities were last updated.</w:t>
      </w:r>
      <w:r w:rsidRPr="00CE1D7F">
        <w:rPr>
          <w:rStyle w:val="FootnoteReference"/>
        </w:rPr>
        <w:footnoteReference w:id="53"/>
      </w:r>
      <w:r w:rsidRPr="00CE1D7F">
        <w:t xml:space="preserve"> However, changing these too frequently can hinder university and industry investments.</w:t>
      </w:r>
    </w:p>
    <w:p w14:paraId="55211E59" w14:textId="77777777" w:rsidR="002B32A0" w:rsidRPr="00CE1D7F" w:rsidRDefault="002B32A0" w:rsidP="002B32A0">
      <w:pPr>
        <w:pStyle w:val="BodyText"/>
      </w:pPr>
      <w:r w:rsidRPr="00CE1D7F">
        <w:t xml:space="preserve">All domestic </w:t>
      </w:r>
      <w:r w:rsidRPr="00CE1D7F">
        <w:rPr>
          <w:lang w:eastAsia="en-AU"/>
        </w:rPr>
        <w:t>stakeholders</w:t>
      </w:r>
      <w:r w:rsidRPr="00CE1D7F">
        <w:t xml:space="preserve"> welcomed the current review,</w:t>
      </w:r>
      <w:r w:rsidRPr="00CE1D7F">
        <w:rPr>
          <w:rStyle w:val="FootnoteReference"/>
        </w:rPr>
        <w:footnoteReference w:id="54"/>
      </w:r>
      <w:r w:rsidRPr="00CE1D7F">
        <w:t xml:space="preserve"> which was considered necessary to signal the importance of the priorities, drive funding decisions, and better align with Australia’s current policy and program setting. For example, one stakeholder considered that the priorities </w:t>
      </w:r>
      <w:r w:rsidRPr="00CE1D7F">
        <w:lastRenderedPageBreak/>
        <w:t>did not reflect the MRFF (introduced in 2015), a $20</w:t>
      </w:r>
      <w:r>
        <w:t> billion</w:t>
      </w:r>
      <w:r w:rsidRPr="00CE1D7F">
        <w:t xml:space="preserve"> long-term investment that has reshaped the research funding landscape.</w:t>
      </w:r>
      <w:r w:rsidRPr="00CE1D7F">
        <w:rPr>
          <w:rStyle w:val="FootnoteReference"/>
        </w:rPr>
        <w:footnoteReference w:id="55"/>
      </w:r>
      <w:r w:rsidRPr="00CE1D7F">
        <w:t xml:space="preserve"> </w:t>
      </w:r>
    </w:p>
    <w:p w14:paraId="52AB17C0" w14:textId="243BB2BA" w:rsidR="000B0AC7" w:rsidRPr="00CE1D7F" w:rsidRDefault="000B0AC7" w:rsidP="000B0AC7">
      <w:pPr>
        <w:pStyle w:val="Caption"/>
        <w:ind w:left="1308" w:hanging="1308"/>
      </w:pPr>
      <w:bookmarkStart w:id="170" w:name="_Ref129858396"/>
      <w:r w:rsidRPr="00CE1D7F">
        <w:rPr>
          <w:rStyle w:val="CaptionLabel"/>
        </w:rPr>
        <w:t>Figure </w:t>
      </w:r>
      <w:r w:rsidRPr="00CE1D7F">
        <w:rPr>
          <w:rStyle w:val="CaptionLabel"/>
        </w:rPr>
        <w:fldChar w:fldCharType="begin"/>
      </w:r>
      <w:r w:rsidRPr="00CE1D7F">
        <w:rPr>
          <w:rStyle w:val="CaptionLabel"/>
        </w:rPr>
        <w:instrText xml:space="preserve"> STYLEREF 1 \s </w:instrText>
      </w:r>
      <w:r w:rsidRPr="00CE1D7F">
        <w:rPr>
          <w:rStyle w:val="CaptionLabel"/>
        </w:rPr>
        <w:fldChar w:fldCharType="separate"/>
      </w:r>
      <w:r>
        <w:rPr>
          <w:rStyle w:val="CaptionLabel"/>
          <w:noProof/>
        </w:rPr>
        <w:t>3</w:t>
      </w:r>
      <w:r w:rsidRPr="00CE1D7F">
        <w:rPr>
          <w:rStyle w:val="CaptionLabel"/>
        </w:rPr>
        <w:fldChar w:fldCharType="end"/>
      </w:r>
      <w:r w:rsidRPr="00CE1D7F">
        <w:rPr>
          <w:rStyle w:val="CaptionLabel"/>
        </w:rPr>
        <w:t>.</w:t>
      </w:r>
      <w:r w:rsidRPr="00CE1D7F">
        <w:rPr>
          <w:rStyle w:val="CaptionLabel"/>
        </w:rPr>
        <w:fldChar w:fldCharType="begin"/>
      </w:r>
      <w:r w:rsidRPr="00CE1D7F">
        <w:rPr>
          <w:rStyle w:val="CaptionLabel"/>
        </w:rPr>
        <w:instrText xml:space="preserve"> SEQ Figure \* ARABIC \s 1 </w:instrText>
      </w:r>
      <w:r w:rsidRPr="00CE1D7F">
        <w:rPr>
          <w:rStyle w:val="CaptionLabel"/>
        </w:rPr>
        <w:fldChar w:fldCharType="separate"/>
      </w:r>
      <w:r>
        <w:rPr>
          <w:rStyle w:val="CaptionLabel"/>
          <w:noProof/>
        </w:rPr>
        <w:t>11</w:t>
      </w:r>
      <w:r w:rsidRPr="00CE1D7F">
        <w:rPr>
          <w:rStyle w:val="CaptionLabel"/>
        </w:rPr>
        <w:fldChar w:fldCharType="end"/>
      </w:r>
      <w:bookmarkEnd w:id="170"/>
      <w:r w:rsidRPr="00CE1D7F">
        <w:tab/>
        <w:t>Funding data on the proportion of projects aligning with government priorities by year</w:t>
      </w:r>
    </w:p>
    <w:tbl>
      <w:tblPr>
        <w:tblW w:w="0" w:type="auto"/>
        <w:tblLayout w:type="fixed"/>
        <w:tblLook w:val="0000" w:firstRow="0" w:lastRow="0" w:firstColumn="0" w:lastColumn="0" w:noHBand="0" w:noVBand="0"/>
      </w:tblPr>
      <w:tblGrid>
        <w:gridCol w:w="7936"/>
      </w:tblGrid>
      <w:tr w:rsidR="002B32A0" w:rsidRPr="00CE1D7F" w14:paraId="0AFD17FE" w14:textId="77777777" w:rsidTr="006258ED">
        <w:tc>
          <w:tcPr>
            <w:tcW w:w="7936" w:type="dxa"/>
            <w:tcBorders>
              <w:top w:val="single" w:sz="4" w:space="0" w:color="000100"/>
            </w:tcBorders>
            <w:shd w:val="clear" w:color="auto" w:fill="auto"/>
          </w:tcPr>
          <w:p w14:paraId="4D929223" w14:textId="77777777" w:rsidR="002B32A0" w:rsidRPr="00CE1D7F" w:rsidRDefault="002B32A0" w:rsidP="006258ED">
            <w:pPr>
              <w:pStyle w:val="Figure"/>
            </w:pPr>
            <w:r>
              <w:rPr>
                <w:noProof/>
              </w:rPr>
              <w:drawing>
                <wp:inline distT="0" distB="0" distL="0" distR="0" wp14:anchorId="365B9F5E" wp14:editId="777C8C2B">
                  <wp:extent cx="4944408" cy="2213002"/>
                  <wp:effectExtent l="0" t="0" r="8890" b="0"/>
                  <wp:docPr id="1506051522" name="Picture 1506051522" descr="Funding data on the proportion of projects aligning with government priorities by year, see description in text abov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051522" name="Picture 1506051522" descr="Funding data on the proportion of projects aligning with government priorities by year, see description in text above figure."/>
                          <pic:cNvPicPr>
                            <a:picLocks noChangeAspect="1" noChangeArrowheads="1"/>
                          </pic:cNvPicPr>
                        </pic:nvPicPr>
                        <pic:blipFill rotWithShape="1">
                          <a:blip r:embed="rId97">
                            <a:extLst>
                              <a:ext uri="{28A0092B-C50C-407E-A947-70E740481C1C}">
                                <a14:useLocalDpi xmlns:a14="http://schemas.microsoft.com/office/drawing/2010/main" val="0"/>
                              </a:ext>
                            </a:extLst>
                          </a:blip>
                          <a:srcRect l="2665" r="920"/>
                          <a:stretch/>
                        </pic:blipFill>
                        <pic:spPr bwMode="auto">
                          <a:xfrm>
                            <a:off x="0" y="0"/>
                            <a:ext cx="4958253" cy="221919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B32A0" w:rsidRPr="00CE1D7F" w14:paraId="221FABC9" w14:textId="77777777" w:rsidTr="006258ED">
        <w:tblPrEx>
          <w:tblCellMar>
            <w:left w:w="0" w:type="dxa"/>
            <w:right w:w="0" w:type="dxa"/>
          </w:tblCellMar>
        </w:tblPrEx>
        <w:trPr>
          <w:trHeight w:val="137"/>
        </w:trPr>
        <w:tc>
          <w:tcPr>
            <w:tcW w:w="7936" w:type="dxa"/>
            <w:tcBorders>
              <w:bottom w:val="single" w:sz="4" w:space="0" w:color="000100"/>
            </w:tcBorders>
            <w:shd w:val="clear" w:color="auto" w:fill="auto"/>
            <w:tcMar>
              <w:top w:w="12" w:type="dxa"/>
              <w:bottom w:w="113" w:type="dxa"/>
            </w:tcMar>
          </w:tcPr>
          <w:p w14:paraId="2A8E257F" w14:textId="77777777" w:rsidR="002B32A0" w:rsidRPr="00CE1D7F" w:rsidRDefault="002B32A0" w:rsidP="006258ED">
            <w:pPr>
              <w:pStyle w:val="Source"/>
              <w:rPr>
                <w:i w:val="0"/>
                <w:iCs/>
              </w:rPr>
            </w:pPr>
            <w:r w:rsidRPr="00CE1D7F">
              <w:rPr>
                <w:i w:val="0"/>
                <w:iCs/>
              </w:rPr>
              <w:t>N=29,303 projects</w:t>
            </w:r>
          </w:p>
          <w:p w14:paraId="2A4131C9" w14:textId="77777777" w:rsidR="002B32A0" w:rsidRPr="00CE1D7F" w:rsidRDefault="002B32A0" w:rsidP="006258ED">
            <w:pPr>
              <w:pStyle w:val="Source"/>
            </w:pPr>
            <w:r w:rsidRPr="00CE1D7F">
              <w:t>Source: ACIL Allen’s analysis of ARC Final Reports for grants awarded between 2002 and 2021 (with an ARC-approved Final Report by 30 June 2022).</w:t>
            </w:r>
          </w:p>
        </w:tc>
      </w:tr>
      <w:tr w:rsidR="002B32A0" w:rsidRPr="00CE1D7F" w14:paraId="194660A9" w14:textId="77777777" w:rsidTr="006258ED">
        <w:tblPrEx>
          <w:tblCellMar>
            <w:left w:w="0" w:type="dxa"/>
            <w:right w:w="0" w:type="dxa"/>
          </w:tblCellMar>
        </w:tblPrEx>
        <w:trPr>
          <w:trHeight w:hRule="exact" w:val="160"/>
        </w:trPr>
        <w:tc>
          <w:tcPr>
            <w:tcW w:w="7936" w:type="dxa"/>
            <w:tcBorders>
              <w:top w:val="single" w:sz="4" w:space="0" w:color="000100"/>
            </w:tcBorders>
            <w:shd w:val="clear" w:color="auto" w:fill="auto"/>
            <w:tcMar>
              <w:top w:w="0" w:type="dxa"/>
              <w:bottom w:w="40" w:type="dxa"/>
            </w:tcMar>
          </w:tcPr>
          <w:p w14:paraId="340E079A" w14:textId="77777777" w:rsidR="002B32A0" w:rsidRPr="00CE1D7F" w:rsidRDefault="002B32A0" w:rsidP="006258ED">
            <w:pPr>
              <w:pStyle w:val="spacer"/>
            </w:pPr>
          </w:p>
        </w:tc>
      </w:tr>
    </w:tbl>
    <w:p w14:paraId="3BF6F256" w14:textId="77777777" w:rsidR="002B32A0" w:rsidRPr="00CE1D7F" w:rsidRDefault="002B32A0" w:rsidP="002B32A0">
      <w:pPr>
        <w:pStyle w:val="BodyText"/>
      </w:pPr>
      <w:r w:rsidRPr="00CE1D7F">
        <w:rPr>
          <w:lang w:eastAsia="en-AU"/>
        </w:rPr>
        <w:t xml:space="preserve">Some </w:t>
      </w:r>
      <w:r w:rsidRPr="00CE1D7F">
        <w:t xml:space="preserve">domestic </w:t>
      </w:r>
      <w:r w:rsidRPr="00CE1D7F">
        <w:rPr>
          <w:lang w:eastAsia="en-AU"/>
        </w:rPr>
        <w:t>stakeholders considered Australia’s</w:t>
      </w:r>
      <w:r w:rsidRPr="00DC5FAA">
        <w:rPr>
          <w:szCs w:val="24"/>
        </w:rPr>
        <w:t xml:space="preserve"> </w:t>
      </w:r>
      <w:r>
        <w:rPr>
          <w:szCs w:val="24"/>
        </w:rPr>
        <w:t>National</w:t>
      </w:r>
      <w:r w:rsidRPr="00CE1D7F">
        <w:rPr>
          <w:lang w:eastAsia="en-AU"/>
        </w:rPr>
        <w:t xml:space="preserve"> Science and Research Priorities</w:t>
      </w:r>
      <w:r w:rsidRPr="00CE1D7F">
        <w:t xml:space="preserve"> too broad, encompassing a range of research. Therefore, priorities do not drive a strong focus for individual research projects, nor the outcomes and impacts achieved. This is because projects can generally be crafted to align with preferred priorities while avoiding contentious research. Further, one domestic stakeholder noted that some of the most impactful research they had observed arose outside the priorities. According to some, seeking to align research with Australian Government priorities does not deliver impact aligned with the priorities at the project level.</w:t>
      </w:r>
    </w:p>
    <w:p w14:paraId="0BBB96E6" w14:textId="0AF8CFD6" w:rsidR="002B32A0" w:rsidRPr="00CE1D7F" w:rsidRDefault="002B32A0" w:rsidP="002B32A0">
      <w:pPr>
        <w:pStyle w:val="BodyText"/>
      </w:pPr>
      <w:r w:rsidRPr="00CE1D7F">
        <w:t xml:space="preserve">The case studies provide examples of how researchers support the National Science and Research Priorities, how other government priorities drive research and the value of designing research to meet current priorities (see </w:t>
      </w:r>
      <w:r w:rsidRPr="00F87D0E">
        <w:fldChar w:fldCharType="begin"/>
      </w:r>
      <w:r w:rsidRPr="00F87D0E">
        <w:instrText xml:space="preserve"> REF _Ref129858435 \h  \* MERGEFORMAT </w:instrText>
      </w:r>
      <w:r w:rsidRPr="00F87D0E">
        <w:fldChar w:fldCharType="separate"/>
      </w:r>
      <w:r w:rsidR="000B0AC7" w:rsidRPr="000B0AC7">
        <w:t>Table 3.1</w:t>
      </w:r>
      <w:r w:rsidRPr="00F87D0E">
        <w:fldChar w:fldCharType="end"/>
      </w:r>
      <w:r w:rsidRPr="00CE1D7F">
        <w:t xml:space="preserve">). </w:t>
      </w:r>
    </w:p>
    <w:p w14:paraId="3698BE3C" w14:textId="7581FF58" w:rsidR="002B32A0" w:rsidRPr="00CE1D7F" w:rsidRDefault="002B32A0" w:rsidP="000B0AC7">
      <w:pPr>
        <w:pStyle w:val="Caption"/>
        <w:ind w:left="-677" w:hanging="1308"/>
      </w:pPr>
      <w:bookmarkStart w:id="171" w:name="_Ref129858435"/>
      <w:r w:rsidRPr="00CE1D7F">
        <w:rPr>
          <w:rStyle w:val="CaptionLabel"/>
        </w:rPr>
        <w:lastRenderedPageBreak/>
        <w:t>Table </w:t>
      </w:r>
      <w:r w:rsidRPr="00CE1D7F">
        <w:rPr>
          <w:rStyle w:val="CaptionLabel"/>
        </w:rPr>
        <w:fldChar w:fldCharType="begin"/>
      </w:r>
      <w:r w:rsidRPr="00CE1D7F">
        <w:rPr>
          <w:rStyle w:val="CaptionLabel"/>
        </w:rPr>
        <w:instrText xml:space="preserve"> STYLEREF 1 \S \* MERGEFORMAT </w:instrText>
      </w:r>
      <w:r w:rsidRPr="00CE1D7F">
        <w:rPr>
          <w:rStyle w:val="CaptionLabel"/>
        </w:rPr>
        <w:fldChar w:fldCharType="separate"/>
      </w:r>
      <w:r w:rsidR="000B0AC7">
        <w:rPr>
          <w:rStyle w:val="CaptionLabel"/>
          <w:noProof/>
        </w:rPr>
        <w:t>3</w:t>
      </w:r>
      <w:r w:rsidRPr="00CE1D7F">
        <w:rPr>
          <w:rStyle w:val="CaptionLabel"/>
        </w:rPr>
        <w:fldChar w:fldCharType="end"/>
      </w:r>
      <w:r w:rsidRPr="00CE1D7F">
        <w:rPr>
          <w:rStyle w:val="CaptionLabel"/>
        </w:rPr>
        <w:t>.</w:t>
      </w:r>
      <w:r w:rsidRPr="00CE1D7F">
        <w:rPr>
          <w:rStyle w:val="CaptionLabel"/>
        </w:rPr>
        <w:fldChar w:fldCharType="begin"/>
      </w:r>
      <w:r w:rsidRPr="00CE1D7F">
        <w:rPr>
          <w:rStyle w:val="CaptionLabel"/>
        </w:rPr>
        <w:instrText xml:space="preserve"> SEQ Table \* ARABIC \S 1 \* MERGEFORMAT </w:instrText>
      </w:r>
      <w:r w:rsidRPr="00CE1D7F">
        <w:rPr>
          <w:rStyle w:val="CaptionLabel"/>
        </w:rPr>
        <w:fldChar w:fldCharType="separate"/>
      </w:r>
      <w:r w:rsidR="000B0AC7">
        <w:rPr>
          <w:rStyle w:val="CaptionLabel"/>
          <w:noProof/>
        </w:rPr>
        <w:t>1</w:t>
      </w:r>
      <w:r w:rsidRPr="00CE1D7F">
        <w:rPr>
          <w:rStyle w:val="CaptionLabel"/>
        </w:rPr>
        <w:fldChar w:fldCharType="end"/>
      </w:r>
      <w:bookmarkEnd w:id="171"/>
      <w:r w:rsidRPr="00CE1D7F">
        <w:tab/>
      </w:r>
      <w:r>
        <w:t xml:space="preserve">Government priorities that are considered through the </w:t>
      </w:r>
      <w:r w:rsidRPr="00CE1D7F">
        <w:t>case stud</w:t>
      </w:r>
      <w:r>
        <w:t>y research</w:t>
      </w:r>
      <w:r w:rsidRPr="00CE1D7F">
        <w:t xml:space="preserve"> </w:t>
      </w:r>
    </w:p>
    <w:tbl>
      <w:tblPr>
        <w:tblStyle w:val="aacTableBasic"/>
        <w:tblW w:w="9921" w:type="dxa"/>
        <w:tblInd w:w="-1985" w:type="dxa"/>
        <w:tblLayout w:type="fixed"/>
        <w:tblLook w:val="04A0" w:firstRow="1" w:lastRow="0" w:firstColumn="1" w:lastColumn="0" w:noHBand="0" w:noVBand="1"/>
        <w:tblCaption w:val="Table 3.1 "/>
        <w:tblDescription w:val="Government priorities that are considered through the case study research "/>
      </w:tblPr>
      <w:tblGrid>
        <w:gridCol w:w="1418"/>
        <w:gridCol w:w="8503"/>
      </w:tblGrid>
      <w:tr w:rsidR="002B32A0" w:rsidRPr="00CE1D7F" w14:paraId="022B7225" w14:textId="77777777" w:rsidTr="000B0AC7">
        <w:trPr>
          <w:cnfStyle w:val="100000000000" w:firstRow="1" w:lastRow="0" w:firstColumn="0" w:lastColumn="0" w:oddVBand="0" w:evenVBand="0" w:oddHBand="0" w:evenHBand="0" w:firstRowFirstColumn="0" w:firstRowLastColumn="0" w:lastRowFirstColumn="0" w:lastRowLastColumn="0"/>
        </w:trPr>
        <w:tc>
          <w:tcPr>
            <w:tcW w:w="1418" w:type="dxa"/>
            <w:tcBorders>
              <w:top w:val="nil"/>
            </w:tcBorders>
            <w:shd w:val="solid" w:color="140034" w:fill="140034"/>
            <w:tcMar>
              <w:left w:w="80" w:type="dxa"/>
            </w:tcMar>
          </w:tcPr>
          <w:p w14:paraId="1CC6E4FB" w14:textId="77777777" w:rsidR="002B32A0" w:rsidRPr="00CE1D7F" w:rsidRDefault="002B32A0" w:rsidP="00582FC7">
            <w:pPr>
              <w:pStyle w:val="Tablecolumnheadings"/>
            </w:pPr>
            <w:r w:rsidRPr="00CE1D7F">
              <w:t>Case study</w:t>
            </w:r>
          </w:p>
        </w:tc>
        <w:tc>
          <w:tcPr>
            <w:tcW w:w="8503" w:type="dxa"/>
            <w:tcBorders>
              <w:top w:val="nil"/>
            </w:tcBorders>
            <w:shd w:val="solid" w:color="140034" w:fill="140034"/>
          </w:tcPr>
          <w:p w14:paraId="154B3B37" w14:textId="77777777" w:rsidR="002B32A0" w:rsidRPr="00CE1D7F" w:rsidRDefault="002B32A0" w:rsidP="00582FC7">
            <w:pPr>
              <w:pStyle w:val="Tablecolumnheadings"/>
            </w:pPr>
            <w:r w:rsidRPr="00CE1D7F">
              <w:t>Alignment with Government priorities</w:t>
            </w:r>
          </w:p>
        </w:tc>
      </w:tr>
      <w:tr w:rsidR="002B32A0" w:rsidRPr="00CE1D7F" w14:paraId="4B2A8CBE" w14:textId="77777777" w:rsidTr="000B0AC7">
        <w:tc>
          <w:tcPr>
            <w:tcW w:w="1418" w:type="dxa"/>
            <w:tcMar>
              <w:left w:w="80" w:type="dxa"/>
            </w:tcMar>
          </w:tcPr>
          <w:p w14:paraId="57C69BA7" w14:textId="77777777" w:rsidR="002B32A0" w:rsidRPr="00CE1D7F" w:rsidRDefault="002B32A0" w:rsidP="00582FC7">
            <w:pPr>
              <w:pStyle w:val="Tabletext"/>
              <w:keepNext/>
              <w:rPr>
                <w:i/>
                <w:iCs/>
              </w:rPr>
            </w:pPr>
            <w:r w:rsidRPr="00CE1D7F">
              <w:rPr>
                <w:i/>
                <w:iCs/>
              </w:rPr>
              <w:t xml:space="preserve">Changing the Law to Protect Survivors of DFV </w:t>
            </w:r>
          </w:p>
        </w:tc>
        <w:tc>
          <w:tcPr>
            <w:tcW w:w="8503" w:type="dxa"/>
          </w:tcPr>
          <w:p w14:paraId="794E47EF" w14:textId="77777777" w:rsidR="002B32A0" w:rsidRPr="00CE1D7F" w:rsidRDefault="002B32A0" w:rsidP="00582FC7">
            <w:pPr>
              <w:pStyle w:val="Tabletext"/>
              <w:keepNext/>
            </w:pPr>
            <w:r w:rsidRPr="00CE1D7F">
              <w:t>Australian Government’s National Plan to End Violence against Women and Children 2022-2032,</w:t>
            </w:r>
            <w:r w:rsidRPr="00CE1D7F">
              <w:rPr>
                <w:rStyle w:val="FootnoteReference"/>
              </w:rPr>
              <w:footnoteReference w:id="56"/>
            </w:r>
            <w:r w:rsidRPr="00CE1D7F">
              <w:t xml:space="preserve"> the Queensland Government Department of Justice and Attorney-General Not Now, Not Ever Report</w:t>
            </w:r>
            <w:r w:rsidRPr="00CE1D7F">
              <w:rPr>
                <w:rStyle w:val="FootnoteReference"/>
              </w:rPr>
              <w:footnoteReference w:id="57"/>
            </w:r>
            <w:r w:rsidRPr="00CE1D7F">
              <w:t xml:space="preserve"> and the Queensland Domestic and Family Violence Prevention Strategy 2016-2026.</w:t>
            </w:r>
            <w:r w:rsidRPr="00CE1D7F">
              <w:rPr>
                <w:rStyle w:val="FootnoteReference"/>
              </w:rPr>
              <w:footnoteReference w:id="58"/>
            </w:r>
          </w:p>
        </w:tc>
      </w:tr>
      <w:tr w:rsidR="002B32A0" w:rsidRPr="00CE1D7F" w14:paraId="53234043" w14:textId="77777777" w:rsidTr="000B0AC7">
        <w:tc>
          <w:tcPr>
            <w:tcW w:w="1418" w:type="dxa"/>
            <w:tcMar>
              <w:left w:w="80" w:type="dxa"/>
            </w:tcMar>
          </w:tcPr>
          <w:p w14:paraId="3A6624AC" w14:textId="77777777" w:rsidR="002B32A0" w:rsidRPr="00CE1D7F" w:rsidRDefault="002B32A0" w:rsidP="00582FC7">
            <w:pPr>
              <w:pStyle w:val="Tabletext"/>
              <w:keepNext/>
              <w:rPr>
                <w:i/>
                <w:iCs/>
              </w:rPr>
            </w:pPr>
            <w:r w:rsidRPr="00CE1D7F">
              <w:rPr>
                <w:i/>
                <w:iCs/>
              </w:rPr>
              <w:t xml:space="preserve">Indigenous Persistence in Formal Learning </w:t>
            </w:r>
          </w:p>
        </w:tc>
        <w:tc>
          <w:tcPr>
            <w:tcW w:w="8503" w:type="dxa"/>
          </w:tcPr>
          <w:p w14:paraId="7B99B78B" w14:textId="77777777" w:rsidR="002B32A0" w:rsidRPr="00CE1D7F" w:rsidRDefault="002B32A0" w:rsidP="00582FC7">
            <w:pPr>
              <w:pStyle w:val="Tabletext"/>
              <w:keepNext/>
            </w:pPr>
            <w:r w:rsidRPr="00CE1D7F">
              <w:t>National Agreement on Closing the Gap Goals 6 and 7.</w:t>
            </w:r>
            <w:r w:rsidRPr="00CE1D7F">
              <w:rPr>
                <w:rStyle w:val="FootnoteReference"/>
              </w:rPr>
              <w:footnoteReference w:id="59"/>
            </w:r>
            <w:r w:rsidRPr="00CE1D7F">
              <w:t xml:space="preserve"> Outcome 6 is focused on higher education completion rates, and outcome 7 focuses on the proportion of Indigenous people aged 15-24 engaged in employment, education or training. The research also relates to the strategic goals of Australia’s peak university body, Universities Australia, which in 2022 launched a 5-year sectoral strategy for closing the gap in higher education.</w:t>
            </w:r>
          </w:p>
        </w:tc>
      </w:tr>
      <w:tr w:rsidR="002B32A0" w:rsidRPr="00CE1D7F" w14:paraId="67888237" w14:textId="77777777" w:rsidTr="000B0AC7">
        <w:tc>
          <w:tcPr>
            <w:tcW w:w="1418" w:type="dxa"/>
            <w:tcMar>
              <w:left w:w="80" w:type="dxa"/>
            </w:tcMar>
          </w:tcPr>
          <w:p w14:paraId="0A65326B" w14:textId="77777777" w:rsidR="002B32A0" w:rsidRPr="00CE1D7F" w:rsidRDefault="002B32A0" w:rsidP="00582FC7">
            <w:pPr>
              <w:pStyle w:val="Tabletext"/>
              <w:keepNext/>
              <w:rPr>
                <w:i/>
                <w:iCs/>
              </w:rPr>
            </w:pPr>
            <w:r w:rsidRPr="00CE1D7F">
              <w:rPr>
                <w:i/>
                <w:iCs/>
              </w:rPr>
              <w:t>Quantum Computation and Communication Technology</w:t>
            </w:r>
          </w:p>
        </w:tc>
        <w:tc>
          <w:tcPr>
            <w:tcW w:w="8503" w:type="dxa"/>
          </w:tcPr>
          <w:p w14:paraId="674BF1CF" w14:textId="77777777" w:rsidR="002B32A0" w:rsidRPr="00CE1D7F" w:rsidRDefault="002B32A0" w:rsidP="00582FC7">
            <w:pPr>
              <w:pStyle w:val="Tabletext"/>
              <w:keepNext/>
            </w:pPr>
            <w:r>
              <w:rPr>
                <w:sz w:val="22"/>
                <w:szCs w:val="24"/>
              </w:rPr>
              <w:t xml:space="preserve">National </w:t>
            </w:r>
            <w:r w:rsidRPr="00CE1D7F">
              <w:t xml:space="preserve">Science and Research Priorities, </w:t>
            </w:r>
            <w:r w:rsidRPr="00CE1D7F">
              <w:rPr>
                <w:lang w:eastAsia="ja-JP"/>
              </w:rPr>
              <w:t xml:space="preserve">including transport; cybersecurity; energy; resources; advanced manufacturing; environmental change, and health, as quantum computing may improve existing processes in these fields. Government has also invested in the </w:t>
            </w:r>
            <w:r w:rsidRPr="00CE1D7F">
              <w:rPr>
                <w:spacing w:val="-2"/>
                <w:lang w:eastAsia="ja-JP"/>
              </w:rPr>
              <w:t>Australian National Quantum Computing Centre</w:t>
            </w:r>
            <w:r w:rsidRPr="00CE1D7F">
              <w:rPr>
                <w:lang w:eastAsia="ja-JP"/>
              </w:rPr>
              <w:t xml:space="preserve"> and the </w:t>
            </w:r>
            <w:r w:rsidRPr="00CE1D7F">
              <w:rPr>
                <w:spacing w:val="-2"/>
                <w:lang w:eastAsia="ja-JP"/>
              </w:rPr>
              <w:t>National Quantum Technology Program</w:t>
            </w:r>
            <w:r w:rsidRPr="00CE1D7F">
              <w:rPr>
                <w:lang w:eastAsia="ja-JP"/>
              </w:rPr>
              <w:t xml:space="preserve">, and the </w:t>
            </w:r>
            <w:r w:rsidRPr="00CE1D7F">
              <w:rPr>
                <w:spacing w:val="-2"/>
              </w:rPr>
              <w:t>National Quantum Strategy</w:t>
            </w:r>
            <w:r w:rsidRPr="00CE1D7F">
              <w:t xml:space="preserve"> will outline Australia’s vision for the quantum industry.</w:t>
            </w:r>
          </w:p>
        </w:tc>
      </w:tr>
      <w:tr w:rsidR="002B32A0" w:rsidRPr="00CE1D7F" w14:paraId="44B9E3E4" w14:textId="77777777" w:rsidTr="000B0AC7">
        <w:tc>
          <w:tcPr>
            <w:tcW w:w="1418" w:type="dxa"/>
            <w:tcMar>
              <w:left w:w="80" w:type="dxa"/>
            </w:tcMar>
          </w:tcPr>
          <w:p w14:paraId="7AF86705" w14:textId="77777777" w:rsidR="002B32A0" w:rsidRPr="00CE1D7F" w:rsidRDefault="002B32A0" w:rsidP="006258ED">
            <w:pPr>
              <w:pStyle w:val="Tabletext"/>
              <w:rPr>
                <w:i/>
                <w:iCs/>
              </w:rPr>
            </w:pPr>
            <w:r w:rsidRPr="00CE1D7F">
              <w:rPr>
                <w:i/>
                <w:iCs/>
              </w:rPr>
              <w:t>Aquifer Reinjection</w:t>
            </w:r>
          </w:p>
        </w:tc>
        <w:tc>
          <w:tcPr>
            <w:tcW w:w="8503" w:type="dxa"/>
          </w:tcPr>
          <w:p w14:paraId="2695325D" w14:textId="77777777" w:rsidR="002B32A0" w:rsidRPr="00CE1D7F" w:rsidRDefault="002B32A0" w:rsidP="006258ED">
            <w:pPr>
              <w:pStyle w:val="Tabletext"/>
            </w:pPr>
            <w:r w:rsidRPr="00CE1D7F">
              <w:t>Several Science and Research Proprieties, namely soil and water, as the research has increased the resilience and sustainability of Perth’s water supplies; energy, by assisting the Water Corporation to reduce the amount of energy it needs to supply Perth’s drinking water; and environmental change as the reduced energy use will assist the Water Corporation to achieve its target of net zero emissions across all operations by 2035, help protect the flora and fauna that rely on Perth’s aquifers, and strengthen Perth’s water security in the face of climate change.</w:t>
            </w:r>
          </w:p>
        </w:tc>
      </w:tr>
      <w:tr w:rsidR="002B32A0" w:rsidRPr="00CE1D7F" w14:paraId="0C6A3326" w14:textId="77777777" w:rsidTr="000B0AC7">
        <w:tc>
          <w:tcPr>
            <w:tcW w:w="1418" w:type="dxa"/>
            <w:tcMar>
              <w:left w:w="80" w:type="dxa"/>
            </w:tcMar>
          </w:tcPr>
          <w:p w14:paraId="2A686DF5" w14:textId="77777777" w:rsidR="002B32A0" w:rsidRPr="00CE1D7F" w:rsidRDefault="002B32A0" w:rsidP="006258ED">
            <w:pPr>
              <w:pStyle w:val="Tabletext"/>
              <w:rPr>
                <w:i/>
                <w:iCs/>
              </w:rPr>
            </w:pPr>
            <w:r w:rsidRPr="00CE1D7F">
              <w:rPr>
                <w:i/>
                <w:iCs/>
              </w:rPr>
              <w:t xml:space="preserve">RRR: Indigenous Remains Repatriation </w:t>
            </w:r>
          </w:p>
        </w:tc>
        <w:tc>
          <w:tcPr>
            <w:tcW w:w="8503" w:type="dxa"/>
          </w:tcPr>
          <w:p w14:paraId="034F1877" w14:textId="77777777" w:rsidR="002B32A0" w:rsidRPr="00CE1D7F" w:rsidRDefault="002B32A0" w:rsidP="006258ED">
            <w:pPr>
              <w:pStyle w:val="Tabletext"/>
            </w:pPr>
            <w:r w:rsidRPr="00CE1D7F">
              <w:t>Science and Research Priority 9: Practical Research Challenge and its challenge,</w:t>
            </w:r>
            <w:r w:rsidRPr="00CE1D7F">
              <w:rPr>
                <w:i/>
                <w:iCs/>
              </w:rPr>
              <w:t xml:space="preserve"> </w:t>
            </w:r>
            <w:r w:rsidRPr="00CE1D7F">
              <w:t>‘better health outcomes for Indigenous people’. The research also aligns with the Australian Government Office of the Arts’ statement that “The Australian Government supports the repatriation of Aboriginal and Torres Strait Islander ancestral remains (ancestors) and secret sacred objects (objects) which contributes to healing and reconciliation.”</w:t>
            </w:r>
            <w:r w:rsidRPr="00CE1D7F">
              <w:rPr>
                <w:rStyle w:val="FootnoteReference"/>
              </w:rPr>
              <w:footnoteReference w:id="60"/>
            </w:r>
          </w:p>
        </w:tc>
      </w:tr>
      <w:tr w:rsidR="002B32A0" w:rsidRPr="00CE1D7F" w14:paraId="167A4EB9" w14:textId="77777777" w:rsidTr="000B0AC7">
        <w:tc>
          <w:tcPr>
            <w:tcW w:w="1418" w:type="dxa"/>
            <w:tcMar>
              <w:left w:w="80" w:type="dxa"/>
            </w:tcMar>
          </w:tcPr>
          <w:p w14:paraId="6138E8D6" w14:textId="77777777" w:rsidR="002B32A0" w:rsidRPr="00CE1D7F" w:rsidRDefault="002B32A0" w:rsidP="006258ED">
            <w:pPr>
              <w:pStyle w:val="Tabletext"/>
              <w:rPr>
                <w:i/>
                <w:iCs/>
              </w:rPr>
            </w:pPr>
            <w:r w:rsidRPr="00CE1D7F">
              <w:rPr>
                <w:i/>
                <w:iCs/>
              </w:rPr>
              <w:t xml:space="preserve">Irrigation Automation </w:t>
            </w:r>
          </w:p>
        </w:tc>
        <w:tc>
          <w:tcPr>
            <w:tcW w:w="8503" w:type="dxa"/>
          </w:tcPr>
          <w:p w14:paraId="5F4934C5" w14:textId="77777777" w:rsidR="002B32A0" w:rsidRPr="00CE1D7F" w:rsidRDefault="002B32A0" w:rsidP="006258ED">
            <w:pPr>
              <w:pStyle w:val="Tabletext"/>
            </w:pPr>
            <w:r w:rsidRPr="00CE1D7F">
              <w:t xml:space="preserve">Soil and Water </w:t>
            </w:r>
            <w:r w:rsidRPr="00CE1D7F">
              <w:rPr>
                <w:lang w:eastAsia="ja-JP"/>
              </w:rPr>
              <w:t xml:space="preserve">Science and Research Priority, and </w:t>
            </w:r>
            <w:r w:rsidRPr="00CE1D7F">
              <w:t>the Australian Government’s commitment to delivering water security. I</w:t>
            </w:r>
            <w:r w:rsidRPr="00CE1D7F">
              <w:rPr>
                <w:lang w:eastAsia="ja-JP"/>
              </w:rPr>
              <w:t>nvestments in critical water infrastructure projects were a key feature of the 2022 Budget</w:t>
            </w:r>
            <w:r w:rsidRPr="00CE1D7F">
              <w:t xml:space="preserve">, with the Government </w:t>
            </w:r>
            <w:r w:rsidRPr="00CE1D7F">
              <w:rPr>
                <w:lang w:eastAsia="ja-JP"/>
              </w:rPr>
              <w:t>delivering more than $2</w:t>
            </w:r>
            <w:r>
              <w:rPr>
                <w:lang w:eastAsia="ja-JP"/>
              </w:rPr>
              <w:t> billion</w:t>
            </w:r>
            <w:r w:rsidRPr="00CE1D7F">
              <w:rPr>
                <w:lang w:eastAsia="ja-JP"/>
              </w:rPr>
              <w:t xml:space="preserve"> for the Water for Australia Plan.</w:t>
            </w:r>
          </w:p>
        </w:tc>
      </w:tr>
      <w:tr w:rsidR="002B32A0" w:rsidRPr="00CE1D7F" w14:paraId="2BF51B40" w14:textId="77777777" w:rsidTr="000B0AC7">
        <w:tc>
          <w:tcPr>
            <w:tcW w:w="1418" w:type="dxa"/>
            <w:tcMar>
              <w:left w:w="80" w:type="dxa"/>
            </w:tcMar>
          </w:tcPr>
          <w:p w14:paraId="6D2ACAEC" w14:textId="77777777" w:rsidR="002B32A0" w:rsidRPr="00CE1D7F" w:rsidRDefault="002B32A0" w:rsidP="006258ED">
            <w:pPr>
              <w:pStyle w:val="Tabletext"/>
              <w:rPr>
                <w:i/>
                <w:iCs/>
              </w:rPr>
            </w:pPr>
            <w:r w:rsidRPr="00CE1D7F">
              <w:rPr>
                <w:i/>
                <w:iCs/>
              </w:rPr>
              <w:t>Onshore Lobster Aquaculture</w:t>
            </w:r>
          </w:p>
        </w:tc>
        <w:tc>
          <w:tcPr>
            <w:tcW w:w="8503" w:type="dxa"/>
          </w:tcPr>
          <w:p w14:paraId="1DB7B706" w14:textId="77777777" w:rsidR="002B32A0" w:rsidRPr="00CE1D7F" w:rsidRDefault="002B32A0" w:rsidP="006258ED">
            <w:pPr>
              <w:pStyle w:val="Tabletext"/>
            </w:pPr>
            <w:r w:rsidRPr="00CE1D7F">
              <w:t xml:space="preserve">Several </w:t>
            </w:r>
            <w:r>
              <w:rPr>
                <w:sz w:val="22"/>
                <w:szCs w:val="24"/>
              </w:rPr>
              <w:t xml:space="preserve">National </w:t>
            </w:r>
            <w:r w:rsidRPr="00CE1D7F">
              <w:t xml:space="preserve">Science and </w:t>
            </w:r>
            <w:r w:rsidRPr="00CE1D7F">
              <w:rPr>
                <w:lang w:eastAsia="ja-JP"/>
              </w:rPr>
              <w:t>Research Priorities:</w:t>
            </w:r>
            <w:r w:rsidRPr="00CE1D7F">
              <w:t xml:space="preserve"> food, as the research is expected to increase Australia’s ability to grow and supply lobsters; advanced manufacturing, due to the design and fabrication for lobster mass rearing systems; and environmental change by focusing on environmental sustainability of feed and lobster culture systems.</w:t>
            </w:r>
          </w:p>
        </w:tc>
      </w:tr>
    </w:tbl>
    <w:p w14:paraId="15818F65" w14:textId="77777777" w:rsidR="000B0AC7" w:rsidRPr="00CE1D7F" w:rsidRDefault="000B0AC7" w:rsidP="000B0AC7">
      <w:pPr>
        <w:pStyle w:val="Source"/>
        <w:ind w:left="-1985"/>
      </w:pPr>
      <w:r w:rsidRPr="00CE1D7F">
        <w:t>Source: ACIL Allen, various sources. See case studies, Part II</w:t>
      </w:r>
    </w:p>
    <w:p w14:paraId="32CD74CD" w14:textId="77777777" w:rsidR="002B32A0" w:rsidRPr="00CE1D7F" w:rsidRDefault="002B32A0" w:rsidP="002B32A0">
      <w:pPr>
        <w:pStyle w:val="BodyText"/>
        <w:spacing w:before="0" w:after="0" w:line="240" w:lineRule="auto"/>
        <w:rPr>
          <w:sz w:val="12"/>
          <w:szCs w:val="12"/>
        </w:rPr>
      </w:pPr>
    </w:p>
    <w:p w14:paraId="0F06AC33" w14:textId="77777777" w:rsidR="002B32A0" w:rsidRPr="00CE1D7F" w:rsidRDefault="002B32A0" w:rsidP="002B32A0">
      <w:pPr>
        <w:pStyle w:val="BodyText"/>
        <w:sectPr w:rsidR="002B32A0" w:rsidRPr="00CE1D7F" w:rsidSect="00BA0B76">
          <w:headerReference w:type="even" r:id="rId98"/>
          <w:headerReference w:type="default" r:id="rId99"/>
          <w:footerReference w:type="even" r:id="rId100"/>
          <w:footerReference w:type="default" r:id="rId101"/>
          <w:headerReference w:type="first" r:id="rId102"/>
          <w:footerReference w:type="first" r:id="rId103"/>
          <w:pgSz w:w="11906" w:h="16838" w:code="9"/>
          <w:pgMar w:top="1134" w:right="851" w:bottom="1134" w:left="3119" w:header="454" w:footer="159" w:gutter="0"/>
          <w:cols w:space="708"/>
          <w:docGrid w:linePitch="360"/>
        </w:sectPr>
      </w:pPr>
    </w:p>
    <w:p w14:paraId="3603FCB8" w14:textId="77777777" w:rsidR="000B0AC7" w:rsidRPr="00CE1D7F" w:rsidRDefault="000B0AC7" w:rsidP="000B0AC7">
      <w:pPr>
        <w:pStyle w:val="Heading1"/>
        <w:pageBreakBefore/>
        <w:ind w:left="0" w:hanging="600"/>
      </w:pPr>
      <w:bookmarkStart w:id="172" w:name="_Ref129809969"/>
      <w:bookmarkStart w:id="173" w:name="_Toc135323691"/>
      <w:r w:rsidRPr="00CE1D7F">
        <w:lastRenderedPageBreak/>
        <w:t>Supporting</w:t>
      </w:r>
      <w:r>
        <w:t>,</w:t>
      </w:r>
      <w:r w:rsidRPr="00CE1D7F">
        <w:t xml:space="preserve"> measuring and communicating impact</w:t>
      </w:r>
      <w:bookmarkEnd w:id="172"/>
      <w:bookmarkEnd w:id="173"/>
    </w:p>
    <w:p w14:paraId="28DE11D2" w14:textId="77777777" w:rsidR="002B32A0" w:rsidRPr="00CE1D7F" w:rsidRDefault="002B32A0" w:rsidP="002B32A0">
      <w:pPr>
        <w:pStyle w:val="Introduction"/>
      </w:pPr>
      <w:r w:rsidRPr="00CE1D7F">
        <w:t xml:space="preserve">This </w:t>
      </w:r>
      <w:r>
        <w:t>chapter </w:t>
      </w:r>
      <w:r w:rsidRPr="00CE1D7F">
        <w:t>considers measuring, monitoring and communicating on impacts.</w:t>
      </w:r>
    </w:p>
    <w:p w14:paraId="6A5E7B3B" w14:textId="77777777" w:rsidR="002B32A0" w:rsidRDefault="002B32A0" w:rsidP="002B32A0">
      <w:pPr>
        <w:pStyle w:val="Heading2"/>
      </w:pPr>
      <w:bookmarkStart w:id="174" w:name="_Ref129808629"/>
      <w:bookmarkStart w:id="175" w:name="_Ref129852562"/>
      <w:bookmarkStart w:id="176" w:name="_Toc129963962"/>
      <w:bookmarkStart w:id="177" w:name="_Toc131174601"/>
      <w:bookmarkStart w:id="178" w:name="_Toc132970653"/>
      <w:bookmarkStart w:id="179" w:name="_Toc135323692"/>
      <w:r w:rsidRPr="00CE1D7F">
        <w:rPr>
          <w:noProof/>
        </w:rPr>
        <mc:AlternateContent>
          <mc:Choice Requires="wps">
            <w:drawing>
              <wp:anchor distT="0" distB="0" distL="114300" distR="114300" simplePos="0" relativeHeight="251667456" behindDoc="0" locked="1" layoutInCell="1" allowOverlap="1" wp14:anchorId="0002187B" wp14:editId="6B71D3B7">
                <wp:simplePos x="0" y="0"/>
                <wp:positionH relativeFrom="page">
                  <wp:posOffset>441325</wp:posOffset>
                </wp:positionH>
                <wp:positionV relativeFrom="paragraph">
                  <wp:posOffset>-5080</wp:posOffset>
                </wp:positionV>
                <wp:extent cx="1289050" cy="732790"/>
                <wp:effectExtent l="0" t="0" r="0" b="0"/>
                <wp:wrapNone/>
                <wp:docPr id="47" name="Text Box 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289050" cy="7327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9065AB4" w14:textId="77777777" w:rsidR="002B32A0" w:rsidRPr="00537EDE" w:rsidRDefault="002B32A0" w:rsidP="002B32A0">
                            <w:pPr>
                              <w:pStyle w:val="SideNoteRegularRight"/>
                              <w:jc w:val="left"/>
                            </w:pPr>
                            <w:r w:rsidRPr="00537EDE">
                              <w:t xml:space="preserve">KEQ 4. What are the main factors supporting the delivery of research outcomes and impacts? How does the ARC contribute to these factors? </w:t>
                            </w:r>
                          </w:p>
                        </w:txbxContent>
                      </wps:txbx>
                      <wps:bodyPr rot="0" spcFirstLastPara="0" vertOverflow="overflow" horzOverflow="overflow" vert="horz" wrap="square" lIns="0" tIns="0" rIns="76200" bIns="762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002187B" id="Text Box 47" o:spid="_x0000_s1034" type="#_x0000_t202" alt="&quot;&quot;" style="position:absolute;left:0;text-align:left;margin-left:34.75pt;margin-top:-.4pt;width:101.5pt;height:57.7pt;z-index:251667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" filled="f" stroked="f" strokeweight=".5pt">
                <v:textbox style="mso-fit-shape-to-text:t" inset="0,0,6pt,6pt">
                  <w:txbxContent>
                    <w:p w14:paraId="39065AB4" w14:textId="77777777" w:rsidR="002B32A0" w:rsidRPr="00537EDE" w:rsidRDefault="002B32A0" w:rsidP="002B32A0">
                      <w:pPr>
                        <w:pStyle w:val="SideNoteRegularRight"/>
                        <w:jc w:val="left"/>
                      </w:pPr>
                      <w:r w:rsidRPr="00537EDE">
                        <w:t xml:space="preserve">KEQ 4. What are the main factors supporting the delivery of research outcomes and impacts? How does the ARC contribute to these factors? </w:t>
                      </w:r>
                    </w:p>
                  </w:txbxContent>
                </v:textbox>
                <w10:wrap anchorx="page"/>
                <w10:anchorlock/>
              </v:shape>
            </w:pict>
          </mc:Fallback>
        </mc:AlternateContent>
      </w:r>
      <w:r w:rsidRPr="00CE1D7F">
        <w:t>ARC support for research</w:t>
      </w:r>
      <w:bookmarkEnd w:id="174"/>
      <w:bookmarkEnd w:id="175"/>
      <w:bookmarkEnd w:id="176"/>
      <w:bookmarkEnd w:id="177"/>
      <w:bookmarkEnd w:id="178"/>
      <w:bookmarkEnd w:id="179"/>
    </w:p>
    <w:p w14:paraId="743E821D" w14:textId="6E2CFE26" w:rsidR="000B0AC7" w:rsidRPr="00CE1D7F" w:rsidRDefault="000B0AC7" w:rsidP="006258ED">
      <w:pPr>
        <w:pStyle w:val="Caption"/>
      </w:pPr>
      <w:r w:rsidRPr="00CE1D7F">
        <w:rPr>
          <w:rStyle w:val="CaptionLabel"/>
        </w:rPr>
        <w:t>Key Finding </w:t>
      </w:r>
      <w:r w:rsidRPr="00CE1D7F">
        <w:rPr>
          <w:rStyle w:val="CaptionLabel"/>
        </w:rPr>
        <w:fldChar w:fldCharType="begin"/>
      </w:r>
      <w:r w:rsidRPr="00CE1D7F">
        <w:rPr>
          <w:rStyle w:val="CaptionLabel"/>
        </w:rPr>
        <w:instrText xml:space="preserve"> SEQ Key_Finding \* ARABIC  \* MERGEFORMAT </w:instrText>
      </w:r>
      <w:r w:rsidRPr="00CE1D7F">
        <w:rPr>
          <w:rStyle w:val="CaptionLabel"/>
        </w:rPr>
        <w:fldChar w:fldCharType="separate"/>
      </w:r>
      <w:r>
        <w:rPr>
          <w:rStyle w:val="CaptionLabel"/>
          <w:noProof/>
        </w:rPr>
        <w:t>9</w:t>
      </w:r>
      <w:r w:rsidRPr="00CE1D7F">
        <w:rPr>
          <w:rStyle w:val="CaptionLabel"/>
        </w:rPr>
        <w:fldChar w:fldCharType="end"/>
      </w:r>
      <w:r w:rsidRPr="00CE1D7F">
        <w:tab/>
        <w:t>Factors supporting the delivery of research outcomes and impacts</w:t>
      </w:r>
    </w:p>
    <w:tbl>
      <w:tblPr>
        <w:tblStyle w:val="aacTableBox"/>
        <w:tblW w:w="0" w:type="auto"/>
        <w:tblLayout w:type="fixed"/>
        <w:tblLook w:val="04A0" w:firstRow="1" w:lastRow="0" w:firstColumn="1" w:lastColumn="0" w:noHBand="0" w:noVBand="1"/>
        <w:tblCaption w:val="Key Finding 9"/>
        <w:tblDescription w:val="Factors supporting the delivery of research outcomes and impacts"/>
      </w:tblPr>
      <w:tblGrid>
        <w:gridCol w:w="7936"/>
      </w:tblGrid>
      <w:tr w:rsidR="002B32A0" w:rsidRPr="00CE1D7F" w14:paraId="573CAA1C" w14:textId="77777777" w:rsidTr="000B0AC7">
        <w:tc>
          <w:tcPr>
            <w:tcW w:w="7936" w:type="dxa"/>
          </w:tcPr>
          <w:p w14:paraId="660A34B3" w14:textId="77777777" w:rsidR="002B32A0" w:rsidRPr="001A6DB5" w:rsidRDefault="002B32A0" w:rsidP="006258ED">
            <w:pPr>
              <w:pStyle w:val="BoxText"/>
              <w:rPr>
                <w:sz w:val="22"/>
                <w:szCs w:val="24"/>
              </w:rPr>
            </w:pPr>
            <w:r w:rsidRPr="001A6DB5">
              <w:rPr>
                <w:sz w:val="22"/>
                <w:szCs w:val="24"/>
              </w:rPr>
              <w:t>The ARC supports the delivery of outcomes and impacts through a variety of mechanisms, including by providing grants for basic and applied research, funding career development, and supporting the sector through outreach and engagement with universities. Most consider that the ARC is effective in this role.</w:t>
            </w:r>
          </w:p>
          <w:p w14:paraId="3094A074" w14:textId="77777777" w:rsidR="002B32A0" w:rsidRPr="001A6DB5" w:rsidRDefault="002B32A0" w:rsidP="006258ED">
            <w:pPr>
              <w:pStyle w:val="BoxText"/>
              <w:rPr>
                <w:sz w:val="22"/>
                <w:szCs w:val="24"/>
              </w:rPr>
            </w:pPr>
            <w:r w:rsidRPr="001A6DB5">
              <w:rPr>
                <w:sz w:val="22"/>
                <w:szCs w:val="24"/>
              </w:rPr>
              <w:t xml:space="preserve">International comparators encourage researchers to consider and plan for their research impact pathway. This is appropriate and helpful for supporting the delivery of research impact. SFI takes a collaborative and supportive approach to grant management, while Horizon Europe provides end-of-grant funding to support research translation. </w:t>
            </w:r>
          </w:p>
          <w:p w14:paraId="50DC4B6B" w14:textId="77777777" w:rsidR="002B32A0" w:rsidRPr="001A6DB5" w:rsidRDefault="002B32A0" w:rsidP="006258ED">
            <w:pPr>
              <w:pStyle w:val="BoxText"/>
              <w:rPr>
                <w:sz w:val="22"/>
                <w:szCs w:val="24"/>
              </w:rPr>
            </w:pPr>
            <w:r w:rsidRPr="001A6DB5">
              <w:rPr>
                <w:sz w:val="22"/>
                <w:szCs w:val="24"/>
              </w:rPr>
              <w:t xml:space="preserve">The ARC plays an essential funding role in the innovation ecosystem, which other funding sources </w:t>
            </w:r>
            <w:r>
              <w:rPr>
                <w:sz w:val="22"/>
                <w:szCs w:val="24"/>
              </w:rPr>
              <w:t>do</w:t>
            </w:r>
            <w:r w:rsidRPr="001A6DB5">
              <w:rPr>
                <w:sz w:val="22"/>
                <w:szCs w:val="24"/>
              </w:rPr>
              <w:t xml:space="preserve"> not support. However, non-ARC funding sources are also essential in supporting pathways to impact for NCGP-funded research and filling gaps in the activities/research funded by the ARC. </w:t>
            </w:r>
          </w:p>
          <w:p w14:paraId="2E463A70" w14:textId="77777777" w:rsidR="002B32A0" w:rsidRPr="00CE1D7F" w:rsidRDefault="002B32A0" w:rsidP="006258ED">
            <w:pPr>
              <w:pStyle w:val="BoxText"/>
            </w:pPr>
            <w:r w:rsidRPr="001A6DB5">
              <w:rPr>
                <w:sz w:val="22"/>
                <w:szCs w:val="24"/>
              </w:rPr>
              <w:t>For these reasons, a large proportion of the impact of the research considered in this evaluation is attributable to the presence of the NCGP’s research funding.</w:t>
            </w:r>
          </w:p>
        </w:tc>
      </w:tr>
    </w:tbl>
    <w:p w14:paraId="123FC47F" w14:textId="77777777" w:rsidR="000B0AC7" w:rsidRPr="00CE1D7F" w:rsidRDefault="000B0AC7" w:rsidP="006258ED">
      <w:pPr>
        <w:pStyle w:val="Source"/>
      </w:pPr>
    </w:p>
    <w:p w14:paraId="4C3BAE0D" w14:textId="77777777" w:rsidR="002B32A0" w:rsidRPr="00CE1D7F" w:rsidRDefault="002B32A0" w:rsidP="002B32A0">
      <w:pPr>
        <w:pStyle w:val="BodyText"/>
        <w:rPr>
          <w:lang w:eastAsia="en-AU"/>
        </w:rPr>
      </w:pPr>
      <w:r w:rsidRPr="00CE1D7F">
        <w:t xml:space="preserve">As part of this evaluation, ACIL Allen was required to consider the main factors supporting the delivery of outcomes and impacts from NCGP-funded research. Consultation with domestic </w:t>
      </w:r>
      <w:r w:rsidRPr="00CE1D7F">
        <w:rPr>
          <w:lang w:eastAsia="en-AU"/>
        </w:rPr>
        <w:t xml:space="preserve">stakeholders </w:t>
      </w:r>
      <w:r w:rsidRPr="00CE1D7F">
        <w:t xml:space="preserve">identified various factors that are important in supporting or inhibiting outcomes and impacts from NCGP-funded research. These included financial support through grants for basic and applied research, funding for career development, and general support for the sector through </w:t>
      </w:r>
      <w:r w:rsidRPr="00CE1D7F">
        <w:rPr>
          <w:lang w:eastAsia="en-AU"/>
        </w:rPr>
        <w:t>outreach and engagement with universities. These factors were only discussed at a high-level owing to the large range of impact drivers across the NCGP.</w:t>
      </w:r>
    </w:p>
    <w:p w14:paraId="289111A0" w14:textId="77777777" w:rsidR="002B32A0" w:rsidRPr="00CE1D7F" w:rsidRDefault="002B32A0" w:rsidP="002B32A0">
      <w:pPr>
        <w:pStyle w:val="BodyText"/>
      </w:pPr>
      <w:r w:rsidRPr="00CE1D7F">
        <w:t xml:space="preserve">ARC funding contributes to delivering impacts from university research within the Australian innovation system by funding basic and applied research and research capacity building through training and career development. Domestic </w:t>
      </w:r>
      <w:r w:rsidRPr="00CE1D7F">
        <w:rPr>
          <w:lang w:eastAsia="en-AU"/>
        </w:rPr>
        <w:t xml:space="preserve">stakeholders </w:t>
      </w:r>
      <w:r w:rsidRPr="00CE1D7F">
        <w:t xml:space="preserve">spoke highly of the value and necessity of ARC funding, which was seen to have a specific role and to fund specific purposes and activities not supported by other funding sources. Domestic </w:t>
      </w:r>
      <w:r w:rsidRPr="00CE1D7F">
        <w:rPr>
          <w:lang w:eastAsia="en-AU"/>
        </w:rPr>
        <w:t xml:space="preserve">stakeholders </w:t>
      </w:r>
      <w:r w:rsidRPr="00CE1D7F">
        <w:t xml:space="preserve">also spoke of the importance of the ARC allocating funding based on research and researcher excellence to support the delivery of impacts, particularly given the small relative size of the available research funding. </w:t>
      </w:r>
    </w:p>
    <w:p w14:paraId="605DE5FD" w14:textId="0F59B9A5" w:rsidR="002B32A0" w:rsidRPr="00CE1D7F" w:rsidRDefault="002B32A0" w:rsidP="002B32A0">
      <w:pPr>
        <w:pStyle w:val="BodyText"/>
      </w:pPr>
      <w:r w:rsidRPr="00CE1D7F">
        <w:lastRenderedPageBreak/>
        <w:t xml:space="preserve">The ARC uses a range of mechanisms to support the delivery of research impact, as outlined in </w:t>
      </w:r>
      <w:r w:rsidRPr="00F87D0E">
        <w:fldChar w:fldCharType="begin"/>
      </w:r>
      <w:r w:rsidRPr="00F87D0E">
        <w:instrText xml:space="preserve"> REF _Ref129811101 \h  \* MERGEFORMAT </w:instrText>
      </w:r>
      <w:r w:rsidRPr="00F87D0E">
        <w:fldChar w:fldCharType="separate"/>
      </w:r>
      <w:r w:rsidR="000B0AC7" w:rsidRPr="000B0AC7">
        <w:t>Box 4.1</w:t>
      </w:r>
      <w:r w:rsidRPr="00F87D0E">
        <w:fldChar w:fldCharType="end"/>
      </w:r>
      <w:r w:rsidRPr="00CE1D7F">
        <w:t xml:space="preserve">. Domestic </w:t>
      </w:r>
      <w:r w:rsidRPr="00CE1D7F">
        <w:rPr>
          <w:lang w:eastAsia="en-AU"/>
        </w:rPr>
        <w:t xml:space="preserve">stakeholders </w:t>
      </w:r>
      <w:r w:rsidRPr="00CE1D7F">
        <w:t xml:space="preserve">did not have strong views about the utility of these mechanisms (at an aggregate level), although most agreed that </w:t>
      </w:r>
      <w:r>
        <w:t xml:space="preserve">researchers perceive a need </w:t>
      </w:r>
      <w:r w:rsidRPr="00CE1D7F">
        <w:t>to address</w:t>
      </w:r>
      <w:r>
        <w:t xml:space="preserve"> the</w:t>
      </w:r>
      <w:r w:rsidRPr="00CE1D7F">
        <w:t xml:space="preserve"> Australian Government research priority areas </w:t>
      </w:r>
      <w:r>
        <w:t>in their research, and that this is</w:t>
      </w:r>
      <w:r w:rsidRPr="00CE1D7F">
        <w:t xml:space="preserve"> a source of tension in the broader research system. When they were identified, some considered the mechanisms to be a mix of requirements for applicants and funded researchers and statements of purpose of ARC funding rather than supports. </w:t>
      </w:r>
    </w:p>
    <w:p w14:paraId="0D4D03F7" w14:textId="77777777" w:rsidR="002B32A0" w:rsidRPr="00CE1D7F" w:rsidRDefault="002B32A0" w:rsidP="002B32A0">
      <w:pPr>
        <w:pStyle w:val="BodyText"/>
      </w:pPr>
      <w:r w:rsidRPr="00CE1D7F">
        <w:t xml:space="preserve">However, 2 domestic </w:t>
      </w:r>
      <w:r w:rsidRPr="00CE1D7F">
        <w:rPr>
          <w:lang w:eastAsia="en-AU"/>
        </w:rPr>
        <w:t xml:space="preserve">stakeholders </w:t>
      </w:r>
      <w:r w:rsidRPr="00CE1D7F">
        <w:t>commented on the value of requiring researchers to submit a research impact statement as part of their application and including assessment criteria related to impact. This created an opportunity for researchers to identify the intended impacts of the research and enabled future reporting on the extent to which impacts were realised.</w:t>
      </w:r>
    </w:p>
    <w:p w14:paraId="5E9DC12B" w14:textId="77777777" w:rsidR="002B32A0" w:rsidRPr="00CE1D7F" w:rsidRDefault="002B32A0" w:rsidP="002B32A0">
      <w:pPr>
        <w:pStyle w:val="BodyText"/>
      </w:pPr>
      <w:r w:rsidRPr="00CE1D7F">
        <w:t xml:space="preserve">Domestic </w:t>
      </w:r>
      <w:r w:rsidRPr="00CE1D7F">
        <w:rPr>
          <w:lang w:eastAsia="en-AU"/>
        </w:rPr>
        <w:t xml:space="preserve">stakeholders </w:t>
      </w:r>
      <w:r w:rsidRPr="00CE1D7F">
        <w:t xml:space="preserve">did not express a strong view about how the ARC’s different support mechanisms for delivering impact compare with other funding agencies nationally and internationally. They were clear that international practice is a useful consideration but is not sufficient grounds for implementation in Australia. They all believe that consultation with the sector is critical before any practices or supports used overseas are implemented locally. </w:t>
      </w:r>
    </w:p>
    <w:p w14:paraId="78B0089F" w14:textId="2BA486FA" w:rsidR="000B0AC7" w:rsidRPr="00146763" w:rsidRDefault="000B0AC7" w:rsidP="006258ED">
      <w:pPr>
        <w:pStyle w:val="Caption"/>
        <w:rPr>
          <w:szCs w:val="22"/>
        </w:rPr>
      </w:pPr>
      <w:bookmarkStart w:id="180" w:name="_Ref129811101"/>
      <w:r w:rsidRPr="00146763">
        <w:rPr>
          <w:rStyle w:val="CaptionLabel"/>
          <w:szCs w:val="22"/>
        </w:rPr>
        <w:t>Box </w:t>
      </w:r>
      <w:r w:rsidRPr="00146763">
        <w:rPr>
          <w:rStyle w:val="CaptionLabel"/>
          <w:szCs w:val="22"/>
        </w:rPr>
        <w:fldChar w:fldCharType="begin"/>
      </w:r>
      <w:r w:rsidRPr="00146763">
        <w:rPr>
          <w:rStyle w:val="CaptionLabel"/>
          <w:szCs w:val="22"/>
        </w:rPr>
        <w:instrText xml:space="preserve"> STYLEREF 1 \S \* MERGEFORMAT </w:instrText>
      </w:r>
      <w:r w:rsidRPr="00146763">
        <w:rPr>
          <w:rStyle w:val="CaptionLabel"/>
          <w:szCs w:val="22"/>
        </w:rPr>
        <w:fldChar w:fldCharType="separate"/>
      </w:r>
      <w:r>
        <w:rPr>
          <w:rStyle w:val="CaptionLabel"/>
          <w:noProof/>
          <w:szCs w:val="22"/>
        </w:rPr>
        <w:t>4</w:t>
      </w:r>
      <w:r w:rsidRPr="00146763">
        <w:rPr>
          <w:rStyle w:val="CaptionLabel"/>
          <w:szCs w:val="22"/>
        </w:rPr>
        <w:fldChar w:fldCharType="end"/>
      </w:r>
      <w:r w:rsidRPr="00146763">
        <w:rPr>
          <w:rStyle w:val="CaptionLabel"/>
          <w:szCs w:val="22"/>
        </w:rPr>
        <w:t>.</w:t>
      </w:r>
      <w:r w:rsidRPr="00146763">
        <w:rPr>
          <w:rStyle w:val="CaptionLabel"/>
          <w:szCs w:val="22"/>
        </w:rPr>
        <w:fldChar w:fldCharType="begin"/>
      </w:r>
      <w:r w:rsidRPr="00146763">
        <w:rPr>
          <w:rStyle w:val="CaptionLabel"/>
          <w:szCs w:val="22"/>
        </w:rPr>
        <w:instrText xml:space="preserve"> SEQ Box \* ARABIC \S 1 \* MERGEFORMAT </w:instrText>
      </w:r>
      <w:r w:rsidRPr="00146763">
        <w:rPr>
          <w:rStyle w:val="CaptionLabel"/>
          <w:szCs w:val="22"/>
        </w:rPr>
        <w:fldChar w:fldCharType="separate"/>
      </w:r>
      <w:r>
        <w:rPr>
          <w:rStyle w:val="CaptionLabel"/>
          <w:noProof/>
          <w:szCs w:val="22"/>
        </w:rPr>
        <w:t>1</w:t>
      </w:r>
      <w:r w:rsidRPr="00146763">
        <w:rPr>
          <w:rStyle w:val="CaptionLabel"/>
          <w:szCs w:val="22"/>
        </w:rPr>
        <w:fldChar w:fldCharType="end"/>
      </w:r>
      <w:bookmarkEnd w:id="180"/>
      <w:r w:rsidRPr="00146763">
        <w:rPr>
          <w:szCs w:val="22"/>
        </w:rPr>
        <w:tab/>
        <w:t>Mechanisms the NCGP uses to support research impact</w:t>
      </w:r>
    </w:p>
    <w:tbl>
      <w:tblPr>
        <w:tblStyle w:val="aacTableBox"/>
        <w:tblW w:w="0" w:type="auto"/>
        <w:tblLayout w:type="fixed"/>
        <w:tblLook w:val="04A0" w:firstRow="1" w:lastRow="0" w:firstColumn="1" w:lastColumn="0" w:noHBand="0" w:noVBand="1"/>
        <w:tblCaption w:val="Box 4.1"/>
        <w:tblDescription w:val="Mechanisms the NCGP uses to support research impact"/>
      </w:tblPr>
      <w:tblGrid>
        <w:gridCol w:w="7936"/>
      </w:tblGrid>
      <w:tr w:rsidR="002B32A0" w:rsidRPr="00146763" w14:paraId="157518EA" w14:textId="77777777" w:rsidTr="000B0AC7">
        <w:tc>
          <w:tcPr>
            <w:tcW w:w="7936" w:type="dxa"/>
          </w:tcPr>
          <w:p w14:paraId="2C2C275B" w14:textId="77777777" w:rsidR="002B32A0" w:rsidRPr="00A014AC" w:rsidRDefault="002B32A0" w:rsidP="006258ED">
            <w:pPr>
              <w:pStyle w:val="BoxText"/>
              <w:rPr>
                <w:sz w:val="22"/>
              </w:rPr>
            </w:pPr>
            <w:r w:rsidRPr="00A014AC">
              <w:rPr>
                <w:sz w:val="22"/>
              </w:rPr>
              <w:t>Current mechanisms used under the NCGP to support research impact include:</w:t>
            </w:r>
          </w:p>
          <w:p w14:paraId="34EE98C3" w14:textId="77777777" w:rsidR="002B32A0" w:rsidRPr="00A014AC" w:rsidRDefault="002B32A0" w:rsidP="006258ED">
            <w:pPr>
              <w:pStyle w:val="BoxListBullet"/>
              <w:rPr>
                <w:sz w:val="22"/>
              </w:rPr>
            </w:pPr>
            <w:r w:rsidRPr="00A014AC">
              <w:rPr>
                <w:sz w:val="22"/>
              </w:rPr>
              <w:t xml:space="preserve">support for both basic and applied research </w:t>
            </w:r>
          </w:p>
          <w:p w14:paraId="40674E5A" w14:textId="77777777" w:rsidR="002B32A0" w:rsidRPr="00A014AC" w:rsidRDefault="002B32A0" w:rsidP="00582FC7">
            <w:pPr>
              <w:pStyle w:val="BoxListBullet"/>
            </w:pPr>
            <w:r w:rsidRPr="00A014AC">
              <w:t>intended outcomes across most Discovery/Linkage Program schemes, which highlight the delivery of benefit/impact as a key long-term aim for ARC-funded research</w:t>
            </w:r>
          </w:p>
          <w:p w14:paraId="5635A08B" w14:textId="77777777" w:rsidR="002B32A0" w:rsidRPr="00A014AC" w:rsidRDefault="002B32A0" w:rsidP="00582FC7">
            <w:pPr>
              <w:pStyle w:val="BoxListBullet"/>
            </w:pPr>
            <w:r w:rsidRPr="00A014AC">
              <w:t>requiring/encouraging collaboration with end-users, particularly through the Linkage Program</w:t>
            </w:r>
          </w:p>
          <w:p w14:paraId="625CEA22" w14:textId="77777777" w:rsidR="002B32A0" w:rsidRPr="00A014AC" w:rsidRDefault="002B32A0" w:rsidP="00582FC7">
            <w:pPr>
              <w:pStyle w:val="BoxListBullet"/>
            </w:pPr>
            <w:r w:rsidRPr="00A014AC">
              <w:t>assessment criteria across most NCGP scheme Grant Guidelines relating to the delivery (or potential delivery) of economic, commercial, environmental, social and/or cultural impact</w:t>
            </w:r>
          </w:p>
          <w:p w14:paraId="218EFAF0" w14:textId="77777777" w:rsidR="002B32A0" w:rsidRPr="00A014AC" w:rsidRDefault="002B32A0" w:rsidP="00582FC7">
            <w:pPr>
              <w:pStyle w:val="BoxListBullet"/>
            </w:pPr>
            <w:r w:rsidRPr="00A014AC">
              <w:t>the inclusion of research impact as a form of performance evidence under the Research Opportunity and Performance Evidence Statement</w:t>
            </w:r>
          </w:p>
          <w:p w14:paraId="053D81D6" w14:textId="77777777" w:rsidR="002B32A0" w:rsidRPr="00A014AC" w:rsidRDefault="002B32A0" w:rsidP="00582FC7">
            <w:pPr>
              <w:pStyle w:val="BoxListBullet"/>
            </w:pPr>
            <w:r w:rsidRPr="00A014AC">
              <w:t>the National Interest Test, which asks applicants to demonstrate the impacts (economic, commercial, environmental, social, or cultural) of the proposed research beyond academia</w:t>
            </w:r>
          </w:p>
          <w:p w14:paraId="23AAAE82" w14:textId="77777777" w:rsidR="002B32A0" w:rsidRPr="00A014AC" w:rsidRDefault="002B32A0" w:rsidP="00582FC7">
            <w:pPr>
              <w:pStyle w:val="BoxListBullet"/>
            </w:pPr>
            <w:r>
              <w:t>highlighting the</w:t>
            </w:r>
            <w:r w:rsidRPr="00A014AC">
              <w:t xml:space="preserve"> Australian Government</w:t>
            </w:r>
            <w:r>
              <w:t>’s</w:t>
            </w:r>
            <w:r w:rsidRPr="00A014AC">
              <w:t xml:space="preserve"> research priority areas</w:t>
            </w:r>
          </w:p>
          <w:p w14:paraId="65F57ACE" w14:textId="77777777" w:rsidR="002B32A0" w:rsidRPr="00A014AC" w:rsidRDefault="002B32A0" w:rsidP="00582FC7">
            <w:pPr>
              <w:pStyle w:val="BoxListBullet"/>
            </w:pPr>
            <w:r w:rsidRPr="00A014AC">
              <w:t xml:space="preserve">reporting in Final Reports relating to: the kind of impacts delivered; the actual/expected timeframe for the delivery of impact; the stakeholders who will impact; outcomes achieved from the perspective of Partner Organisations. </w:t>
            </w:r>
          </w:p>
        </w:tc>
      </w:tr>
    </w:tbl>
    <w:p w14:paraId="7FF4E94E" w14:textId="77777777" w:rsidR="000B0AC7" w:rsidRPr="00CE1D7F" w:rsidRDefault="000B0AC7" w:rsidP="006258ED">
      <w:pPr>
        <w:pStyle w:val="Source"/>
      </w:pPr>
      <w:r w:rsidRPr="00CE1D7F">
        <w:t>Source: ARC</w:t>
      </w:r>
    </w:p>
    <w:p w14:paraId="0D081F82" w14:textId="20D8479D" w:rsidR="002B32A0" w:rsidRPr="00CE1D7F" w:rsidRDefault="002B32A0" w:rsidP="002B32A0">
      <w:pPr>
        <w:pStyle w:val="BodyText"/>
      </w:pPr>
      <w:r w:rsidRPr="00CE1D7F">
        <w:t xml:space="preserve">Survey respondents were asked to reflect on the extent to which the ARC supports research that leads to impacts beyond academia (see </w:t>
      </w:r>
      <w:r w:rsidRPr="00F87D0E">
        <w:fldChar w:fldCharType="begin"/>
      </w:r>
      <w:r w:rsidRPr="00F87D0E">
        <w:instrText xml:space="preserve"> REF _Ref129881239 \h  \* MERGEFORMAT </w:instrText>
      </w:r>
      <w:r w:rsidRPr="00F87D0E">
        <w:fldChar w:fldCharType="separate"/>
      </w:r>
      <w:r w:rsidR="000B0AC7" w:rsidRPr="000B0AC7">
        <w:t>Figure 4.1</w:t>
      </w:r>
      <w:r w:rsidRPr="00F87D0E">
        <w:fldChar w:fldCharType="end"/>
      </w:r>
      <w:r w:rsidRPr="00CE1D7F">
        <w:t>). 63% of respondents considered the ARC to be effective or very effective. However, a notable proportion was neutral (19%), unsure (10%), or reported the ARC’s support to be ineffective/very ineffective (9%).</w:t>
      </w:r>
    </w:p>
    <w:p w14:paraId="7461A969" w14:textId="07561FD9" w:rsidR="000B0AC7" w:rsidRPr="00CE1D7F" w:rsidRDefault="000B0AC7" w:rsidP="000B0AC7">
      <w:pPr>
        <w:pStyle w:val="Caption"/>
        <w:ind w:left="1308" w:hanging="1308"/>
      </w:pPr>
      <w:bookmarkStart w:id="181" w:name="_Ref129881239"/>
      <w:r w:rsidRPr="008B03CF">
        <w:rPr>
          <w:rStyle w:val="CaptionLabel"/>
        </w:rPr>
        <w:lastRenderedPageBreak/>
        <w:t>Figure </w:t>
      </w:r>
      <w:r w:rsidRPr="008B03CF">
        <w:rPr>
          <w:rStyle w:val="CaptionLabel"/>
        </w:rPr>
        <w:fldChar w:fldCharType="begin"/>
      </w:r>
      <w:r w:rsidRPr="008B03CF">
        <w:rPr>
          <w:rStyle w:val="CaptionLabel"/>
        </w:rPr>
        <w:instrText xml:space="preserve"> STYLEREF 1 \s </w:instrText>
      </w:r>
      <w:r w:rsidRPr="008B03CF">
        <w:rPr>
          <w:rStyle w:val="CaptionLabel"/>
        </w:rPr>
        <w:fldChar w:fldCharType="separate"/>
      </w:r>
      <w:r w:rsidRPr="008B03CF">
        <w:rPr>
          <w:rStyle w:val="CaptionLabel"/>
          <w:noProof/>
        </w:rPr>
        <w:t>4</w:t>
      </w:r>
      <w:r w:rsidRPr="008B03CF">
        <w:rPr>
          <w:rStyle w:val="CaptionLabel"/>
        </w:rPr>
        <w:fldChar w:fldCharType="end"/>
      </w:r>
      <w:r w:rsidRPr="008B03CF">
        <w:rPr>
          <w:rStyle w:val="CaptionLabel"/>
        </w:rPr>
        <w:t>.</w:t>
      </w:r>
      <w:r w:rsidRPr="008B03CF">
        <w:rPr>
          <w:rStyle w:val="CaptionLabel"/>
        </w:rPr>
        <w:fldChar w:fldCharType="begin"/>
      </w:r>
      <w:r w:rsidRPr="008B03CF">
        <w:rPr>
          <w:rStyle w:val="CaptionLabel"/>
        </w:rPr>
        <w:instrText xml:space="preserve"> SEQ Figure \* ARABIC \s 1 </w:instrText>
      </w:r>
      <w:r w:rsidRPr="008B03CF">
        <w:rPr>
          <w:rStyle w:val="CaptionLabel"/>
        </w:rPr>
        <w:fldChar w:fldCharType="separate"/>
      </w:r>
      <w:r w:rsidRPr="008B03CF">
        <w:rPr>
          <w:rStyle w:val="CaptionLabel"/>
          <w:noProof/>
        </w:rPr>
        <w:t>1</w:t>
      </w:r>
      <w:r w:rsidRPr="008B03CF">
        <w:rPr>
          <w:rStyle w:val="CaptionLabel"/>
        </w:rPr>
        <w:fldChar w:fldCharType="end"/>
      </w:r>
      <w:bookmarkEnd w:id="181"/>
      <w:r w:rsidRPr="008B03CF">
        <w:tab/>
        <w:t>Survey results on ARC’s effectiveness in supporting research that leads to impacts beyond academia</w:t>
      </w:r>
    </w:p>
    <w:tbl>
      <w:tblPr>
        <w:tblW w:w="0" w:type="auto"/>
        <w:tblLayout w:type="fixed"/>
        <w:tblLook w:val="0000" w:firstRow="0" w:lastRow="0" w:firstColumn="0" w:lastColumn="0" w:noHBand="0" w:noVBand="0"/>
      </w:tblPr>
      <w:tblGrid>
        <w:gridCol w:w="7936"/>
      </w:tblGrid>
      <w:tr w:rsidR="002B32A0" w:rsidRPr="00CE1D7F" w14:paraId="7BF7C7FC" w14:textId="77777777" w:rsidTr="006258ED">
        <w:tc>
          <w:tcPr>
            <w:tcW w:w="7936" w:type="dxa"/>
            <w:tcBorders>
              <w:top w:val="single" w:sz="4" w:space="0" w:color="000100"/>
            </w:tcBorders>
            <w:shd w:val="clear" w:color="auto" w:fill="auto"/>
          </w:tcPr>
          <w:p w14:paraId="1E35407D" w14:textId="77777777" w:rsidR="002B32A0" w:rsidRPr="00CE1D7F" w:rsidRDefault="002B32A0" w:rsidP="006258ED">
            <w:pPr>
              <w:pStyle w:val="Figure"/>
            </w:pPr>
            <w:r w:rsidRPr="00CE1D7F">
              <w:rPr>
                <w:noProof/>
              </w:rPr>
              <w:drawing>
                <wp:inline distT="0" distB="0" distL="0" distR="0" wp14:anchorId="08D3F3B2" wp14:editId="7D4905CF">
                  <wp:extent cx="4901565" cy="1170305"/>
                  <wp:effectExtent l="0" t="0" r="0" b="0"/>
                  <wp:docPr id="52" name="Picture 52" descr="Survey results on ARC’s effectiveness in supporting research that leads to impacts beyond academia, see description in text abov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Survey results on ARC’s effectiveness in supporting research that leads to impacts beyond academia, see description in text above figure."/>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901565" cy="1170305"/>
                          </a:xfrm>
                          <a:prstGeom prst="rect">
                            <a:avLst/>
                          </a:prstGeom>
                          <a:noFill/>
                        </pic:spPr>
                      </pic:pic>
                    </a:graphicData>
                  </a:graphic>
                </wp:inline>
              </w:drawing>
            </w:r>
          </w:p>
        </w:tc>
      </w:tr>
      <w:tr w:rsidR="002B32A0" w:rsidRPr="00CE1D7F" w14:paraId="5C9DD1E8" w14:textId="77777777" w:rsidTr="006258ED">
        <w:tblPrEx>
          <w:tblCellMar>
            <w:left w:w="0" w:type="dxa"/>
            <w:right w:w="0" w:type="dxa"/>
          </w:tblCellMar>
        </w:tblPrEx>
        <w:trPr>
          <w:trHeight w:val="137"/>
        </w:trPr>
        <w:tc>
          <w:tcPr>
            <w:tcW w:w="7936" w:type="dxa"/>
            <w:tcBorders>
              <w:bottom w:val="single" w:sz="4" w:space="0" w:color="000100"/>
            </w:tcBorders>
            <w:shd w:val="clear" w:color="auto" w:fill="auto"/>
            <w:tcMar>
              <w:top w:w="12" w:type="dxa"/>
              <w:bottom w:w="113" w:type="dxa"/>
            </w:tcMar>
          </w:tcPr>
          <w:p w14:paraId="6BC000CF" w14:textId="77777777" w:rsidR="002B32A0" w:rsidRPr="00CE1D7F" w:rsidRDefault="002B32A0" w:rsidP="006258ED">
            <w:pPr>
              <w:pStyle w:val="Source"/>
            </w:pPr>
            <w:r w:rsidRPr="00CE1D7F">
              <w:t>N=3,515</w:t>
            </w:r>
          </w:p>
          <w:p w14:paraId="3FEC058D" w14:textId="77777777" w:rsidR="002B32A0" w:rsidRPr="00CE1D7F" w:rsidRDefault="002B32A0" w:rsidP="006258ED">
            <w:pPr>
              <w:pStyle w:val="Source"/>
            </w:pPr>
            <w:r w:rsidRPr="00CE1D7F">
              <w:t>Source: ACIL Allen survey of ARC funding recipients</w:t>
            </w:r>
          </w:p>
        </w:tc>
      </w:tr>
      <w:tr w:rsidR="002B32A0" w:rsidRPr="00CE1D7F" w14:paraId="36C5D8E9" w14:textId="77777777" w:rsidTr="006258ED">
        <w:tblPrEx>
          <w:tblCellMar>
            <w:left w:w="0" w:type="dxa"/>
            <w:right w:w="0" w:type="dxa"/>
          </w:tblCellMar>
        </w:tblPrEx>
        <w:trPr>
          <w:trHeight w:hRule="exact" w:val="160"/>
        </w:trPr>
        <w:tc>
          <w:tcPr>
            <w:tcW w:w="7936" w:type="dxa"/>
            <w:tcBorders>
              <w:top w:val="single" w:sz="4" w:space="0" w:color="000100"/>
            </w:tcBorders>
            <w:shd w:val="clear" w:color="auto" w:fill="auto"/>
            <w:tcMar>
              <w:top w:w="0" w:type="dxa"/>
              <w:bottom w:w="40" w:type="dxa"/>
            </w:tcMar>
          </w:tcPr>
          <w:p w14:paraId="2D8A8966" w14:textId="77777777" w:rsidR="002B32A0" w:rsidRPr="00CE1D7F" w:rsidRDefault="002B32A0" w:rsidP="006258ED">
            <w:pPr>
              <w:pStyle w:val="spacer"/>
            </w:pPr>
          </w:p>
        </w:tc>
      </w:tr>
    </w:tbl>
    <w:p w14:paraId="5F1F27BA" w14:textId="66A5077E" w:rsidR="002B32A0" w:rsidRPr="00CE1D7F" w:rsidRDefault="002B32A0" w:rsidP="002B32A0">
      <w:pPr>
        <w:pStyle w:val="BodyText"/>
      </w:pPr>
      <w:r w:rsidRPr="00CE1D7F">
        <w:t xml:space="preserve">Qualitative analysis of survey free text responses on ARC support for research impact beyond academia identified a clear relationship between funding for the Linkage Program and industry. Respondents highlighted how the </w:t>
      </w:r>
      <w:r w:rsidRPr="00CE1D7F">
        <w:rPr>
          <w:b/>
          <w:bCs/>
          <w:i/>
          <w:iCs/>
        </w:rPr>
        <w:t>Linkage</w:t>
      </w:r>
      <w:r w:rsidRPr="00CE1D7F">
        <w:t xml:space="preserve"> (459) Program supports </w:t>
      </w:r>
      <w:r w:rsidRPr="00CE1D7F">
        <w:rPr>
          <w:b/>
          <w:bCs/>
          <w:i/>
          <w:iCs/>
        </w:rPr>
        <w:t>industry</w:t>
      </w:r>
      <w:r w:rsidRPr="00CE1D7F">
        <w:t xml:space="preserve"> (818), </w:t>
      </w:r>
      <w:r w:rsidRPr="00CE1D7F">
        <w:rPr>
          <w:b/>
          <w:bCs/>
          <w:i/>
          <w:iCs/>
        </w:rPr>
        <w:t>community</w:t>
      </w:r>
      <w:r w:rsidRPr="00CE1D7F">
        <w:t xml:space="preserve"> (138), and </w:t>
      </w:r>
      <w:r w:rsidRPr="00CE1D7F">
        <w:rPr>
          <w:b/>
          <w:bCs/>
          <w:i/>
          <w:iCs/>
        </w:rPr>
        <w:t>government</w:t>
      </w:r>
      <w:r w:rsidRPr="00CE1D7F">
        <w:t xml:space="preserve"> (131) agencies by creating </w:t>
      </w:r>
      <w:r w:rsidRPr="00CE1D7F">
        <w:rPr>
          <w:b/>
          <w:bCs/>
          <w:i/>
          <w:iCs/>
        </w:rPr>
        <w:t>partnerships</w:t>
      </w:r>
      <w:r w:rsidRPr="00CE1D7F">
        <w:t xml:space="preserve"> (72) and </w:t>
      </w:r>
      <w:r w:rsidRPr="00CE1D7F">
        <w:rPr>
          <w:b/>
          <w:bCs/>
          <w:i/>
          <w:iCs/>
        </w:rPr>
        <w:t xml:space="preserve">collaboration </w:t>
      </w:r>
      <w:r w:rsidRPr="00CE1D7F">
        <w:t>(77)</w:t>
      </w:r>
      <w:r w:rsidRPr="00736085">
        <w:t xml:space="preserve"> </w:t>
      </w:r>
      <w:r w:rsidRPr="00CE1D7F">
        <w:t xml:space="preserve">(see </w:t>
      </w:r>
      <w:r w:rsidRPr="00F87D0E">
        <w:fldChar w:fldCharType="begin"/>
      </w:r>
      <w:r w:rsidRPr="00F87D0E">
        <w:instrText xml:space="preserve"> REF _Ref129964151 \h  \* MERGEFORMAT </w:instrText>
      </w:r>
      <w:r w:rsidRPr="00F87D0E">
        <w:fldChar w:fldCharType="separate"/>
      </w:r>
      <w:r w:rsidR="000B0AC7" w:rsidRPr="000B0AC7">
        <w:t>Figure 4.2</w:t>
      </w:r>
      <w:r w:rsidRPr="00F87D0E">
        <w:fldChar w:fldCharType="end"/>
      </w:r>
      <w:r w:rsidRPr="00CE1D7F">
        <w:t>). “Industry partners” was identified 85 times. This aligns with the Linkage Program's clearer pathway to market and end-users and highlights the program's strength in delivering impacts beyond academia.</w:t>
      </w:r>
    </w:p>
    <w:p w14:paraId="431D5401" w14:textId="508D894E" w:rsidR="000B0AC7" w:rsidRPr="00CE1D7F" w:rsidRDefault="000B0AC7" w:rsidP="000B0AC7">
      <w:pPr>
        <w:pStyle w:val="Caption"/>
        <w:ind w:left="1308" w:hanging="1308"/>
      </w:pPr>
      <w:bookmarkStart w:id="182" w:name="_Ref129964151"/>
      <w:r w:rsidRPr="00346479">
        <w:rPr>
          <w:rStyle w:val="CaptionLabel"/>
        </w:rPr>
        <w:t>Figure </w:t>
      </w:r>
      <w:r w:rsidRPr="00346479">
        <w:rPr>
          <w:rStyle w:val="CaptionLabel"/>
        </w:rPr>
        <w:fldChar w:fldCharType="begin"/>
      </w:r>
      <w:r w:rsidRPr="00346479">
        <w:rPr>
          <w:rStyle w:val="CaptionLabel"/>
        </w:rPr>
        <w:instrText xml:space="preserve"> STYLEREF 1 \s </w:instrText>
      </w:r>
      <w:r w:rsidRPr="00346479">
        <w:rPr>
          <w:rStyle w:val="CaptionLabel"/>
        </w:rPr>
        <w:fldChar w:fldCharType="separate"/>
      </w:r>
      <w:r w:rsidRPr="00346479">
        <w:rPr>
          <w:rStyle w:val="CaptionLabel"/>
          <w:noProof/>
        </w:rPr>
        <w:t>4</w:t>
      </w:r>
      <w:r w:rsidRPr="00346479">
        <w:rPr>
          <w:rStyle w:val="CaptionLabel"/>
        </w:rPr>
        <w:fldChar w:fldCharType="end"/>
      </w:r>
      <w:r w:rsidRPr="00346479">
        <w:rPr>
          <w:rStyle w:val="CaptionLabel"/>
        </w:rPr>
        <w:t>.</w:t>
      </w:r>
      <w:r w:rsidRPr="00346479">
        <w:rPr>
          <w:rStyle w:val="CaptionLabel"/>
        </w:rPr>
        <w:fldChar w:fldCharType="begin"/>
      </w:r>
      <w:r w:rsidRPr="00346479">
        <w:rPr>
          <w:rStyle w:val="CaptionLabel"/>
        </w:rPr>
        <w:instrText xml:space="preserve"> SEQ Figure \* ARABIC \s 1 </w:instrText>
      </w:r>
      <w:r w:rsidRPr="00346479">
        <w:rPr>
          <w:rStyle w:val="CaptionLabel"/>
        </w:rPr>
        <w:fldChar w:fldCharType="separate"/>
      </w:r>
      <w:r w:rsidRPr="00346479">
        <w:rPr>
          <w:rStyle w:val="CaptionLabel"/>
          <w:noProof/>
        </w:rPr>
        <w:t>2</w:t>
      </w:r>
      <w:r w:rsidRPr="00346479">
        <w:rPr>
          <w:rStyle w:val="CaptionLabel"/>
        </w:rPr>
        <w:fldChar w:fldCharType="end"/>
      </w:r>
      <w:bookmarkEnd w:id="182"/>
      <w:r w:rsidRPr="00346479">
        <w:tab/>
        <w:t>Qualitative analysis of survey results on the ways the ARC supports research that leads to impacts beyond academia – most common bigrams</w:t>
      </w:r>
    </w:p>
    <w:tbl>
      <w:tblPr>
        <w:tblStyle w:val="aacTableFigure"/>
        <w:tblW w:w="7937" w:type="dxa"/>
        <w:tblBorders>
          <w:top w:val="single" w:sz="4" w:space="0" w:color="000000"/>
          <w:bottom w:val="single" w:sz="4" w:space="0" w:color="000000"/>
        </w:tblBorders>
        <w:tblLayout w:type="fixed"/>
        <w:tblLook w:val="04A0" w:firstRow="1" w:lastRow="0" w:firstColumn="1" w:lastColumn="0" w:noHBand="0" w:noVBand="1"/>
      </w:tblPr>
      <w:tblGrid>
        <w:gridCol w:w="7937"/>
      </w:tblGrid>
      <w:tr w:rsidR="002B32A0" w:rsidRPr="00CE1D7F" w14:paraId="1BA18AB9" w14:textId="77777777" w:rsidTr="000B0AC7">
        <w:tc>
          <w:tcPr>
            <w:tcW w:w="7937" w:type="dxa"/>
            <w:shd w:val="clear" w:color="auto" w:fill="auto"/>
          </w:tcPr>
          <w:p w14:paraId="31AB81DB" w14:textId="77777777" w:rsidR="002B32A0" w:rsidRPr="00CE1D7F" w:rsidRDefault="002B32A0" w:rsidP="006258ED">
            <w:pPr>
              <w:pStyle w:val="Figure"/>
              <w:jc w:val="center"/>
            </w:pPr>
            <w:r w:rsidRPr="00CE1D7F">
              <w:rPr>
                <w:noProof/>
              </w:rPr>
              <w:drawing>
                <wp:inline distT="0" distB="0" distL="0" distR="0" wp14:anchorId="04153CEA" wp14:editId="5EB4C8F7">
                  <wp:extent cx="5029835" cy="2139950"/>
                  <wp:effectExtent l="0" t="0" r="0" b="0"/>
                  <wp:docPr id="81" name="Picture 81" descr="Qualitative analysis of survey results on the ways the ARC supports research that leads to impacts beyond academia – most common bigrams, see description in text abov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Qualitative analysis of survey results on the ways the ARC supports research that leads to impacts beyond academia – most common bigrams, see description in text above figure."/>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029835" cy="2139950"/>
                          </a:xfrm>
                          <a:prstGeom prst="rect">
                            <a:avLst/>
                          </a:prstGeom>
                          <a:noFill/>
                        </pic:spPr>
                      </pic:pic>
                    </a:graphicData>
                  </a:graphic>
                </wp:inline>
              </w:drawing>
            </w:r>
          </w:p>
        </w:tc>
      </w:tr>
    </w:tbl>
    <w:p w14:paraId="3D41B1AC" w14:textId="77777777" w:rsidR="000B0AC7" w:rsidRPr="00CE1D7F" w:rsidRDefault="000B0AC7" w:rsidP="000B0AC7">
      <w:pPr>
        <w:pStyle w:val="Source"/>
        <w:ind w:left="1308" w:hanging="1308"/>
      </w:pPr>
      <w:r w:rsidRPr="00CE1D7F">
        <w:t>Source: ACIL Allen survey of ARC funding recipients</w:t>
      </w:r>
    </w:p>
    <w:p w14:paraId="1C49F591" w14:textId="77777777" w:rsidR="000B0AC7" w:rsidRPr="00CE1D7F" w:rsidRDefault="000B0AC7" w:rsidP="006258ED">
      <w:pPr>
        <w:pStyle w:val="spacer"/>
      </w:pPr>
    </w:p>
    <w:p w14:paraId="71C83D88" w14:textId="77777777" w:rsidR="002B32A0" w:rsidRPr="00CE1D7F" w:rsidRDefault="002B32A0" w:rsidP="002B32A0">
      <w:pPr>
        <w:pStyle w:val="BodyText"/>
      </w:pPr>
      <w:r w:rsidRPr="00CE1D7F">
        <w:t xml:space="preserve">This question had the highest concentration of common words, with 24% of respondents referring to industry and 19% to </w:t>
      </w:r>
      <w:r w:rsidRPr="00CE1D7F">
        <w:rPr>
          <w:b/>
          <w:bCs/>
          <w:i/>
          <w:iCs/>
        </w:rPr>
        <w:t>Linkage</w:t>
      </w:r>
      <w:r w:rsidRPr="00CE1D7F">
        <w:t xml:space="preserve">. Many respondents referred to the impacts of </w:t>
      </w:r>
      <w:r w:rsidRPr="00CE1D7F">
        <w:rPr>
          <w:b/>
          <w:bCs/>
          <w:i/>
          <w:iCs/>
        </w:rPr>
        <w:t>basic science</w:t>
      </w:r>
      <w:r w:rsidRPr="00CE1D7F">
        <w:t xml:space="preserve"> and </w:t>
      </w:r>
      <w:r w:rsidRPr="00CE1D7F">
        <w:rPr>
          <w:b/>
          <w:bCs/>
          <w:i/>
          <w:iCs/>
        </w:rPr>
        <w:t xml:space="preserve">research </w:t>
      </w:r>
      <w:r w:rsidRPr="00CE1D7F">
        <w:t>(227) beyond academia and stressed the need for continued funding.</w:t>
      </w:r>
    </w:p>
    <w:p w14:paraId="29ED7EFF" w14:textId="77777777" w:rsidR="002B32A0" w:rsidRPr="00CE1D7F" w:rsidRDefault="002B32A0" w:rsidP="002B32A0">
      <w:pPr>
        <w:pStyle w:val="Quote"/>
      </w:pPr>
      <w:r w:rsidRPr="00CE1D7F">
        <w:t>“Through partnership with industry and stakeholders outside academia.” – Survey Respondent</w:t>
      </w:r>
    </w:p>
    <w:p w14:paraId="172DC864" w14:textId="77777777" w:rsidR="002B32A0" w:rsidRPr="00CE1D7F" w:rsidRDefault="002B32A0" w:rsidP="002B32A0">
      <w:pPr>
        <w:pStyle w:val="Quote"/>
      </w:pPr>
      <w:r w:rsidRPr="00CE1D7F">
        <w:t>“The flexibility of ARC funding allows the ability to find creative solutions that are otherwise difficult to fund directly from industry.” – Survey Respondent</w:t>
      </w:r>
    </w:p>
    <w:p w14:paraId="526D704E" w14:textId="77777777" w:rsidR="002B32A0" w:rsidRPr="00CE1D7F" w:rsidRDefault="002B32A0" w:rsidP="002B32A0">
      <w:pPr>
        <w:pStyle w:val="Quote"/>
      </w:pPr>
      <w:r w:rsidRPr="00CE1D7F">
        <w:t>“Any science-based research will enhance knowledge, and in that way positively impacts society.” – Survey Respondent</w:t>
      </w:r>
    </w:p>
    <w:p w14:paraId="4B7A4138" w14:textId="77777777" w:rsidR="002B32A0" w:rsidRPr="00CE1D7F" w:rsidRDefault="002B32A0" w:rsidP="002B32A0">
      <w:pPr>
        <w:pStyle w:val="BodyText"/>
      </w:pPr>
      <w:r w:rsidRPr="00CE1D7F">
        <w:t xml:space="preserve">Researchers strongly valued the ARC’s support for multiple ARC grants across a career. Qualitative analysis of survey free text responses on the synergies or linkages between the awarded ARC grants shows that this allowed researchers to </w:t>
      </w:r>
      <w:r w:rsidRPr="00CE1D7F">
        <w:rPr>
          <w:b/>
          <w:i/>
        </w:rPr>
        <w:t xml:space="preserve">build </w:t>
      </w:r>
      <w:r w:rsidRPr="00CE1D7F">
        <w:t xml:space="preserve">and </w:t>
      </w:r>
      <w:r w:rsidRPr="00CE1D7F">
        <w:rPr>
          <w:b/>
          <w:i/>
        </w:rPr>
        <w:t>extend a body of work</w:t>
      </w:r>
      <w:r w:rsidRPr="00CE1D7F">
        <w:rPr>
          <w:b/>
          <w:bCs/>
          <w:i/>
          <w:iCs/>
        </w:rPr>
        <w:t xml:space="preserve"> </w:t>
      </w:r>
      <w:r w:rsidRPr="00CE1D7F">
        <w:t xml:space="preserve">(205). Many respondents referenced the link between </w:t>
      </w:r>
      <w:r w:rsidRPr="00CE1D7F">
        <w:rPr>
          <w:b/>
          <w:bCs/>
          <w:i/>
          <w:iCs/>
        </w:rPr>
        <w:t xml:space="preserve">LIEF </w:t>
      </w:r>
      <w:r w:rsidRPr="00CE1D7F">
        <w:t xml:space="preserve">(80), </w:t>
      </w:r>
      <w:r w:rsidRPr="00CE1D7F">
        <w:rPr>
          <w:b/>
          <w:bCs/>
          <w:i/>
          <w:iCs/>
        </w:rPr>
        <w:t xml:space="preserve">Future Fellowships </w:t>
      </w:r>
      <w:r w:rsidRPr="00CE1D7F">
        <w:lastRenderedPageBreak/>
        <w:t xml:space="preserve">(40) and </w:t>
      </w:r>
      <w:r w:rsidRPr="00CE1D7F">
        <w:rPr>
          <w:b/>
          <w:bCs/>
          <w:i/>
          <w:iCs/>
        </w:rPr>
        <w:t xml:space="preserve">DECRA </w:t>
      </w:r>
      <w:r w:rsidRPr="00CE1D7F">
        <w:t xml:space="preserve">(40), and the connections between </w:t>
      </w:r>
      <w:r w:rsidRPr="00CE1D7F">
        <w:rPr>
          <w:b/>
          <w:bCs/>
          <w:i/>
          <w:iCs/>
        </w:rPr>
        <w:t xml:space="preserve">Discovery grants </w:t>
      </w:r>
      <w:r w:rsidRPr="00CE1D7F">
        <w:t xml:space="preserve">(131) and </w:t>
      </w:r>
      <w:r w:rsidRPr="00CE1D7F">
        <w:rPr>
          <w:b/>
          <w:bCs/>
          <w:i/>
          <w:iCs/>
        </w:rPr>
        <w:t xml:space="preserve">Linkage grants </w:t>
      </w:r>
      <w:r w:rsidRPr="00CE1D7F">
        <w:t>(101).</w:t>
      </w:r>
      <w:r w:rsidRPr="00CE1D7F">
        <w:rPr>
          <w:rStyle w:val="FootnoteReference"/>
        </w:rPr>
        <w:footnoteReference w:id="61"/>
      </w:r>
      <w:r w:rsidRPr="00CE1D7F">
        <w:t xml:space="preserve"> </w:t>
      </w:r>
    </w:p>
    <w:p w14:paraId="2C24D5DD" w14:textId="77777777" w:rsidR="002B32A0" w:rsidRPr="00CE1D7F" w:rsidRDefault="002B32A0" w:rsidP="002B32A0">
      <w:pPr>
        <w:pStyle w:val="Quote"/>
      </w:pPr>
      <w:r w:rsidRPr="00CE1D7F">
        <w:t>“I have conducted wide-ranging research that has been funded from multiple sources over the last 20 or so years, and the ARC projects have been one element of this. The ARC projects have been fundamental in contributing to, and extending, this body of work.” – Survey respondent</w:t>
      </w:r>
    </w:p>
    <w:p w14:paraId="1C2D54EE" w14:textId="77777777" w:rsidR="002B32A0" w:rsidRPr="00CE1D7F" w:rsidRDefault="002B32A0" w:rsidP="002B32A0">
      <w:pPr>
        <w:pStyle w:val="Quote"/>
      </w:pPr>
      <w:r w:rsidRPr="00CE1D7F">
        <w:t>“In my field of biology, we have synergistically combined Discovery and Linkage projects to build on and extend a body of work in both directions, i.e. into the pure research space and into the applied space.” – Survey respondent</w:t>
      </w:r>
    </w:p>
    <w:p w14:paraId="121FF98B" w14:textId="77777777" w:rsidR="002B32A0" w:rsidRPr="00CE1D7F" w:rsidRDefault="002B32A0" w:rsidP="002B32A0">
      <w:pPr>
        <w:pStyle w:val="Quote"/>
      </w:pPr>
      <w:r w:rsidRPr="00CE1D7F">
        <w:t>“The ARC funding I've received have both extended a body of work and broadened the scope of this body of work, including across disciplines.” – Survey respondent</w:t>
      </w:r>
    </w:p>
    <w:p w14:paraId="6FB4FD1E" w14:textId="54FDFB01" w:rsidR="002B32A0" w:rsidRPr="00CE1D7F" w:rsidRDefault="002B32A0" w:rsidP="002B32A0">
      <w:pPr>
        <w:pStyle w:val="BodyText"/>
      </w:pPr>
      <w:r w:rsidRPr="00CE1D7F">
        <w:t xml:space="preserve">The case studies highlight how researchers have used different ARC schemes across their careers to further their research along the pathways to impact. As shown in </w:t>
      </w:r>
      <w:r w:rsidRPr="00F87D0E">
        <w:fldChar w:fldCharType="begin"/>
      </w:r>
      <w:r w:rsidRPr="00F87D0E">
        <w:instrText xml:space="preserve"> REF _Ref129880702 \h  \* MERGEFORMAT </w:instrText>
      </w:r>
      <w:r w:rsidRPr="00F87D0E">
        <w:fldChar w:fldCharType="separate"/>
      </w:r>
      <w:r w:rsidR="000B0AC7" w:rsidRPr="000B0AC7">
        <w:t>Figure 4.3</w:t>
      </w:r>
      <w:r w:rsidRPr="00F87D0E">
        <w:fldChar w:fldCharType="end"/>
      </w:r>
      <w:r w:rsidRPr="00CE1D7F">
        <w:t xml:space="preserve"> and detailed in Part II, the programs of research showcased in the case studies have used multiple NCGP grants to build a track record and reputation of the research and researchers, generate innovative ideas through discovery funding, progress this research along the pathway to impact using translation funding, foster the development of partnerships, trial and build research infrastructure to support many other research projects, and fund researchers at varying stages of their career. The impacts demonstrated in chapters </w:t>
      </w:r>
      <w:r w:rsidRPr="00F87D0E">
        <w:fldChar w:fldCharType="begin"/>
      </w:r>
      <w:r w:rsidRPr="00F87D0E">
        <w:instrText xml:space="preserve"> REF _Ref129608347 \r \h  \* MERGEFORMAT </w:instrText>
      </w:r>
      <w:r w:rsidRPr="00F87D0E">
        <w:fldChar w:fldCharType="separate"/>
      </w:r>
      <w:r w:rsidR="000B0AC7">
        <w:t>2</w:t>
      </w:r>
      <w:r w:rsidRPr="00F87D0E">
        <w:fldChar w:fldCharType="end"/>
      </w:r>
      <w:r w:rsidRPr="00CE1D7F">
        <w:t xml:space="preserve"> and 3 and Part II, would not have been achieved if researchers did not receive multiple grants from the ARC over their careers. This highlights the importance of funding research based on excellence and impact, and supporting research over longer time periods to enable research to progress along pathways to impact.</w:t>
      </w:r>
    </w:p>
    <w:p w14:paraId="06A74837" w14:textId="57B8EA07" w:rsidR="000B0AC7" w:rsidRPr="00CE1D7F" w:rsidRDefault="000B0AC7" w:rsidP="000B0AC7">
      <w:pPr>
        <w:pStyle w:val="Caption"/>
        <w:ind w:left="-110" w:hanging="1308"/>
      </w:pPr>
      <w:bookmarkStart w:id="183" w:name="_Ref129880702"/>
      <w:r w:rsidRPr="00CE1D7F">
        <w:rPr>
          <w:rStyle w:val="CaptionLabel"/>
        </w:rPr>
        <w:t>Figure </w:t>
      </w:r>
      <w:r w:rsidRPr="00CE1D7F">
        <w:rPr>
          <w:rStyle w:val="CaptionLabel"/>
        </w:rPr>
        <w:fldChar w:fldCharType="begin"/>
      </w:r>
      <w:r w:rsidRPr="00CE1D7F">
        <w:rPr>
          <w:rStyle w:val="CaptionLabel"/>
        </w:rPr>
        <w:instrText xml:space="preserve"> STYLEREF 1 \S \* MERGEFORMAT </w:instrText>
      </w:r>
      <w:r w:rsidRPr="00CE1D7F">
        <w:rPr>
          <w:rStyle w:val="CaptionLabel"/>
        </w:rPr>
        <w:fldChar w:fldCharType="separate"/>
      </w:r>
      <w:r>
        <w:rPr>
          <w:rStyle w:val="CaptionLabel"/>
          <w:noProof/>
        </w:rPr>
        <w:t>4</w:t>
      </w:r>
      <w:r w:rsidRPr="00CE1D7F">
        <w:rPr>
          <w:rStyle w:val="CaptionLabel"/>
        </w:rPr>
        <w:fldChar w:fldCharType="end"/>
      </w:r>
      <w:r w:rsidRPr="00CE1D7F">
        <w:rPr>
          <w:rStyle w:val="CaptionLabel"/>
        </w:rPr>
        <w:t>.</w:t>
      </w:r>
      <w:r w:rsidRPr="00CE1D7F">
        <w:rPr>
          <w:rStyle w:val="CaptionLabel"/>
        </w:rPr>
        <w:fldChar w:fldCharType="begin"/>
      </w:r>
      <w:r w:rsidRPr="00CE1D7F">
        <w:rPr>
          <w:rStyle w:val="CaptionLabel"/>
        </w:rPr>
        <w:instrText xml:space="preserve"> SEQ Figure \* ARABIC \S 1 \* MERGEFORMAT </w:instrText>
      </w:r>
      <w:r w:rsidRPr="00CE1D7F">
        <w:rPr>
          <w:rStyle w:val="CaptionLabel"/>
        </w:rPr>
        <w:fldChar w:fldCharType="separate"/>
      </w:r>
      <w:r>
        <w:rPr>
          <w:rStyle w:val="CaptionLabel"/>
          <w:noProof/>
        </w:rPr>
        <w:t>3</w:t>
      </w:r>
      <w:r w:rsidRPr="00CE1D7F">
        <w:rPr>
          <w:rStyle w:val="CaptionLabel"/>
        </w:rPr>
        <w:fldChar w:fldCharType="end"/>
      </w:r>
      <w:bookmarkEnd w:id="183"/>
      <w:r w:rsidRPr="00CE1D7F">
        <w:tab/>
        <w:t>NCGP scheme grants awarded across the case studies</w:t>
      </w:r>
    </w:p>
    <w:tbl>
      <w:tblPr>
        <w:tblStyle w:val="aacTableFigure-Wide"/>
        <w:tblW w:w="0" w:type="auto"/>
        <w:tblBorders>
          <w:top w:val="single" w:sz="4" w:space="0" w:color="000000"/>
          <w:bottom w:val="single" w:sz="4" w:space="0" w:color="000000"/>
        </w:tblBorders>
        <w:tblLayout w:type="fixed"/>
        <w:tblLook w:val="04A0" w:firstRow="1" w:lastRow="0" w:firstColumn="1" w:lastColumn="0" w:noHBand="0" w:noVBand="1"/>
      </w:tblPr>
      <w:tblGrid>
        <w:gridCol w:w="9354"/>
      </w:tblGrid>
      <w:tr w:rsidR="002B32A0" w:rsidRPr="00CE1D7F" w14:paraId="25C0B3B9" w14:textId="77777777" w:rsidTr="000B0AC7">
        <w:tc>
          <w:tcPr>
            <w:tcW w:w="9354" w:type="dxa"/>
            <w:shd w:val="clear" w:color="auto" w:fill="auto"/>
          </w:tcPr>
          <w:p w14:paraId="1E2C54DF" w14:textId="77777777" w:rsidR="002B32A0" w:rsidRPr="00CE1D7F" w:rsidRDefault="002B32A0" w:rsidP="001E6358">
            <w:pPr>
              <w:pStyle w:val="Figure"/>
              <w:spacing w:before="120" w:after="120"/>
            </w:pPr>
            <w:r w:rsidRPr="00CE1D7F">
              <w:rPr>
                <w:noProof/>
              </w:rPr>
              <w:drawing>
                <wp:inline distT="0" distB="0" distL="0" distR="0" wp14:anchorId="35EED4B9" wp14:editId="6FFE7AEC">
                  <wp:extent cx="5955665" cy="1472769"/>
                  <wp:effectExtent l="0" t="0" r="0" b="0"/>
                  <wp:docPr id="231" name="Picture 231" descr="NCGP scheme grants awarded across the case studies, see description in text abov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231" descr="NCGP scheme grants awarded across the case studies, see description in text above figure."/>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998289" cy="1483309"/>
                          </a:xfrm>
                          <a:prstGeom prst="rect">
                            <a:avLst/>
                          </a:prstGeom>
                          <a:noFill/>
                        </pic:spPr>
                      </pic:pic>
                    </a:graphicData>
                  </a:graphic>
                </wp:inline>
              </w:drawing>
            </w:r>
          </w:p>
        </w:tc>
      </w:tr>
    </w:tbl>
    <w:p w14:paraId="2C7F7FF4" w14:textId="77777777" w:rsidR="000B0AC7" w:rsidRPr="00CE1D7F" w:rsidRDefault="000B0AC7" w:rsidP="000B0AC7">
      <w:pPr>
        <w:pStyle w:val="Source"/>
        <w:ind w:left="-110" w:hanging="1308"/>
        <w:rPr>
          <w:i w:val="0"/>
          <w:iCs/>
        </w:rPr>
      </w:pPr>
      <w:r w:rsidRPr="00CE1D7F">
        <w:rPr>
          <w:i w:val="0"/>
          <w:iCs/>
        </w:rPr>
        <w:t xml:space="preserve">Note: Discovery Projects (DP), Future Fellowships (DT), Australian Laureate Fellowships (FL), and Discovery Indigenous (DI), ARC Centres of Excellence (CE), Industrial Transformation Research </w:t>
      </w:r>
      <w:r>
        <w:rPr>
          <w:i w:val="0"/>
          <w:iCs/>
        </w:rPr>
        <w:t>Hubs</w:t>
      </w:r>
      <w:r w:rsidRPr="00CE1D7F">
        <w:rPr>
          <w:i w:val="0"/>
          <w:iCs/>
        </w:rPr>
        <w:t xml:space="preserve"> (IH), Linkage Infrastructure, Equipment and Facilities (LE), Linkage Projects (LP).</w:t>
      </w:r>
    </w:p>
    <w:p w14:paraId="325C6D56" w14:textId="77777777" w:rsidR="000B0AC7" w:rsidRPr="00CE1D7F" w:rsidRDefault="000B0AC7" w:rsidP="006258ED">
      <w:pPr>
        <w:pStyle w:val="Source"/>
      </w:pPr>
      <w:r w:rsidRPr="00CE1D7F">
        <w:t>Source: ACIL Allen</w:t>
      </w:r>
    </w:p>
    <w:p w14:paraId="1EDB50D7" w14:textId="77777777" w:rsidR="000B0AC7" w:rsidRPr="00CE1D7F" w:rsidRDefault="000B0AC7" w:rsidP="006258ED">
      <w:pPr>
        <w:pStyle w:val="spacer"/>
      </w:pPr>
    </w:p>
    <w:p w14:paraId="6CD0D412" w14:textId="77777777" w:rsidR="002B32A0" w:rsidRPr="00CE1D7F" w:rsidRDefault="002B32A0" w:rsidP="002B32A0">
      <w:pPr>
        <w:pStyle w:val="BodyText"/>
      </w:pPr>
      <w:r w:rsidRPr="00CE1D7F">
        <w:t xml:space="preserve">Qualitative analysis of survey responses on how the ARC could better support the realisation of impacts from the research it funds show that researchers want larger funding for </w:t>
      </w:r>
      <w:r w:rsidRPr="00CE1D7F">
        <w:rPr>
          <w:b/>
          <w:bCs/>
          <w:i/>
          <w:iCs/>
        </w:rPr>
        <w:t xml:space="preserve">long term </w:t>
      </w:r>
      <w:r w:rsidRPr="00CE1D7F">
        <w:t xml:space="preserve">(75) and </w:t>
      </w:r>
      <w:r w:rsidRPr="00CE1D7F">
        <w:rPr>
          <w:b/>
          <w:bCs/>
          <w:i/>
          <w:iCs/>
        </w:rPr>
        <w:t xml:space="preserve">blue-sky </w:t>
      </w:r>
      <w:r w:rsidRPr="00CE1D7F">
        <w:t xml:space="preserve">(47) research, with a clear preference for funding to be decoupled from </w:t>
      </w:r>
      <w:r w:rsidRPr="00CE1D7F">
        <w:rPr>
          <w:b/>
          <w:bCs/>
          <w:i/>
          <w:iCs/>
        </w:rPr>
        <w:t xml:space="preserve">short term </w:t>
      </w:r>
      <w:r w:rsidRPr="00CE1D7F">
        <w:t>(54) gains. Support for “basic research” was mentioned 121 times, highlighting that researchers perceive that basic research is also important for delivering impact, perhaps just on a longer timescale.</w:t>
      </w:r>
    </w:p>
    <w:p w14:paraId="2264989F" w14:textId="77777777" w:rsidR="002B32A0" w:rsidRPr="00CE1D7F" w:rsidRDefault="002B32A0" w:rsidP="001E6358">
      <w:pPr>
        <w:pStyle w:val="Quote"/>
        <w:keepNext/>
        <w:keepLines/>
      </w:pPr>
      <w:r w:rsidRPr="00CE1D7F">
        <w:lastRenderedPageBreak/>
        <w:t>“All significant research ends up going beyond academia, it just takes time. I strongly disagree with the current trend of funding research with immediate application to industry- that research is important and should be co-funded by industry- but blue-sky fundamental research should be funded.” – Survey respondent</w:t>
      </w:r>
    </w:p>
    <w:p w14:paraId="083FDCC3" w14:textId="77777777" w:rsidR="002B32A0" w:rsidRPr="00CE1D7F" w:rsidRDefault="002B32A0" w:rsidP="002B32A0">
      <w:pPr>
        <w:pStyle w:val="BodyText"/>
      </w:pPr>
      <w:r w:rsidRPr="00CE1D7F">
        <w:t xml:space="preserve">Domestic </w:t>
      </w:r>
      <w:r w:rsidRPr="00CE1D7F">
        <w:rPr>
          <w:lang w:eastAsia="en-AU"/>
        </w:rPr>
        <w:t xml:space="preserve">stakeholders provided a broader perspective on how the ARC could better support the sector to deliver outcomes and impacts from NCGP-funded research. These included </w:t>
      </w:r>
      <w:r w:rsidRPr="00CE1D7F">
        <w:t>advocating more</w:t>
      </w:r>
      <w:r w:rsidRPr="00CE1D7F">
        <w:rPr>
          <w:lang w:eastAsia="en-AU"/>
        </w:rPr>
        <w:t xml:space="preserve"> to Government on the value of research, and guiding funding in areas where impacts are needed and likely to be delivered. </w:t>
      </w:r>
    </w:p>
    <w:p w14:paraId="1504E5E1" w14:textId="77777777" w:rsidR="002B32A0" w:rsidRPr="00CE1D7F" w:rsidRDefault="002B32A0" w:rsidP="002B32A0">
      <w:pPr>
        <w:pStyle w:val="Heading3"/>
      </w:pPr>
      <w:r w:rsidRPr="00CE1D7F">
        <w:t xml:space="preserve">International experiences </w:t>
      </w:r>
    </w:p>
    <w:p w14:paraId="77F3B5B0" w14:textId="77777777" w:rsidR="002B32A0" w:rsidRPr="00CE1D7F" w:rsidRDefault="002B32A0" w:rsidP="002B32A0">
      <w:pPr>
        <w:pStyle w:val="BodyText"/>
      </w:pPr>
      <w:r>
        <w:t>Broadly, the i</w:t>
      </w:r>
      <w:r w:rsidRPr="00CE1D7F">
        <w:t xml:space="preserve">nternational stakeholders found it challenging to </w:t>
      </w:r>
      <w:r>
        <w:t xml:space="preserve">comprehensively </w:t>
      </w:r>
      <w:r w:rsidRPr="00CE1D7F">
        <w:t xml:space="preserve">articulate the effectiveness of their funding programs in supporting and influencing research impact. </w:t>
      </w:r>
      <w:r>
        <w:t xml:space="preserve">However, </w:t>
      </w:r>
      <w:r w:rsidRPr="00CE1D7F">
        <w:t xml:space="preserve">SFI and Horizon Europe </w:t>
      </w:r>
      <w:r>
        <w:t xml:space="preserve">did </w:t>
      </w:r>
      <w:r w:rsidRPr="00CE1D7F">
        <w:t>identif</w:t>
      </w:r>
      <w:r>
        <w:t>y</w:t>
      </w:r>
      <w:r w:rsidRPr="00CE1D7F">
        <w:t xml:space="preserve"> successful supports provided by their funding programs. </w:t>
      </w:r>
    </w:p>
    <w:p w14:paraId="5B8E0FAE" w14:textId="77777777" w:rsidR="002B32A0" w:rsidRPr="00CE1D7F" w:rsidRDefault="002B32A0" w:rsidP="002B32A0">
      <w:pPr>
        <w:pStyle w:val="BodyText"/>
      </w:pPr>
      <w:r w:rsidRPr="00CE1D7F">
        <w:t>For SFI, the 2011-12 financial downturn created more focus on delivering economic impacts from research. As for the ARC, SFI requires research applicants (for discovery and applied research) to consider translation and potential impact by including impact statements in grant applications, even if this is unlikely or likely to be delivered over a long time.</w:t>
      </w:r>
    </w:p>
    <w:p w14:paraId="73FC7208" w14:textId="77777777" w:rsidR="002B32A0" w:rsidRPr="00CE1D7F" w:rsidRDefault="002B32A0" w:rsidP="002B32A0">
      <w:pPr>
        <w:pStyle w:val="BodyText"/>
      </w:pPr>
      <w:r w:rsidRPr="00CE1D7F">
        <w:t xml:space="preserve">SFI is also taking a more collaborative and supportive approach to grant management rather than focusing on financial acquittals. SFI engages with researchers to agree on co-contribution targets for large and industry-facing grants and hires entrepreneurial officers that visit researchers to support researchers in translating their work. As a result of these supports, SFI is observing more researchers engaging and collaborating with the public and relevant sectors (e.g. health) to better understand the challenges, develop responsive research applications, and translate research. This is considered to be leading to stronger research impact. </w:t>
      </w:r>
    </w:p>
    <w:p w14:paraId="36AF855B" w14:textId="77777777" w:rsidR="002B32A0" w:rsidRPr="00CE1D7F" w:rsidRDefault="002B32A0" w:rsidP="002B32A0">
      <w:pPr>
        <w:pStyle w:val="BodyText"/>
      </w:pPr>
      <w:r w:rsidRPr="00CE1D7F">
        <w:t>Researchers funded under Horizon Europe are asked to identify research impact pathways, and translation and dissemination activities in their proposal. This was considered helpful in guiding researchers toward delivering impact and enabling Horizon Europe to observe impact. Horizon Europe also provides additional funding at the end of research grants to support researchers in designing a business or communication plan to disseminate their results. This was seen as critical in translating research that supports stronger end-user outcomes. As a result, Horizon Europe has been receiving higher quality proposals, from about 50% of applications being of high quality in the last Horizon program to 60% after introducing the impact element.</w:t>
      </w:r>
    </w:p>
    <w:p w14:paraId="069BD5FE" w14:textId="77777777" w:rsidR="002B32A0" w:rsidRPr="00CE1D7F" w:rsidRDefault="002B32A0" w:rsidP="002B32A0">
      <w:pPr>
        <w:pStyle w:val="Heading3"/>
      </w:pPr>
      <w:bookmarkStart w:id="184" w:name="_Ref129853024"/>
      <w:r w:rsidRPr="00CE1D7F">
        <w:rPr>
          <w:noProof/>
        </w:rPr>
        <mc:AlternateContent>
          <mc:Choice Requires="wps">
            <w:drawing>
              <wp:anchor distT="0" distB="0" distL="114300" distR="114300" simplePos="0" relativeHeight="251668480" behindDoc="0" locked="1" layoutInCell="1" allowOverlap="1" wp14:anchorId="55223EFB" wp14:editId="1DD6FA54">
                <wp:simplePos x="0" y="0"/>
                <wp:positionH relativeFrom="page">
                  <wp:posOffset>441325</wp:posOffset>
                </wp:positionH>
                <wp:positionV relativeFrom="paragraph">
                  <wp:posOffset>-5080</wp:posOffset>
                </wp:positionV>
                <wp:extent cx="1289050" cy="732790"/>
                <wp:effectExtent l="0" t="0" r="0" b="0"/>
                <wp:wrapNone/>
                <wp:docPr id="51" name="Text Box 5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289050" cy="7327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E22DC0B" w14:textId="77777777" w:rsidR="002B32A0" w:rsidRPr="00537EDE" w:rsidRDefault="002B32A0" w:rsidP="002B32A0">
                            <w:pPr>
                              <w:pStyle w:val="SideNoteRegularRight"/>
                              <w:jc w:val="left"/>
                              <w:rPr>
                                <w:sz w:val="24"/>
                                <w:szCs w:val="24"/>
                              </w:rPr>
                            </w:pPr>
                            <w:r w:rsidRPr="00537EDE">
                              <w:rPr>
                                <w:sz w:val="24"/>
                                <w:szCs w:val="24"/>
                              </w:rPr>
                              <w:t xml:space="preserve">KEQ 4. What roles do non-ARC funding sources play in pathways to impact for </w:t>
                            </w:r>
                            <w:r>
                              <w:rPr>
                                <w:sz w:val="24"/>
                                <w:szCs w:val="24"/>
                              </w:rPr>
                              <w:t>ARC-funded</w:t>
                            </w:r>
                            <w:r w:rsidRPr="00537EDE">
                              <w:rPr>
                                <w:sz w:val="24"/>
                                <w:szCs w:val="24"/>
                              </w:rPr>
                              <w:t xml:space="preserve"> research?</w:t>
                            </w:r>
                          </w:p>
                        </w:txbxContent>
                      </wps:txbx>
                      <wps:bodyPr rot="0" spcFirstLastPara="0" vertOverflow="overflow" horzOverflow="overflow" vert="horz" wrap="square" lIns="0" tIns="0" rIns="76200" bIns="762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5223EFB" id="Text Box 51" o:spid="_x0000_s1035" type="#_x0000_t202" alt="&quot;&quot;" style="position:absolute;left:0;text-align:left;margin-left:34.75pt;margin-top:-.4pt;width:101.5pt;height:57.7pt;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" filled="f" stroked="f" strokeweight=".5pt">
                <v:textbox style="mso-fit-shape-to-text:t" inset="0,0,6pt,6pt">
                  <w:txbxContent>
                    <w:p w14:paraId="7E22DC0B" w14:textId="77777777" w:rsidR="002B32A0" w:rsidRPr="00537EDE" w:rsidRDefault="002B32A0" w:rsidP="002B32A0">
                      <w:pPr>
                        <w:pStyle w:val="SideNoteRegularRight"/>
                        <w:jc w:val="left"/>
                        <w:rPr>
                          <w:sz w:val="24"/>
                          <w:szCs w:val="24"/>
                        </w:rPr>
                      </w:pPr>
                      <w:r w:rsidRPr="00537EDE">
                        <w:rPr>
                          <w:sz w:val="24"/>
                          <w:szCs w:val="24"/>
                        </w:rPr>
                        <w:t xml:space="preserve">KEQ 4. What roles do non-ARC funding sources play in pathways to impact for </w:t>
                      </w:r>
                      <w:r>
                        <w:rPr>
                          <w:sz w:val="24"/>
                          <w:szCs w:val="24"/>
                        </w:rPr>
                        <w:t>ARC-funded</w:t>
                      </w:r>
                      <w:r w:rsidRPr="00537EDE">
                        <w:rPr>
                          <w:sz w:val="24"/>
                          <w:szCs w:val="24"/>
                        </w:rPr>
                        <w:t xml:space="preserve"> research?</w:t>
                      </w:r>
                    </w:p>
                  </w:txbxContent>
                </v:textbox>
                <w10:wrap anchorx="page"/>
                <w10:anchorlock/>
              </v:shape>
            </w:pict>
          </mc:Fallback>
        </mc:AlternateContent>
      </w:r>
      <w:r w:rsidRPr="00CE1D7F">
        <w:t>The contribution of non-ARC funding to pathways to impact</w:t>
      </w:r>
      <w:bookmarkEnd w:id="184"/>
    </w:p>
    <w:p w14:paraId="236D3443" w14:textId="77777777" w:rsidR="002B32A0" w:rsidRPr="00CE1D7F" w:rsidRDefault="002B32A0" w:rsidP="002B32A0">
      <w:pPr>
        <w:pStyle w:val="BodyText"/>
      </w:pPr>
      <w:r w:rsidRPr="00CE1D7F">
        <w:t xml:space="preserve">There is also a strong role for non-ARC funding sources in supporting pathways to impact for NCGP-funded research. Domestic </w:t>
      </w:r>
      <w:r w:rsidRPr="00CE1D7F">
        <w:rPr>
          <w:lang w:eastAsia="en-AU"/>
        </w:rPr>
        <w:t xml:space="preserve">stakeholders </w:t>
      </w:r>
      <w:r w:rsidRPr="00CE1D7F">
        <w:t>identified gaps in the type of research funded by ARC, including for non-project costs (e.g. administration, infrastructure, training), project costs not funded by ARC (i.e. where proposals are part-funded) and research translation (particularly for Technology Readiness Levels (TRLs)</w:t>
      </w:r>
      <w:r w:rsidRPr="00CE1D7F">
        <w:rPr>
          <w:rStyle w:val="FootnoteReference"/>
        </w:rPr>
        <w:footnoteReference w:id="62"/>
      </w:r>
      <w:r w:rsidRPr="00CE1D7F">
        <w:t xml:space="preserve"> 4-7, noting this is beyond the ARC’s current remit). </w:t>
      </w:r>
    </w:p>
    <w:p w14:paraId="2F7AB0A7" w14:textId="77777777" w:rsidR="002B32A0" w:rsidRPr="00CE1D7F" w:rsidRDefault="002B32A0" w:rsidP="002B32A0">
      <w:pPr>
        <w:pStyle w:val="BodyText"/>
      </w:pPr>
      <w:r w:rsidRPr="00CE1D7F">
        <w:lastRenderedPageBreak/>
        <w:t xml:space="preserve">Domestic </w:t>
      </w:r>
      <w:r w:rsidRPr="00CE1D7F">
        <w:rPr>
          <w:lang w:eastAsia="en-AU"/>
        </w:rPr>
        <w:t xml:space="preserve">stakeholders </w:t>
      </w:r>
      <w:r w:rsidRPr="00CE1D7F">
        <w:t xml:space="preserve">identified recent publications that showed the costs of university research as funded by universities, government and other sources. </w:t>
      </w:r>
      <w:r>
        <w:t>The quotes below demonstrate that research funding provided by the Australian Government is insufficient to cover the full costs of research, and as such, other funding sources are required to fill this funding gap.</w:t>
      </w:r>
    </w:p>
    <w:p w14:paraId="10D7C6FF" w14:textId="77777777" w:rsidR="002B32A0" w:rsidRPr="00CE1D7F" w:rsidRDefault="002B32A0" w:rsidP="002B32A0">
      <w:pPr>
        <w:pStyle w:val="Quote"/>
      </w:pPr>
      <w:r w:rsidRPr="00CE1D7F">
        <w:t>“The 2 main sources of funds for HERD [higher education expenditure on research and development] in 2018 were general university funds ($6,823</w:t>
      </w:r>
      <w:r>
        <w:t> million</w:t>
      </w:r>
      <w:r w:rsidRPr="00CE1D7F">
        <w:t>, or 56% of HERD) and Australian Government competitive grants ($1,700</w:t>
      </w:r>
      <w:r>
        <w:t> million</w:t>
      </w:r>
      <w:r w:rsidRPr="00CE1D7F">
        <w:t>, or 14% of HERD).”</w:t>
      </w:r>
      <w:r w:rsidRPr="00CE1D7F">
        <w:rPr>
          <w:rStyle w:val="FootnoteReference"/>
        </w:rPr>
        <w:footnoteReference w:id="63"/>
      </w:r>
    </w:p>
    <w:p w14:paraId="40F9CD53" w14:textId="77777777" w:rsidR="002B32A0" w:rsidRPr="00CE1D7F" w:rsidRDefault="002B32A0" w:rsidP="002B32A0">
      <w:pPr>
        <w:pStyle w:val="Quote"/>
      </w:pPr>
      <w:r w:rsidRPr="00CE1D7F">
        <w:t>“In 2018 (latest available figures) the Go8 spent a total of $6.5</w:t>
      </w:r>
      <w:r>
        <w:t> billion</w:t>
      </w:r>
      <w:r w:rsidRPr="00CE1D7F">
        <w:t xml:space="preserve"> on research. 36% of this was funded directly from the Commonwealth Government and 48% from General University Funds – the latter largely from international student fees.”</w:t>
      </w:r>
      <w:r w:rsidRPr="00CE1D7F">
        <w:rPr>
          <w:rStyle w:val="FootnoteReference"/>
        </w:rPr>
        <w:footnoteReference w:id="64"/>
      </w:r>
    </w:p>
    <w:p w14:paraId="4A46B4D4" w14:textId="77777777" w:rsidR="002B32A0" w:rsidRPr="00CE1D7F" w:rsidRDefault="002B32A0" w:rsidP="002B32A0">
      <w:pPr>
        <w:pStyle w:val="Quote"/>
      </w:pPr>
      <w:r w:rsidRPr="00CE1D7F">
        <w:t>“The support needed for completing government research projects from energy costs and building maintenance to technicians, librarians and other professional support is now only 18 cents in each dollar of external research funding earned by Australian universities.”</w:t>
      </w:r>
      <w:r w:rsidRPr="00CE1D7F">
        <w:rPr>
          <w:rStyle w:val="FootnoteReference"/>
        </w:rPr>
        <w:footnoteReference w:id="65"/>
      </w:r>
    </w:p>
    <w:p w14:paraId="15941464" w14:textId="77777777" w:rsidR="002B32A0" w:rsidRPr="00CE1D7F" w:rsidRDefault="002B32A0" w:rsidP="002B32A0">
      <w:pPr>
        <w:pStyle w:val="BodyText"/>
      </w:pPr>
      <w:r w:rsidRPr="00CE1D7F">
        <w:t xml:space="preserve">Universities support ARC-funded and non-ARC-funded research based on the individual university’s priorities, needs and/or researcher merit. Universities also fund administrative and other research-related activities or costs that are not typically covered by ARC or other funding. This creates an uneven playing field for universities and impacts the extent to which they can support priority-driven and ARC-funded research. Some called for further ARC support for unfunded costs to support the delivery of impact. </w:t>
      </w:r>
    </w:p>
    <w:p w14:paraId="6CDEFEF7" w14:textId="77777777" w:rsidR="002B32A0" w:rsidRPr="00CE1D7F" w:rsidRDefault="002B32A0" w:rsidP="002B32A0">
      <w:pPr>
        <w:pStyle w:val="BodyText"/>
      </w:pPr>
      <w:r w:rsidRPr="00CE1D7F">
        <w:t>Private investment was seen as critical in supporting later-stage, applied and market-ready research. This either supports ARC funding (e.g. co-contributions for Linkage Projects) or separate funds for translation and commercialisation (e.g. taking a product or service to market). This is supported by the case studies</w:t>
      </w:r>
      <w:r>
        <w:t xml:space="preserve">, for example, </w:t>
      </w:r>
      <w:r w:rsidRPr="00A014AC">
        <w:rPr>
          <w:i/>
          <w:iCs/>
        </w:rPr>
        <w:t>Changing the Law to Protect Survivors of DFV</w:t>
      </w:r>
      <w:r>
        <w:t xml:space="preserve"> secured additional funding from AIJA between 2015-2022 to fund the development of the DFV Bench Book and from the NJC in 2017 to develop training materials based on the Bench Book</w:t>
      </w:r>
      <w:r w:rsidRPr="00CE1D7F">
        <w:t xml:space="preserve">. </w:t>
      </w:r>
      <w:r>
        <w:t xml:space="preserve">Without this translation funding, the likelihood of the research affecting the training and professional practice of end users would be far lower. </w:t>
      </w:r>
    </w:p>
    <w:p w14:paraId="41E8443D" w14:textId="77777777" w:rsidR="002B32A0" w:rsidRPr="00CE1D7F" w:rsidRDefault="002B32A0" w:rsidP="002B32A0">
      <w:pPr>
        <w:pStyle w:val="BodyText"/>
      </w:pPr>
      <w:r w:rsidRPr="00CE1D7F">
        <w:t>Domestic stakeholders identified other government bodies and schemes that support the innovation ecosystem. For example, Research Block Grants fund eligible Australian higher education providers for research, training and indirect research costs,</w:t>
      </w:r>
      <w:r w:rsidRPr="00CE1D7F">
        <w:rPr>
          <w:rStyle w:val="FootnoteReference"/>
        </w:rPr>
        <w:footnoteReference w:id="66"/>
      </w:r>
      <w:r w:rsidRPr="00CE1D7F">
        <w:t xml:space="preserve"> the National Health and Medical Research Council (NHMRC) and Medical Research Future Fund (MRFF) support health research,</w:t>
      </w:r>
      <w:r>
        <w:t xml:space="preserve"> Cooperative Research Centres support applied research,</w:t>
      </w:r>
      <w:r w:rsidRPr="00CE1D7F">
        <w:t xml:space="preserve"> and the National Collaborative Research Infrastructure Strategy (NCRIS) supports research infrastructure. Other schemes have emerged</w:t>
      </w:r>
      <w:r>
        <w:t xml:space="preserve"> recently</w:t>
      </w:r>
      <w:r w:rsidRPr="00CE1D7F">
        <w:t xml:space="preserve"> to fill </w:t>
      </w:r>
      <w:r>
        <w:t xml:space="preserve">other funding </w:t>
      </w:r>
      <w:r w:rsidRPr="00CE1D7F">
        <w:t>gaps, including:</w:t>
      </w:r>
    </w:p>
    <w:p w14:paraId="068EB167" w14:textId="77777777" w:rsidR="002B32A0" w:rsidRPr="00CE1D7F" w:rsidRDefault="002B32A0" w:rsidP="006E4921">
      <w:pPr>
        <w:pStyle w:val="ListBullet"/>
      </w:pPr>
      <w:r w:rsidRPr="00CE1D7F">
        <w:lastRenderedPageBreak/>
        <w:t>Australian Government’s $362.5</w:t>
      </w:r>
      <w:r>
        <w:t> million</w:t>
      </w:r>
      <w:r w:rsidRPr="00CE1D7F">
        <w:t xml:space="preserve"> (</w:t>
      </w:r>
      <w:r w:rsidRPr="00CE1D7F">
        <w:rPr>
          <w:spacing w:val="-2"/>
        </w:rPr>
        <w:t>2022-23 to 2025-26</w:t>
      </w:r>
      <w:r w:rsidRPr="00CE1D7F">
        <w:t>) Trailblazer Universities Program, focused on building research capability, commercialisation and industry engagement</w:t>
      </w:r>
      <w:r w:rsidRPr="00CE1D7F">
        <w:rPr>
          <w:rStyle w:val="FootnoteReference"/>
        </w:rPr>
        <w:footnoteReference w:id="67"/>
      </w:r>
    </w:p>
    <w:p w14:paraId="2B387CB5" w14:textId="77777777" w:rsidR="002B32A0" w:rsidRPr="00CE1D7F" w:rsidRDefault="002B32A0" w:rsidP="006E4921">
      <w:pPr>
        <w:pStyle w:val="ListBullet"/>
      </w:pPr>
      <w:r w:rsidRPr="00CE1D7F">
        <w:t>Australian Government’s $1.6</w:t>
      </w:r>
      <w:r>
        <w:t> billion</w:t>
      </w:r>
      <w:r w:rsidRPr="00CE1D7F">
        <w:t xml:space="preserve"> Australia’s Economic Accelerator program, focused on research discovery, translation and commercialisation aligned with national research priorities</w:t>
      </w:r>
      <w:r w:rsidRPr="00CE1D7F">
        <w:rPr>
          <w:rStyle w:val="FootnoteReference"/>
          <w:spacing w:val="-2"/>
        </w:rPr>
        <w:footnoteReference w:id="68"/>
      </w:r>
    </w:p>
    <w:p w14:paraId="3114FFC0" w14:textId="77777777" w:rsidR="002B32A0" w:rsidRPr="00CE1D7F" w:rsidRDefault="002B32A0" w:rsidP="002B32A0">
      <w:pPr>
        <w:pStyle w:val="BodyText"/>
      </w:pPr>
      <w:r w:rsidRPr="00CE1D7F">
        <w:t xml:space="preserve">State and Territory Governments typically fund research at higher TRLs and </w:t>
      </w:r>
      <w:r>
        <w:t xml:space="preserve">research that focuses </w:t>
      </w:r>
      <w:r w:rsidRPr="00CE1D7F">
        <w:t>on State/Territory priorities, such as the NSW Innovation Research Acceleration Program and Commercialisation Pathways Program,</w:t>
      </w:r>
      <w:r w:rsidRPr="00CE1D7F">
        <w:rPr>
          <w:rStyle w:val="FootnoteReference"/>
        </w:rPr>
        <w:footnoteReference w:id="69"/>
      </w:r>
      <w:r w:rsidRPr="00CE1D7F">
        <w:t xml:space="preserve"> Breakthrough Victoria,</w:t>
      </w:r>
      <w:r w:rsidRPr="00CE1D7F">
        <w:rPr>
          <w:rStyle w:val="FootnoteReference"/>
        </w:rPr>
        <w:footnoteReference w:id="70"/>
      </w:r>
      <w:r w:rsidRPr="00CE1D7F">
        <w:t xml:space="preserve"> and the South Australian Research and Innovation Fund.</w:t>
      </w:r>
      <w:r w:rsidRPr="00CE1D7F">
        <w:rPr>
          <w:rStyle w:val="FootnoteReference"/>
        </w:rPr>
        <w:footnoteReference w:id="71"/>
      </w:r>
      <w:r w:rsidRPr="00CE1D7F">
        <w:t xml:space="preserve"> </w:t>
      </w:r>
    </w:p>
    <w:p w14:paraId="0DA433FB" w14:textId="23CAE53D" w:rsidR="002B32A0" w:rsidRPr="00CE1D7F" w:rsidRDefault="002B32A0" w:rsidP="002B32A0">
      <w:pPr>
        <w:pStyle w:val="BodyText"/>
      </w:pPr>
      <w:r w:rsidRPr="00CE1D7F">
        <w:t xml:space="preserve">The role of non-ARC funding sources can be seen in the survey of NCGP-funded researchers. Respondents most reported having a single project funded by a single ARC scheme (39%, see </w:t>
      </w:r>
      <w:r w:rsidRPr="00F87D0E">
        <w:fldChar w:fldCharType="begin"/>
      </w:r>
      <w:r w:rsidRPr="00F87D0E">
        <w:instrText xml:space="preserve"> REF _Ref129857727 \h  \* MERGEFORMAT </w:instrText>
      </w:r>
      <w:r w:rsidRPr="00F87D0E">
        <w:fldChar w:fldCharType="separate"/>
      </w:r>
      <w:r w:rsidR="000B0AC7" w:rsidRPr="000B0AC7">
        <w:t>Figure 4.4</w:t>
      </w:r>
      <w:r w:rsidRPr="00F87D0E">
        <w:fldChar w:fldCharType="end"/>
      </w:r>
      <w:r w:rsidRPr="00CE1D7F">
        <w:t>), followed by multiple projects funded by more than one ARC scheme (18%). 24% received funding from a source other than ARC, for example, Cooperative Research Centres, NHMRC, AusAID, Australian Centre for International Agricultural Research, EU Horizons, United Nations, various Rural Research and Development Corporations (Rural RDCs), and funding from other Australian and state government, industry and philanthropic sources.</w:t>
      </w:r>
    </w:p>
    <w:p w14:paraId="6F6AE5BE" w14:textId="0CE33E15" w:rsidR="002B32A0" w:rsidRPr="00CE1D7F" w:rsidRDefault="002B32A0" w:rsidP="002B32A0">
      <w:pPr>
        <w:pStyle w:val="BodyText"/>
      </w:pPr>
      <w:r w:rsidRPr="00CE1D7F">
        <w:t xml:space="preserve">The Australian Federal Government was the most reported source of non-ARC funding, with 68% reporting receiving this funding before, in parallel, of after ARC funding (see </w:t>
      </w:r>
      <w:r w:rsidRPr="00F87D0E">
        <w:fldChar w:fldCharType="begin"/>
      </w:r>
      <w:r w:rsidRPr="00F87D0E">
        <w:instrText xml:space="preserve"> REF _Ref129246282 \h  \* MERGEFORMAT </w:instrText>
      </w:r>
      <w:r w:rsidRPr="00F87D0E">
        <w:fldChar w:fldCharType="separate"/>
      </w:r>
      <w:r w:rsidR="000B0AC7" w:rsidRPr="000B0AC7">
        <w:t>Figure C.3</w:t>
      </w:r>
      <w:r w:rsidRPr="00F87D0E">
        <w:fldChar w:fldCharType="end"/>
      </w:r>
      <w:r w:rsidRPr="00CE1D7F">
        <w:t>). The value of funding received from other sources was most commonly $100,000-500,000 or $1-5</w:t>
      </w:r>
      <w:r>
        <w:t> million</w:t>
      </w:r>
      <w:r w:rsidRPr="00CE1D7F">
        <w:t xml:space="preserve"> (both 29%, see </w:t>
      </w:r>
      <w:r w:rsidRPr="00F87D0E">
        <w:fldChar w:fldCharType="begin"/>
      </w:r>
      <w:r w:rsidRPr="00F87D0E">
        <w:instrText xml:space="preserve"> REF _Ref129246780 \h  \* MERGEFORMAT </w:instrText>
      </w:r>
      <w:r w:rsidRPr="00F87D0E">
        <w:fldChar w:fldCharType="separate"/>
      </w:r>
      <w:r w:rsidR="000B0AC7" w:rsidRPr="000B0AC7">
        <w:t>Figure C.4</w:t>
      </w:r>
      <w:r w:rsidRPr="00F87D0E">
        <w:fldChar w:fldCharType="end"/>
      </w:r>
      <w:r w:rsidRPr="00CE1D7F">
        <w:t xml:space="preserve">). When respondents received funding from non-ARC sources, most of their funding was still from ARC. 63% of respondents (499 of 792) received 50% or more funding from ARC (see </w:t>
      </w:r>
      <w:r w:rsidRPr="00F87D0E">
        <w:fldChar w:fldCharType="begin"/>
      </w:r>
      <w:r w:rsidRPr="00F87D0E">
        <w:instrText xml:space="preserve"> REF _Ref129246780 \h  \* MERGEFORMAT </w:instrText>
      </w:r>
      <w:r w:rsidRPr="00F87D0E">
        <w:fldChar w:fldCharType="separate"/>
      </w:r>
      <w:r w:rsidR="000B0AC7" w:rsidRPr="000B0AC7">
        <w:t>Figure C.4</w:t>
      </w:r>
      <w:r w:rsidRPr="00F87D0E">
        <w:fldChar w:fldCharType="end"/>
      </w:r>
      <w:r w:rsidRPr="00CE1D7F">
        <w:t>).</w:t>
      </w:r>
    </w:p>
    <w:p w14:paraId="72FCA7C0" w14:textId="77777777" w:rsidR="002B32A0" w:rsidRPr="00CE1D7F" w:rsidRDefault="002B32A0" w:rsidP="002B32A0">
      <w:pPr>
        <w:pStyle w:val="BodyText"/>
      </w:pPr>
      <w:r w:rsidRPr="00CE1D7F">
        <w:t>These findings highlight the importance of the ARC in providing the majority of respondent’s funding for research. Non-ARC funding sources play a smaller role in supporting impactful research programs that involved at least some NCGP-funded research.</w:t>
      </w:r>
    </w:p>
    <w:p w14:paraId="44A91751" w14:textId="601F5F15" w:rsidR="000B0AC7" w:rsidRPr="00CE1D7F" w:rsidRDefault="000B0AC7" w:rsidP="000B0AC7">
      <w:pPr>
        <w:pStyle w:val="Caption"/>
        <w:ind w:left="1308" w:hanging="1308"/>
      </w:pPr>
      <w:bookmarkStart w:id="185" w:name="_Ref129857727"/>
      <w:r w:rsidRPr="00CE1D7F">
        <w:rPr>
          <w:rStyle w:val="CaptionLabel"/>
        </w:rPr>
        <w:lastRenderedPageBreak/>
        <w:t>Figure </w:t>
      </w:r>
      <w:r w:rsidRPr="00CE1D7F">
        <w:rPr>
          <w:rStyle w:val="CaptionLabel"/>
        </w:rPr>
        <w:fldChar w:fldCharType="begin"/>
      </w:r>
      <w:r w:rsidRPr="00CE1D7F">
        <w:rPr>
          <w:rStyle w:val="CaptionLabel"/>
        </w:rPr>
        <w:instrText xml:space="preserve"> STYLEREF 1 \s </w:instrText>
      </w:r>
      <w:r w:rsidRPr="00CE1D7F">
        <w:rPr>
          <w:rStyle w:val="CaptionLabel"/>
        </w:rPr>
        <w:fldChar w:fldCharType="separate"/>
      </w:r>
      <w:r>
        <w:rPr>
          <w:rStyle w:val="CaptionLabel"/>
          <w:noProof/>
        </w:rPr>
        <w:t>4</w:t>
      </w:r>
      <w:r w:rsidRPr="00CE1D7F">
        <w:rPr>
          <w:rStyle w:val="CaptionLabel"/>
        </w:rPr>
        <w:fldChar w:fldCharType="end"/>
      </w:r>
      <w:r w:rsidRPr="00CE1D7F">
        <w:rPr>
          <w:rStyle w:val="CaptionLabel"/>
        </w:rPr>
        <w:t>.</w:t>
      </w:r>
      <w:r w:rsidRPr="00CE1D7F">
        <w:rPr>
          <w:rStyle w:val="CaptionLabel"/>
        </w:rPr>
        <w:fldChar w:fldCharType="begin"/>
      </w:r>
      <w:r w:rsidRPr="00CE1D7F">
        <w:rPr>
          <w:rStyle w:val="CaptionLabel"/>
        </w:rPr>
        <w:instrText xml:space="preserve"> SEQ Figure \* ARABIC \s 1 </w:instrText>
      </w:r>
      <w:r w:rsidRPr="00CE1D7F">
        <w:rPr>
          <w:rStyle w:val="CaptionLabel"/>
        </w:rPr>
        <w:fldChar w:fldCharType="separate"/>
      </w:r>
      <w:r>
        <w:rPr>
          <w:rStyle w:val="CaptionLabel"/>
          <w:noProof/>
        </w:rPr>
        <w:t>4</w:t>
      </w:r>
      <w:r w:rsidRPr="00CE1D7F">
        <w:rPr>
          <w:rStyle w:val="CaptionLabel"/>
        </w:rPr>
        <w:fldChar w:fldCharType="end"/>
      </w:r>
      <w:bookmarkEnd w:id="185"/>
      <w:r w:rsidRPr="00CE1D7F">
        <w:tab/>
        <w:t xml:space="preserve">Survey results on recipient funding sources and exposure to ARC schemes </w:t>
      </w:r>
    </w:p>
    <w:tbl>
      <w:tblPr>
        <w:tblW w:w="7937" w:type="dxa"/>
        <w:tblLayout w:type="fixed"/>
        <w:tblLook w:val="0000" w:firstRow="0" w:lastRow="0" w:firstColumn="0" w:lastColumn="0" w:noHBand="0" w:noVBand="0"/>
      </w:tblPr>
      <w:tblGrid>
        <w:gridCol w:w="7937"/>
      </w:tblGrid>
      <w:tr w:rsidR="002B32A0" w:rsidRPr="00CE1D7F" w14:paraId="177BE52C" w14:textId="77777777" w:rsidTr="006258ED">
        <w:tc>
          <w:tcPr>
            <w:tcW w:w="7937" w:type="dxa"/>
            <w:tcBorders>
              <w:top w:val="single" w:sz="4" w:space="0" w:color="000100"/>
            </w:tcBorders>
            <w:shd w:val="clear" w:color="auto" w:fill="auto"/>
          </w:tcPr>
          <w:p w14:paraId="6FA13BB1" w14:textId="77777777" w:rsidR="002B32A0" w:rsidRPr="00CE1D7F" w:rsidRDefault="002B32A0" w:rsidP="006258ED">
            <w:pPr>
              <w:pStyle w:val="Figure"/>
            </w:pPr>
            <w:r w:rsidRPr="00CE1D7F">
              <w:rPr>
                <w:noProof/>
              </w:rPr>
              <w:drawing>
                <wp:inline distT="0" distB="0" distL="0" distR="0" wp14:anchorId="5B4E2582" wp14:editId="0B2959BA">
                  <wp:extent cx="4940834" cy="1671268"/>
                  <wp:effectExtent l="0" t="0" r="0" b="5715"/>
                  <wp:docPr id="127" name="Picture 127" descr="Survey results on recipient funding sources and exposure to ARC schemes, see description in text abov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descr="Survey results on recipient funding sources and exposure to ARC schemes, see description in text above figure."/>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943939" cy="1672318"/>
                          </a:xfrm>
                          <a:prstGeom prst="rect">
                            <a:avLst/>
                          </a:prstGeom>
                          <a:noFill/>
                        </pic:spPr>
                      </pic:pic>
                    </a:graphicData>
                  </a:graphic>
                </wp:inline>
              </w:drawing>
            </w:r>
          </w:p>
        </w:tc>
      </w:tr>
      <w:tr w:rsidR="002B32A0" w:rsidRPr="00CE1D7F" w14:paraId="2802ECCF" w14:textId="77777777" w:rsidTr="006258ED">
        <w:tblPrEx>
          <w:tblCellMar>
            <w:left w:w="0" w:type="dxa"/>
            <w:right w:w="0" w:type="dxa"/>
          </w:tblCellMar>
        </w:tblPrEx>
        <w:trPr>
          <w:trHeight w:val="137"/>
        </w:trPr>
        <w:tc>
          <w:tcPr>
            <w:tcW w:w="7937" w:type="dxa"/>
            <w:tcBorders>
              <w:bottom w:val="single" w:sz="4" w:space="0" w:color="000100"/>
            </w:tcBorders>
            <w:shd w:val="clear" w:color="auto" w:fill="auto"/>
            <w:tcMar>
              <w:top w:w="12" w:type="dxa"/>
              <w:bottom w:w="113" w:type="dxa"/>
            </w:tcMar>
          </w:tcPr>
          <w:p w14:paraId="071383CF" w14:textId="77777777" w:rsidR="002B32A0" w:rsidRPr="00CE1D7F" w:rsidRDefault="002B32A0" w:rsidP="006258ED">
            <w:pPr>
              <w:pStyle w:val="Source"/>
            </w:pPr>
            <w:r w:rsidRPr="00CE1D7F">
              <w:t>N=3,469</w:t>
            </w:r>
          </w:p>
          <w:p w14:paraId="12B43FDE" w14:textId="77777777" w:rsidR="002B32A0" w:rsidRPr="00CE1D7F" w:rsidRDefault="002B32A0" w:rsidP="006258ED">
            <w:pPr>
              <w:pStyle w:val="Source"/>
            </w:pPr>
            <w:r w:rsidRPr="00CE1D7F">
              <w:t>Source: ACIL Allen survey of ARC funding recipients</w:t>
            </w:r>
          </w:p>
        </w:tc>
      </w:tr>
      <w:tr w:rsidR="002B32A0" w:rsidRPr="00CE1D7F" w14:paraId="21A2D733" w14:textId="77777777" w:rsidTr="006258ED">
        <w:tblPrEx>
          <w:tblCellMar>
            <w:left w:w="0" w:type="dxa"/>
            <w:right w:w="0" w:type="dxa"/>
          </w:tblCellMar>
        </w:tblPrEx>
        <w:trPr>
          <w:trHeight w:hRule="exact" w:val="160"/>
        </w:trPr>
        <w:tc>
          <w:tcPr>
            <w:tcW w:w="7937" w:type="dxa"/>
            <w:tcBorders>
              <w:top w:val="single" w:sz="4" w:space="0" w:color="000100"/>
            </w:tcBorders>
            <w:shd w:val="clear" w:color="auto" w:fill="auto"/>
            <w:tcMar>
              <w:top w:w="0" w:type="dxa"/>
              <w:bottom w:w="40" w:type="dxa"/>
            </w:tcMar>
          </w:tcPr>
          <w:p w14:paraId="13438DC7" w14:textId="77777777" w:rsidR="002B32A0" w:rsidRPr="00CE1D7F" w:rsidRDefault="002B32A0" w:rsidP="006258ED">
            <w:pPr>
              <w:pStyle w:val="spacer"/>
            </w:pPr>
          </w:p>
        </w:tc>
      </w:tr>
    </w:tbl>
    <w:p w14:paraId="7F267313" w14:textId="77777777" w:rsidR="002B32A0" w:rsidRPr="00CE1D7F" w:rsidRDefault="002B32A0" w:rsidP="006E4921">
      <w:pPr>
        <w:pStyle w:val="Heading3"/>
      </w:pPr>
      <w:r w:rsidRPr="00CE1D7F">
        <w:t>Att</w:t>
      </w:r>
      <w:r w:rsidRPr="00CE1D7F">
        <w:rPr>
          <w:noProof/>
        </w:rPr>
        <mc:AlternateContent>
          <mc:Choice Requires="wps">
            <w:drawing>
              <wp:anchor distT="0" distB="0" distL="114300" distR="114300" simplePos="0" relativeHeight="251669504" behindDoc="0" locked="1" layoutInCell="1" allowOverlap="1" wp14:anchorId="3E43956B" wp14:editId="41C80150">
                <wp:simplePos x="0" y="0"/>
                <wp:positionH relativeFrom="page">
                  <wp:posOffset>441325</wp:posOffset>
                </wp:positionH>
                <wp:positionV relativeFrom="paragraph">
                  <wp:posOffset>-5080</wp:posOffset>
                </wp:positionV>
                <wp:extent cx="1289050" cy="732790"/>
                <wp:effectExtent l="0" t="0" r="0" b="0"/>
                <wp:wrapNone/>
                <wp:docPr id="528" name="Text Box 5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289050" cy="7327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3883ADD" w14:textId="77777777" w:rsidR="002B32A0" w:rsidRPr="00537EDE" w:rsidRDefault="002B32A0" w:rsidP="002B32A0">
                            <w:pPr>
                              <w:pStyle w:val="SideNoteRegularRight"/>
                              <w:jc w:val="left"/>
                            </w:pPr>
                            <w:r w:rsidRPr="00537EDE">
                              <w:t>KEQ 5. How would the capacity of Australian research to support economic, environmental, social and other impacts be affected by the absence of the NCGP?</w:t>
                            </w:r>
                          </w:p>
                        </w:txbxContent>
                      </wps:txbx>
                      <wps:bodyPr rot="0" spcFirstLastPara="0" vertOverflow="overflow" horzOverflow="overflow" vert="horz" wrap="square" lIns="0" tIns="0" rIns="76200" bIns="762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E43956B" id="Text Box 528" o:spid="_x0000_s1036" type="#_x0000_t202" alt="&quot;&quot;" style="position:absolute;left:0;text-align:left;margin-left:34.75pt;margin-top:-.4pt;width:101.5pt;height:57.7pt;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" filled="f" stroked="f" strokeweight=".5pt">
                <v:textbox style="mso-fit-shape-to-text:t" inset="0,0,6pt,6pt">
                  <w:txbxContent>
                    <w:p w14:paraId="03883ADD" w14:textId="77777777" w:rsidR="002B32A0" w:rsidRPr="00537EDE" w:rsidRDefault="002B32A0" w:rsidP="002B32A0">
                      <w:pPr>
                        <w:pStyle w:val="SideNoteRegularRight"/>
                        <w:jc w:val="left"/>
                      </w:pPr>
                      <w:r w:rsidRPr="00537EDE">
                        <w:t>KEQ 5. How would the capacity of Australian research to support economic, environmental, social and other impacts be affected by the absence of the NCGP?</w:t>
                      </w:r>
                    </w:p>
                  </w:txbxContent>
                </v:textbox>
                <w10:wrap anchorx="page"/>
                <w10:anchorlock/>
              </v:shape>
            </w:pict>
          </mc:Fallback>
        </mc:AlternateContent>
      </w:r>
      <w:r w:rsidRPr="00CE1D7F">
        <w:t>ribution of benefits to the ARC</w:t>
      </w:r>
    </w:p>
    <w:p w14:paraId="01199EE9" w14:textId="3AFBD870" w:rsidR="002B32A0" w:rsidRPr="00CE1D7F" w:rsidRDefault="002B32A0" w:rsidP="00187B20">
      <w:pPr>
        <w:pStyle w:val="BodyText"/>
        <w:keepNext/>
        <w:keepLines/>
      </w:pPr>
      <w:r w:rsidRPr="00CE1D7F">
        <w:t xml:space="preserve">Given the above insights into the core role of ARC funding and the use of non-ARC funding sources, it is important to consider how much of the impacts delivered by NCGP-funded research (see chapters </w:t>
      </w:r>
      <w:r w:rsidRPr="00F87D0E">
        <w:fldChar w:fldCharType="begin"/>
      </w:r>
      <w:r w:rsidRPr="00F87D0E">
        <w:instrText xml:space="preserve"> REF _Ref129852990 \r \h  \* MERGEFORMAT </w:instrText>
      </w:r>
      <w:r w:rsidRPr="00F87D0E">
        <w:fldChar w:fldCharType="separate"/>
      </w:r>
      <w:r w:rsidR="000B0AC7">
        <w:t>2</w:t>
      </w:r>
      <w:r w:rsidRPr="00F87D0E">
        <w:fldChar w:fldCharType="end"/>
      </w:r>
      <w:r w:rsidRPr="00CE1D7F">
        <w:t xml:space="preserve"> and </w:t>
      </w:r>
      <w:r w:rsidRPr="00F87D0E">
        <w:fldChar w:fldCharType="begin"/>
      </w:r>
      <w:r w:rsidRPr="00F87D0E">
        <w:instrText xml:space="preserve"> REF _Ref129852996 \r \h  \* MERGEFORMAT </w:instrText>
      </w:r>
      <w:r w:rsidRPr="00F87D0E">
        <w:fldChar w:fldCharType="separate"/>
      </w:r>
      <w:r w:rsidR="000B0AC7">
        <w:t>3</w:t>
      </w:r>
      <w:r w:rsidRPr="00F87D0E">
        <w:fldChar w:fldCharType="end"/>
      </w:r>
      <w:r w:rsidRPr="00CE1D7F">
        <w:t>) can be reasonably attributed to the ARC.</w:t>
      </w:r>
    </w:p>
    <w:p w14:paraId="4EF1FFA0" w14:textId="77777777" w:rsidR="002B32A0" w:rsidRPr="00CE1D7F" w:rsidRDefault="002B32A0" w:rsidP="00F50CC9">
      <w:pPr>
        <w:pStyle w:val="BodyText"/>
      </w:pPr>
      <w:r w:rsidRPr="00CE1D7F">
        <w:t xml:space="preserve">Domestic </w:t>
      </w:r>
      <w:r w:rsidRPr="00CE1D7F">
        <w:rPr>
          <w:lang w:eastAsia="en-AU"/>
        </w:rPr>
        <w:t xml:space="preserve">stakeholders </w:t>
      </w:r>
      <w:r w:rsidRPr="00CE1D7F">
        <w:t>considered the NCGP to be a significant part of the innovation ecosystem, with funding directed to activities that would be challenging to fund through other sources. It was considered so significant that some could not envisage a scenario without the NCGP.</w:t>
      </w:r>
    </w:p>
    <w:p w14:paraId="34E872B2" w14:textId="77777777" w:rsidR="002B32A0" w:rsidRPr="00CE1D7F" w:rsidRDefault="002B32A0" w:rsidP="002B32A0">
      <w:pPr>
        <w:pStyle w:val="Quote"/>
        <w:rPr>
          <w:lang w:eastAsia="en-AU"/>
        </w:rPr>
      </w:pPr>
      <w:r w:rsidRPr="00CE1D7F">
        <w:rPr>
          <w:lang w:eastAsia="en-AU"/>
        </w:rPr>
        <w:t>“The funding is critical to the Australian research system – it is the only funding scheme of any size that funds basic research outside of health and medical research. Without this, the system would be under severe pressure and significantly diminished.” – Domestic stakeholder</w:t>
      </w:r>
    </w:p>
    <w:p w14:paraId="5484E63D" w14:textId="77777777" w:rsidR="002B32A0" w:rsidRPr="00CE1D7F" w:rsidRDefault="002B32A0" w:rsidP="002B32A0">
      <w:pPr>
        <w:pStyle w:val="Quote"/>
        <w:rPr>
          <w:lang w:eastAsia="en-AU"/>
        </w:rPr>
      </w:pPr>
      <w:r w:rsidRPr="00CE1D7F">
        <w:rPr>
          <w:lang w:eastAsia="en-AU"/>
        </w:rPr>
        <w:t>“This would be a huge issue if it [NCGP funding] was removed, and have a big impact on universities.” – Domestic stakeholder</w:t>
      </w:r>
    </w:p>
    <w:p w14:paraId="09818842" w14:textId="0393D81C" w:rsidR="002B32A0" w:rsidRPr="00CE1D7F" w:rsidRDefault="002B32A0" w:rsidP="002B32A0">
      <w:pPr>
        <w:pStyle w:val="BodyText"/>
      </w:pPr>
      <w:r w:rsidRPr="00CE1D7F">
        <w:t xml:space="preserve">This is supported by survey results showing that 82% of respondents from both the Discovery and Linkage Programs considered that the impacts delivered by their research would be unlikely or very unlikely to have occurred without the ARC’s support (see </w:t>
      </w:r>
      <w:r w:rsidRPr="00F87D0E">
        <w:fldChar w:fldCharType="begin"/>
      </w:r>
      <w:r w:rsidRPr="00F87D0E">
        <w:instrText xml:space="preserve"> REF _Ref129852778 \h  \* MERGEFORMAT </w:instrText>
      </w:r>
      <w:r w:rsidRPr="00F87D0E">
        <w:fldChar w:fldCharType="separate"/>
      </w:r>
      <w:r w:rsidR="000B0AC7" w:rsidRPr="000B0AC7">
        <w:t>Figure 4.5</w:t>
      </w:r>
      <w:r w:rsidRPr="00F87D0E">
        <w:fldChar w:fldCharType="end"/>
      </w:r>
      <w:r w:rsidRPr="00CE1D7F">
        <w:t>).</w:t>
      </w:r>
    </w:p>
    <w:p w14:paraId="16A23BA5" w14:textId="78626994" w:rsidR="000B0AC7" w:rsidRPr="00CE1D7F" w:rsidRDefault="000B0AC7" w:rsidP="000B0AC7">
      <w:pPr>
        <w:pStyle w:val="Caption"/>
        <w:ind w:left="1308" w:hanging="1308"/>
      </w:pPr>
      <w:bookmarkStart w:id="186" w:name="_Ref129852778"/>
      <w:r w:rsidRPr="00CE1D7F">
        <w:rPr>
          <w:rStyle w:val="CaptionLabel"/>
        </w:rPr>
        <w:lastRenderedPageBreak/>
        <w:t>Figure </w:t>
      </w:r>
      <w:r w:rsidRPr="00CE1D7F">
        <w:rPr>
          <w:rStyle w:val="CaptionLabel"/>
        </w:rPr>
        <w:fldChar w:fldCharType="begin"/>
      </w:r>
      <w:r w:rsidRPr="00CE1D7F">
        <w:rPr>
          <w:rStyle w:val="CaptionLabel"/>
        </w:rPr>
        <w:instrText xml:space="preserve"> STYLEREF 1 \s </w:instrText>
      </w:r>
      <w:r w:rsidRPr="00CE1D7F">
        <w:rPr>
          <w:rStyle w:val="CaptionLabel"/>
        </w:rPr>
        <w:fldChar w:fldCharType="separate"/>
      </w:r>
      <w:r>
        <w:rPr>
          <w:rStyle w:val="CaptionLabel"/>
          <w:noProof/>
        </w:rPr>
        <w:t>4</w:t>
      </w:r>
      <w:r w:rsidRPr="00CE1D7F">
        <w:rPr>
          <w:rStyle w:val="CaptionLabel"/>
        </w:rPr>
        <w:fldChar w:fldCharType="end"/>
      </w:r>
      <w:r w:rsidRPr="00CE1D7F">
        <w:rPr>
          <w:rStyle w:val="CaptionLabel"/>
        </w:rPr>
        <w:t>.</w:t>
      </w:r>
      <w:r w:rsidRPr="00CE1D7F">
        <w:rPr>
          <w:rStyle w:val="CaptionLabel"/>
        </w:rPr>
        <w:fldChar w:fldCharType="begin"/>
      </w:r>
      <w:r w:rsidRPr="00CE1D7F">
        <w:rPr>
          <w:rStyle w:val="CaptionLabel"/>
        </w:rPr>
        <w:instrText xml:space="preserve"> SEQ Figure \* ARABIC \s 1 </w:instrText>
      </w:r>
      <w:r w:rsidRPr="00CE1D7F">
        <w:rPr>
          <w:rStyle w:val="CaptionLabel"/>
        </w:rPr>
        <w:fldChar w:fldCharType="separate"/>
      </w:r>
      <w:r>
        <w:rPr>
          <w:rStyle w:val="CaptionLabel"/>
          <w:noProof/>
        </w:rPr>
        <w:t>5</w:t>
      </w:r>
      <w:r w:rsidRPr="00CE1D7F">
        <w:rPr>
          <w:rStyle w:val="CaptionLabel"/>
        </w:rPr>
        <w:fldChar w:fldCharType="end"/>
      </w:r>
      <w:bookmarkEnd w:id="186"/>
      <w:r w:rsidRPr="00CE1D7F">
        <w:tab/>
        <w:t xml:space="preserve">Survey results on the likelihood of research impact occurring without ARC’s support </w:t>
      </w:r>
    </w:p>
    <w:tbl>
      <w:tblPr>
        <w:tblW w:w="0" w:type="auto"/>
        <w:tblLayout w:type="fixed"/>
        <w:tblLook w:val="0000" w:firstRow="0" w:lastRow="0" w:firstColumn="0" w:lastColumn="0" w:noHBand="0" w:noVBand="0"/>
      </w:tblPr>
      <w:tblGrid>
        <w:gridCol w:w="7936"/>
      </w:tblGrid>
      <w:tr w:rsidR="002B32A0" w:rsidRPr="00CE1D7F" w14:paraId="37018A40" w14:textId="77777777" w:rsidTr="006258ED">
        <w:tc>
          <w:tcPr>
            <w:tcW w:w="7936" w:type="dxa"/>
            <w:tcBorders>
              <w:top w:val="single" w:sz="4" w:space="0" w:color="000100"/>
            </w:tcBorders>
            <w:shd w:val="clear" w:color="auto" w:fill="auto"/>
          </w:tcPr>
          <w:p w14:paraId="7A2D4D75" w14:textId="77777777" w:rsidR="002B32A0" w:rsidRPr="00CE1D7F" w:rsidRDefault="002B32A0" w:rsidP="006258ED">
            <w:pPr>
              <w:pStyle w:val="Figure"/>
            </w:pPr>
            <w:r w:rsidRPr="00CE1D7F">
              <w:rPr>
                <w:noProof/>
              </w:rPr>
              <w:drawing>
                <wp:inline distT="0" distB="0" distL="0" distR="0" wp14:anchorId="30E732EE" wp14:editId="24E73732">
                  <wp:extent cx="5048250" cy="2043162"/>
                  <wp:effectExtent l="0" t="0" r="0" b="0"/>
                  <wp:docPr id="565" name="Picture 565" descr="Survey results on the likelihood of research impact occurring without ARC’s support, see description in text abov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Picture 565" descr="Survey results on the likelihood of research impact occurring without ARC’s support, see description in text above figure."/>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060100" cy="2047958"/>
                          </a:xfrm>
                          <a:prstGeom prst="rect">
                            <a:avLst/>
                          </a:prstGeom>
                          <a:noFill/>
                        </pic:spPr>
                      </pic:pic>
                    </a:graphicData>
                  </a:graphic>
                </wp:inline>
              </w:drawing>
            </w:r>
          </w:p>
        </w:tc>
      </w:tr>
      <w:tr w:rsidR="002B32A0" w:rsidRPr="00CE1D7F" w14:paraId="60FB4D24" w14:textId="77777777" w:rsidTr="006258ED">
        <w:tblPrEx>
          <w:tblCellMar>
            <w:left w:w="0" w:type="dxa"/>
            <w:right w:w="0" w:type="dxa"/>
          </w:tblCellMar>
        </w:tblPrEx>
        <w:trPr>
          <w:trHeight w:val="137"/>
        </w:trPr>
        <w:tc>
          <w:tcPr>
            <w:tcW w:w="7936" w:type="dxa"/>
            <w:tcBorders>
              <w:bottom w:val="single" w:sz="4" w:space="0" w:color="000100"/>
            </w:tcBorders>
            <w:shd w:val="clear" w:color="auto" w:fill="auto"/>
            <w:tcMar>
              <w:top w:w="12" w:type="dxa"/>
              <w:bottom w:w="113" w:type="dxa"/>
            </w:tcMar>
          </w:tcPr>
          <w:p w14:paraId="51217FC2" w14:textId="77777777" w:rsidR="002B32A0" w:rsidRPr="00CE1D7F" w:rsidRDefault="002B32A0" w:rsidP="006258ED">
            <w:pPr>
              <w:pStyle w:val="Source"/>
            </w:pPr>
            <w:r w:rsidRPr="00CE1D7F">
              <w:t>N=3,698</w:t>
            </w:r>
          </w:p>
          <w:p w14:paraId="0D2F0C66" w14:textId="77777777" w:rsidR="002B32A0" w:rsidRPr="00CE1D7F" w:rsidRDefault="002B32A0" w:rsidP="006258ED">
            <w:pPr>
              <w:pStyle w:val="Source"/>
            </w:pPr>
            <w:r w:rsidRPr="00CE1D7F">
              <w:t>Source: ACIL Allen survey of ARC funding recipients</w:t>
            </w:r>
          </w:p>
        </w:tc>
      </w:tr>
      <w:tr w:rsidR="002B32A0" w:rsidRPr="00CE1D7F" w14:paraId="47329846" w14:textId="77777777" w:rsidTr="006258ED">
        <w:tblPrEx>
          <w:tblCellMar>
            <w:left w:w="0" w:type="dxa"/>
            <w:right w:w="0" w:type="dxa"/>
          </w:tblCellMar>
        </w:tblPrEx>
        <w:trPr>
          <w:trHeight w:hRule="exact" w:val="160"/>
        </w:trPr>
        <w:tc>
          <w:tcPr>
            <w:tcW w:w="7936" w:type="dxa"/>
            <w:tcBorders>
              <w:top w:val="single" w:sz="4" w:space="0" w:color="000100"/>
            </w:tcBorders>
            <w:shd w:val="clear" w:color="auto" w:fill="auto"/>
            <w:tcMar>
              <w:top w:w="0" w:type="dxa"/>
              <w:bottom w:w="40" w:type="dxa"/>
            </w:tcMar>
          </w:tcPr>
          <w:p w14:paraId="23CB3EBD" w14:textId="77777777" w:rsidR="002B32A0" w:rsidRPr="00CE1D7F" w:rsidRDefault="002B32A0" w:rsidP="006258ED">
            <w:pPr>
              <w:pStyle w:val="spacer"/>
            </w:pPr>
          </w:p>
        </w:tc>
      </w:tr>
    </w:tbl>
    <w:p w14:paraId="7B08976F" w14:textId="1CE9C4D9" w:rsidR="002B32A0" w:rsidRPr="00CE1D7F" w:rsidRDefault="002B32A0" w:rsidP="002B32A0">
      <w:pPr>
        <w:pStyle w:val="BodyText"/>
      </w:pPr>
      <w:r w:rsidRPr="00CE1D7F">
        <w:t xml:space="preserve">The case studies also support the central role of the ARC in funding excellent research and supporting impact delivery. </w:t>
      </w:r>
      <w:r w:rsidRPr="00F87D0E">
        <w:fldChar w:fldCharType="begin"/>
      </w:r>
      <w:r w:rsidRPr="00F87D0E">
        <w:instrText xml:space="preserve"> REF _Ref129852521 \h  \* MERGEFORMAT </w:instrText>
      </w:r>
      <w:r w:rsidRPr="00F87D0E">
        <w:fldChar w:fldCharType="separate"/>
      </w:r>
      <w:r w:rsidR="000B0AC7" w:rsidRPr="000B0AC7">
        <w:t>Table 4.1</w:t>
      </w:r>
      <w:r w:rsidRPr="00F87D0E">
        <w:fldChar w:fldCharType="end"/>
      </w:r>
      <w:r w:rsidRPr="00CE1D7F">
        <w:t xml:space="preserve"> shows that the case studies deliver multiple impacts that are highly attributable to the funding received from the ARC, and as such, these impacts could not have been achieved without the ARC. This is often because other funding sources were not available or not available at a sufficient scale or for the purpose needed (see </w:t>
      </w:r>
      <w:r>
        <w:t>section </w:t>
      </w:r>
      <w:r w:rsidRPr="00F87D0E">
        <w:fldChar w:fldCharType="begin"/>
      </w:r>
      <w:r w:rsidRPr="00F87D0E">
        <w:instrText xml:space="preserve"> REF _Ref129852562 \r \h  \* MERGEFORMAT </w:instrText>
      </w:r>
      <w:r w:rsidRPr="00F87D0E">
        <w:fldChar w:fldCharType="separate"/>
      </w:r>
      <w:r w:rsidR="000B0AC7">
        <w:t>4.1</w:t>
      </w:r>
      <w:r w:rsidRPr="00F87D0E">
        <w:fldChar w:fldCharType="end"/>
      </w:r>
      <w:r w:rsidRPr="00CE1D7F">
        <w:t xml:space="preserve">). </w:t>
      </w:r>
    </w:p>
    <w:p w14:paraId="13A66DA5" w14:textId="25A6D4B7" w:rsidR="002B32A0" w:rsidRPr="00CE1D7F" w:rsidRDefault="002B32A0" w:rsidP="000B0AC7">
      <w:pPr>
        <w:pStyle w:val="Caption"/>
        <w:ind w:left="1308" w:hanging="1308"/>
      </w:pPr>
      <w:bookmarkStart w:id="187" w:name="_Ref129852521"/>
      <w:r w:rsidRPr="00CE1D7F">
        <w:rPr>
          <w:rStyle w:val="CaptionLabel"/>
        </w:rPr>
        <w:t>Table </w:t>
      </w:r>
      <w:r w:rsidRPr="00CE1D7F">
        <w:rPr>
          <w:rStyle w:val="CaptionLabel"/>
        </w:rPr>
        <w:fldChar w:fldCharType="begin"/>
      </w:r>
      <w:r w:rsidRPr="00CE1D7F">
        <w:rPr>
          <w:rStyle w:val="CaptionLabel"/>
        </w:rPr>
        <w:instrText xml:space="preserve"> STYLEREF 1 \S \* MERGEFORMAT </w:instrText>
      </w:r>
      <w:r w:rsidRPr="00CE1D7F">
        <w:rPr>
          <w:rStyle w:val="CaptionLabel"/>
        </w:rPr>
        <w:fldChar w:fldCharType="separate"/>
      </w:r>
      <w:r w:rsidR="000B0AC7">
        <w:rPr>
          <w:rStyle w:val="CaptionLabel"/>
          <w:noProof/>
        </w:rPr>
        <w:t>4</w:t>
      </w:r>
      <w:r w:rsidRPr="00CE1D7F">
        <w:rPr>
          <w:rStyle w:val="CaptionLabel"/>
        </w:rPr>
        <w:fldChar w:fldCharType="end"/>
      </w:r>
      <w:r w:rsidRPr="00CE1D7F">
        <w:rPr>
          <w:rStyle w:val="CaptionLabel"/>
        </w:rPr>
        <w:t>.</w:t>
      </w:r>
      <w:r w:rsidRPr="00CE1D7F">
        <w:rPr>
          <w:rStyle w:val="CaptionLabel"/>
        </w:rPr>
        <w:fldChar w:fldCharType="begin"/>
      </w:r>
      <w:r w:rsidRPr="00CE1D7F">
        <w:rPr>
          <w:rStyle w:val="CaptionLabel"/>
        </w:rPr>
        <w:instrText xml:space="preserve"> SEQ Table \* ARABIC \S 1 \* MERGEFORMAT </w:instrText>
      </w:r>
      <w:r w:rsidRPr="00CE1D7F">
        <w:rPr>
          <w:rStyle w:val="CaptionLabel"/>
        </w:rPr>
        <w:fldChar w:fldCharType="separate"/>
      </w:r>
      <w:r w:rsidR="000B0AC7">
        <w:rPr>
          <w:rStyle w:val="CaptionLabel"/>
          <w:noProof/>
        </w:rPr>
        <w:t>1</w:t>
      </w:r>
      <w:r w:rsidRPr="00CE1D7F">
        <w:rPr>
          <w:rStyle w:val="CaptionLabel"/>
        </w:rPr>
        <w:fldChar w:fldCharType="end"/>
      </w:r>
      <w:bookmarkEnd w:id="187"/>
      <w:r w:rsidRPr="00CE1D7F">
        <w:tab/>
        <w:t>Attribution of impacts to the ARC and NCGP</w:t>
      </w:r>
    </w:p>
    <w:tbl>
      <w:tblPr>
        <w:tblStyle w:val="aacTableBasic"/>
        <w:tblW w:w="7936" w:type="dxa"/>
        <w:tblLayout w:type="fixed"/>
        <w:tblLook w:val="04A0" w:firstRow="1" w:lastRow="0" w:firstColumn="1" w:lastColumn="0" w:noHBand="0" w:noVBand="1"/>
        <w:tblCaption w:val="Table 4.1"/>
        <w:tblDescription w:val="Attribution of impacts to the ARC and NCGP"/>
      </w:tblPr>
      <w:tblGrid>
        <w:gridCol w:w="2410"/>
        <w:gridCol w:w="1134"/>
        <w:gridCol w:w="851"/>
        <w:gridCol w:w="850"/>
        <w:gridCol w:w="1418"/>
        <w:gridCol w:w="1273"/>
      </w:tblGrid>
      <w:tr w:rsidR="002B32A0" w:rsidRPr="00CE1D7F" w14:paraId="19305DAD" w14:textId="77777777" w:rsidTr="006923E2">
        <w:trPr>
          <w:cnfStyle w:val="100000000000" w:firstRow="1" w:lastRow="0" w:firstColumn="0" w:lastColumn="0" w:oddVBand="0" w:evenVBand="0" w:oddHBand="0" w:evenHBand="0" w:firstRowFirstColumn="0" w:firstRowLastColumn="0" w:lastRowFirstColumn="0" w:lastRowLastColumn="0"/>
        </w:trPr>
        <w:tc>
          <w:tcPr>
            <w:tcW w:w="2410" w:type="dxa"/>
            <w:tcBorders>
              <w:top w:val="nil"/>
            </w:tcBorders>
            <w:shd w:val="solid" w:color="140034" w:fill="140034"/>
            <w:tcMar>
              <w:left w:w="80" w:type="dxa"/>
            </w:tcMar>
          </w:tcPr>
          <w:p w14:paraId="72C91134" w14:textId="77777777" w:rsidR="002B32A0" w:rsidRPr="00CE1D7F" w:rsidRDefault="002B32A0" w:rsidP="006258ED">
            <w:pPr>
              <w:pStyle w:val="Tablecolumnheadings"/>
              <w:keepLines/>
            </w:pPr>
          </w:p>
        </w:tc>
        <w:tc>
          <w:tcPr>
            <w:tcW w:w="1134" w:type="dxa"/>
            <w:tcBorders>
              <w:top w:val="nil"/>
            </w:tcBorders>
            <w:shd w:val="solid" w:color="140034" w:fill="140034"/>
          </w:tcPr>
          <w:p w14:paraId="26A5F5EC" w14:textId="77777777" w:rsidR="002B32A0" w:rsidRPr="00CE1D7F" w:rsidRDefault="002B32A0" w:rsidP="006258ED">
            <w:pPr>
              <w:pStyle w:val="Tablecolumnheadings"/>
              <w:keepLines/>
            </w:pPr>
            <w:r w:rsidRPr="00CE1D7F">
              <w:t>Economic</w:t>
            </w:r>
          </w:p>
        </w:tc>
        <w:tc>
          <w:tcPr>
            <w:tcW w:w="851" w:type="dxa"/>
            <w:tcBorders>
              <w:top w:val="nil"/>
            </w:tcBorders>
            <w:shd w:val="solid" w:color="140034" w:fill="140034"/>
          </w:tcPr>
          <w:p w14:paraId="47D8264A" w14:textId="77777777" w:rsidR="002B32A0" w:rsidRPr="00CE1D7F" w:rsidRDefault="002B32A0" w:rsidP="006258ED">
            <w:pPr>
              <w:pStyle w:val="Tablecolumnheadings"/>
              <w:keepLines/>
            </w:pPr>
            <w:r w:rsidRPr="00CE1D7F">
              <w:t>Society</w:t>
            </w:r>
          </w:p>
        </w:tc>
        <w:tc>
          <w:tcPr>
            <w:tcW w:w="850" w:type="dxa"/>
            <w:tcBorders>
              <w:top w:val="nil"/>
            </w:tcBorders>
            <w:shd w:val="solid" w:color="140034" w:fill="140034"/>
          </w:tcPr>
          <w:p w14:paraId="4A41D0A1" w14:textId="77777777" w:rsidR="002B32A0" w:rsidRPr="00CE1D7F" w:rsidRDefault="002B32A0" w:rsidP="006258ED">
            <w:pPr>
              <w:pStyle w:val="Tablecolumnheadings"/>
              <w:keepLines/>
            </w:pPr>
            <w:r w:rsidRPr="00CE1D7F">
              <w:t>Culture</w:t>
            </w:r>
          </w:p>
        </w:tc>
        <w:tc>
          <w:tcPr>
            <w:tcW w:w="1418" w:type="dxa"/>
            <w:tcBorders>
              <w:top w:val="nil"/>
            </w:tcBorders>
            <w:shd w:val="solid" w:color="140034" w:fill="140034"/>
          </w:tcPr>
          <w:p w14:paraId="59ED91F8" w14:textId="77777777" w:rsidR="002B32A0" w:rsidRPr="00CE1D7F" w:rsidRDefault="002B32A0" w:rsidP="006258ED">
            <w:pPr>
              <w:pStyle w:val="Tablecolumnheadings"/>
              <w:keepLines/>
            </w:pPr>
            <w:r w:rsidRPr="00CE1D7F">
              <w:t>Environment</w:t>
            </w:r>
          </w:p>
        </w:tc>
        <w:tc>
          <w:tcPr>
            <w:tcW w:w="1273" w:type="dxa"/>
            <w:tcBorders>
              <w:top w:val="nil"/>
            </w:tcBorders>
            <w:shd w:val="solid" w:color="140034" w:fill="140034"/>
          </w:tcPr>
          <w:p w14:paraId="0A05BD00" w14:textId="77777777" w:rsidR="002B32A0" w:rsidRPr="00CE1D7F" w:rsidRDefault="002B32A0" w:rsidP="006258ED">
            <w:pPr>
              <w:pStyle w:val="Tablecolumnheadings"/>
              <w:keepLines/>
            </w:pPr>
            <w:r w:rsidRPr="00CE1D7F">
              <w:t>Research capability</w:t>
            </w:r>
          </w:p>
        </w:tc>
      </w:tr>
      <w:tr w:rsidR="002B32A0" w:rsidRPr="00CE1D7F" w14:paraId="560D0FB3" w14:textId="77777777" w:rsidTr="006923E2">
        <w:tc>
          <w:tcPr>
            <w:tcW w:w="2410" w:type="dxa"/>
            <w:tcMar>
              <w:left w:w="80" w:type="dxa"/>
            </w:tcMar>
          </w:tcPr>
          <w:p w14:paraId="6F8683EC" w14:textId="77777777" w:rsidR="002B32A0" w:rsidRPr="00CE1D7F" w:rsidRDefault="002B32A0" w:rsidP="006923E2">
            <w:pPr>
              <w:pStyle w:val="Tabletext"/>
              <w:keepNext/>
              <w:keepLines/>
              <w:rPr>
                <w:i/>
                <w:iCs/>
              </w:rPr>
            </w:pPr>
            <w:r w:rsidRPr="00CE1D7F">
              <w:rPr>
                <w:i/>
                <w:iCs/>
              </w:rPr>
              <w:t xml:space="preserve">Changing the Law to Protect Survivors of DFV </w:t>
            </w:r>
          </w:p>
        </w:tc>
        <w:tc>
          <w:tcPr>
            <w:tcW w:w="1134" w:type="dxa"/>
          </w:tcPr>
          <w:p w14:paraId="167FD8EB" w14:textId="3DEBB371" w:rsidR="002B32A0" w:rsidRPr="00CE1D7F" w:rsidRDefault="006923E2" w:rsidP="006923E2">
            <w:pPr>
              <w:pStyle w:val="Tabletext"/>
              <w:keepNext/>
              <w:keepLines/>
              <w:jc w:val="center"/>
            </w:pPr>
            <w:r>
              <w:rPr>
                <w:noProof/>
              </w:rPr>
              <w:t xml:space="preserve">Medium </w:t>
            </w:r>
          </w:p>
        </w:tc>
        <w:tc>
          <w:tcPr>
            <w:tcW w:w="851" w:type="dxa"/>
          </w:tcPr>
          <w:p w14:paraId="41B15D4D" w14:textId="009573E2" w:rsidR="002B32A0" w:rsidRPr="00CE1D7F" w:rsidRDefault="006923E2" w:rsidP="006923E2">
            <w:pPr>
              <w:pStyle w:val="Tabletext"/>
              <w:keepNext/>
              <w:keepLines/>
              <w:jc w:val="center"/>
            </w:pPr>
            <w:r>
              <w:t>High</w:t>
            </w:r>
          </w:p>
        </w:tc>
        <w:tc>
          <w:tcPr>
            <w:tcW w:w="850" w:type="dxa"/>
          </w:tcPr>
          <w:p w14:paraId="4C553A13" w14:textId="012604DA" w:rsidR="002B32A0" w:rsidRPr="00CE1D7F" w:rsidRDefault="006923E2" w:rsidP="006923E2">
            <w:pPr>
              <w:pStyle w:val="Tabletext"/>
              <w:keepNext/>
              <w:keepLines/>
              <w:jc w:val="center"/>
            </w:pPr>
            <w:r>
              <w:rPr>
                <w:noProof/>
              </w:rPr>
              <w:t>Medium</w:t>
            </w:r>
          </w:p>
        </w:tc>
        <w:tc>
          <w:tcPr>
            <w:tcW w:w="1418" w:type="dxa"/>
          </w:tcPr>
          <w:p w14:paraId="7CA1C257" w14:textId="47F696E9" w:rsidR="002B32A0" w:rsidRPr="00CE1D7F" w:rsidRDefault="006923E2" w:rsidP="006923E2">
            <w:pPr>
              <w:pStyle w:val="Tabletext"/>
              <w:keepNext/>
              <w:keepLines/>
              <w:jc w:val="center"/>
            </w:pPr>
            <w:r>
              <w:t>High</w:t>
            </w:r>
          </w:p>
        </w:tc>
        <w:tc>
          <w:tcPr>
            <w:tcW w:w="1273" w:type="dxa"/>
          </w:tcPr>
          <w:p w14:paraId="64A982D5" w14:textId="457E0B04" w:rsidR="002B32A0" w:rsidRPr="00CE1D7F" w:rsidRDefault="006923E2" w:rsidP="006923E2">
            <w:pPr>
              <w:pStyle w:val="Tabletext"/>
              <w:keepNext/>
              <w:keepLines/>
              <w:jc w:val="center"/>
            </w:pPr>
            <w:r>
              <w:rPr>
                <w:noProof/>
              </w:rPr>
              <w:t>Medium</w:t>
            </w:r>
          </w:p>
        </w:tc>
      </w:tr>
      <w:tr w:rsidR="006923E2" w:rsidRPr="00CE1D7F" w14:paraId="6F826A1F" w14:textId="77777777" w:rsidTr="006923E2">
        <w:tc>
          <w:tcPr>
            <w:tcW w:w="2410" w:type="dxa"/>
            <w:tcMar>
              <w:left w:w="80" w:type="dxa"/>
            </w:tcMar>
          </w:tcPr>
          <w:p w14:paraId="4E203C90" w14:textId="77777777" w:rsidR="006923E2" w:rsidRPr="00CE1D7F" w:rsidRDefault="006923E2" w:rsidP="006923E2">
            <w:pPr>
              <w:pStyle w:val="Tabletext"/>
              <w:keepNext/>
              <w:keepLines/>
              <w:rPr>
                <w:i/>
                <w:iCs/>
              </w:rPr>
            </w:pPr>
            <w:r w:rsidRPr="00CE1D7F">
              <w:rPr>
                <w:i/>
                <w:iCs/>
              </w:rPr>
              <w:t xml:space="preserve">Indigenous Persistence in Formal Learning </w:t>
            </w:r>
          </w:p>
        </w:tc>
        <w:tc>
          <w:tcPr>
            <w:tcW w:w="1134" w:type="dxa"/>
          </w:tcPr>
          <w:p w14:paraId="45C047CA" w14:textId="4B525BCB" w:rsidR="006923E2" w:rsidRPr="00CE1D7F" w:rsidRDefault="006923E2" w:rsidP="006923E2">
            <w:pPr>
              <w:pStyle w:val="Tabletext"/>
              <w:keepNext/>
              <w:keepLines/>
              <w:jc w:val="center"/>
            </w:pPr>
            <w:r>
              <w:t>High</w:t>
            </w:r>
          </w:p>
        </w:tc>
        <w:tc>
          <w:tcPr>
            <w:tcW w:w="851" w:type="dxa"/>
          </w:tcPr>
          <w:p w14:paraId="7C8EE44D" w14:textId="6C30B218" w:rsidR="006923E2" w:rsidRPr="00CE1D7F" w:rsidRDefault="006923E2" w:rsidP="006923E2">
            <w:pPr>
              <w:pStyle w:val="Tabletext"/>
              <w:keepNext/>
              <w:keepLines/>
              <w:jc w:val="center"/>
            </w:pPr>
            <w:r w:rsidRPr="00350610">
              <w:t>High</w:t>
            </w:r>
          </w:p>
        </w:tc>
        <w:tc>
          <w:tcPr>
            <w:tcW w:w="850" w:type="dxa"/>
          </w:tcPr>
          <w:p w14:paraId="10D94899" w14:textId="232D24F4" w:rsidR="006923E2" w:rsidRPr="00CE1D7F" w:rsidRDefault="006923E2" w:rsidP="006923E2">
            <w:pPr>
              <w:pStyle w:val="Tabletext"/>
              <w:keepNext/>
              <w:keepLines/>
              <w:jc w:val="center"/>
            </w:pPr>
            <w:r w:rsidRPr="00350610">
              <w:t>High</w:t>
            </w:r>
          </w:p>
        </w:tc>
        <w:tc>
          <w:tcPr>
            <w:tcW w:w="1418" w:type="dxa"/>
          </w:tcPr>
          <w:p w14:paraId="7AC2DB56" w14:textId="7E3B7F4B" w:rsidR="006923E2" w:rsidRPr="00CE1D7F" w:rsidRDefault="006923E2" w:rsidP="006923E2">
            <w:pPr>
              <w:pStyle w:val="Tabletext"/>
              <w:keepNext/>
              <w:keepLines/>
              <w:jc w:val="center"/>
            </w:pPr>
            <w:r>
              <w:rPr>
                <w:noProof/>
              </w:rPr>
              <w:t>Low</w:t>
            </w:r>
          </w:p>
        </w:tc>
        <w:tc>
          <w:tcPr>
            <w:tcW w:w="1273" w:type="dxa"/>
          </w:tcPr>
          <w:p w14:paraId="20657691" w14:textId="7DAF6AC2" w:rsidR="006923E2" w:rsidRPr="00CE1D7F" w:rsidRDefault="006923E2" w:rsidP="006923E2">
            <w:pPr>
              <w:pStyle w:val="Tabletext"/>
              <w:keepNext/>
              <w:keepLines/>
              <w:jc w:val="center"/>
            </w:pPr>
            <w:r w:rsidRPr="00FA422B">
              <w:t>High</w:t>
            </w:r>
          </w:p>
        </w:tc>
      </w:tr>
      <w:tr w:rsidR="006923E2" w:rsidRPr="00CE1D7F" w14:paraId="6AD8543B" w14:textId="77777777" w:rsidTr="006923E2">
        <w:tc>
          <w:tcPr>
            <w:tcW w:w="2410" w:type="dxa"/>
            <w:tcMar>
              <w:left w:w="80" w:type="dxa"/>
            </w:tcMar>
          </w:tcPr>
          <w:p w14:paraId="792E121B" w14:textId="77777777" w:rsidR="006923E2" w:rsidRPr="00CE1D7F" w:rsidRDefault="006923E2" w:rsidP="006923E2">
            <w:pPr>
              <w:pStyle w:val="Tabletext"/>
              <w:keepNext/>
              <w:keepLines/>
              <w:rPr>
                <w:i/>
                <w:iCs/>
              </w:rPr>
            </w:pPr>
            <w:r w:rsidRPr="00CE1D7F">
              <w:rPr>
                <w:i/>
                <w:iCs/>
              </w:rPr>
              <w:t>Quantum Computation and Communication Technology</w:t>
            </w:r>
          </w:p>
        </w:tc>
        <w:tc>
          <w:tcPr>
            <w:tcW w:w="1134" w:type="dxa"/>
          </w:tcPr>
          <w:p w14:paraId="777996E8" w14:textId="11973123" w:rsidR="006923E2" w:rsidRPr="00CE1D7F" w:rsidRDefault="006923E2" w:rsidP="006923E2">
            <w:pPr>
              <w:pStyle w:val="Tabletext"/>
              <w:keepNext/>
              <w:keepLines/>
              <w:jc w:val="center"/>
            </w:pPr>
            <w:r w:rsidRPr="00A81613">
              <w:t>High</w:t>
            </w:r>
          </w:p>
        </w:tc>
        <w:tc>
          <w:tcPr>
            <w:tcW w:w="851" w:type="dxa"/>
          </w:tcPr>
          <w:p w14:paraId="0E9F414A" w14:textId="789D70B5" w:rsidR="006923E2" w:rsidRPr="00CE1D7F" w:rsidRDefault="006923E2" w:rsidP="006923E2">
            <w:pPr>
              <w:pStyle w:val="Tabletext"/>
              <w:keepNext/>
              <w:keepLines/>
              <w:jc w:val="center"/>
            </w:pPr>
            <w:r>
              <w:rPr>
                <w:noProof/>
              </w:rPr>
              <w:t>Medium</w:t>
            </w:r>
          </w:p>
        </w:tc>
        <w:tc>
          <w:tcPr>
            <w:tcW w:w="850" w:type="dxa"/>
          </w:tcPr>
          <w:p w14:paraId="0E9862DE" w14:textId="6F2C320D" w:rsidR="006923E2" w:rsidRPr="00CE1D7F" w:rsidRDefault="006923E2" w:rsidP="006923E2">
            <w:pPr>
              <w:pStyle w:val="Tabletext"/>
              <w:keepNext/>
              <w:keepLines/>
              <w:jc w:val="center"/>
            </w:pPr>
            <w:r>
              <w:rPr>
                <w:noProof/>
              </w:rPr>
              <w:t>Low</w:t>
            </w:r>
          </w:p>
        </w:tc>
        <w:tc>
          <w:tcPr>
            <w:tcW w:w="1418" w:type="dxa"/>
          </w:tcPr>
          <w:p w14:paraId="07158DDB" w14:textId="31A444B2" w:rsidR="006923E2" w:rsidRPr="00CE1D7F" w:rsidRDefault="006923E2" w:rsidP="006923E2">
            <w:pPr>
              <w:pStyle w:val="Tabletext"/>
              <w:keepNext/>
              <w:keepLines/>
              <w:jc w:val="center"/>
            </w:pPr>
            <w:r>
              <w:rPr>
                <w:noProof/>
              </w:rPr>
              <w:t>Medium</w:t>
            </w:r>
          </w:p>
        </w:tc>
        <w:tc>
          <w:tcPr>
            <w:tcW w:w="1273" w:type="dxa"/>
          </w:tcPr>
          <w:p w14:paraId="60EFCEAB" w14:textId="4D9F8D8F" w:rsidR="006923E2" w:rsidRPr="00CE1D7F" w:rsidRDefault="006923E2" w:rsidP="006923E2">
            <w:pPr>
              <w:pStyle w:val="Tabletext"/>
              <w:keepNext/>
              <w:keepLines/>
              <w:jc w:val="center"/>
            </w:pPr>
            <w:r w:rsidRPr="00FA422B">
              <w:t>High</w:t>
            </w:r>
          </w:p>
        </w:tc>
      </w:tr>
      <w:tr w:rsidR="006923E2" w:rsidRPr="00CE1D7F" w14:paraId="44D80A84" w14:textId="77777777" w:rsidTr="006923E2">
        <w:tc>
          <w:tcPr>
            <w:tcW w:w="2410" w:type="dxa"/>
            <w:tcMar>
              <w:left w:w="80" w:type="dxa"/>
            </w:tcMar>
          </w:tcPr>
          <w:p w14:paraId="08243AAC" w14:textId="77777777" w:rsidR="006923E2" w:rsidRPr="00CE1D7F" w:rsidRDefault="006923E2" w:rsidP="006923E2">
            <w:pPr>
              <w:pStyle w:val="Tabletext"/>
              <w:keepNext/>
              <w:keepLines/>
              <w:rPr>
                <w:i/>
                <w:iCs/>
              </w:rPr>
            </w:pPr>
            <w:r w:rsidRPr="00CE1D7F">
              <w:rPr>
                <w:i/>
                <w:iCs/>
              </w:rPr>
              <w:t>Aquifer Reinjection</w:t>
            </w:r>
          </w:p>
        </w:tc>
        <w:tc>
          <w:tcPr>
            <w:tcW w:w="1134" w:type="dxa"/>
          </w:tcPr>
          <w:p w14:paraId="70EB86DD" w14:textId="7044BB84" w:rsidR="006923E2" w:rsidRPr="00CE1D7F" w:rsidRDefault="006923E2" w:rsidP="006923E2">
            <w:pPr>
              <w:pStyle w:val="Tabletext"/>
              <w:keepNext/>
              <w:keepLines/>
              <w:jc w:val="center"/>
            </w:pPr>
            <w:r w:rsidRPr="00A81613">
              <w:t>High</w:t>
            </w:r>
          </w:p>
        </w:tc>
        <w:tc>
          <w:tcPr>
            <w:tcW w:w="851" w:type="dxa"/>
          </w:tcPr>
          <w:p w14:paraId="16A1B6D6" w14:textId="0C405570" w:rsidR="006923E2" w:rsidRPr="00CE1D7F" w:rsidRDefault="006923E2" w:rsidP="006923E2">
            <w:pPr>
              <w:pStyle w:val="Tabletext"/>
              <w:keepNext/>
              <w:keepLines/>
              <w:jc w:val="center"/>
            </w:pPr>
            <w:r w:rsidRPr="00A84284">
              <w:t>High</w:t>
            </w:r>
          </w:p>
        </w:tc>
        <w:tc>
          <w:tcPr>
            <w:tcW w:w="850" w:type="dxa"/>
          </w:tcPr>
          <w:p w14:paraId="54EFEE9B" w14:textId="7DEB5460" w:rsidR="006923E2" w:rsidRPr="00CE1D7F" w:rsidRDefault="006923E2" w:rsidP="006923E2">
            <w:pPr>
              <w:pStyle w:val="Tabletext"/>
              <w:keepNext/>
              <w:keepLines/>
              <w:jc w:val="center"/>
            </w:pPr>
            <w:r>
              <w:rPr>
                <w:noProof/>
              </w:rPr>
              <w:t>Low</w:t>
            </w:r>
          </w:p>
        </w:tc>
        <w:tc>
          <w:tcPr>
            <w:tcW w:w="1418" w:type="dxa"/>
          </w:tcPr>
          <w:p w14:paraId="13A1995C" w14:textId="13407C1E" w:rsidR="006923E2" w:rsidRPr="00CE1D7F" w:rsidRDefault="006923E2" w:rsidP="006923E2">
            <w:pPr>
              <w:pStyle w:val="Tabletext"/>
              <w:keepNext/>
              <w:keepLines/>
              <w:jc w:val="center"/>
            </w:pPr>
            <w:r>
              <w:t>High</w:t>
            </w:r>
          </w:p>
        </w:tc>
        <w:tc>
          <w:tcPr>
            <w:tcW w:w="1273" w:type="dxa"/>
          </w:tcPr>
          <w:p w14:paraId="39852B39" w14:textId="7D06952A" w:rsidR="006923E2" w:rsidRPr="00CE1D7F" w:rsidRDefault="006923E2" w:rsidP="006923E2">
            <w:pPr>
              <w:pStyle w:val="Tabletext"/>
              <w:keepNext/>
              <w:keepLines/>
              <w:jc w:val="center"/>
            </w:pPr>
            <w:r w:rsidRPr="00FA422B">
              <w:t>High</w:t>
            </w:r>
          </w:p>
        </w:tc>
      </w:tr>
      <w:tr w:rsidR="006923E2" w:rsidRPr="00CE1D7F" w14:paraId="1F755DB0" w14:textId="77777777" w:rsidTr="006923E2">
        <w:tc>
          <w:tcPr>
            <w:tcW w:w="2410" w:type="dxa"/>
            <w:tcMar>
              <w:left w:w="80" w:type="dxa"/>
            </w:tcMar>
          </w:tcPr>
          <w:p w14:paraId="2F183781" w14:textId="77777777" w:rsidR="006923E2" w:rsidRPr="00CE1D7F" w:rsidRDefault="006923E2" w:rsidP="006923E2">
            <w:pPr>
              <w:pStyle w:val="Tabletext"/>
              <w:keepNext/>
              <w:keepLines/>
              <w:rPr>
                <w:i/>
                <w:iCs/>
              </w:rPr>
            </w:pPr>
            <w:r w:rsidRPr="00CE1D7F">
              <w:rPr>
                <w:i/>
                <w:iCs/>
              </w:rPr>
              <w:t xml:space="preserve">RRR: Indigenous Remains Repatriation </w:t>
            </w:r>
          </w:p>
        </w:tc>
        <w:tc>
          <w:tcPr>
            <w:tcW w:w="1134" w:type="dxa"/>
          </w:tcPr>
          <w:p w14:paraId="4F1629A0" w14:textId="2E128FAD" w:rsidR="006923E2" w:rsidRPr="00CE1D7F" w:rsidRDefault="006923E2" w:rsidP="006923E2">
            <w:pPr>
              <w:pStyle w:val="Tabletext"/>
              <w:keepNext/>
              <w:keepLines/>
              <w:jc w:val="center"/>
            </w:pPr>
            <w:r>
              <w:rPr>
                <w:noProof/>
              </w:rPr>
              <w:t>Low</w:t>
            </w:r>
          </w:p>
        </w:tc>
        <w:tc>
          <w:tcPr>
            <w:tcW w:w="851" w:type="dxa"/>
          </w:tcPr>
          <w:p w14:paraId="2047D032" w14:textId="1B1A60D6" w:rsidR="006923E2" w:rsidRPr="00CE1D7F" w:rsidRDefault="006923E2" w:rsidP="006923E2">
            <w:pPr>
              <w:pStyle w:val="Tabletext"/>
              <w:keepNext/>
              <w:keepLines/>
              <w:jc w:val="center"/>
            </w:pPr>
            <w:r w:rsidRPr="00A84284">
              <w:t>High</w:t>
            </w:r>
          </w:p>
        </w:tc>
        <w:tc>
          <w:tcPr>
            <w:tcW w:w="850" w:type="dxa"/>
          </w:tcPr>
          <w:p w14:paraId="7E0AC54F" w14:textId="03EC0A2A" w:rsidR="006923E2" w:rsidRPr="00CE1D7F" w:rsidRDefault="006923E2" w:rsidP="006923E2">
            <w:pPr>
              <w:pStyle w:val="Tabletext"/>
              <w:keepNext/>
              <w:keepLines/>
              <w:jc w:val="center"/>
            </w:pPr>
            <w:r>
              <w:t>High</w:t>
            </w:r>
          </w:p>
        </w:tc>
        <w:tc>
          <w:tcPr>
            <w:tcW w:w="1418" w:type="dxa"/>
          </w:tcPr>
          <w:p w14:paraId="7E405BE9" w14:textId="25B985D4" w:rsidR="006923E2" w:rsidRPr="00CE1D7F" w:rsidRDefault="006923E2" w:rsidP="006923E2">
            <w:pPr>
              <w:pStyle w:val="Tabletext"/>
              <w:keepNext/>
              <w:keepLines/>
              <w:jc w:val="center"/>
            </w:pPr>
            <w:r>
              <w:rPr>
                <w:noProof/>
              </w:rPr>
              <w:t>Low</w:t>
            </w:r>
          </w:p>
        </w:tc>
        <w:tc>
          <w:tcPr>
            <w:tcW w:w="1273" w:type="dxa"/>
          </w:tcPr>
          <w:p w14:paraId="0612EF5C" w14:textId="466847E5" w:rsidR="006923E2" w:rsidRPr="00CE1D7F" w:rsidRDefault="006923E2" w:rsidP="006923E2">
            <w:pPr>
              <w:pStyle w:val="Tabletext"/>
              <w:keepNext/>
              <w:keepLines/>
              <w:jc w:val="center"/>
            </w:pPr>
            <w:r>
              <w:rPr>
                <w:noProof/>
              </w:rPr>
              <w:t>Medium</w:t>
            </w:r>
          </w:p>
        </w:tc>
      </w:tr>
      <w:tr w:rsidR="006923E2" w:rsidRPr="00CE1D7F" w14:paraId="238DD2EE" w14:textId="77777777" w:rsidTr="006923E2">
        <w:tc>
          <w:tcPr>
            <w:tcW w:w="2410" w:type="dxa"/>
            <w:tcMar>
              <w:left w:w="80" w:type="dxa"/>
            </w:tcMar>
          </w:tcPr>
          <w:p w14:paraId="7497E46D" w14:textId="77777777" w:rsidR="006923E2" w:rsidRPr="00CE1D7F" w:rsidRDefault="006923E2" w:rsidP="006923E2">
            <w:pPr>
              <w:pStyle w:val="Tabletext"/>
              <w:keepNext/>
              <w:keepLines/>
              <w:rPr>
                <w:i/>
                <w:iCs/>
              </w:rPr>
            </w:pPr>
            <w:r w:rsidRPr="00CE1D7F">
              <w:rPr>
                <w:i/>
                <w:iCs/>
              </w:rPr>
              <w:t>Onshore Lobster Aquaculture</w:t>
            </w:r>
          </w:p>
        </w:tc>
        <w:tc>
          <w:tcPr>
            <w:tcW w:w="1134" w:type="dxa"/>
          </w:tcPr>
          <w:p w14:paraId="02233259" w14:textId="7C7BE49F" w:rsidR="006923E2" w:rsidRPr="00CE1D7F" w:rsidRDefault="006923E2" w:rsidP="006923E2">
            <w:pPr>
              <w:pStyle w:val="Tabletext"/>
              <w:keepNext/>
              <w:keepLines/>
              <w:jc w:val="center"/>
            </w:pPr>
            <w:r>
              <w:t>High</w:t>
            </w:r>
          </w:p>
        </w:tc>
        <w:tc>
          <w:tcPr>
            <w:tcW w:w="851" w:type="dxa"/>
          </w:tcPr>
          <w:p w14:paraId="1B4F207B" w14:textId="46CCCE9C" w:rsidR="006923E2" w:rsidRPr="00CE1D7F" w:rsidRDefault="006923E2" w:rsidP="006923E2">
            <w:pPr>
              <w:pStyle w:val="Tabletext"/>
              <w:keepNext/>
              <w:keepLines/>
              <w:jc w:val="center"/>
            </w:pPr>
            <w:r>
              <w:rPr>
                <w:noProof/>
              </w:rPr>
              <w:t>Low</w:t>
            </w:r>
          </w:p>
        </w:tc>
        <w:tc>
          <w:tcPr>
            <w:tcW w:w="850" w:type="dxa"/>
          </w:tcPr>
          <w:p w14:paraId="459DBF3D" w14:textId="29C2104C" w:rsidR="006923E2" w:rsidRPr="00CE1D7F" w:rsidRDefault="006923E2" w:rsidP="006923E2">
            <w:pPr>
              <w:pStyle w:val="Tabletext"/>
              <w:keepNext/>
              <w:keepLines/>
              <w:jc w:val="center"/>
            </w:pPr>
            <w:r>
              <w:rPr>
                <w:noProof/>
              </w:rPr>
              <w:t>Low</w:t>
            </w:r>
          </w:p>
        </w:tc>
        <w:tc>
          <w:tcPr>
            <w:tcW w:w="1418" w:type="dxa"/>
          </w:tcPr>
          <w:p w14:paraId="4FBE6C9D" w14:textId="3F5B8C2B" w:rsidR="006923E2" w:rsidRPr="00CE1D7F" w:rsidRDefault="006923E2" w:rsidP="006923E2">
            <w:pPr>
              <w:pStyle w:val="Tabletext"/>
              <w:keepNext/>
              <w:keepLines/>
              <w:jc w:val="center"/>
            </w:pPr>
            <w:r w:rsidRPr="00655431">
              <w:t>High</w:t>
            </w:r>
          </w:p>
        </w:tc>
        <w:tc>
          <w:tcPr>
            <w:tcW w:w="1273" w:type="dxa"/>
          </w:tcPr>
          <w:p w14:paraId="57599AA0" w14:textId="361D33AD" w:rsidR="006923E2" w:rsidRPr="00CE1D7F" w:rsidRDefault="006923E2" w:rsidP="006923E2">
            <w:pPr>
              <w:pStyle w:val="Tabletext"/>
              <w:keepNext/>
              <w:keepLines/>
              <w:jc w:val="center"/>
            </w:pPr>
            <w:r w:rsidRPr="00655431">
              <w:t>High</w:t>
            </w:r>
          </w:p>
        </w:tc>
      </w:tr>
    </w:tbl>
    <w:p w14:paraId="29292AFB" w14:textId="7CAFE930" w:rsidR="000B0AC7" w:rsidRPr="00CE1D7F" w:rsidRDefault="000B0AC7" w:rsidP="000B0AC7">
      <w:pPr>
        <w:pStyle w:val="Source"/>
        <w:keepLines/>
        <w:spacing w:before="0"/>
        <w:rPr>
          <w:i w:val="0"/>
          <w:iCs/>
        </w:rPr>
      </w:pPr>
      <w:r w:rsidRPr="00CE1D7F">
        <w:rPr>
          <w:i w:val="0"/>
          <w:iCs/>
        </w:rPr>
        <w:t xml:space="preserve">Note that the Irrigation Automation case study is not included as </w:t>
      </w:r>
      <w:r w:rsidRPr="00FA1897">
        <w:rPr>
          <w:i w:val="0"/>
          <w:iCs/>
        </w:rPr>
        <w:t>the level of attribution</w:t>
      </w:r>
      <w:r>
        <w:rPr>
          <w:i w:val="0"/>
          <w:iCs/>
        </w:rPr>
        <w:t xml:space="preserve"> of benefits to the ARC</w:t>
      </w:r>
      <w:r w:rsidRPr="00FA1897">
        <w:rPr>
          <w:i w:val="0"/>
          <w:iCs/>
        </w:rPr>
        <w:t xml:space="preserve"> could not be reported due to commercial sensitivities</w:t>
      </w:r>
      <w:r w:rsidRPr="00CE1D7F">
        <w:rPr>
          <w:i w:val="0"/>
          <w:iCs/>
        </w:rPr>
        <w:t>. See case study in Part II for further information.</w:t>
      </w:r>
    </w:p>
    <w:p w14:paraId="2B629775" w14:textId="77777777" w:rsidR="000B0AC7" w:rsidRPr="00CE1D7F" w:rsidRDefault="000B0AC7" w:rsidP="000B0AC7">
      <w:pPr>
        <w:pStyle w:val="Source"/>
        <w:keepLines/>
      </w:pPr>
      <w:r w:rsidRPr="00CE1D7F">
        <w:t xml:space="preserve">Source: ACIL Allen analysis </w:t>
      </w:r>
    </w:p>
    <w:p w14:paraId="005926CB" w14:textId="77777777" w:rsidR="000B0AC7" w:rsidRPr="00CE1D7F" w:rsidRDefault="000B0AC7" w:rsidP="000B0AC7">
      <w:pPr>
        <w:pStyle w:val="spacer"/>
      </w:pPr>
    </w:p>
    <w:p w14:paraId="1E2351FB" w14:textId="38D8048F" w:rsidR="002B32A0" w:rsidRPr="00CE1D7F" w:rsidRDefault="002B32A0" w:rsidP="002B32A0">
      <w:pPr>
        <w:pStyle w:val="BodyText"/>
        <w:rPr>
          <w:lang w:eastAsia="en-AU"/>
        </w:rPr>
      </w:pPr>
      <w:r w:rsidRPr="00CE1D7F">
        <w:t>If fun</w:t>
      </w:r>
      <w:r w:rsidRPr="00CE1D7F">
        <w:rPr>
          <w:noProof/>
        </w:rPr>
        <mc:AlternateContent>
          <mc:Choice Requires="wps">
            <w:drawing>
              <wp:anchor distT="0" distB="0" distL="114300" distR="114300" simplePos="0" relativeHeight="251670528" behindDoc="0" locked="1" layoutInCell="1" allowOverlap="1" wp14:anchorId="2371CDE5" wp14:editId="5FF492DF">
                <wp:simplePos x="0" y="0"/>
                <wp:positionH relativeFrom="page">
                  <wp:posOffset>441325</wp:posOffset>
                </wp:positionH>
                <wp:positionV relativeFrom="paragraph">
                  <wp:posOffset>-5080</wp:posOffset>
                </wp:positionV>
                <wp:extent cx="1289050" cy="732790"/>
                <wp:effectExtent l="0" t="0" r="0" b="0"/>
                <wp:wrapNone/>
                <wp:docPr id="530" name="Text Box 5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289050" cy="7327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8C188CF" w14:textId="77777777" w:rsidR="002B32A0" w:rsidRPr="00537EDE" w:rsidRDefault="002B32A0" w:rsidP="002B32A0">
                            <w:pPr>
                              <w:pStyle w:val="SideNoteRegularRight"/>
                              <w:jc w:val="left"/>
                            </w:pPr>
                            <w:r w:rsidRPr="00537EDE">
                              <w:t>KEQ 6. How would the level and nature of the economic, environmental, social and other impacts delivered through Australian research be affected if the level of funding administered through the NCGP were to change?</w:t>
                            </w:r>
                          </w:p>
                        </w:txbxContent>
                      </wps:txbx>
                      <wps:bodyPr rot="0" spcFirstLastPara="0" vertOverflow="overflow" horzOverflow="overflow" vert="horz" wrap="square" lIns="0" tIns="0" rIns="76200" bIns="762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371CDE5" id="Text Box 530" o:spid="_x0000_s1037" type="#_x0000_t202" alt="&quot;&quot;" style="position:absolute;margin-left:34.75pt;margin-top:-.4pt;width:101.5pt;height:57.7pt;z-index:251670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" filled="f" stroked="f" strokeweight=".5pt">
                <v:textbox style="mso-fit-shape-to-text:t" inset="0,0,6pt,6pt">
                  <w:txbxContent>
                    <w:p w14:paraId="68C188CF" w14:textId="77777777" w:rsidR="002B32A0" w:rsidRPr="00537EDE" w:rsidRDefault="002B32A0" w:rsidP="002B32A0">
                      <w:pPr>
                        <w:pStyle w:val="SideNoteRegularRight"/>
                        <w:jc w:val="left"/>
                      </w:pPr>
                      <w:r w:rsidRPr="00537EDE">
                        <w:t>KEQ 6. How would the level and nature of the economic, environmental, social and other impacts delivered through Australian research be affected if the level of funding administered through the NCGP were to change?</w:t>
                      </w:r>
                    </w:p>
                  </w:txbxContent>
                </v:textbox>
                <w10:wrap anchorx="page"/>
                <w10:anchorlock/>
              </v:shape>
            </w:pict>
          </mc:Fallback>
        </mc:AlternateContent>
      </w:r>
      <w:r w:rsidRPr="00CE1D7F">
        <w:t xml:space="preserve">ding </w:t>
      </w:r>
      <w:r w:rsidRPr="00CE1D7F">
        <w:rPr>
          <w:i/>
          <w:iCs/>
        </w:rPr>
        <w:t>decreased or was removed</w:t>
      </w:r>
      <w:r w:rsidRPr="00CE1D7F">
        <w:t xml:space="preserve">, domestic </w:t>
      </w:r>
      <w:r w:rsidRPr="00CE1D7F">
        <w:rPr>
          <w:lang w:eastAsia="en-AU"/>
        </w:rPr>
        <w:t xml:space="preserve">stakeholders </w:t>
      </w:r>
      <w:r w:rsidRPr="00CE1D7F">
        <w:t xml:space="preserve">considered that the capacity of Australian research to support economic, environmental, social and other impacts would depend on the extent to which other funding sources filled the gap. </w:t>
      </w:r>
      <w:r w:rsidRPr="00CE1D7F">
        <w:rPr>
          <w:lang w:eastAsia="en-AU"/>
        </w:rPr>
        <w:t xml:space="preserve">Some research would likely not be funded at all, and thus the consequent impacts would not be delivered, and other research would be funded through different sources, thus allowing some impacts to emerge (see </w:t>
      </w:r>
      <w:r>
        <w:rPr>
          <w:lang w:eastAsia="en-AU"/>
        </w:rPr>
        <w:t>section </w:t>
      </w:r>
      <w:r w:rsidRPr="00F87D0E">
        <w:fldChar w:fldCharType="begin"/>
      </w:r>
      <w:r w:rsidRPr="00F87D0E">
        <w:instrText xml:space="preserve"> REF _Ref129853024 \r \h  \* MERGEFORMAT </w:instrText>
      </w:r>
      <w:r w:rsidRPr="00F87D0E">
        <w:fldChar w:fldCharType="separate"/>
      </w:r>
      <w:r w:rsidR="000B0AC7">
        <w:t>4.1.2</w:t>
      </w:r>
      <w:r w:rsidRPr="00F87D0E">
        <w:fldChar w:fldCharType="end"/>
      </w:r>
      <w:r w:rsidRPr="00CE1D7F">
        <w:rPr>
          <w:lang w:eastAsia="en-AU"/>
        </w:rPr>
        <w:t xml:space="preserve">). </w:t>
      </w:r>
    </w:p>
    <w:p w14:paraId="4C0CCF91" w14:textId="2FDBD853" w:rsidR="002B32A0" w:rsidRPr="00CE1D7F" w:rsidRDefault="002B32A0" w:rsidP="002B32A0">
      <w:pPr>
        <w:pStyle w:val="BodyText"/>
      </w:pPr>
      <w:r w:rsidRPr="00CE1D7F">
        <w:rPr>
          <w:lang w:eastAsia="en-AU"/>
        </w:rPr>
        <w:t xml:space="preserve">This is supported by the survey results, which show that </w:t>
      </w:r>
      <w:r w:rsidRPr="00CE1D7F">
        <w:t xml:space="preserve">25% of respondents would not have been able to access funding other than that from ARC (see </w:t>
      </w:r>
      <w:r w:rsidRPr="00F87D0E">
        <w:fldChar w:fldCharType="begin"/>
      </w:r>
      <w:r w:rsidRPr="00F87D0E">
        <w:instrText xml:space="preserve"> REF _Ref129852788 \h  \* MERGEFORMAT </w:instrText>
      </w:r>
      <w:r w:rsidRPr="00F87D0E">
        <w:fldChar w:fldCharType="separate"/>
      </w:r>
      <w:r w:rsidR="000B0AC7" w:rsidRPr="000B0AC7">
        <w:t>Figure 4.6</w:t>
      </w:r>
      <w:r w:rsidRPr="00F87D0E">
        <w:fldChar w:fldCharType="end"/>
      </w:r>
      <w:r w:rsidRPr="00CE1D7F">
        <w:t>). Respondents reported that they would have had access to some (38%) to all (14%) of the required funding from other sources.</w:t>
      </w:r>
    </w:p>
    <w:p w14:paraId="7244E4DC" w14:textId="13D84125" w:rsidR="000B0AC7" w:rsidRPr="00CE1D7F" w:rsidRDefault="000B0AC7" w:rsidP="000B0AC7">
      <w:pPr>
        <w:pStyle w:val="Caption"/>
        <w:ind w:left="1308" w:hanging="1308"/>
      </w:pPr>
      <w:bookmarkStart w:id="188" w:name="_Ref129852788"/>
      <w:r w:rsidRPr="00CE1D7F">
        <w:rPr>
          <w:rStyle w:val="CaptionLabel"/>
        </w:rPr>
        <w:lastRenderedPageBreak/>
        <w:t>Figure </w:t>
      </w:r>
      <w:r w:rsidRPr="00CE1D7F">
        <w:rPr>
          <w:rStyle w:val="CaptionLabel"/>
        </w:rPr>
        <w:fldChar w:fldCharType="begin"/>
      </w:r>
      <w:r w:rsidRPr="00CE1D7F">
        <w:rPr>
          <w:rStyle w:val="CaptionLabel"/>
        </w:rPr>
        <w:instrText xml:space="preserve"> STYLEREF 1 \s </w:instrText>
      </w:r>
      <w:r w:rsidRPr="00CE1D7F">
        <w:rPr>
          <w:rStyle w:val="CaptionLabel"/>
        </w:rPr>
        <w:fldChar w:fldCharType="separate"/>
      </w:r>
      <w:r>
        <w:rPr>
          <w:rStyle w:val="CaptionLabel"/>
          <w:noProof/>
        </w:rPr>
        <w:t>4</w:t>
      </w:r>
      <w:r w:rsidRPr="00CE1D7F">
        <w:rPr>
          <w:rStyle w:val="CaptionLabel"/>
        </w:rPr>
        <w:fldChar w:fldCharType="end"/>
      </w:r>
      <w:r w:rsidRPr="00CE1D7F">
        <w:rPr>
          <w:rStyle w:val="CaptionLabel"/>
        </w:rPr>
        <w:t>.</w:t>
      </w:r>
      <w:r w:rsidRPr="00CE1D7F">
        <w:rPr>
          <w:rStyle w:val="CaptionLabel"/>
        </w:rPr>
        <w:fldChar w:fldCharType="begin"/>
      </w:r>
      <w:r w:rsidRPr="00CE1D7F">
        <w:rPr>
          <w:rStyle w:val="CaptionLabel"/>
        </w:rPr>
        <w:instrText xml:space="preserve"> SEQ Figure \* ARABIC \s 1 </w:instrText>
      </w:r>
      <w:r w:rsidRPr="00CE1D7F">
        <w:rPr>
          <w:rStyle w:val="CaptionLabel"/>
        </w:rPr>
        <w:fldChar w:fldCharType="separate"/>
      </w:r>
      <w:r>
        <w:rPr>
          <w:rStyle w:val="CaptionLabel"/>
          <w:noProof/>
        </w:rPr>
        <w:t>6</w:t>
      </w:r>
      <w:r w:rsidRPr="00CE1D7F">
        <w:rPr>
          <w:rStyle w:val="CaptionLabel"/>
        </w:rPr>
        <w:fldChar w:fldCharType="end"/>
      </w:r>
      <w:bookmarkEnd w:id="188"/>
      <w:r w:rsidRPr="00CE1D7F">
        <w:tab/>
        <w:t>Survey results on the likelihood of respondents’ access to other funding sources</w:t>
      </w:r>
    </w:p>
    <w:tbl>
      <w:tblPr>
        <w:tblW w:w="7937" w:type="dxa"/>
        <w:tblLayout w:type="fixed"/>
        <w:tblLook w:val="0000" w:firstRow="0" w:lastRow="0" w:firstColumn="0" w:lastColumn="0" w:noHBand="0" w:noVBand="0"/>
      </w:tblPr>
      <w:tblGrid>
        <w:gridCol w:w="7937"/>
      </w:tblGrid>
      <w:tr w:rsidR="002B32A0" w:rsidRPr="00CE1D7F" w14:paraId="68D335DC" w14:textId="77777777" w:rsidTr="006258ED">
        <w:tc>
          <w:tcPr>
            <w:tcW w:w="7937" w:type="dxa"/>
            <w:tcBorders>
              <w:top w:val="single" w:sz="4" w:space="0" w:color="000100"/>
            </w:tcBorders>
            <w:shd w:val="clear" w:color="auto" w:fill="auto"/>
          </w:tcPr>
          <w:p w14:paraId="1922D85D" w14:textId="77777777" w:rsidR="002B32A0" w:rsidRPr="00CE1D7F" w:rsidRDefault="002B32A0" w:rsidP="006258ED">
            <w:pPr>
              <w:pStyle w:val="Figure"/>
            </w:pPr>
            <w:r w:rsidRPr="00CE1D7F">
              <w:rPr>
                <w:noProof/>
              </w:rPr>
              <w:drawing>
                <wp:inline distT="0" distB="0" distL="0" distR="0" wp14:anchorId="44B35632" wp14:editId="4DD368D6">
                  <wp:extent cx="4899660" cy="2029359"/>
                  <wp:effectExtent l="0" t="0" r="0" b="9525"/>
                  <wp:docPr id="216" name="Picture 216" descr="Survey results on the likelihood of respondents’ access to other funding sources, see description in text abov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Picture 216" descr="Survey results on the likelihood of respondents’ access to other funding sources, see description in text above figure."/>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a:stretch/>
                        </pic:blipFill>
                        <pic:spPr bwMode="auto">
                          <a:xfrm>
                            <a:off x="0" y="0"/>
                            <a:ext cx="4899660" cy="202935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B32A0" w:rsidRPr="00CE1D7F" w14:paraId="7EA553E3" w14:textId="77777777" w:rsidTr="006258ED">
        <w:tblPrEx>
          <w:tblCellMar>
            <w:left w:w="0" w:type="dxa"/>
            <w:right w:w="0" w:type="dxa"/>
          </w:tblCellMar>
        </w:tblPrEx>
        <w:trPr>
          <w:trHeight w:val="137"/>
        </w:trPr>
        <w:tc>
          <w:tcPr>
            <w:tcW w:w="7937" w:type="dxa"/>
            <w:tcBorders>
              <w:bottom w:val="single" w:sz="4" w:space="0" w:color="000100"/>
            </w:tcBorders>
            <w:shd w:val="clear" w:color="auto" w:fill="auto"/>
            <w:tcMar>
              <w:top w:w="12" w:type="dxa"/>
              <w:bottom w:w="113" w:type="dxa"/>
            </w:tcMar>
          </w:tcPr>
          <w:p w14:paraId="09C61D1B" w14:textId="77777777" w:rsidR="002B32A0" w:rsidRPr="00CE1D7F" w:rsidRDefault="002B32A0" w:rsidP="006258ED">
            <w:pPr>
              <w:pStyle w:val="Source"/>
            </w:pPr>
            <w:r w:rsidRPr="00CE1D7F">
              <w:t>N=829</w:t>
            </w:r>
          </w:p>
          <w:p w14:paraId="105742AB" w14:textId="77777777" w:rsidR="002B32A0" w:rsidRPr="00CE1D7F" w:rsidRDefault="002B32A0" w:rsidP="006258ED">
            <w:pPr>
              <w:pStyle w:val="Source"/>
            </w:pPr>
            <w:r w:rsidRPr="00CE1D7F">
              <w:t>Source: ACIL Allen survey of ARC funding recipients</w:t>
            </w:r>
          </w:p>
        </w:tc>
      </w:tr>
      <w:tr w:rsidR="002B32A0" w:rsidRPr="00CE1D7F" w14:paraId="612A2DF7" w14:textId="77777777" w:rsidTr="006258ED">
        <w:tblPrEx>
          <w:tblCellMar>
            <w:left w:w="0" w:type="dxa"/>
            <w:right w:w="0" w:type="dxa"/>
          </w:tblCellMar>
        </w:tblPrEx>
        <w:trPr>
          <w:trHeight w:hRule="exact" w:val="160"/>
        </w:trPr>
        <w:tc>
          <w:tcPr>
            <w:tcW w:w="7937" w:type="dxa"/>
            <w:tcBorders>
              <w:top w:val="single" w:sz="4" w:space="0" w:color="000100"/>
            </w:tcBorders>
            <w:shd w:val="clear" w:color="auto" w:fill="auto"/>
            <w:tcMar>
              <w:top w:w="0" w:type="dxa"/>
              <w:bottom w:w="40" w:type="dxa"/>
            </w:tcMar>
          </w:tcPr>
          <w:p w14:paraId="27902D64" w14:textId="77777777" w:rsidR="002B32A0" w:rsidRPr="00CE1D7F" w:rsidRDefault="002B32A0" w:rsidP="006258ED">
            <w:pPr>
              <w:pStyle w:val="spacer"/>
            </w:pPr>
          </w:p>
        </w:tc>
      </w:tr>
    </w:tbl>
    <w:p w14:paraId="2A32585D" w14:textId="3B7E5F47" w:rsidR="002B32A0" w:rsidRPr="00CE1D7F" w:rsidRDefault="002B32A0" w:rsidP="002B32A0">
      <w:pPr>
        <w:pStyle w:val="BodyText"/>
        <w:rPr>
          <w:lang w:eastAsia="en-AU"/>
        </w:rPr>
      </w:pPr>
      <w:r w:rsidRPr="00CE1D7F">
        <w:rPr>
          <w:lang w:eastAsia="en-AU"/>
        </w:rPr>
        <w:t xml:space="preserve">One </w:t>
      </w:r>
      <w:r w:rsidRPr="00CE1D7F">
        <w:t xml:space="preserve">domestic </w:t>
      </w:r>
      <w:r w:rsidRPr="00CE1D7F">
        <w:rPr>
          <w:lang w:eastAsia="en-AU"/>
        </w:rPr>
        <w:t xml:space="preserve">stakeholder noted that the nature of the funding source would likely guide any research funded by these sources; for example, industry may fund applied, priority-driven and near-to-market research. As such, basic research (widely considered the funding responsibility of government) may be funded to a lesser extent. This also aligns with the core purpose of government in funding public goods (see </w:t>
      </w:r>
      <w:r>
        <w:rPr>
          <w:lang w:eastAsia="en-AU"/>
        </w:rPr>
        <w:t>section </w:t>
      </w:r>
      <w:r w:rsidRPr="00F87D0E">
        <w:fldChar w:fldCharType="begin"/>
      </w:r>
      <w:r w:rsidRPr="00F87D0E">
        <w:instrText xml:space="preserve"> REF _Ref129852744 \r \h  \* MERGEFORMAT </w:instrText>
      </w:r>
      <w:r w:rsidRPr="00F87D0E">
        <w:fldChar w:fldCharType="separate"/>
      </w:r>
      <w:r w:rsidR="000B0AC7">
        <w:t>1.4</w:t>
      </w:r>
      <w:r w:rsidRPr="00F87D0E">
        <w:fldChar w:fldCharType="end"/>
      </w:r>
      <w:r w:rsidRPr="00CE1D7F">
        <w:rPr>
          <w:lang w:eastAsia="en-AU"/>
        </w:rPr>
        <w:t>).</w:t>
      </w:r>
    </w:p>
    <w:p w14:paraId="6874B662" w14:textId="77777777" w:rsidR="002B32A0" w:rsidRPr="00CE1D7F" w:rsidRDefault="002B32A0" w:rsidP="002B32A0">
      <w:pPr>
        <w:pStyle w:val="BodyText"/>
        <w:rPr>
          <w:lang w:eastAsia="en-AU"/>
        </w:rPr>
      </w:pPr>
      <w:r w:rsidRPr="00CE1D7F">
        <w:rPr>
          <w:lang w:eastAsia="en-AU"/>
        </w:rPr>
        <w:t xml:space="preserve">One </w:t>
      </w:r>
      <w:r w:rsidRPr="00CE1D7F">
        <w:t xml:space="preserve">domestic </w:t>
      </w:r>
      <w:r w:rsidRPr="00CE1D7F">
        <w:rPr>
          <w:lang w:eastAsia="en-AU"/>
        </w:rPr>
        <w:t xml:space="preserve">stakeholder highlighted the important role of ARC in enabling a connected and wholistic conversation about research in Australia. Without ARC, they considered that there would be duplication in funding and added complexity in the system. Further, capability development for later-stage researchers (funded largely though the NCGP) would be less certain without the ARC. </w:t>
      </w:r>
    </w:p>
    <w:p w14:paraId="6085BC32" w14:textId="77777777" w:rsidR="002B32A0" w:rsidRPr="00CE1D7F" w:rsidRDefault="002B32A0" w:rsidP="002B32A0">
      <w:pPr>
        <w:pStyle w:val="BodyText"/>
        <w:rPr>
          <w:lang w:eastAsia="en-AU"/>
        </w:rPr>
      </w:pPr>
      <w:r w:rsidRPr="00CE1D7F">
        <w:rPr>
          <w:lang w:eastAsia="en-AU"/>
        </w:rPr>
        <w:t xml:space="preserve">If the funding </w:t>
      </w:r>
      <w:r w:rsidRPr="00CE1D7F">
        <w:rPr>
          <w:i/>
          <w:iCs/>
          <w:lang w:eastAsia="en-AU"/>
        </w:rPr>
        <w:t>increased</w:t>
      </w:r>
      <w:r w:rsidRPr="00CE1D7F">
        <w:rPr>
          <w:lang w:eastAsia="en-AU"/>
        </w:rPr>
        <w:t xml:space="preserve">, the nature and scale of impacts would depend on funding allocation. </w:t>
      </w:r>
      <w:r w:rsidRPr="00CE1D7F">
        <w:t xml:space="preserve">Domestic </w:t>
      </w:r>
      <w:r w:rsidRPr="00CE1D7F">
        <w:rPr>
          <w:lang w:eastAsia="en-AU"/>
        </w:rPr>
        <w:t>stakeholders highlighted the value of additional funding in creating more equality in the way funding is distributed to universities (i.e. to smaller and regional universities), better connecting the research training system to boost workforce development, and funding longer-duration projects to provide greater certainty to researchers and improve the research efficiency and outcomes. However, one stakeholder noted that the relationship between funding and impacts is not linear and “impacts would not double with double the investment”.</w:t>
      </w:r>
    </w:p>
    <w:p w14:paraId="0591A7E7" w14:textId="77777777" w:rsidR="002B32A0" w:rsidRDefault="002B32A0" w:rsidP="002B32A0">
      <w:pPr>
        <w:pStyle w:val="Heading2"/>
      </w:pPr>
      <w:bookmarkStart w:id="189" w:name="_Toc129963963"/>
      <w:bookmarkStart w:id="190" w:name="_Toc131174602"/>
      <w:bookmarkStart w:id="191" w:name="_Toc132970654"/>
      <w:bookmarkStart w:id="192" w:name="_Toc135323693"/>
      <w:r w:rsidRPr="00CE1D7F">
        <w:lastRenderedPageBreak/>
        <w:t>M</w:t>
      </w:r>
      <w:r w:rsidRPr="00CE1D7F">
        <w:rPr>
          <w:noProof/>
        </w:rPr>
        <mc:AlternateContent>
          <mc:Choice Requires="wps">
            <w:drawing>
              <wp:anchor distT="0" distB="0" distL="114300" distR="114300" simplePos="0" relativeHeight="251661312" behindDoc="0" locked="1" layoutInCell="1" allowOverlap="1" wp14:anchorId="756EF152" wp14:editId="368A293E">
                <wp:simplePos x="0" y="0"/>
                <wp:positionH relativeFrom="page">
                  <wp:posOffset>333375</wp:posOffset>
                </wp:positionH>
                <wp:positionV relativeFrom="paragraph">
                  <wp:posOffset>125095</wp:posOffset>
                </wp:positionV>
                <wp:extent cx="1289050" cy="732790"/>
                <wp:effectExtent l="0" t="0" r="0" b="0"/>
                <wp:wrapNone/>
                <wp:docPr id="548" name="Text Box 5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289050" cy="7327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928DD24" w14:textId="77777777" w:rsidR="002B32A0" w:rsidRPr="0083288F" w:rsidRDefault="002B32A0" w:rsidP="002B32A0">
                            <w:pPr>
                              <w:pStyle w:val="SideNoteRegularRight"/>
                              <w:jc w:val="left"/>
                            </w:pPr>
                            <w:r w:rsidRPr="0083288F">
                              <w:t>KEQ 8. What improvements, if any, could be made to the data and/or data collection methodologies the ARC uses to assess the outcomes and impacts of NCGP-funded research? What data points/metrics could the ARC collect to better inform future impact assessment work?</w:t>
                            </w:r>
                          </w:p>
                        </w:txbxContent>
                      </wps:txbx>
                      <wps:bodyPr rot="0" spcFirstLastPara="0" vertOverflow="overflow" horzOverflow="overflow" vert="horz" wrap="square" lIns="0" tIns="0" rIns="76200" bIns="762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56EF152" id="Text Box 548" o:spid="_x0000_s1038" type="#_x0000_t202" alt="&quot;&quot;" style="position:absolute;left:0;text-align:left;margin-left:26.25pt;margin-top:9.85pt;width:101.5pt;height:57.7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" filled="f" stroked="f" strokeweight=".5pt">
                <v:textbox style="mso-fit-shape-to-text:t" inset="0,0,6pt,6pt">
                  <w:txbxContent>
                    <w:p w14:paraId="1928DD24" w14:textId="77777777" w:rsidR="002B32A0" w:rsidRPr="0083288F" w:rsidRDefault="002B32A0" w:rsidP="002B32A0">
                      <w:pPr>
                        <w:pStyle w:val="SideNoteRegularRight"/>
                        <w:jc w:val="left"/>
                      </w:pPr>
                      <w:r w:rsidRPr="0083288F">
                        <w:t>KEQ 8. What improvements, if any, could be made to the data and/or data collection methodologies the ARC uses to assess the outcomes and impacts of NCGP-funded research? What data points/metrics could the ARC collect to better inform future impact assessment work?</w:t>
                      </w:r>
                    </w:p>
                  </w:txbxContent>
                </v:textbox>
                <w10:wrap anchorx="page"/>
                <w10:anchorlock/>
              </v:shape>
            </w:pict>
          </mc:Fallback>
        </mc:AlternateContent>
      </w:r>
      <w:r w:rsidRPr="00CE1D7F">
        <w:t>easuring, monitoring and communicating the impacts</w:t>
      </w:r>
      <w:bookmarkEnd w:id="189"/>
      <w:bookmarkEnd w:id="190"/>
      <w:bookmarkEnd w:id="191"/>
      <w:bookmarkEnd w:id="192"/>
      <w:r w:rsidRPr="00CE1D7F">
        <w:t xml:space="preserve"> </w:t>
      </w:r>
    </w:p>
    <w:p w14:paraId="43ACA3F5" w14:textId="41B6E674" w:rsidR="000B0AC7" w:rsidRPr="00CE1D7F" w:rsidRDefault="000B0AC7" w:rsidP="006258ED">
      <w:pPr>
        <w:pStyle w:val="Caption"/>
      </w:pPr>
      <w:r w:rsidRPr="00CE1D7F">
        <w:rPr>
          <w:rStyle w:val="CaptionLabel"/>
        </w:rPr>
        <w:t>Key Finding </w:t>
      </w:r>
      <w:r w:rsidRPr="00CE1D7F">
        <w:rPr>
          <w:rStyle w:val="CaptionLabel"/>
        </w:rPr>
        <w:fldChar w:fldCharType="begin"/>
      </w:r>
      <w:r w:rsidRPr="00CE1D7F">
        <w:rPr>
          <w:rStyle w:val="CaptionLabel"/>
        </w:rPr>
        <w:instrText xml:space="preserve"> SEQ Key_Finding \* ARABIC  \* MERGEFORMAT </w:instrText>
      </w:r>
      <w:r w:rsidRPr="00CE1D7F">
        <w:rPr>
          <w:rStyle w:val="CaptionLabel"/>
        </w:rPr>
        <w:fldChar w:fldCharType="separate"/>
      </w:r>
      <w:r>
        <w:rPr>
          <w:rStyle w:val="CaptionLabel"/>
          <w:noProof/>
        </w:rPr>
        <w:t>10</w:t>
      </w:r>
      <w:r w:rsidRPr="00CE1D7F">
        <w:rPr>
          <w:rStyle w:val="CaptionLabel"/>
        </w:rPr>
        <w:fldChar w:fldCharType="end"/>
      </w:r>
      <w:r w:rsidRPr="00CE1D7F">
        <w:tab/>
        <w:t>Measuring, monitoring and communicating the outcomes and impacts of NCGP-funded research</w:t>
      </w:r>
    </w:p>
    <w:tbl>
      <w:tblPr>
        <w:tblStyle w:val="aacTableBox"/>
        <w:tblW w:w="0" w:type="auto"/>
        <w:tblLayout w:type="fixed"/>
        <w:tblLook w:val="04A0" w:firstRow="1" w:lastRow="0" w:firstColumn="1" w:lastColumn="0" w:noHBand="0" w:noVBand="1"/>
        <w:tblCaption w:val="Key Finding 10"/>
        <w:tblDescription w:val="Measuring, monitoring and communicating the outcomes and impacts of NCGP-funded research"/>
      </w:tblPr>
      <w:tblGrid>
        <w:gridCol w:w="7936"/>
      </w:tblGrid>
      <w:tr w:rsidR="002B32A0" w:rsidRPr="00CE1D7F" w14:paraId="679F0CEC" w14:textId="77777777" w:rsidTr="000B0AC7">
        <w:tc>
          <w:tcPr>
            <w:tcW w:w="7936" w:type="dxa"/>
          </w:tcPr>
          <w:p w14:paraId="1E79822A" w14:textId="77777777" w:rsidR="002B32A0" w:rsidRPr="001A6DB5" w:rsidRDefault="002B32A0" w:rsidP="006258ED">
            <w:pPr>
              <w:pStyle w:val="BoxText"/>
              <w:rPr>
                <w:sz w:val="22"/>
                <w:szCs w:val="24"/>
              </w:rPr>
            </w:pPr>
            <w:r w:rsidRPr="001A6DB5">
              <w:rPr>
                <w:sz w:val="22"/>
                <w:szCs w:val="24"/>
              </w:rPr>
              <w:t xml:space="preserve">The ARC has in place systems for monitoring and measuring impact; however, there is an opportunity to improve these approaches and strengthen the capability and capacity of the ARC to undertake impactful data analysis and evaluation. </w:t>
            </w:r>
          </w:p>
          <w:p w14:paraId="368359B5" w14:textId="77777777" w:rsidR="002B32A0" w:rsidRPr="001A6DB5" w:rsidRDefault="002B32A0" w:rsidP="006258ED">
            <w:pPr>
              <w:pStyle w:val="BoxText"/>
              <w:rPr>
                <w:sz w:val="22"/>
                <w:szCs w:val="24"/>
              </w:rPr>
            </w:pPr>
            <w:r w:rsidRPr="001A6DB5">
              <w:rPr>
                <w:sz w:val="22"/>
                <w:szCs w:val="24"/>
              </w:rPr>
              <w:t>The</w:t>
            </w:r>
            <w:r>
              <w:rPr>
                <w:sz w:val="22"/>
                <w:szCs w:val="24"/>
              </w:rPr>
              <w:t>re</w:t>
            </w:r>
            <w:r w:rsidRPr="001A6DB5">
              <w:rPr>
                <w:sz w:val="22"/>
                <w:szCs w:val="24"/>
              </w:rPr>
              <w:t xml:space="preserve"> </w:t>
            </w:r>
            <w:r>
              <w:rPr>
                <w:sz w:val="22"/>
                <w:szCs w:val="24"/>
              </w:rPr>
              <w:t>i</w:t>
            </w:r>
            <w:r w:rsidRPr="001A6DB5">
              <w:rPr>
                <w:sz w:val="22"/>
                <w:szCs w:val="24"/>
              </w:rPr>
              <w:t xml:space="preserve">s no single solution to impact measurement, </w:t>
            </w:r>
            <w:r>
              <w:rPr>
                <w:sz w:val="22"/>
                <w:szCs w:val="24"/>
              </w:rPr>
              <w:t>as</w:t>
            </w:r>
            <w:r w:rsidRPr="001A6DB5">
              <w:rPr>
                <w:sz w:val="22"/>
                <w:szCs w:val="24"/>
              </w:rPr>
              <w:t xml:space="preserve"> </w:t>
            </w:r>
            <w:r w:rsidRPr="00661150">
              <w:rPr>
                <w:sz w:val="22"/>
                <w:szCs w:val="24"/>
              </w:rPr>
              <w:t>many countries around the world struggle to systematically understand all impacts generated by their research funding programs</w:t>
            </w:r>
            <w:r>
              <w:rPr>
                <w:sz w:val="22"/>
                <w:szCs w:val="24"/>
              </w:rPr>
              <w:t>. However,</w:t>
            </w:r>
            <w:r w:rsidRPr="00661150">
              <w:rPr>
                <w:sz w:val="22"/>
                <w:szCs w:val="24"/>
              </w:rPr>
              <w:t xml:space="preserve"> </w:t>
            </w:r>
            <w:r w:rsidRPr="001A6DB5">
              <w:rPr>
                <w:sz w:val="22"/>
                <w:szCs w:val="24"/>
              </w:rPr>
              <w:t xml:space="preserve">high-level guiding principles </w:t>
            </w:r>
            <w:r>
              <w:rPr>
                <w:sz w:val="22"/>
                <w:szCs w:val="24"/>
              </w:rPr>
              <w:t xml:space="preserve">were </w:t>
            </w:r>
            <w:r w:rsidRPr="001A6DB5">
              <w:rPr>
                <w:sz w:val="22"/>
                <w:szCs w:val="24"/>
              </w:rPr>
              <w:t>identified.</w:t>
            </w:r>
          </w:p>
          <w:p w14:paraId="68153411" w14:textId="77777777" w:rsidR="002B32A0" w:rsidRPr="001A6DB5" w:rsidRDefault="002B32A0" w:rsidP="006258ED">
            <w:pPr>
              <w:pStyle w:val="BoxText"/>
              <w:rPr>
                <w:sz w:val="22"/>
                <w:szCs w:val="24"/>
              </w:rPr>
            </w:pPr>
            <w:r w:rsidRPr="001A6DB5">
              <w:rPr>
                <w:sz w:val="22"/>
                <w:szCs w:val="24"/>
              </w:rPr>
              <w:t>Impact should be measured more frequently than it has been and account for its lag time.</w:t>
            </w:r>
          </w:p>
          <w:p w14:paraId="107B5CAD" w14:textId="77777777" w:rsidR="002B32A0" w:rsidRPr="001A6DB5" w:rsidRDefault="002B32A0" w:rsidP="006258ED">
            <w:pPr>
              <w:pStyle w:val="BoxText"/>
              <w:rPr>
                <w:sz w:val="22"/>
                <w:szCs w:val="24"/>
              </w:rPr>
            </w:pPr>
            <w:r w:rsidRPr="001A6DB5">
              <w:rPr>
                <w:sz w:val="22"/>
                <w:szCs w:val="24"/>
              </w:rPr>
              <w:t>International comparators highlight opportunities for the ARC to better frame pathways to impact, develop fit-for-purpose indicators and metrics, and amend the data collection and analysis process (including using automation). This will enable researchers and the ARC to report on a broader and deeper level of impact occurring from NCGP-funded research.</w:t>
            </w:r>
          </w:p>
        </w:tc>
      </w:tr>
    </w:tbl>
    <w:p w14:paraId="45DF132A" w14:textId="77777777" w:rsidR="000B0AC7" w:rsidRPr="00CE1D7F" w:rsidRDefault="000B0AC7" w:rsidP="006258ED">
      <w:pPr>
        <w:pStyle w:val="Source"/>
      </w:pPr>
    </w:p>
    <w:p w14:paraId="44B4D2D8" w14:textId="77777777" w:rsidR="002B32A0" w:rsidRPr="00CE1D7F" w:rsidRDefault="002B32A0" w:rsidP="002B32A0">
      <w:pPr>
        <w:pStyle w:val="Heading3"/>
      </w:pPr>
      <w:bookmarkStart w:id="193" w:name="_Ref129809819"/>
      <w:r w:rsidRPr="00CE1D7F">
        <w:t>Overview of how impact is currently measured, monitored and communicated</w:t>
      </w:r>
      <w:bookmarkEnd w:id="193"/>
      <w:r w:rsidRPr="00CE1D7F">
        <w:t xml:space="preserve"> </w:t>
      </w:r>
    </w:p>
    <w:p w14:paraId="68097E69" w14:textId="77777777" w:rsidR="002B32A0" w:rsidRPr="00CE1D7F" w:rsidRDefault="002B32A0" w:rsidP="002B32A0">
      <w:pPr>
        <w:pStyle w:val="BodyText"/>
      </w:pPr>
      <w:r w:rsidRPr="00CE1D7F">
        <w:t>The Australian Research Council Strategy 2022-2025</w:t>
      </w:r>
      <w:r w:rsidRPr="00CE1D7F">
        <w:rPr>
          <w:rStyle w:val="FootnoteReference"/>
        </w:rPr>
        <w:footnoteReference w:id="72"/>
      </w:r>
      <w:r w:rsidRPr="00CE1D7F">
        <w:t xml:space="preserve"> outlines the ARC’s ambition and strategic priorities to deliver world-class advice and engagement, research system excellence and empowered people. These strategic priorities are underpinned by initiatives and activities, 2 of which relate to communication and measurement:</w:t>
      </w:r>
    </w:p>
    <w:p w14:paraId="4F436918" w14:textId="77777777" w:rsidR="002B32A0" w:rsidRPr="00CE1D7F" w:rsidRDefault="002B32A0" w:rsidP="006E4921">
      <w:pPr>
        <w:pStyle w:val="ListBullet"/>
      </w:pPr>
      <w:r w:rsidRPr="00CE1D7F">
        <w:t>1.2.2: Collaborate with the research sector to better communicate the national interest in all projects and assist with the translation of research.</w:t>
      </w:r>
    </w:p>
    <w:p w14:paraId="6823AD96" w14:textId="77777777" w:rsidR="002B32A0" w:rsidRPr="00CE1D7F" w:rsidRDefault="002B32A0" w:rsidP="006E4921">
      <w:pPr>
        <w:pStyle w:val="ListBullet"/>
      </w:pPr>
      <w:r w:rsidRPr="00CE1D7F">
        <w:t>2.2.1: Increase avenues for strategic engagement with the research community to strengthen criteria to measure impact and excellence.</w:t>
      </w:r>
    </w:p>
    <w:p w14:paraId="3BC7349A" w14:textId="77777777" w:rsidR="002B32A0" w:rsidRPr="00CE1D7F" w:rsidRDefault="002B32A0" w:rsidP="002B32A0">
      <w:pPr>
        <w:pStyle w:val="BodyText"/>
      </w:pPr>
      <w:r w:rsidRPr="00CE1D7F">
        <w:t>The ARC has in place several systems for monitoring and measuring impact of NCGP-funded research:</w:t>
      </w:r>
    </w:p>
    <w:p w14:paraId="6439BB01" w14:textId="77777777" w:rsidR="002B32A0" w:rsidRPr="00CE1D7F" w:rsidRDefault="002B32A0" w:rsidP="006E4921">
      <w:pPr>
        <w:pStyle w:val="ListBullet"/>
      </w:pPr>
      <w:r w:rsidRPr="00CE1D7F">
        <w:t xml:space="preserve">Grantees are required to submit final reports less than 12 months after finishing their project. </w:t>
      </w:r>
      <w:r>
        <w:t xml:space="preserve">There is currently minimal use of final report data analysis in external reporting. </w:t>
      </w:r>
      <w:r w:rsidRPr="00CE1D7F">
        <w:t>This reporting is collated by ARC and used for internal reporting and to inform evaluation.</w:t>
      </w:r>
      <w:r w:rsidRPr="00CE1D7F">
        <w:rPr>
          <w:rStyle w:val="FootnoteReference"/>
        </w:rPr>
        <w:footnoteReference w:id="73"/>
      </w:r>
    </w:p>
    <w:p w14:paraId="15C80502" w14:textId="77777777" w:rsidR="002B32A0" w:rsidRPr="00CE1D7F" w:rsidRDefault="002B32A0" w:rsidP="006E4921">
      <w:pPr>
        <w:pStyle w:val="ListBullet"/>
      </w:pPr>
      <w:r w:rsidRPr="00CE1D7F">
        <w:t>Evaluation of individual schemes and supports</w:t>
      </w:r>
      <w:r>
        <w:t>, noting that these have been ad hoc and not heavily focused on research impact</w:t>
      </w:r>
      <w:r w:rsidRPr="00CE1D7F">
        <w:t>.</w:t>
      </w:r>
      <w:r w:rsidRPr="00CE1D7F">
        <w:rPr>
          <w:rStyle w:val="FootnoteReference"/>
        </w:rPr>
        <w:footnoteReference w:id="74"/>
      </w:r>
    </w:p>
    <w:p w14:paraId="3574E9EE" w14:textId="77777777" w:rsidR="002B32A0" w:rsidRPr="00CE1D7F" w:rsidRDefault="002B32A0" w:rsidP="002B32A0">
      <w:pPr>
        <w:pStyle w:val="BodyText"/>
      </w:pPr>
      <w:bookmarkStart w:id="194" w:name="_Ref125622660"/>
      <w:r w:rsidRPr="00CE1D7F">
        <w:t xml:space="preserve">These measures have delivered insights to the ARC, government, university and research sector, and other important stakeholders about the impact of NCGP-funded research. However, there is an opportunity to explore emerging impact measurement and monitoring approaches in Australia and internationally. This will strengthen the capability and capacity of </w:t>
      </w:r>
      <w:r w:rsidRPr="00CE1D7F">
        <w:lastRenderedPageBreak/>
        <w:t xml:space="preserve">the ARC to undertake data analysis and evaluation to elicit further insights on the impact of the research it funds to inform its operations and the decisions made by key stakeholders. </w:t>
      </w:r>
    </w:p>
    <w:p w14:paraId="613F1EE2" w14:textId="77777777" w:rsidR="002B32A0" w:rsidRPr="00CE1D7F" w:rsidRDefault="002B32A0" w:rsidP="002B32A0">
      <w:pPr>
        <w:pStyle w:val="Heading4"/>
      </w:pPr>
      <w:r w:rsidRPr="00CE1D7F">
        <w:t>Measuring research impact</w:t>
      </w:r>
      <w:bookmarkEnd w:id="194"/>
    </w:p>
    <w:p w14:paraId="4D90B29F" w14:textId="77777777" w:rsidR="002B32A0" w:rsidRPr="00CE1D7F" w:rsidRDefault="002B32A0" w:rsidP="002B32A0">
      <w:pPr>
        <w:pStyle w:val="BodyText"/>
        <w:rPr>
          <w:lang w:eastAsia="en-AU"/>
        </w:rPr>
      </w:pPr>
      <w:r w:rsidRPr="00CE1D7F">
        <w:t xml:space="preserve">Many domestic </w:t>
      </w:r>
      <w:r w:rsidRPr="00CE1D7F">
        <w:rPr>
          <w:lang w:eastAsia="en-AU"/>
        </w:rPr>
        <w:t xml:space="preserve">stakeholders </w:t>
      </w:r>
      <w:r w:rsidRPr="00CE1D7F">
        <w:t xml:space="preserve">did not have a detailed view of research impact measures and metrics, the data and information sources that could be used/collected, or the appropriate tools or techniques to collect data. They noted that many Australian universities were now considering how to best </w:t>
      </w:r>
      <w:r w:rsidRPr="00CE1D7F">
        <w:rPr>
          <w:lang w:eastAsia="en-AU"/>
        </w:rPr>
        <w:t>capture and measure impact and were at varying stages of impact measurement maturity.</w:t>
      </w:r>
    </w:p>
    <w:p w14:paraId="43215487" w14:textId="57814130" w:rsidR="002B32A0" w:rsidRPr="00CE1D7F" w:rsidRDefault="002B32A0" w:rsidP="002B32A0">
      <w:pPr>
        <w:pStyle w:val="BodyText"/>
      </w:pPr>
      <w:r w:rsidRPr="00CE1D7F">
        <w:t xml:space="preserve">The was no single solution to impact measurement, and instead, the consultations identified broad, high-level principles to guide impact measurement (see </w:t>
      </w:r>
      <w:r w:rsidRPr="00F87D0E">
        <w:fldChar w:fldCharType="begin"/>
      </w:r>
      <w:r w:rsidRPr="00F87D0E">
        <w:instrText xml:space="preserve"> REF _Ref129367248 \h  \* MERGEFORMAT </w:instrText>
      </w:r>
      <w:r w:rsidRPr="00F87D0E">
        <w:fldChar w:fldCharType="separate"/>
      </w:r>
      <w:r w:rsidR="000B0AC7" w:rsidRPr="000B0AC7">
        <w:t>Box 4.2</w:t>
      </w:r>
      <w:r w:rsidRPr="00F87D0E">
        <w:fldChar w:fldCharType="end"/>
      </w:r>
      <w:r w:rsidRPr="00CE1D7F">
        <w:t>).</w:t>
      </w:r>
    </w:p>
    <w:p w14:paraId="169CEDA9" w14:textId="6E2E523B" w:rsidR="000B0AC7" w:rsidRPr="00CE1D7F" w:rsidRDefault="000B0AC7" w:rsidP="006258ED">
      <w:pPr>
        <w:pStyle w:val="Caption"/>
      </w:pPr>
      <w:bookmarkStart w:id="195" w:name="_Ref129367248"/>
      <w:r w:rsidRPr="00CE1D7F">
        <w:rPr>
          <w:rStyle w:val="CaptionLabel"/>
        </w:rPr>
        <w:t>Box </w:t>
      </w:r>
      <w:r w:rsidRPr="00CE1D7F">
        <w:rPr>
          <w:rStyle w:val="CaptionLabel"/>
        </w:rPr>
        <w:fldChar w:fldCharType="begin"/>
      </w:r>
      <w:r w:rsidRPr="00CE1D7F">
        <w:rPr>
          <w:rStyle w:val="CaptionLabel"/>
        </w:rPr>
        <w:instrText xml:space="preserve"> STYLEREF 1 \S \* MERGEFORMAT </w:instrText>
      </w:r>
      <w:r w:rsidRPr="00CE1D7F">
        <w:rPr>
          <w:rStyle w:val="CaptionLabel"/>
        </w:rPr>
        <w:fldChar w:fldCharType="separate"/>
      </w:r>
      <w:r>
        <w:rPr>
          <w:rStyle w:val="CaptionLabel"/>
          <w:noProof/>
        </w:rPr>
        <w:t>4</w:t>
      </w:r>
      <w:r w:rsidRPr="00CE1D7F">
        <w:rPr>
          <w:rStyle w:val="CaptionLabel"/>
        </w:rPr>
        <w:fldChar w:fldCharType="end"/>
      </w:r>
      <w:r w:rsidRPr="00CE1D7F">
        <w:rPr>
          <w:rStyle w:val="CaptionLabel"/>
        </w:rPr>
        <w:t>.</w:t>
      </w:r>
      <w:r w:rsidRPr="00CE1D7F">
        <w:rPr>
          <w:rStyle w:val="CaptionLabel"/>
        </w:rPr>
        <w:fldChar w:fldCharType="begin"/>
      </w:r>
      <w:r w:rsidRPr="00CE1D7F">
        <w:rPr>
          <w:rStyle w:val="CaptionLabel"/>
        </w:rPr>
        <w:instrText xml:space="preserve"> SEQ Box \* ARABIC \S 1 \* MERGEFORMAT </w:instrText>
      </w:r>
      <w:r w:rsidRPr="00CE1D7F">
        <w:rPr>
          <w:rStyle w:val="CaptionLabel"/>
        </w:rPr>
        <w:fldChar w:fldCharType="separate"/>
      </w:r>
      <w:r>
        <w:rPr>
          <w:rStyle w:val="CaptionLabel"/>
          <w:noProof/>
        </w:rPr>
        <w:t>2</w:t>
      </w:r>
      <w:r w:rsidRPr="00CE1D7F">
        <w:rPr>
          <w:rStyle w:val="CaptionLabel"/>
        </w:rPr>
        <w:fldChar w:fldCharType="end"/>
      </w:r>
      <w:bookmarkEnd w:id="195"/>
      <w:r w:rsidRPr="00CE1D7F">
        <w:tab/>
        <w:t>Principles to guide impact measurement</w:t>
      </w:r>
    </w:p>
    <w:tbl>
      <w:tblPr>
        <w:tblStyle w:val="aacTableBox"/>
        <w:tblW w:w="0" w:type="auto"/>
        <w:tblLayout w:type="fixed"/>
        <w:tblLook w:val="04A0" w:firstRow="1" w:lastRow="0" w:firstColumn="1" w:lastColumn="0" w:noHBand="0" w:noVBand="1"/>
        <w:tblCaption w:val="Box 4.2"/>
        <w:tblDescription w:val="Principles to guide impact measurement"/>
      </w:tblPr>
      <w:tblGrid>
        <w:gridCol w:w="7936"/>
      </w:tblGrid>
      <w:tr w:rsidR="002B32A0" w:rsidRPr="008B5752" w14:paraId="359ECC6A" w14:textId="77777777" w:rsidTr="000B0AC7">
        <w:tc>
          <w:tcPr>
            <w:tcW w:w="7936" w:type="dxa"/>
          </w:tcPr>
          <w:p w14:paraId="16F9694C" w14:textId="77777777" w:rsidR="002B32A0" w:rsidRPr="008B5752" w:rsidRDefault="002B32A0" w:rsidP="006258ED">
            <w:pPr>
              <w:pStyle w:val="BoxText"/>
            </w:pPr>
            <w:r w:rsidRPr="008B5752">
              <w:t>Impact measurement should:</w:t>
            </w:r>
          </w:p>
          <w:p w14:paraId="79494B4B" w14:textId="77777777" w:rsidR="002B32A0" w:rsidRPr="008B5752" w:rsidRDefault="002B32A0" w:rsidP="006E4921">
            <w:pPr>
              <w:pStyle w:val="BoxListBullet"/>
            </w:pPr>
            <w:r w:rsidRPr="008B5752">
              <w:t>balance the overarching impact story (e.g. portfolio wide-assessment) with evidence of project-level success (e.g. case studies)</w:t>
            </w:r>
          </w:p>
          <w:p w14:paraId="0BDA6F6A" w14:textId="77777777" w:rsidR="002B32A0" w:rsidRPr="008B5752" w:rsidRDefault="002B32A0" w:rsidP="006E4921">
            <w:pPr>
              <w:pStyle w:val="BoxListBullet"/>
            </w:pPr>
            <w:r w:rsidRPr="008B5752">
              <w:t>capture the breadth of research disciplines, impact types and end-users</w:t>
            </w:r>
          </w:p>
          <w:p w14:paraId="55F0F007" w14:textId="77777777" w:rsidR="002B32A0" w:rsidRPr="008B5752" w:rsidRDefault="002B32A0" w:rsidP="006E4921">
            <w:pPr>
              <w:pStyle w:val="BoxListBullet"/>
            </w:pPr>
            <w:r w:rsidRPr="008B5752">
              <w:t>be accompanied by guiding principles, clear and consistent definitions, metrics and measurement approaches, with the potential for ARC to support education and upskilling across the sector to ensure consistent data collection</w:t>
            </w:r>
          </w:p>
          <w:p w14:paraId="17351111" w14:textId="77777777" w:rsidR="002B32A0" w:rsidRPr="008B5752" w:rsidRDefault="002B32A0" w:rsidP="006E4921">
            <w:pPr>
              <w:pStyle w:val="BoxListBullet"/>
            </w:pPr>
            <w:r w:rsidRPr="008B5752">
              <w:t xml:space="preserve">consider the lag time between the research taking place and the impacts being delivered, and ideally track impacts longitudinally </w:t>
            </w:r>
          </w:p>
          <w:p w14:paraId="69DC6874" w14:textId="77777777" w:rsidR="002B32A0" w:rsidRPr="008B5752" w:rsidRDefault="002B32A0" w:rsidP="006E4921">
            <w:pPr>
              <w:pStyle w:val="BoxListBullet"/>
            </w:pPr>
            <w:r w:rsidRPr="008B5752">
              <w:t>reduce the burden on universities and researchers to provide/collect data by:</w:t>
            </w:r>
          </w:p>
          <w:p w14:paraId="47A01B95" w14:textId="77777777" w:rsidR="002B32A0" w:rsidRPr="008B5752" w:rsidRDefault="002B32A0" w:rsidP="006E4921">
            <w:pPr>
              <w:pStyle w:val="BoxListBullet2"/>
            </w:pPr>
            <w:r w:rsidRPr="008B5752">
              <w:t>building on, replacing or repurposing existing reporting processes by universities or the ARC</w:t>
            </w:r>
          </w:p>
          <w:p w14:paraId="644EFD1E" w14:textId="77777777" w:rsidR="002B32A0" w:rsidRPr="008B5752" w:rsidRDefault="002B32A0" w:rsidP="006E4921">
            <w:pPr>
              <w:pStyle w:val="BoxListBullet2"/>
            </w:pPr>
            <w:r w:rsidRPr="008B5752">
              <w:t xml:space="preserve">consider the requirements for data collection rigour and frequency </w:t>
            </w:r>
          </w:p>
          <w:p w14:paraId="45514782" w14:textId="77777777" w:rsidR="002B32A0" w:rsidRPr="008B5752" w:rsidRDefault="002B32A0" w:rsidP="006E4921">
            <w:pPr>
              <w:pStyle w:val="BoxListBullet2"/>
            </w:pPr>
            <w:r w:rsidRPr="008B5752">
              <w:t xml:space="preserve">collect data once that can then be used multiple times for multiple purposes </w:t>
            </w:r>
          </w:p>
          <w:p w14:paraId="5A31175F" w14:textId="77777777" w:rsidR="002B32A0" w:rsidRPr="008B5752" w:rsidRDefault="002B32A0" w:rsidP="006E4921">
            <w:pPr>
              <w:pStyle w:val="BoxListBullet2"/>
            </w:pPr>
            <w:r w:rsidRPr="008B5752">
              <w:t>be conducted independently, with a cross-disciplinary review of research outcomes and impacts to enable greater reflection on success</w:t>
            </w:r>
          </w:p>
          <w:p w14:paraId="285A8CDA" w14:textId="77777777" w:rsidR="002B32A0" w:rsidRPr="008B5752" w:rsidRDefault="002B32A0" w:rsidP="006E4921">
            <w:pPr>
              <w:pStyle w:val="BoxListBullet2"/>
            </w:pPr>
            <w:r w:rsidRPr="008B5752">
              <w:t xml:space="preserve">occur ideally every 5-10 years </w:t>
            </w:r>
          </w:p>
          <w:p w14:paraId="34DA4BE8" w14:textId="77777777" w:rsidR="002B32A0" w:rsidRPr="008B5752" w:rsidRDefault="002B32A0" w:rsidP="006E4921">
            <w:pPr>
              <w:pStyle w:val="BoxListBullet2"/>
            </w:pPr>
            <w:r w:rsidRPr="008B5752">
              <w:t xml:space="preserve">extend beyond a compliance exercise by having a clear purpose, strategically aligning with government priorities and information needs, and meaningfully driving decision making (rather than being a simple compliance exercise), in order to encourage researcher and university engagement and deliver value for the financial and resource cost associated with measurement. </w:t>
            </w:r>
          </w:p>
        </w:tc>
      </w:tr>
    </w:tbl>
    <w:p w14:paraId="480B82A5" w14:textId="77777777" w:rsidR="000B0AC7" w:rsidRPr="00CE1D7F" w:rsidRDefault="000B0AC7" w:rsidP="006258ED">
      <w:pPr>
        <w:pStyle w:val="Source"/>
      </w:pPr>
      <w:r w:rsidRPr="00CE1D7F">
        <w:t>Source: ACIL Allen</w:t>
      </w:r>
    </w:p>
    <w:p w14:paraId="541AE7FD" w14:textId="77777777" w:rsidR="002B32A0" w:rsidRPr="00CE1D7F" w:rsidRDefault="002B32A0" w:rsidP="002B32A0">
      <w:pPr>
        <w:pStyle w:val="BodyText"/>
      </w:pPr>
      <w:r w:rsidRPr="00CE1D7F">
        <w:t>Case studies were commonly identified as a way to capture the breadth of impacts delivered through NCGP-funded research. This was particularly the case for social, environmental and cultural impacts that may not be as readily quantified or contribute to a market or economic return. Case studies were valued for the flexibility to demonstrate research impact in a bespoke manner.</w:t>
      </w:r>
    </w:p>
    <w:p w14:paraId="2742B2B9" w14:textId="77777777" w:rsidR="002B32A0" w:rsidRPr="00CE1D7F" w:rsidRDefault="002B32A0" w:rsidP="002B32A0">
      <w:pPr>
        <w:pStyle w:val="Quote"/>
        <w:rPr>
          <w:lang w:eastAsia="en-AU"/>
        </w:rPr>
      </w:pPr>
      <w:r w:rsidRPr="00CE1D7F">
        <w:rPr>
          <w:lang w:eastAsia="en-AU"/>
        </w:rPr>
        <w:t xml:space="preserve">“Our universities want to move away from only using economic assessments.” – </w:t>
      </w:r>
      <w:r w:rsidRPr="00CE1D7F">
        <w:t xml:space="preserve">Domestic </w:t>
      </w:r>
      <w:r w:rsidRPr="00CE1D7F">
        <w:rPr>
          <w:lang w:eastAsia="en-AU"/>
        </w:rPr>
        <w:t>stakeholder</w:t>
      </w:r>
    </w:p>
    <w:p w14:paraId="44CF2691" w14:textId="0AAB86C8" w:rsidR="002B32A0" w:rsidRPr="00CE1D7F" w:rsidRDefault="002B32A0" w:rsidP="002B32A0">
      <w:pPr>
        <w:pStyle w:val="BodyText"/>
      </w:pPr>
      <w:r w:rsidRPr="00CE1D7F">
        <w:t xml:space="preserve">This was also identified in the qualitative analysis of survey free text responses on the most significant impacts resulting from research projects (discussed in </w:t>
      </w:r>
      <w:r>
        <w:t>section </w:t>
      </w:r>
      <w:r w:rsidRPr="00F87D0E">
        <w:fldChar w:fldCharType="begin"/>
      </w:r>
      <w:r w:rsidRPr="00F87D0E">
        <w:instrText xml:space="preserve"> REF _Ref129200088 \r \h  \* MERGEFORMAT </w:instrText>
      </w:r>
      <w:r w:rsidRPr="00F87D0E">
        <w:fldChar w:fldCharType="separate"/>
      </w:r>
      <w:r w:rsidR="000B0AC7">
        <w:t>3.1.2</w:t>
      </w:r>
      <w:r w:rsidRPr="00F87D0E">
        <w:fldChar w:fldCharType="end"/>
      </w:r>
      <w:r w:rsidRPr="00CE1D7F">
        <w:t xml:space="preserve">). There were sensitivities around the </w:t>
      </w:r>
      <w:r w:rsidRPr="00CE1D7F">
        <w:rPr>
          <w:b/>
          <w:bCs/>
          <w:i/>
          <w:iCs/>
        </w:rPr>
        <w:t>difficulties of quantifying</w:t>
      </w:r>
      <w:r w:rsidRPr="00CE1D7F">
        <w:t xml:space="preserve"> (87) these impacts and the </w:t>
      </w:r>
      <w:r w:rsidRPr="00CE1D7F">
        <w:rPr>
          <w:b/>
          <w:bCs/>
          <w:i/>
          <w:iCs/>
        </w:rPr>
        <w:t xml:space="preserve">long-term </w:t>
      </w:r>
      <w:r w:rsidRPr="00CE1D7F">
        <w:t xml:space="preserve">(26) nature of research impacts, particularly for some subject areas, such as climate change. Many researchers did not appreciate the emphasis on quantifying the monetary value of research </w:t>
      </w:r>
      <w:r w:rsidRPr="00CE1D7F">
        <w:lastRenderedPageBreak/>
        <w:t>impacts or consider this productive or connected with the research outcomes they were producing.</w:t>
      </w:r>
    </w:p>
    <w:p w14:paraId="5A076DD4" w14:textId="77777777" w:rsidR="002B32A0" w:rsidRPr="00CE1D7F" w:rsidRDefault="002B32A0" w:rsidP="002B32A0">
      <w:pPr>
        <w:pStyle w:val="Quote"/>
      </w:pPr>
      <w:r w:rsidRPr="00CE1D7F">
        <w:t>“It is really hard to quantify all of this, which is one of the frustrations that researchers in the Humanities - and I imagine more broadly - face. Our impacts are generally measured qualitatively.” – Survey respondent</w:t>
      </w:r>
    </w:p>
    <w:p w14:paraId="6A0D4018" w14:textId="77777777" w:rsidR="002B32A0" w:rsidRPr="00CE1D7F" w:rsidRDefault="002B32A0" w:rsidP="002B32A0">
      <w:pPr>
        <w:pStyle w:val="Quote"/>
      </w:pPr>
      <w:r w:rsidRPr="00CE1D7F">
        <w:t>“Long term impact on research and science cannot be quantified.” – Survey respondent</w:t>
      </w:r>
    </w:p>
    <w:p w14:paraId="1960D002" w14:textId="77777777" w:rsidR="002B32A0" w:rsidRPr="00CE1D7F" w:rsidRDefault="002B32A0" w:rsidP="002B32A0">
      <w:pPr>
        <w:pStyle w:val="BodyText"/>
        <w:rPr>
          <w:lang w:eastAsia="en-AU"/>
        </w:rPr>
      </w:pPr>
      <w:r w:rsidRPr="00CE1D7F">
        <w:t xml:space="preserve">Domestic </w:t>
      </w:r>
      <w:r w:rsidRPr="00CE1D7F">
        <w:rPr>
          <w:lang w:eastAsia="en-AU"/>
        </w:rPr>
        <w:t xml:space="preserve">stakeholders that commented on impact measurement considered that this should both systematise and automate the capture and reporting of measures (e.g. citations and downloads) and seek to capture impacts that move beyond these measures. This could seek to measure progress toward achieving the research’s intended outcomes and impacts. </w:t>
      </w:r>
    </w:p>
    <w:p w14:paraId="321896CC" w14:textId="77777777" w:rsidR="002B32A0" w:rsidRPr="00CE1D7F" w:rsidRDefault="002B32A0" w:rsidP="002B32A0">
      <w:pPr>
        <w:pStyle w:val="Quote"/>
        <w:rPr>
          <w:lang w:eastAsia="en-AU"/>
        </w:rPr>
      </w:pPr>
      <w:r w:rsidRPr="00CE1D7F">
        <w:rPr>
          <w:lang w:eastAsia="en-AU"/>
        </w:rPr>
        <w:t xml:space="preserve">“If you are going to get researchers to identify intended outcomes/impacts, then this needs to be more explicitly built into the process with a timeframe for coming back to check.” – </w:t>
      </w:r>
      <w:r w:rsidRPr="00CE1D7F">
        <w:t xml:space="preserve">Domestic </w:t>
      </w:r>
      <w:r w:rsidRPr="00CE1D7F">
        <w:rPr>
          <w:lang w:eastAsia="en-AU"/>
        </w:rPr>
        <w:t>stakeholder</w:t>
      </w:r>
    </w:p>
    <w:p w14:paraId="745DE12E" w14:textId="77777777" w:rsidR="002B32A0" w:rsidRPr="00CE1D7F" w:rsidRDefault="002B32A0" w:rsidP="002B32A0">
      <w:pPr>
        <w:pStyle w:val="BodyText"/>
      </w:pPr>
      <w:r w:rsidRPr="00CE1D7F">
        <w:t>One example identified was the Excellence in Innovation for Australia Trial (the Trial). The Trial was conducted in 2012 to measure the innovation dividend of research generated by Australian universities and as a potential companion to ERA.</w:t>
      </w:r>
      <w:r w:rsidRPr="00CE1D7F">
        <w:rPr>
          <w:rStyle w:val="FootnoteReference"/>
        </w:rPr>
        <w:footnoteReference w:id="75"/>
      </w:r>
      <w:r w:rsidRPr="00CE1D7F">
        <w:t xml:space="preserve"> It aimed to improve how universities articulate and communicate research impact to the broader community and highlight the need to collaborate better with industry to drive innovation. </w:t>
      </w:r>
    </w:p>
    <w:p w14:paraId="50949014" w14:textId="7DA1EBB8" w:rsidR="002B32A0" w:rsidRPr="00CE1D7F" w:rsidRDefault="002B32A0" w:rsidP="002B32A0">
      <w:pPr>
        <w:pStyle w:val="BodyText"/>
      </w:pPr>
      <w:r w:rsidRPr="00CE1D7F">
        <w:t>The Trial used a case study approach, with 162 case studies assessed by industry-focused panels. The Trial was broadly successful and highlighted the breadth of compelling research stories that could be communicated to a range of audiences.</w:t>
      </w:r>
      <w:r w:rsidRPr="00CE1D7F">
        <w:rPr>
          <w:rStyle w:val="FootnoteReference"/>
        </w:rPr>
        <w:footnoteReference w:id="76"/>
      </w:r>
      <w:r w:rsidRPr="00CE1D7F">
        <w:t xml:space="preserve"> However, the extent of impact and quality of the case studies varied </w:t>
      </w:r>
      <w:r w:rsidR="00054253" w:rsidRPr="00CE1D7F">
        <w:t>substantially,</w:t>
      </w:r>
      <w:r w:rsidRPr="00CE1D7F">
        <w:t xml:space="preserve"> and the process was highly burdensome and difficult to scale.</w:t>
      </w:r>
    </w:p>
    <w:p w14:paraId="6E683E88" w14:textId="77777777" w:rsidR="002B32A0" w:rsidRPr="00CE1D7F" w:rsidRDefault="002B32A0" w:rsidP="002B32A0">
      <w:pPr>
        <w:pStyle w:val="BodyText"/>
      </w:pPr>
      <w:r w:rsidRPr="00CE1D7F">
        <w:t xml:space="preserve">Several domestic stakeholders wanted stronger links between excellence assessments and impact (e.g. to select case studies of excellent research for impact assessment) and to consider </w:t>
      </w:r>
      <w:r>
        <w:t xml:space="preserve">any future national </w:t>
      </w:r>
      <w:r w:rsidRPr="00CE1D7F">
        <w:t xml:space="preserve">impact assessment </w:t>
      </w:r>
      <w:r>
        <w:t>run by the ARC in line with processes to measure NCGP research impact specifically</w:t>
      </w:r>
      <w:r w:rsidRPr="00CE1D7F">
        <w:t>.</w:t>
      </w:r>
    </w:p>
    <w:p w14:paraId="3033DD7F" w14:textId="77777777" w:rsidR="002B32A0" w:rsidRPr="00CE1D7F" w:rsidRDefault="002B32A0" w:rsidP="002B32A0">
      <w:pPr>
        <w:pStyle w:val="Heading4"/>
      </w:pPr>
      <w:r w:rsidRPr="00CE1D7F">
        <w:t>Timing of impact measurement</w:t>
      </w:r>
    </w:p>
    <w:p w14:paraId="50C50ECD" w14:textId="77777777" w:rsidR="002B32A0" w:rsidRPr="00CE1D7F" w:rsidRDefault="002B32A0" w:rsidP="002B32A0">
      <w:pPr>
        <w:pStyle w:val="BodyText"/>
      </w:pPr>
      <w:r w:rsidRPr="00CE1D7F">
        <w:t xml:space="preserve">Domestic </w:t>
      </w:r>
      <w:r w:rsidRPr="00CE1D7F">
        <w:rPr>
          <w:lang w:eastAsia="en-AU"/>
        </w:rPr>
        <w:t xml:space="preserve">stakeholders </w:t>
      </w:r>
      <w:r w:rsidRPr="00CE1D7F">
        <w:t xml:space="preserve">considered that impact should be measured more frequently than has occurred for the NCGP. Ideally, a portfolio-wide assessment should occur every 5-10 years, and smaller scheme-specific assessments more frequently (in line with SFI, see </w:t>
      </w:r>
      <w:r>
        <w:t>chapter 7 of the technical supplement to this report</w:t>
      </w:r>
      <w:r w:rsidRPr="00CE1D7F">
        <w:t xml:space="preserve">). </w:t>
      </w:r>
    </w:p>
    <w:p w14:paraId="32D5BB1F" w14:textId="77777777" w:rsidR="002B32A0" w:rsidRPr="00CE1D7F" w:rsidRDefault="002B32A0" w:rsidP="002B32A0">
      <w:pPr>
        <w:pStyle w:val="Quote"/>
        <w:rPr>
          <w:lang w:eastAsia="en-AU"/>
        </w:rPr>
      </w:pPr>
      <w:r w:rsidRPr="00CE1D7F">
        <w:rPr>
          <w:lang w:eastAsia="en-AU"/>
        </w:rPr>
        <w:t xml:space="preserve">“If we’re trying to raise the profile of research and the rationale for spending funding on research, then the preference is for a shorter timeframe to ensure it remains on the top of people’s mind and is still relevant.” – </w:t>
      </w:r>
      <w:r w:rsidRPr="00CE1D7F">
        <w:t xml:space="preserve">Domestic </w:t>
      </w:r>
      <w:r w:rsidRPr="00CE1D7F">
        <w:rPr>
          <w:lang w:eastAsia="en-AU"/>
        </w:rPr>
        <w:t xml:space="preserve">stakeholder </w:t>
      </w:r>
    </w:p>
    <w:p w14:paraId="4C785646" w14:textId="77777777" w:rsidR="002B32A0" w:rsidRPr="00CE1D7F" w:rsidRDefault="002B32A0" w:rsidP="002B32A0">
      <w:pPr>
        <w:pStyle w:val="BodyText"/>
      </w:pPr>
      <w:r w:rsidRPr="00CE1D7F">
        <w:t xml:space="preserve">As noted throughout the report, there is a lag time between when the research concludes, and impacts are realised. This lag is challenging to define across NCGP-funded research, due to the wide variation in research discipline, maturity (i.e. basic or applied research and TRL) the likelihood of success (i.e. achieving intended or unintended impacts), and the prevailing policy, economic, environmental and social conditions that shape research. </w:t>
      </w:r>
    </w:p>
    <w:p w14:paraId="3F92963E" w14:textId="5A475735" w:rsidR="002B32A0" w:rsidRPr="00CE1D7F" w:rsidRDefault="002B32A0" w:rsidP="002B32A0">
      <w:pPr>
        <w:pStyle w:val="BodyText"/>
      </w:pPr>
      <w:r w:rsidRPr="00CE1D7F">
        <w:lastRenderedPageBreak/>
        <w:t xml:space="preserve">As such, domestic </w:t>
      </w:r>
      <w:r w:rsidRPr="00CE1D7F">
        <w:rPr>
          <w:lang w:eastAsia="en-AU"/>
        </w:rPr>
        <w:t xml:space="preserve">stakeholders </w:t>
      </w:r>
      <w:r w:rsidRPr="00CE1D7F">
        <w:t xml:space="preserve">considered that the timeframes to achieving impact from ARC-funded research were highly unpredictable and often lengthy. Impact could arise decades after the research was conducted, occur in a range of disciplines (not necessarily in the initial </w:t>
      </w:r>
      <w:r>
        <w:t>FoR</w:t>
      </w:r>
      <w:r w:rsidRPr="00CE1D7F">
        <w:t>, as shown by the 20% of Discovery and 16% of Linkage Program survey respondents delivering unintended impacts, see</w:t>
      </w:r>
      <w:r>
        <w:t xml:space="preserve"> </w:t>
      </w:r>
      <w:r w:rsidRPr="00F87D0E">
        <w:fldChar w:fldCharType="begin"/>
      </w:r>
      <w:r w:rsidRPr="00F87D0E">
        <w:instrText xml:space="preserve"> REF _Ref129355539 \h  \* MERGEFORMAT </w:instrText>
      </w:r>
      <w:r w:rsidRPr="00F87D0E">
        <w:fldChar w:fldCharType="separate"/>
      </w:r>
      <w:r w:rsidR="000B0AC7" w:rsidRPr="000B0AC7">
        <w:t>Figure B.4</w:t>
      </w:r>
      <w:r w:rsidRPr="00F87D0E">
        <w:fldChar w:fldCharType="end"/>
      </w:r>
      <w:r w:rsidRPr="00CE1D7F">
        <w:t>) and may not generate a market return that can be quantified within a timeframe that can be attributed (with some degree of certainty) to the research funding. Stakeholders suggested that research could also deliver impact through a series of projects that build on the initial knowledge before the impact could be observed. This creates further challenges for attribution of impact.</w:t>
      </w:r>
      <w:r>
        <w:t xml:space="preserve"> </w:t>
      </w:r>
      <w:r w:rsidRPr="00CE1D7F">
        <w:t xml:space="preserve">This is clearly evidenced through the case studies, which often required a series of ARC grants, partnerships and years to deliver impact. </w:t>
      </w:r>
    </w:p>
    <w:p w14:paraId="759AA80E" w14:textId="77777777" w:rsidR="002B32A0" w:rsidRPr="00CE1D7F" w:rsidRDefault="002B32A0" w:rsidP="002B32A0">
      <w:pPr>
        <w:pStyle w:val="BodyText"/>
      </w:pPr>
      <w:r w:rsidRPr="00CE1D7F">
        <w:t xml:space="preserve">Qualitative analysis of survey free text responses also showed that it is challenging for the ARC to monitor and communicate the impacts of ARC-funded research as the timeframes for realising research impacts are often </w:t>
      </w:r>
      <w:r w:rsidRPr="00CE1D7F">
        <w:rPr>
          <w:b/>
          <w:bCs/>
          <w:i/>
          <w:iCs/>
        </w:rPr>
        <w:t xml:space="preserve">long term </w:t>
      </w:r>
      <w:r w:rsidRPr="00CE1D7F">
        <w:t xml:space="preserve">(16) rather than </w:t>
      </w:r>
      <w:r w:rsidRPr="00CE1D7F">
        <w:rPr>
          <w:b/>
          <w:bCs/>
          <w:i/>
          <w:iCs/>
        </w:rPr>
        <w:t xml:space="preserve">short term </w:t>
      </w:r>
      <w:r w:rsidRPr="00CE1D7F">
        <w:t xml:space="preserve">(13). Many respondents noted that </w:t>
      </w:r>
      <w:r w:rsidRPr="00CE1D7F">
        <w:rPr>
          <w:b/>
          <w:bCs/>
          <w:i/>
          <w:iCs/>
        </w:rPr>
        <w:t xml:space="preserve">impacts </w:t>
      </w:r>
      <w:r w:rsidRPr="00CE1D7F">
        <w:t xml:space="preserve">(197) are often difficult to quantify and can take </w:t>
      </w:r>
      <w:r w:rsidRPr="00CE1D7F">
        <w:rPr>
          <w:b/>
          <w:bCs/>
          <w:i/>
          <w:iCs/>
        </w:rPr>
        <w:t xml:space="preserve">years </w:t>
      </w:r>
      <w:r w:rsidRPr="00CE1D7F">
        <w:t xml:space="preserve">(16) to materialise. </w:t>
      </w:r>
    </w:p>
    <w:p w14:paraId="492E11A1" w14:textId="77777777" w:rsidR="002B32A0" w:rsidRPr="00CE1D7F" w:rsidRDefault="002B32A0" w:rsidP="002B32A0">
      <w:pPr>
        <w:pStyle w:val="Quote"/>
      </w:pPr>
      <w:r w:rsidRPr="00CE1D7F">
        <w:t xml:space="preserve">“Academic research is primarily about long-term knowledge acquisition and foundational debates around social purpose and policy ends. Communication of short-term impacts is less important than building the narrative around the long-term contribution all research makes.” – Survey respondent </w:t>
      </w:r>
    </w:p>
    <w:p w14:paraId="076720BD" w14:textId="77777777" w:rsidR="002B32A0" w:rsidRPr="00CE1D7F" w:rsidRDefault="002B32A0" w:rsidP="002B32A0">
      <w:pPr>
        <w:pStyle w:val="Quote"/>
      </w:pPr>
      <w:r w:rsidRPr="00CE1D7F">
        <w:t>“Since not all fundamental research will have immediate impact just after the project completes. ARC should support researchers to translate the research outcome to impact rather than simply monitoring it. Communicating of the impact to the wider society may be useful, but not essential for the researcher.” – Survey respondent</w:t>
      </w:r>
    </w:p>
    <w:p w14:paraId="1A5F9E92" w14:textId="77777777" w:rsidR="002B32A0" w:rsidRPr="00CE1D7F" w:rsidRDefault="002B32A0" w:rsidP="002B32A0">
      <w:pPr>
        <w:pStyle w:val="Heading3"/>
      </w:pPr>
      <w:bookmarkStart w:id="196" w:name="_Ref129603789"/>
      <w:r w:rsidRPr="00CE1D7F">
        <w:rPr>
          <w:rFonts w:eastAsiaTheme="minorHAnsi"/>
          <w:noProof/>
          <w:color w:val="140034" w:themeColor="background2"/>
          <w:szCs w:val="22"/>
        </w:rPr>
        <mc:AlternateContent>
          <mc:Choice Requires="wps">
            <w:drawing>
              <wp:anchor distT="0" distB="0" distL="114300" distR="114300" simplePos="0" relativeHeight="251675648" behindDoc="0" locked="1" layoutInCell="1" allowOverlap="1" wp14:anchorId="1D43D6FD" wp14:editId="4E9B6966">
                <wp:simplePos x="0" y="0"/>
                <wp:positionH relativeFrom="page">
                  <wp:posOffset>441325</wp:posOffset>
                </wp:positionH>
                <wp:positionV relativeFrom="paragraph">
                  <wp:posOffset>-5080</wp:posOffset>
                </wp:positionV>
                <wp:extent cx="1289050" cy="732790"/>
                <wp:effectExtent l="0" t="0" r="0" b="0"/>
                <wp:wrapNone/>
                <wp:docPr id="113" name="Text Box 1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289050" cy="7327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015EFA9" w14:textId="77777777" w:rsidR="002B32A0" w:rsidRPr="00537EDE" w:rsidRDefault="002B32A0" w:rsidP="002B32A0">
                            <w:pPr>
                              <w:pStyle w:val="SideNoteRegularRight"/>
                              <w:jc w:val="left"/>
                            </w:pPr>
                            <w:r w:rsidRPr="00537EDE">
                              <w:t>KEQ 7. What, if any, lessons can be learnt to improve the NCGP’s effectiveness in delivering outcomes and impacts from the research it funds?</w:t>
                            </w:r>
                          </w:p>
                        </w:txbxContent>
                      </wps:txbx>
                      <wps:bodyPr rot="0" spcFirstLastPara="0" vertOverflow="overflow" horzOverflow="overflow" vert="horz" wrap="square" lIns="0" tIns="0" rIns="76200" bIns="762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D43D6FD" id="Text Box 113" o:spid="_x0000_s1039" type="#_x0000_t202" alt="&quot;&quot;" style="position:absolute;left:0;text-align:left;margin-left:34.75pt;margin-top:-.4pt;width:101.5pt;height:57.7pt;z-index:251675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" filled="f" stroked="f" strokeweight=".5pt">
                <v:textbox style="mso-fit-shape-to-text:t" inset="0,0,6pt,6pt">
                  <w:txbxContent>
                    <w:p w14:paraId="7015EFA9" w14:textId="77777777" w:rsidR="002B32A0" w:rsidRPr="00537EDE" w:rsidRDefault="002B32A0" w:rsidP="002B32A0">
                      <w:pPr>
                        <w:pStyle w:val="SideNoteRegularRight"/>
                        <w:jc w:val="left"/>
                      </w:pPr>
                      <w:r w:rsidRPr="00537EDE">
                        <w:t>KEQ 7. What, if any, lessons can be learnt to improve the NCGP’s effectiveness in delivering outcomes and impacts from the research it funds?</w:t>
                      </w:r>
                    </w:p>
                  </w:txbxContent>
                </v:textbox>
                <w10:wrap anchorx="page"/>
                <w10:anchorlock/>
              </v:shape>
            </w:pict>
          </mc:Fallback>
        </mc:AlternateContent>
      </w:r>
      <w:r w:rsidRPr="00CE1D7F">
        <w:t>How others measure impact – key considerations</w:t>
      </w:r>
      <w:bookmarkEnd w:id="196"/>
    </w:p>
    <w:p w14:paraId="61530B72" w14:textId="77777777" w:rsidR="002B32A0" w:rsidRPr="00CE1D7F" w:rsidRDefault="002B32A0" w:rsidP="002B32A0">
      <w:pPr>
        <w:pStyle w:val="BodyText"/>
      </w:pPr>
      <w:r w:rsidRPr="00CE1D7F">
        <w:t xml:space="preserve">The international comparators provide a series of lessons for measuring the impact of research. These are overviewed below and detailed in Appendix D. </w:t>
      </w:r>
    </w:p>
    <w:p w14:paraId="49EB0E66" w14:textId="77777777" w:rsidR="002B32A0" w:rsidRPr="00CE1D7F" w:rsidRDefault="002B32A0" w:rsidP="002B32A0">
      <w:pPr>
        <w:pStyle w:val="BodyText"/>
      </w:pPr>
      <w:r w:rsidRPr="00CE1D7F">
        <w:t>UKRI, SFI and Horizon Europe have invested significant effort in developing capabilities to track outcomes and impacts from funded research. For SFI, this capability took 10 years to develop. MBIE is currently developing its monitoring and measurement capabilities. This capability is essential for enabling Horizon Europe and MBIE to address a legislated requirement to report on performance. Horizon Europe uses evaluations of research programs as key inputs into the decision-making process for future funding arrangements.</w:t>
      </w:r>
    </w:p>
    <w:p w14:paraId="59942DCE" w14:textId="77777777" w:rsidR="002B32A0" w:rsidRPr="00CE1D7F" w:rsidRDefault="002B32A0" w:rsidP="002B32A0">
      <w:pPr>
        <w:pStyle w:val="BodyText"/>
      </w:pPr>
      <w:r w:rsidRPr="00CE1D7F">
        <w:t>UKRI, SFI and Horizon Europe have developed program logics for each funding program/initiative and an overarching evaluation framework to guide evaluation activities across the funding portfolio. These metrics and program logics have been developed collaboratively with system stakeholders. For example, Horizon Europe partnered with member states, universities, and industry, while SFI developed its metrics and program logic with state and international organisations.</w:t>
      </w:r>
    </w:p>
    <w:p w14:paraId="24AE0E01" w14:textId="77777777" w:rsidR="002B32A0" w:rsidRPr="00CE1D7F" w:rsidRDefault="002B32A0" w:rsidP="002B32A0">
      <w:pPr>
        <w:pStyle w:val="BodyText"/>
      </w:pPr>
      <w:r w:rsidRPr="00CE1D7F">
        <w:t xml:space="preserve">Horizon Europe has a well-defined process for collecting evaluation data, guided by Key Impact Pathways, an indicator methodology and metadata handbook, IT systems, and a baseline and benchmark report. It aims to reduce researcher burden by linking researcher grant reporting and survey data with external databases, such as Scopus citation index to measure citations and Opus business database to identify start-up and spin-off companies. This also allows them to compare funded and non-funded businesses and thus understand the impact delivered by the funding and the counterfactual scenario (i.e. what would have </w:t>
      </w:r>
      <w:r w:rsidRPr="00CE1D7F">
        <w:lastRenderedPageBreak/>
        <w:t>happened without funding). Horizon Europe’s evaluations focus on the program overall (not by stream or discipline).</w:t>
      </w:r>
    </w:p>
    <w:p w14:paraId="445C11DB" w14:textId="77777777" w:rsidR="002B32A0" w:rsidRPr="00CE1D7F" w:rsidRDefault="002B32A0" w:rsidP="002B32A0">
      <w:pPr>
        <w:pStyle w:val="BodyText"/>
      </w:pPr>
      <w:r w:rsidRPr="00CE1D7F">
        <w:t>SFI requires its funding recipients to complete annual and final reporting. It accounts for the progress of individual awards against agreed milestones and the objectives of the funding call. Grants that are large, complex or awarded to first-time grantees are internationally peer-reviewed midway through the grant to identify whether the research is on track. This reduces the risk of a project failing, and enables SFI to support researchers to deliver impact.</w:t>
      </w:r>
      <w:r w:rsidRPr="00CE1D7F">
        <w:br/>
        <w:t>SFI does not rely on big data for collecting and analysing impacts, but given its position in the EU, it requires interoperability with international standards and collection measures. This enables SFI to track its performance longitudinally against its strategy, KPIs, and international benchmarks. SFI does not generally attempt to quantify economic impacts.</w:t>
      </w:r>
    </w:p>
    <w:p w14:paraId="1B25E211" w14:textId="66E63719" w:rsidR="002B32A0" w:rsidRPr="00CE1D7F" w:rsidRDefault="002B32A0" w:rsidP="002B32A0">
      <w:pPr>
        <w:pStyle w:val="BodyText"/>
      </w:pPr>
      <w:r w:rsidRPr="00CE1D7F">
        <w:t>UKRI uses the Researchfish platform to collect and longitudinally track impact data and measure attribution via an annual survey</w:t>
      </w:r>
      <w:r w:rsidRPr="00BC7DB2">
        <w:t xml:space="preserve"> for at least 5 years </w:t>
      </w:r>
      <w:r>
        <w:t>after</w:t>
      </w:r>
      <w:r w:rsidRPr="00BC7DB2">
        <w:t xml:space="preserve"> the grant being awarded </w:t>
      </w:r>
      <w:r>
        <w:t>(which supports assessment of impacts over time and accounts for the lag time to impact)</w:t>
      </w:r>
      <w:r w:rsidRPr="00CE1D7F">
        <w:t>.</w:t>
      </w:r>
      <w:r>
        <w:rPr>
          <w:rStyle w:val="FootnoteReference"/>
        </w:rPr>
        <w:footnoteReference w:id="77"/>
      </w:r>
      <w:r w:rsidRPr="00CE1D7F">
        <w:t xml:space="preserve"> </w:t>
      </w:r>
      <w:r>
        <w:t xml:space="preserve">This is different to the ARC, which has not historically collected post-project report data, and only recently introduced this for the new Industry Fellowships scheme. </w:t>
      </w:r>
      <w:r w:rsidRPr="00CE1D7F">
        <w:t>Research Excellence Framework collects case studies for peer review approximately every 7 years</w:t>
      </w:r>
      <w:r>
        <w:t xml:space="preserve">, in a process that is comparable to </w:t>
      </w:r>
      <w:r w:rsidRPr="009F43A4">
        <w:t xml:space="preserve">Excellence in Research for Australia </w:t>
      </w:r>
      <w:r>
        <w:t>(ERA) and Engagement and Impact (EI)</w:t>
      </w:r>
      <w:r w:rsidRPr="00CE1D7F">
        <w:t>. This captures broader research impact that is not readily quantified</w:t>
      </w:r>
      <w:r>
        <w:t>,</w:t>
      </w:r>
      <w:r w:rsidRPr="00CE1D7F">
        <w:t xml:space="preserve"> </w:t>
      </w:r>
      <w:r w:rsidR="00A957E7">
        <w:t>n</w:t>
      </w:r>
      <w:r>
        <w:t>oting that there are differences between system-wide impact assessment (i.e. REF, ERA, EI) and program based assessments (i.e. NCGP).</w:t>
      </w:r>
      <w:r w:rsidRPr="00CE1D7F">
        <w:br/>
        <w:t>UKRI typically conducts evaluations at the fund level, with an overarching economic evaluation providing an assessment of the economic impact delivered by the research.</w:t>
      </w:r>
      <w:r>
        <w:rPr>
          <w:rStyle w:val="FootnoteReference"/>
        </w:rPr>
        <w:footnoteReference w:id="78"/>
      </w:r>
      <w:r w:rsidRPr="00CE1D7F">
        <w:t xml:space="preserve"> The evaluations focus on large and complex programs and help capture the breadth of impact delivered by these programs and inform opportunities to improve future program delivery.</w:t>
      </w:r>
    </w:p>
    <w:p w14:paraId="175E620C" w14:textId="77777777" w:rsidR="002B32A0" w:rsidRPr="00CE1D7F" w:rsidRDefault="002B32A0" w:rsidP="002B32A0">
      <w:pPr>
        <w:pStyle w:val="BodyText"/>
      </w:pPr>
      <w:r w:rsidRPr="00CE1D7F">
        <w:t xml:space="preserve">MBIE does not have a system-wide view of research impact, as its monitoring focuses on funding acquittal. However, recipients must report on end-of-grant outcomes 2, 5 and 10 years after the grant's end. This longitudinal tracking provides an opportunity to capture and attribute research impacts to MBIE funding. Impacts can currently be attributed at the grant-level, although not at the overarching program level. MBIE is reviewing and developing measurement approaches to build a collective understanding of impact. This involves developing the NZ Research Information System to collect and track research inputs and outputs. This aims to develop a stronger culture around impact measurement and support the development and uptake of new data collection approaches. MBIE is exploring opportunities to review research funding mid-way, much like SFI, to </w:t>
      </w:r>
      <w:r>
        <w:t>promote opportunities for success</w:t>
      </w:r>
      <w:r w:rsidRPr="00CE1D7F">
        <w:t>.</w:t>
      </w:r>
    </w:p>
    <w:p w14:paraId="1AE41EDC" w14:textId="77777777" w:rsidR="002B32A0" w:rsidRPr="00CE1D7F" w:rsidRDefault="002B32A0" w:rsidP="002B32A0">
      <w:pPr>
        <w:pStyle w:val="BodyText"/>
      </w:pPr>
      <w:r w:rsidRPr="00CE1D7F">
        <w:t>These insights from international comparators highlight opportunities for the ARC to better frame the pathway to impact for the NCGP and individual schemes. There are opportunities to build on the ARC’s current final reporting to collect data longer after the grant has concluded. This will enable the researchers to report on a broader and deeper level of impact. Capturing, storing and analysing data will require more automation in the future. Connecting with external databases will reduce researcher burden and enable the ARC to investigate the counterfactual. Given the ARC's position in the research and innovation ecosystem, there is an opportunity to design the indicators and metrics used to guide data collection at the sector level. This will make them, and the subsequent evaluations, more appropriate and impactful.</w:t>
      </w:r>
    </w:p>
    <w:p w14:paraId="3C808FC0" w14:textId="77777777" w:rsidR="002B32A0" w:rsidRDefault="002B32A0" w:rsidP="002B32A0">
      <w:pPr>
        <w:pStyle w:val="Heading2"/>
      </w:pPr>
      <w:bookmarkStart w:id="197" w:name="_Toc129963964"/>
      <w:bookmarkStart w:id="198" w:name="_Toc131174603"/>
      <w:bookmarkStart w:id="199" w:name="_Toc132970655"/>
      <w:bookmarkStart w:id="200" w:name="_Toc135323694"/>
      <w:r w:rsidRPr="00CE1D7F">
        <w:lastRenderedPageBreak/>
        <w:t>Communi</w:t>
      </w:r>
      <w:r w:rsidRPr="00CE1D7F">
        <w:rPr>
          <w:noProof/>
        </w:rPr>
        <mc:AlternateContent>
          <mc:Choice Requires="wps">
            <w:drawing>
              <wp:anchor distT="0" distB="0" distL="114300" distR="114300" simplePos="0" relativeHeight="251662336" behindDoc="0" locked="1" layoutInCell="1" allowOverlap="1" wp14:anchorId="3B273E74" wp14:editId="04EF5B36">
                <wp:simplePos x="0" y="0"/>
                <wp:positionH relativeFrom="page">
                  <wp:posOffset>410210</wp:posOffset>
                </wp:positionH>
                <wp:positionV relativeFrom="paragraph">
                  <wp:posOffset>127635</wp:posOffset>
                </wp:positionV>
                <wp:extent cx="1289050" cy="732790"/>
                <wp:effectExtent l="0" t="0" r="0" b="0"/>
                <wp:wrapNone/>
                <wp:docPr id="551" name="Text Box 55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289050" cy="7327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93C0DB7" w14:textId="77777777" w:rsidR="002B32A0" w:rsidRPr="0083288F" w:rsidRDefault="002B32A0" w:rsidP="002B32A0">
                            <w:pPr>
                              <w:pStyle w:val="SideNoteRegularRight"/>
                              <w:jc w:val="left"/>
                            </w:pPr>
                            <w:r w:rsidRPr="0083288F">
                              <w:t>KEQ 9. What improvements, if any, could be made to the ways the ARC communicates the outcomes and impacts of NCGP-funded research?</w:t>
                            </w:r>
                          </w:p>
                        </w:txbxContent>
                      </wps:txbx>
                      <wps:bodyPr rot="0" spcFirstLastPara="0" vertOverflow="overflow" horzOverflow="overflow" vert="horz" wrap="square" lIns="0" tIns="0" rIns="76200" bIns="762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273E74" id="Text Box 551" o:spid="_x0000_s1040" type="#_x0000_t202" alt="&quot;&quot;" style="position:absolute;left:0;text-align:left;margin-left:32.3pt;margin-top:10.05pt;width:101.5pt;height:57.7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" filled="f" stroked="f" strokeweight=".5pt">
                <v:textbox style="mso-fit-shape-to-text:t" inset="0,0,6pt,6pt">
                  <w:txbxContent>
                    <w:p w14:paraId="293C0DB7" w14:textId="77777777" w:rsidR="002B32A0" w:rsidRPr="0083288F" w:rsidRDefault="002B32A0" w:rsidP="002B32A0">
                      <w:pPr>
                        <w:pStyle w:val="SideNoteRegularRight"/>
                        <w:jc w:val="left"/>
                      </w:pPr>
                      <w:r w:rsidRPr="0083288F">
                        <w:t>KEQ 9. What improvements, if any, could be made to the ways the ARC communicates the outcomes and impacts of NCGP-funded research?</w:t>
                      </w:r>
                    </w:p>
                  </w:txbxContent>
                </v:textbox>
                <w10:wrap anchorx="page"/>
                <w10:anchorlock/>
              </v:shape>
            </w:pict>
          </mc:Fallback>
        </mc:AlternateContent>
      </w:r>
      <w:r w:rsidRPr="00CE1D7F">
        <w:t>cation of impacts</w:t>
      </w:r>
      <w:bookmarkEnd w:id="197"/>
      <w:bookmarkEnd w:id="198"/>
      <w:bookmarkEnd w:id="199"/>
      <w:bookmarkEnd w:id="200"/>
      <w:r w:rsidRPr="00CE1D7F">
        <w:t xml:space="preserve"> </w:t>
      </w:r>
    </w:p>
    <w:p w14:paraId="39051887" w14:textId="1D056532" w:rsidR="000B0AC7" w:rsidRPr="00CE1D7F" w:rsidRDefault="000B0AC7" w:rsidP="006258ED">
      <w:pPr>
        <w:pStyle w:val="Caption"/>
      </w:pPr>
      <w:r w:rsidRPr="00CE1D7F">
        <w:rPr>
          <w:rStyle w:val="CaptionLabel"/>
        </w:rPr>
        <w:t>Key Finding </w:t>
      </w:r>
      <w:r w:rsidRPr="00CE1D7F">
        <w:rPr>
          <w:rStyle w:val="CaptionLabel"/>
        </w:rPr>
        <w:fldChar w:fldCharType="begin"/>
      </w:r>
      <w:r w:rsidRPr="00CE1D7F">
        <w:rPr>
          <w:rStyle w:val="CaptionLabel"/>
        </w:rPr>
        <w:instrText xml:space="preserve"> SEQ Key_Finding \* ARABIC  \* MERGEFORMAT </w:instrText>
      </w:r>
      <w:r w:rsidRPr="00CE1D7F">
        <w:rPr>
          <w:rStyle w:val="CaptionLabel"/>
        </w:rPr>
        <w:fldChar w:fldCharType="separate"/>
      </w:r>
      <w:r>
        <w:rPr>
          <w:rStyle w:val="CaptionLabel"/>
          <w:noProof/>
        </w:rPr>
        <w:t>11</w:t>
      </w:r>
      <w:r w:rsidRPr="00CE1D7F">
        <w:rPr>
          <w:rStyle w:val="CaptionLabel"/>
        </w:rPr>
        <w:fldChar w:fldCharType="end"/>
      </w:r>
      <w:r w:rsidRPr="00CE1D7F">
        <w:tab/>
        <w:t>Communication of impacts</w:t>
      </w:r>
    </w:p>
    <w:tbl>
      <w:tblPr>
        <w:tblW w:w="0" w:type="auto"/>
        <w:tblLayout w:type="fixed"/>
        <w:tblCellMar>
          <w:left w:w="0" w:type="dxa"/>
          <w:right w:w="0" w:type="dxa"/>
        </w:tblCellMar>
        <w:tblLook w:val="0000" w:firstRow="0" w:lastRow="0" w:firstColumn="0" w:lastColumn="0" w:noHBand="0" w:noVBand="0"/>
        <w:tblCaption w:val="Key Finding 11"/>
        <w:tblDescription w:val="Communication of impacts"/>
      </w:tblPr>
      <w:tblGrid>
        <w:gridCol w:w="7936"/>
      </w:tblGrid>
      <w:tr w:rsidR="002B32A0" w:rsidRPr="00CE1D7F" w14:paraId="48B997CF" w14:textId="77777777" w:rsidTr="006258ED">
        <w:tc>
          <w:tcPr>
            <w:tcW w:w="7936" w:type="dxa"/>
            <w:shd w:val="clear" w:color="auto" w:fill="E5E5E5"/>
            <w:tcMar>
              <w:top w:w="112" w:type="dxa"/>
              <w:bottom w:w="184" w:type="dxa"/>
              <w:right w:w="120" w:type="dxa"/>
            </w:tcMar>
          </w:tcPr>
          <w:p w14:paraId="4CCADE22" w14:textId="77777777" w:rsidR="002B32A0" w:rsidRDefault="002B32A0" w:rsidP="006258ED">
            <w:pPr>
              <w:pStyle w:val="BoxText"/>
              <w:rPr>
                <w:sz w:val="22"/>
              </w:rPr>
            </w:pPr>
            <w:r>
              <w:rPr>
                <w:sz w:val="22"/>
              </w:rPr>
              <w:t>M</w:t>
            </w:r>
            <w:r w:rsidRPr="00103131">
              <w:rPr>
                <w:sz w:val="22"/>
              </w:rPr>
              <w:t>ost survey respondents reported that it was somewhat or very important that the ARC monitor and communicate the impact of funded research (71%)</w:t>
            </w:r>
            <w:r>
              <w:rPr>
                <w:sz w:val="22"/>
              </w:rPr>
              <w:t>.</w:t>
            </w:r>
          </w:p>
          <w:p w14:paraId="1DB88ADB" w14:textId="77777777" w:rsidR="002B32A0" w:rsidRPr="001A6DB5" w:rsidRDefault="002B32A0" w:rsidP="006258ED">
            <w:pPr>
              <w:pStyle w:val="BoxText"/>
              <w:rPr>
                <w:sz w:val="22"/>
              </w:rPr>
            </w:pPr>
            <w:r>
              <w:rPr>
                <w:sz w:val="22"/>
              </w:rPr>
              <w:t>Stakeholders stated that the c</w:t>
            </w:r>
            <w:r w:rsidRPr="001A6DB5">
              <w:rPr>
                <w:sz w:val="22"/>
              </w:rPr>
              <w:t xml:space="preserve">ommunication of research </w:t>
            </w:r>
            <w:r>
              <w:rPr>
                <w:sz w:val="22"/>
              </w:rPr>
              <w:t xml:space="preserve">impact </w:t>
            </w:r>
            <w:r w:rsidRPr="001A6DB5">
              <w:rPr>
                <w:sz w:val="22"/>
              </w:rPr>
              <w:t xml:space="preserve">is a shared </w:t>
            </w:r>
            <w:r>
              <w:rPr>
                <w:sz w:val="22"/>
              </w:rPr>
              <w:t>responsibility</w:t>
            </w:r>
            <w:r w:rsidRPr="001A6DB5">
              <w:rPr>
                <w:sz w:val="22"/>
              </w:rPr>
              <w:t xml:space="preserve"> across the research ecosystem.</w:t>
            </w:r>
          </w:p>
          <w:p w14:paraId="4BB3B87E" w14:textId="77777777" w:rsidR="002B32A0" w:rsidRPr="00CE1D7F" w:rsidRDefault="002B32A0" w:rsidP="006258ED">
            <w:pPr>
              <w:pStyle w:val="BoxText"/>
            </w:pPr>
            <w:r w:rsidRPr="001A6DB5">
              <w:rPr>
                <w:sz w:val="22"/>
              </w:rPr>
              <w:t>There is an opportunity to improve how the ARC communicates the impacts of its research to deliver more accountability and transparency around public funding and advocate for the value of research and the impacts delivered.</w:t>
            </w:r>
          </w:p>
        </w:tc>
      </w:tr>
    </w:tbl>
    <w:p w14:paraId="440E8605" w14:textId="77777777" w:rsidR="002B32A0" w:rsidRPr="00CE1D7F" w:rsidRDefault="002B32A0" w:rsidP="002B32A0">
      <w:pPr>
        <w:pStyle w:val="BodyText"/>
      </w:pPr>
      <w:r w:rsidRPr="00CE1D7F">
        <w:t>The ARC uses media releases, government briefings, social media (LinkedIn, Twitter and YouTube), and publications</w:t>
      </w:r>
      <w:r>
        <w:t xml:space="preserve"> (e.g. Making a Difference</w:t>
      </w:r>
      <w:r>
        <w:rPr>
          <w:rStyle w:val="FootnoteReference"/>
        </w:rPr>
        <w:footnoteReference w:id="79"/>
      </w:r>
      <w:r>
        <w:t>)</w:t>
      </w:r>
      <w:r w:rsidRPr="00CE1D7F">
        <w:t xml:space="preserve"> to communicate with stakeholders.</w:t>
      </w:r>
      <w:r>
        <w:t xml:space="preserve"> Much of the ARC’s communication on impact also occurs through in-person meetings.</w:t>
      </w:r>
    </w:p>
    <w:p w14:paraId="7C385105" w14:textId="31B9E457" w:rsidR="002B32A0" w:rsidRPr="00CE1D7F" w:rsidRDefault="002B32A0" w:rsidP="002B32A0">
      <w:pPr>
        <w:pStyle w:val="BodyText"/>
      </w:pPr>
      <w:r w:rsidRPr="00CE1D7F">
        <w:t xml:space="preserve">Most survey respondents reported that it was somewhat or very important that the ARC monitor and communicate the impact of funded research (71%, see </w:t>
      </w:r>
      <w:r w:rsidRPr="00F87D0E">
        <w:fldChar w:fldCharType="begin"/>
      </w:r>
      <w:r w:rsidRPr="00F87D0E">
        <w:instrText xml:space="preserve"> REF _Ref123903843 \h  \* MERGEFORMAT </w:instrText>
      </w:r>
      <w:r w:rsidRPr="00F87D0E">
        <w:fldChar w:fldCharType="separate"/>
      </w:r>
      <w:r w:rsidR="000B0AC7" w:rsidRPr="000B0AC7">
        <w:t>Figure 4.7</w:t>
      </w:r>
      <w:r w:rsidRPr="00F87D0E">
        <w:fldChar w:fldCharType="end"/>
      </w:r>
      <w:r w:rsidRPr="00CE1D7F">
        <w:t xml:space="preserve">, left chart). Qualitative analysis of survey free text responses shows that this is important because of the </w:t>
      </w:r>
      <w:r w:rsidRPr="00CE1D7F">
        <w:rPr>
          <w:b/>
          <w:bCs/>
          <w:i/>
          <w:iCs/>
        </w:rPr>
        <w:t xml:space="preserve">public </w:t>
      </w:r>
      <w:r w:rsidRPr="00CE1D7F">
        <w:t xml:space="preserve">(720) and </w:t>
      </w:r>
      <w:r w:rsidRPr="00CE1D7F">
        <w:rPr>
          <w:b/>
          <w:bCs/>
          <w:i/>
          <w:iCs/>
        </w:rPr>
        <w:t xml:space="preserve">taxpayer </w:t>
      </w:r>
      <w:r w:rsidRPr="00CE1D7F">
        <w:t xml:space="preserve">(314) funded nature of ARC grants. Respondents considered that the </w:t>
      </w:r>
      <w:r w:rsidRPr="00CE1D7F">
        <w:rPr>
          <w:b/>
          <w:bCs/>
          <w:i/>
          <w:iCs/>
        </w:rPr>
        <w:t xml:space="preserve">benefits </w:t>
      </w:r>
      <w:r w:rsidRPr="00CE1D7F">
        <w:t xml:space="preserve">(172) of funding research need to be conveyed to the </w:t>
      </w:r>
      <w:r w:rsidRPr="00CE1D7F">
        <w:rPr>
          <w:b/>
          <w:bCs/>
          <w:i/>
          <w:iCs/>
        </w:rPr>
        <w:t xml:space="preserve">community </w:t>
      </w:r>
      <w:r w:rsidRPr="00CE1D7F">
        <w:t xml:space="preserve">(175) and </w:t>
      </w:r>
      <w:r w:rsidRPr="00CE1D7F">
        <w:rPr>
          <w:b/>
          <w:bCs/>
          <w:i/>
          <w:iCs/>
        </w:rPr>
        <w:t xml:space="preserve">general public </w:t>
      </w:r>
      <w:r w:rsidRPr="00CE1D7F">
        <w:t xml:space="preserve">(71), and these groups should be informed about how the </w:t>
      </w:r>
      <w:r w:rsidRPr="00CE1D7F">
        <w:rPr>
          <w:b/>
          <w:bCs/>
          <w:i/>
          <w:iCs/>
        </w:rPr>
        <w:t xml:space="preserve">investment </w:t>
      </w:r>
      <w:r w:rsidRPr="00CE1D7F">
        <w:t xml:space="preserve">(82) creates </w:t>
      </w:r>
      <w:r w:rsidRPr="00CE1D7F">
        <w:rPr>
          <w:b/>
          <w:bCs/>
          <w:i/>
          <w:iCs/>
        </w:rPr>
        <w:t xml:space="preserve">value </w:t>
      </w:r>
      <w:r w:rsidRPr="00CE1D7F">
        <w:t xml:space="preserve">(261) and </w:t>
      </w:r>
      <w:r w:rsidRPr="00CE1D7F">
        <w:rPr>
          <w:b/>
          <w:bCs/>
          <w:i/>
          <w:iCs/>
        </w:rPr>
        <w:t xml:space="preserve">impact </w:t>
      </w:r>
      <w:r w:rsidRPr="00CE1D7F">
        <w:t xml:space="preserve">(674). Crucial to effective communication is </w:t>
      </w:r>
      <w:r w:rsidRPr="00CE1D7F">
        <w:rPr>
          <w:b/>
          <w:bCs/>
          <w:i/>
          <w:iCs/>
        </w:rPr>
        <w:t xml:space="preserve">transparency </w:t>
      </w:r>
      <w:r w:rsidRPr="00CE1D7F">
        <w:t xml:space="preserve">(46) and </w:t>
      </w:r>
      <w:r w:rsidRPr="00CE1D7F">
        <w:rPr>
          <w:b/>
          <w:bCs/>
          <w:i/>
          <w:iCs/>
        </w:rPr>
        <w:t xml:space="preserve">accountability </w:t>
      </w:r>
      <w:r w:rsidRPr="00CE1D7F">
        <w:t>(187).</w:t>
      </w:r>
    </w:p>
    <w:p w14:paraId="1789198A" w14:textId="77777777" w:rsidR="002B32A0" w:rsidRPr="00CE1D7F" w:rsidRDefault="002B32A0" w:rsidP="002B32A0">
      <w:pPr>
        <w:pStyle w:val="Quote"/>
      </w:pPr>
      <w:r w:rsidRPr="00CE1D7F">
        <w:t>“Communication of the long-term benefits of research is important to help the broader community understand the value of ARC-funded research, which helps to ensure the programs remain in place.” – Survey respondent</w:t>
      </w:r>
    </w:p>
    <w:p w14:paraId="01A58C31" w14:textId="7AA51939" w:rsidR="002B32A0" w:rsidRPr="00CE1D7F" w:rsidRDefault="002B32A0" w:rsidP="002B32A0">
      <w:pPr>
        <w:pStyle w:val="Quote"/>
      </w:pPr>
      <w:r w:rsidRPr="00CE1D7F">
        <w:t xml:space="preserve">“Scientific outreach and communication </w:t>
      </w:r>
      <w:r w:rsidR="00054253" w:rsidRPr="00CE1D7F">
        <w:t>are</w:t>
      </w:r>
      <w:r w:rsidRPr="00CE1D7F">
        <w:t xml:space="preserve"> a critically important role for academics, and this is especially true for those whose research is funded by federal programs like the ARC. Showcasing the diversity of impacts from ARC-funded research would also help motivate and inspire members of the Australian community to get involved themselves or take pride in their country's research community.” – Survey respondent </w:t>
      </w:r>
    </w:p>
    <w:p w14:paraId="46FFEB19" w14:textId="77777777" w:rsidR="002B32A0" w:rsidRPr="00CE1D7F" w:rsidRDefault="002B32A0" w:rsidP="002B32A0">
      <w:pPr>
        <w:pStyle w:val="Quote"/>
      </w:pPr>
      <w:r w:rsidRPr="00CE1D7F">
        <w:t>“To explain, promote and justify public expenditures and demonstrate value-for-money in its grants.” – Survey respondent</w:t>
      </w:r>
    </w:p>
    <w:p w14:paraId="62EAF9DE" w14:textId="146D8E85" w:rsidR="002B32A0" w:rsidRPr="00CE1D7F" w:rsidRDefault="002B32A0" w:rsidP="002B32A0">
      <w:pPr>
        <w:pStyle w:val="BodyText"/>
      </w:pPr>
      <w:r w:rsidRPr="00CE1D7F">
        <w:t xml:space="preserve">However, only 25% of respondents thought that the ARC was effective to very effective in communicating about impact (see </w:t>
      </w:r>
      <w:r w:rsidRPr="00F87D0E">
        <w:fldChar w:fldCharType="begin"/>
      </w:r>
      <w:r w:rsidRPr="00F87D0E">
        <w:instrText xml:space="preserve"> REF _Ref123903843 \h  \* MERGEFORMAT </w:instrText>
      </w:r>
      <w:r w:rsidRPr="00F87D0E">
        <w:fldChar w:fldCharType="separate"/>
      </w:r>
      <w:r w:rsidR="000B0AC7" w:rsidRPr="000B0AC7">
        <w:t>Figure 4.7</w:t>
      </w:r>
      <w:r w:rsidRPr="00F87D0E">
        <w:fldChar w:fldCharType="end"/>
      </w:r>
      <w:r w:rsidRPr="00CE1D7F">
        <w:t xml:space="preserve">, right chart). 18% considered the ARC to be ineffective of very ineffective and a large proportion were neutral (39%) or unsure (19%). </w:t>
      </w:r>
    </w:p>
    <w:p w14:paraId="6B80B281" w14:textId="77777777" w:rsidR="002B32A0" w:rsidRPr="00CE1D7F" w:rsidRDefault="002B32A0" w:rsidP="002B32A0">
      <w:pPr>
        <w:pStyle w:val="BodyText"/>
        <w:rPr>
          <w:lang w:eastAsia="en-AU"/>
        </w:rPr>
      </w:pPr>
      <w:r w:rsidRPr="00CE1D7F">
        <w:t xml:space="preserve">This aligns with domestic </w:t>
      </w:r>
      <w:r w:rsidRPr="00CE1D7F">
        <w:rPr>
          <w:lang w:eastAsia="en-AU"/>
        </w:rPr>
        <w:t>stakeholders' mixed views on whether the ARC effectively communicated</w:t>
      </w:r>
      <w:r w:rsidRPr="00CE1D7F">
        <w:t xml:space="preserve"> the outcomes and impacts of funded research. Some noted that ARC’s communications with universities have improved in recent years and that they were </w:t>
      </w:r>
      <w:r w:rsidRPr="00CE1D7F">
        <w:rPr>
          <w:lang w:eastAsia="en-AU"/>
        </w:rPr>
        <w:t>timely and scheduled. However, 2</w:t>
      </w:r>
      <w:r w:rsidRPr="00CE1D7F">
        <w:t xml:space="preserve"> </w:t>
      </w:r>
      <w:r w:rsidRPr="00CE1D7F">
        <w:rPr>
          <w:lang w:eastAsia="en-AU"/>
        </w:rPr>
        <w:t xml:space="preserve">stakeholders did not have good visibility of the outcomes and impacts generated due to limited reporting or communication from ARC. </w:t>
      </w:r>
    </w:p>
    <w:p w14:paraId="434CFE8B" w14:textId="77777777" w:rsidR="002B32A0" w:rsidRDefault="002B32A0" w:rsidP="002B32A0">
      <w:pPr>
        <w:pStyle w:val="Quote"/>
        <w:rPr>
          <w:lang w:eastAsia="en-AU"/>
        </w:rPr>
      </w:pPr>
      <w:r w:rsidRPr="00CE1D7F">
        <w:rPr>
          <w:lang w:eastAsia="en-AU"/>
        </w:rPr>
        <w:t xml:space="preserve">“Given the ARC is the primary funder of research, they should do more to talk about the outcomes and impacts of research to government so that it is better recognised as </w:t>
      </w:r>
      <w:r w:rsidRPr="00CE1D7F">
        <w:rPr>
          <w:lang w:eastAsia="en-AU"/>
        </w:rPr>
        <w:lastRenderedPageBreak/>
        <w:t xml:space="preserve">important. If they collect data about the research, what are they doing with it?” – </w:t>
      </w:r>
      <w:r w:rsidRPr="00CE1D7F">
        <w:t xml:space="preserve">Domestic </w:t>
      </w:r>
      <w:r w:rsidRPr="00CE1D7F">
        <w:rPr>
          <w:lang w:eastAsia="en-AU"/>
        </w:rPr>
        <w:t>stakeholder</w:t>
      </w:r>
    </w:p>
    <w:p w14:paraId="1C5D79CE" w14:textId="1636EA74" w:rsidR="000B0AC7" w:rsidRPr="00CE1D7F" w:rsidRDefault="000B0AC7" w:rsidP="000B0AC7">
      <w:pPr>
        <w:pStyle w:val="Caption"/>
        <w:ind w:left="1308" w:hanging="1308"/>
      </w:pPr>
      <w:bookmarkStart w:id="201" w:name="_Ref123903843"/>
      <w:r w:rsidRPr="00CE1D7F">
        <w:rPr>
          <w:rStyle w:val="CaptionLabel"/>
        </w:rPr>
        <w:t>Figure </w:t>
      </w:r>
      <w:r w:rsidRPr="00CE1D7F">
        <w:rPr>
          <w:rStyle w:val="CaptionLabel"/>
        </w:rPr>
        <w:fldChar w:fldCharType="begin"/>
      </w:r>
      <w:r w:rsidRPr="00CE1D7F">
        <w:rPr>
          <w:rStyle w:val="CaptionLabel"/>
        </w:rPr>
        <w:instrText xml:space="preserve"> STYLEREF 1 \s </w:instrText>
      </w:r>
      <w:r w:rsidRPr="00CE1D7F">
        <w:rPr>
          <w:rStyle w:val="CaptionLabel"/>
        </w:rPr>
        <w:fldChar w:fldCharType="separate"/>
      </w:r>
      <w:r>
        <w:rPr>
          <w:rStyle w:val="CaptionLabel"/>
          <w:noProof/>
        </w:rPr>
        <w:t>4</w:t>
      </w:r>
      <w:r w:rsidRPr="00CE1D7F">
        <w:rPr>
          <w:rStyle w:val="CaptionLabel"/>
        </w:rPr>
        <w:fldChar w:fldCharType="end"/>
      </w:r>
      <w:r w:rsidRPr="00CE1D7F">
        <w:rPr>
          <w:rStyle w:val="CaptionLabel"/>
        </w:rPr>
        <w:t>.</w:t>
      </w:r>
      <w:r w:rsidRPr="00CE1D7F">
        <w:rPr>
          <w:rStyle w:val="CaptionLabel"/>
        </w:rPr>
        <w:fldChar w:fldCharType="begin"/>
      </w:r>
      <w:r w:rsidRPr="00CE1D7F">
        <w:rPr>
          <w:rStyle w:val="CaptionLabel"/>
        </w:rPr>
        <w:instrText xml:space="preserve"> SEQ Figure \* ARABIC \s 1 </w:instrText>
      </w:r>
      <w:r w:rsidRPr="00CE1D7F">
        <w:rPr>
          <w:rStyle w:val="CaptionLabel"/>
        </w:rPr>
        <w:fldChar w:fldCharType="separate"/>
      </w:r>
      <w:r>
        <w:rPr>
          <w:rStyle w:val="CaptionLabel"/>
          <w:noProof/>
        </w:rPr>
        <w:t>7</w:t>
      </w:r>
      <w:r w:rsidRPr="00CE1D7F">
        <w:rPr>
          <w:rStyle w:val="CaptionLabel"/>
        </w:rPr>
        <w:fldChar w:fldCharType="end"/>
      </w:r>
      <w:bookmarkEnd w:id="201"/>
      <w:r w:rsidRPr="00CE1D7F">
        <w:tab/>
        <w:t>Survey results on the importance and effectiveness of ARC’s monitoring and communicating of the impact of funded research</w:t>
      </w:r>
    </w:p>
    <w:tbl>
      <w:tblPr>
        <w:tblW w:w="7937" w:type="dxa"/>
        <w:tblLayout w:type="fixed"/>
        <w:tblLook w:val="0000" w:firstRow="0" w:lastRow="0" w:firstColumn="0" w:lastColumn="0" w:noHBand="0" w:noVBand="0"/>
      </w:tblPr>
      <w:tblGrid>
        <w:gridCol w:w="3968"/>
        <w:gridCol w:w="3969"/>
      </w:tblGrid>
      <w:tr w:rsidR="002B32A0" w:rsidRPr="00CE1D7F" w14:paraId="4743932E" w14:textId="77777777" w:rsidTr="006258ED">
        <w:tc>
          <w:tcPr>
            <w:tcW w:w="3968" w:type="dxa"/>
            <w:tcBorders>
              <w:top w:val="single" w:sz="4" w:space="0" w:color="000100"/>
            </w:tcBorders>
            <w:shd w:val="clear" w:color="auto" w:fill="auto"/>
          </w:tcPr>
          <w:p w14:paraId="3DE04DAA" w14:textId="77777777" w:rsidR="002B32A0" w:rsidRPr="00CE1D7F" w:rsidRDefault="002B32A0" w:rsidP="006258ED">
            <w:pPr>
              <w:pStyle w:val="Figure"/>
              <w:jc w:val="center"/>
              <w:rPr>
                <w:b/>
                <w:bCs/>
                <w:i/>
                <w:iCs/>
                <w:sz w:val="20"/>
                <w:szCs w:val="28"/>
              </w:rPr>
            </w:pPr>
            <w:r w:rsidRPr="00CE1D7F">
              <w:rPr>
                <w:b/>
                <w:bCs/>
                <w:i/>
                <w:iCs/>
                <w:sz w:val="20"/>
                <w:szCs w:val="28"/>
              </w:rPr>
              <w:t>Importance</w:t>
            </w:r>
          </w:p>
        </w:tc>
        <w:tc>
          <w:tcPr>
            <w:tcW w:w="3969" w:type="dxa"/>
            <w:tcBorders>
              <w:top w:val="single" w:sz="4" w:space="0" w:color="000100"/>
            </w:tcBorders>
            <w:shd w:val="clear" w:color="auto" w:fill="auto"/>
          </w:tcPr>
          <w:p w14:paraId="61103EBC" w14:textId="77777777" w:rsidR="002B32A0" w:rsidRPr="00CE1D7F" w:rsidRDefault="002B32A0" w:rsidP="006258ED">
            <w:pPr>
              <w:pStyle w:val="Figure"/>
              <w:jc w:val="center"/>
              <w:rPr>
                <w:b/>
                <w:bCs/>
                <w:i/>
                <w:iCs/>
                <w:sz w:val="20"/>
                <w:szCs w:val="28"/>
              </w:rPr>
            </w:pPr>
            <w:r w:rsidRPr="00CE1D7F">
              <w:rPr>
                <w:b/>
                <w:bCs/>
                <w:i/>
                <w:iCs/>
                <w:sz w:val="20"/>
                <w:szCs w:val="28"/>
              </w:rPr>
              <w:t>Effectiveness</w:t>
            </w:r>
          </w:p>
        </w:tc>
      </w:tr>
      <w:tr w:rsidR="002B32A0" w:rsidRPr="00CE1D7F" w14:paraId="5AD8C358" w14:textId="77777777" w:rsidTr="006258ED">
        <w:tc>
          <w:tcPr>
            <w:tcW w:w="3968" w:type="dxa"/>
            <w:tcBorders>
              <w:top w:val="single" w:sz="4" w:space="0" w:color="000100"/>
            </w:tcBorders>
            <w:shd w:val="clear" w:color="auto" w:fill="auto"/>
          </w:tcPr>
          <w:p w14:paraId="0672203C" w14:textId="77777777" w:rsidR="002B32A0" w:rsidRPr="00CE1D7F" w:rsidRDefault="002B32A0" w:rsidP="006258ED">
            <w:pPr>
              <w:pStyle w:val="Figure"/>
            </w:pPr>
            <w:r w:rsidRPr="00CE1D7F">
              <w:rPr>
                <w:noProof/>
              </w:rPr>
              <w:drawing>
                <wp:inline distT="0" distB="0" distL="0" distR="0" wp14:anchorId="1DF2F274" wp14:editId="5BB8F5D3">
                  <wp:extent cx="2288333" cy="2375065"/>
                  <wp:effectExtent l="0" t="0" r="0" b="6350"/>
                  <wp:docPr id="525" name="Picture 525" descr="Survey results on the importance of ARC’s monitoring and communicating of the impact of funded research, see description in text abov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Picture 525" descr="Survey results on the importance of ARC’s monitoring and communicating of the impact of funded research, see description in text above figure."/>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t="2160"/>
                          <a:stretch/>
                        </pic:blipFill>
                        <pic:spPr bwMode="auto">
                          <a:xfrm>
                            <a:off x="0" y="0"/>
                            <a:ext cx="2317557" cy="240539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969" w:type="dxa"/>
            <w:tcBorders>
              <w:top w:val="single" w:sz="4" w:space="0" w:color="000100"/>
            </w:tcBorders>
            <w:shd w:val="clear" w:color="auto" w:fill="auto"/>
          </w:tcPr>
          <w:p w14:paraId="634B4D13" w14:textId="77777777" w:rsidR="002B32A0" w:rsidRPr="00CE1D7F" w:rsidRDefault="002B32A0" w:rsidP="006258ED">
            <w:pPr>
              <w:pStyle w:val="Figure"/>
            </w:pPr>
            <w:r w:rsidRPr="00CE1D7F">
              <w:rPr>
                <w:noProof/>
              </w:rPr>
              <w:drawing>
                <wp:inline distT="0" distB="0" distL="0" distR="0" wp14:anchorId="5D4C0308" wp14:editId="76189B60">
                  <wp:extent cx="2315688" cy="2381401"/>
                  <wp:effectExtent l="0" t="0" r="8890" b="0"/>
                  <wp:docPr id="522" name="Picture 522" descr="Survey results on the effectiveness of ARC’s monitoring and communicating of the impact of funded research, see description in text abov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Picture 522" descr="Survey results on the effectiveness of ARC’s monitoring and communicating of the impact of funded research, see description in text above figure."/>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t="2636" b="-1"/>
                          <a:stretch/>
                        </pic:blipFill>
                        <pic:spPr bwMode="auto">
                          <a:xfrm>
                            <a:off x="0" y="0"/>
                            <a:ext cx="2336299" cy="240259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B32A0" w:rsidRPr="00CE1D7F" w14:paraId="6715B62E" w14:textId="77777777" w:rsidTr="006258ED">
        <w:tblPrEx>
          <w:tblCellMar>
            <w:left w:w="0" w:type="dxa"/>
            <w:right w:w="0" w:type="dxa"/>
          </w:tblCellMar>
        </w:tblPrEx>
        <w:trPr>
          <w:trHeight w:val="137"/>
        </w:trPr>
        <w:tc>
          <w:tcPr>
            <w:tcW w:w="7937" w:type="dxa"/>
            <w:gridSpan w:val="2"/>
            <w:tcBorders>
              <w:bottom w:val="single" w:sz="4" w:space="0" w:color="000100"/>
            </w:tcBorders>
            <w:shd w:val="clear" w:color="auto" w:fill="auto"/>
            <w:tcMar>
              <w:top w:w="12" w:type="dxa"/>
              <w:bottom w:w="113" w:type="dxa"/>
            </w:tcMar>
          </w:tcPr>
          <w:p w14:paraId="48CAE0F5" w14:textId="77777777" w:rsidR="002B32A0" w:rsidRPr="00CE1D7F" w:rsidRDefault="002B32A0" w:rsidP="006258ED">
            <w:pPr>
              <w:pStyle w:val="Source"/>
              <w:rPr>
                <w:i w:val="0"/>
                <w:iCs/>
              </w:rPr>
            </w:pPr>
            <w:r w:rsidRPr="00CE1D7F">
              <w:rPr>
                <w:i w:val="0"/>
                <w:iCs/>
              </w:rPr>
              <w:t>Importance n=3,518, effectiveness n=3,517</w:t>
            </w:r>
          </w:p>
          <w:p w14:paraId="2A24F69D" w14:textId="77777777" w:rsidR="002B32A0" w:rsidRPr="00CE1D7F" w:rsidRDefault="002B32A0" w:rsidP="006258ED">
            <w:pPr>
              <w:pStyle w:val="Source"/>
            </w:pPr>
            <w:r w:rsidRPr="00CE1D7F">
              <w:t>Source: ACIL Allen survey of ARC funding recipients</w:t>
            </w:r>
          </w:p>
        </w:tc>
      </w:tr>
    </w:tbl>
    <w:p w14:paraId="2AC49E75" w14:textId="77777777" w:rsidR="002B32A0" w:rsidRPr="00CE1D7F" w:rsidRDefault="002B32A0" w:rsidP="0017792C">
      <w:pPr>
        <w:pStyle w:val="BodyText"/>
        <w:spacing w:before="120"/>
      </w:pPr>
      <w:r w:rsidRPr="00CE1D7F">
        <w:t xml:space="preserve">One domestic </w:t>
      </w:r>
      <w:r w:rsidRPr="00CE1D7F">
        <w:rPr>
          <w:lang w:eastAsia="en-AU"/>
        </w:rPr>
        <w:t xml:space="preserve">stakeholder </w:t>
      </w:r>
      <w:r w:rsidRPr="00CE1D7F">
        <w:t>considered that responsibility for communicating research impacts was shared across ARC (with a focus on Government), peak bodies, universities and researchers (with a focus on researchers and the general public). For impacts that emerge long after the grant concludes (e.g. 10 years), the responsibility should rest with the university and researcher.</w:t>
      </w:r>
    </w:p>
    <w:p w14:paraId="53FFACC5" w14:textId="77777777" w:rsidR="002B32A0" w:rsidRPr="00CE1D7F" w:rsidRDefault="002B32A0" w:rsidP="002B32A0">
      <w:pPr>
        <w:pStyle w:val="BodyText"/>
      </w:pPr>
      <w:r w:rsidRPr="00CE1D7F">
        <w:t xml:space="preserve">Some domestic </w:t>
      </w:r>
      <w:r w:rsidRPr="00CE1D7F">
        <w:rPr>
          <w:lang w:eastAsia="en-AU"/>
        </w:rPr>
        <w:t xml:space="preserve">stakeholders considered that the ARC could better communicate with the general public to ensure accountability for government funding and improve awareness and understanding of the value of research. The ARC could also </w:t>
      </w:r>
      <w:r w:rsidRPr="00CE1D7F">
        <w:t xml:space="preserve">raise awareness of the ARC’s existing researcher and project databases so that </w:t>
      </w:r>
      <w:r w:rsidRPr="00CE1D7F">
        <w:rPr>
          <w:lang w:eastAsia="en-AU"/>
        </w:rPr>
        <w:t xml:space="preserve">government, industry and other end-users know what research is being undertaken and who is impactful in their area of interest. For example, </w:t>
      </w:r>
      <w:r w:rsidRPr="00CE1D7F">
        <w:t>GovHack, was considered useful for raising awareness of the Government’s open data sources and the value these can generate for end-users.</w:t>
      </w:r>
      <w:r w:rsidRPr="00CE1D7F">
        <w:rPr>
          <w:rStyle w:val="FootnoteReference"/>
        </w:rPr>
        <w:footnoteReference w:id="80"/>
      </w:r>
    </w:p>
    <w:p w14:paraId="1293D93C" w14:textId="77777777" w:rsidR="002B32A0" w:rsidRPr="00CE1D7F" w:rsidRDefault="002B32A0" w:rsidP="002B32A0">
      <w:pPr>
        <w:pStyle w:val="BodyText"/>
      </w:pPr>
      <w:r w:rsidRPr="00CE1D7F">
        <w:t xml:space="preserve">Qualitative analysis of survey free text responses reveals strong support for ARC to better showcase research impacts through traditional </w:t>
      </w:r>
      <w:r w:rsidRPr="00CE1D7F">
        <w:rPr>
          <w:b/>
          <w:bCs/>
          <w:i/>
          <w:iCs/>
        </w:rPr>
        <w:t xml:space="preserve">media </w:t>
      </w:r>
      <w:r w:rsidRPr="00CE1D7F">
        <w:t xml:space="preserve">(283) and </w:t>
      </w:r>
      <w:r w:rsidRPr="00CE1D7F">
        <w:rPr>
          <w:b/>
          <w:bCs/>
          <w:i/>
          <w:iCs/>
        </w:rPr>
        <w:t xml:space="preserve">social media </w:t>
      </w:r>
      <w:r w:rsidRPr="00CE1D7F">
        <w:t xml:space="preserve">(80). Support for an </w:t>
      </w:r>
      <w:r w:rsidRPr="00CE1D7F">
        <w:rPr>
          <w:b/>
          <w:bCs/>
          <w:i/>
          <w:iCs/>
        </w:rPr>
        <w:t xml:space="preserve">annual report </w:t>
      </w:r>
      <w:r w:rsidRPr="00CE1D7F">
        <w:t xml:space="preserve">(21) showcasing the results and impacts of the suite of projects was common, as this was seen as useful for communicating and following up on researchers’ </w:t>
      </w:r>
      <w:r w:rsidRPr="00CE1D7F">
        <w:rPr>
          <w:b/>
          <w:bCs/>
          <w:i/>
          <w:iCs/>
        </w:rPr>
        <w:t xml:space="preserve">final reports </w:t>
      </w:r>
      <w:r w:rsidRPr="00CE1D7F">
        <w:t xml:space="preserve">(44). Respondents considered that the ARC could better </w:t>
      </w:r>
      <w:r w:rsidRPr="00CE1D7F">
        <w:rPr>
          <w:b/>
          <w:bCs/>
          <w:i/>
          <w:iCs/>
        </w:rPr>
        <w:t xml:space="preserve">promote </w:t>
      </w:r>
      <w:r w:rsidRPr="00CE1D7F">
        <w:t xml:space="preserve">(66) the </w:t>
      </w:r>
      <w:r w:rsidRPr="00CE1D7F">
        <w:rPr>
          <w:b/>
          <w:bCs/>
          <w:i/>
          <w:iCs/>
        </w:rPr>
        <w:t xml:space="preserve">outcomes </w:t>
      </w:r>
      <w:r w:rsidRPr="00CE1D7F">
        <w:t xml:space="preserve">(199) of the research that it funds to the </w:t>
      </w:r>
      <w:r w:rsidRPr="00CE1D7F">
        <w:rPr>
          <w:b/>
          <w:bCs/>
          <w:i/>
          <w:iCs/>
        </w:rPr>
        <w:t xml:space="preserve">public </w:t>
      </w:r>
      <w:r w:rsidRPr="00CE1D7F">
        <w:t xml:space="preserve">(236) and </w:t>
      </w:r>
      <w:r w:rsidRPr="00CE1D7F">
        <w:rPr>
          <w:b/>
          <w:bCs/>
          <w:i/>
          <w:iCs/>
        </w:rPr>
        <w:t xml:space="preserve">industry </w:t>
      </w:r>
      <w:r w:rsidRPr="00CE1D7F">
        <w:t>(84).</w:t>
      </w:r>
    </w:p>
    <w:p w14:paraId="4D019A34" w14:textId="77777777" w:rsidR="002B32A0" w:rsidRPr="00CE1D7F" w:rsidRDefault="002B32A0" w:rsidP="0017792C">
      <w:pPr>
        <w:pStyle w:val="Quote"/>
        <w:spacing w:before="80" w:after="80"/>
      </w:pPr>
      <w:r w:rsidRPr="00CE1D7F">
        <w:t xml:space="preserve">“Broader public and government communication of research impacts and engaging projects through the media” – Survey respondent </w:t>
      </w:r>
    </w:p>
    <w:p w14:paraId="51859AB3" w14:textId="77777777" w:rsidR="002B32A0" w:rsidRPr="00CE1D7F" w:rsidRDefault="002B32A0" w:rsidP="0017792C">
      <w:pPr>
        <w:pStyle w:val="Quote"/>
        <w:spacing w:before="80" w:after="80"/>
      </w:pPr>
      <w:r w:rsidRPr="00CE1D7F">
        <w:t xml:space="preserve">“Communicate the impacts of ARC-funded research in digestible accessible formats, e.g. widely read news media, via a biannual piece in ABC News/the Conversation or similar, via a podcast, on social media in the form of infographics with simple, pithy messaging to target publics of all ages, and especially engage younger publics (e.g. communicate </w:t>
      </w:r>
      <w:r w:rsidRPr="00CE1D7F">
        <w:lastRenderedPageBreak/>
        <w:t>impacts on Twitter, FB, TikTok and other widely used social media platforms).” – Survey respondent</w:t>
      </w:r>
    </w:p>
    <w:p w14:paraId="0D8CAEC1" w14:textId="77777777" w:rsidR="002B32A0" w:rsidRPr="00CE1D7F" w:rsidRDefault="002B32A0" w:rsidP="0017792C">
      <w:pPr>
        <w:pStyle w:val="Quote"/>
        <w:spacing w:before="80" w:after="80"/>
      </w:pPr>
      <w:r w:rsidRPr="00CE1D7F">
        <w:t>“An online, publicly available, publication outlining the annual outcomes of the research written for the public and politicians. Many people are totally unaware of what great work the ARC does.” – Survey respondent</w:t>
      </w:r>
    </w:p>
    <w:p w14:paraId="6918E0E7" w14:textId="77777777" w:rsidR="002B32A0" w:rsidRPr="00CE1D7F" w:rsidRDefault="002B32A0" w:rsidP="002B32A0">
      <w:pPr>
        <w:pStyle w:val="BodyText"/>
        <w:sectPr w:rsidR="002B32A0" w:rsidRPr="00CE1D7F" w:rsidSect="00BA4997">
          <w:headerReference w:type="even" r:id="rId112"/>
          <w:headerReference w:type="default" r:id="rId113"/>
          <w:footerReference w:type="even" r:id="rId114"/>
          <w:footerReference w:type="default" r:id="rId115"/>
          <w:headerReference w:type="first" r:id="rId116"/>
          <w:footerReference w:type="first" r:id="rId117"/>
          <w:pgSz w:w="11906" w:h="16838" w:code="9"/>
          <w:pgMar w:top="1134" w:right="851" w:bottom="1134" w:left="3119" w:header="454" w:footer="159" w:gutter="0"/>
          <w:cols w:space="708"/>
          <w:docGrid w:linePitch="360"/>
        </w:sectPr>
      </w:pPr>
    </w:p>
    <w:p w14:paraId="15AC69A2" w14:textId="77777777" w:rsidR="000B0AC7" w:rsidRPr="00CE1D7F" w:rsidRDefault="000B0AC7" w:rsidP="000B0AC7">
      <w:pPr>
        <w:pStyle w:val="Heading1"/>
        <w:pageBreakBefore/>
        <w:ind w:left="0" w:hanging="600"/>
      </w:pPr>
      <w:bookmarkStart w:id="202" w:name="_Ref129851328"/>
      <w:bookmarkStart w:id="203" w:name="_Toc135323695"/>
      <w:r w:rsidRPr="00CE1D7F">
        <w:lastRenderedPageBreak/>
        <w:t>Challenges, opportunities and future impact assessment</w:t>
      </w:r>
      <w:bookmarkEnd w:id="202"/>
      <w:bookmarkEnd w:id="203"/>
    </w:p>
    <w:p w14:paraId="74DB5E47" w14:textId="77777777" w:rsidR="002B32A0" w:rsidRPr="00CE1D7F" w:rsidRDefault="002B32A0" w:rsidP="002B32A0">
      <w:pPr>
        <w:pStyle w:val="Introduction"/>
      </w:pPr>
      <w:bookmarkStart w:id="204" w:name="_Toc129795166"/>
      <w:r w:rsidRPr="00CE1D7F">
        <w:t xml:space="preserve">This </w:t>
      </w:r>
      <w:r>
        <w:t>chapter </w:t>
      </w:r>
      <w:r w:rsidRPr="00CE1D7F">
        <w:t>discusses the challenges of measuring, monitoring and communicating impact, the opportunities for improvement and considerations for a future state impact assessment framework.</w:t>
      </w:r>
    </w:p>
    <w:p w14:paraId="1EBCBA43" w14:textId="77777777" w:rsidR="002B32A0" w:rsidRDefault="002B32A0" w:rsidP="002B32A0">
      <w:pPr>
        <w:pStyle w:val="Heading2"/>
      </w:pPr>
      <w:bookmarkStart w:id="205" w:name="_Toc129963966"/>
      <w:bookmarkStart w:id="206" w:name="_Toc131174605"/>
      <w:bookmarkStart w:id="207" w:name="_Toc132970657"/>
      <w:bookmarkStart w:id="208" w:name="_Toc135323696"/>
      <w:r w:rsidRPr="00CE1D7F">
        <w:t>The challe</w:t>
      </w:r>
      <w:r w:rsidRPr="00CE1D7F">
        <w:rPr>
          <w:noProof/>
        </w:rPr>
        <mc:AlternateContent>
          <mc:Choice Requires="wps">
            <w:drawing>
              <wp:anchor distT="0" distB="0" distL="114300" distR="114300" simplePos="0" relativeHeight="251676672" behindDoc="0" locked="1" layoutInCell="1" allowOverlap="1" wp14:anchorId="4AB25BD3" wp14:editId="377983BF">
                <wp:simplePos x="0" y="0"/>
                <wp:positionH relativeFrom="page">
                  <wp:posOffset>441325</wp:posOffset>
                </wp:positionH>
                <wp:positionV relativeFrom="paragraph">
                  <wp:posOffset>-5080</wp:posOffset>
                </wp:positionV>
                <wp:extent cx="1289050" cy="732790"/>
                <wp:effectExtent l="0" t="0" r="0" b="0"/>
                <wp:wrapNone/>
                <wp:docPr id="114" name="Text Box 1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289050" cy="7327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B95E1B1" w14:textId="77777777" w:rsidR="002B32A0" w:rsidRPr="00537EDE" w:rsidRDefault="002B32A0" w:rsidP="002B32A0">
                            <w:pPr>
                              <w:pStyle w:val="SideNoteRegularRight"/>
                              <w:jc w:val="left"/>
                              <w:rPr>
                                <w:szCs w:val="18"/>
                              </w:rPr>
                            </w:pPr>
                            <w:r w:rsidRPr="00537EDE">
                              <w:rPr>
                                <w:szCs w:val="18"/>
                              </w:rPr>
                              <w:t>KEQ 8. What improvements, if any, could be made to the data and/or data collection methodologies the ARC uses to assess the outcomes and impacts of NCGP-funded research? What data points/metrics could the ARC collect to better inform future impact assessment work?</w:t>
                            </w:r>
                          </w:p>
                        </w:txbxContent>
                      </wps:txbx>
                      <wps:bodyPr rot="0" spcFirstLastPara="0" vertOverflow="overflow" horzOverflow="overflow" vert="horz" wrap="square" lIns="0" tIns="0" rIns="76200" bIns="762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AB25BD3" id="Text Box 114" o:spid="_x0000_s1041" type="#_x0000_t202" alt="&quot;&quot;" style="position:absolute;left:0;text-align:left;margin-left:34.75pt;margin-top:-.4pt;width:101.5pt;height:57.7pt;z-index:251676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" filled="f" stroked="f" strokeweight=".5pt">
                <v:textbox style="mso-fit-shape-to-text:t" inset="0,0,6pt,6pt">
                  <w:txbxContent>
                    <w:p w14:paraId="5B95E1B1" w14:textId="77777777" w:rsidR="002B32A0" w:rsidRPr="00537EDE" w:rsidRDefault="002B32A0" w:rsidP="002B32A0">
                      <w:pPr>
                        <w:pStyle w:val="SideNoteRegularRight"/>
                        <w:jc w:val="left"/>
                        <w:rPr>
                          <w:szCs w:val="18"/>
                        </w:rPr>
                      </w:pPr>
                      <w:r w:rsidRPr="00537EDE">
                        <w:rPr>
                          <w:szCs w:val="18"/>
                        </w:rPr>
                        <w:t>KEQ 8. What improvements, if any, could be made to the data and/or data collection methodologies the ARC uses to assess the outcomes and impacts of NCGP-funded research? What data points/metrics could the ARC collect to better inform future impact assessment work?</w:t>
                      </w:r>
                    </w:p>
                  </w:txbxContent>
                </v:textbox>
                <w10:wrap anchorx="page"/>
                <w10:anchorlock/>
              </v:shape>
            </w:pict>
          </mc:Fallback>
        </mc:AlternateContent>
      </w:r>
      <w:r w:rsidRPr="00CE1D7F">
        <w:t>nges of measuring, monitoring and communicating impact</w:t>
      </w:r>
      <w:bookmarkEnd w:id="204"/>
      <w:bookmarkEnd w:id="205"/>
      <w:bookmarkEnd w:id="206"/>
      <w:bookmarkEnd w:id="207"/>
      <w:bookmarkEnd w:id="208"/>
    </w:p>
    <w:p w14:paraId="3A5B7A39" w14:textId="43B49CE5" w:rsidR="000B0AC7" w:rsidRPr="00CE1D7F" w:rsidRDefault="000B0AC7" w:rsidP="006258ED">
      <w:pPr>
        <w:pStyle w:val="Caption"/>
      </w:pPr>
      <w:r w:rsidRPr="00CE1D7F">
        <w:rPr>
          <w:rStyle w:val="CaptionLabel"/>
        </w:rPr>
        <w:t>Key Finding </w:t>
      </w:r>
      <w:r w:rsidRPr="00CE1D7F">
        <w:rPr>
          <w:rStyle w:val="CaptionLabel"/>
        </w:rPr>
        <w:fldChar w:fldCharType="begin"/>
      </w:r>
      <w:r w:rsidRPr="00CE1D7F">
        <w:rPr>
          <w:rStyle w:val="CaptionLabel"/>
        </w:rPr>
        <w:instrText xml:space="preserve"> SEQ Key_Finding \* ARABIC  \* MERGEFORMAT </w:instrText>
      </w:r>
      <w:r w:rsidRPr="00CE1D7F">
        <w:rPr>
          <w:rStyle w:val="CaptionLabel"/>
        </w:rPr>
        <w:fldChar w:fldCharType="separate"/>
      </w:r>
      <w:r>
        <w:rPr>
          <w:rStyle w:val="CaptionLabel"/>
          <w:noProof/>
        </w:rPr>
        <w:t>12</w:t>
      </w:r>
      <w:r w:rsidRPr="00CE1D7F">
        <w:rPr>
          <w:rStyle w:val="CaptionLabel"/>
        </w:rPr>
        <w:fldChar w:fldCharType="end"/>
      </w:r>
      <w:r w:rsidRPr="00CE1D7F">
        <w:tab/>
        <w:t>Challenges of measuring, monitoring and communicating impact</w:t>
      </w:r>
    </w:p>
    <w:tbl>
      <w:tblPr>
        <w:tblW w:w="0" w:type="auto"/>
        <w:tblLayout w:type="fixed"/>
        <w:tblCellMar>
          <w:left w:w="0" w:type="dxa"/>
          <w:right w:w="0" w:type="dxa"/>
        </w:tblCellMar>
        <w:tblLook w:val="0000" w:firstRow="0" w:lastRow="0" w:firstColumn="0" w:lastColumn="0" w:noHBand="0" w:noVBand="0"/>
        <w:tblCaption w:val="Key Finding 12"/>
        <w:tblDescription w:val="Challenges of measuring, monitoring and communicating impact"/>
      </w:tblPr>
      <w:tblGrid>
        <w:gridCol w:w="7936"/>
      </w:tblGrid>
      <w:tr w:rsidR="002B32A0" w:rsidRPr="00CE1D7F" w14:paraId="238A2F19" w14:textId="77777777" w:rsidTr="006258ED">
        <w:tc>
          <w:tcPr>
            <w:tcW w:w="7936" w:type="dxa"/>
            <w:shd w:val="clear" w:color="auto" w:fill="E5E5E5"/>
            <w:tcMar>
              <w:top w:w="112" w:type="dxa"/>
              <w:bottom w:w="184" w:type="dxa"/>
              <w:right w:w="120" w:type="dxa"/>
            </w:tcMar>
          </w:tcPr>
          <w:p w14:paraId="188604E5" w14:textId="77777777" w:rsidR="002B32A0" w:rsidRPr="001A6DB5" w:rsidRDefault="002B32A0" w:rsidP="006258ED">
            <w:pPr>
              <w:pStyle w:val="BoxText"/>
              <w:rPr>
                <w:sz w:val="22"/>
                <w:szCs w:val="24"/>
              </w:rPr>
            </w:pPr>
            <w:r w:rsidRPr="001A6DB5">
              <w:rPr>
                <w:sz w:val="22"/>
                <w:szCs w:val="24"/>
              </w:rPr>
              <w:t>There is no single solution to measuring, monitoring and communicating impact. International models provide guidance for opportunities in Australia.</w:t>
            </w:r>
          </w:p>
          <w:p w14:paraId="68767598" w14:textId="77777777" w:rsidR="002B32A0" w:rsidRPr="00CE1D7F" w:rsidRDefault="002B32A0" w:rsidP="006258ED">
            <w:pPr>
              <w:pStyle w:val="BoxText"/>
            </w:pPr>
            <w:r w:rsidRPr="001A6DB5">
              <w:rPr>
                <w:sz w:val="22"/>
                <w:szCs w:val="24"/>
              </w:rPr>
              <w:t xml:space="preserve">However, </w:t>
            </w:r>
            <w:r>
              <w:rPr>
                <w:sz w:val="22"/>
                <w:szCs w:val="24"/>
              </w:rPr>
              <w:t>the ARC’s</w:t>
            </w:r>
            <w:r w:rsidRPr="001A6DB5">
              <w:rPr>
                <w:sz w:val="22"/>
                <w:szCs w:val="24"/>
              </w:rPr>
              <w:t xml:space="preserve"> approach needs to be carefully considered and tailored to reflect the purpose of the impact assessment, reduce the burden on the sector and employ the best available tools and techniques to capture an understanding of the breadth of impact.</w:t>
            </w:r>
          </w:p>
        </w:tc>
      </w:tr>
    </w:tbl>
    <w:p w14:paraId="073D949F" w14:textId="77777777" w:rsidR="002B32A0" w:rsidRPr="001A6DB5" w:rsidRDefault="002B32A0" w:rsidP="002B32A0">
      <w:pPr>
        <w:pStyle w:val="BodyText"/>
      </w:pPr>
    </w:p>
    <w:p w14:paraId="607B56A0" w14:textId="559C3CA2" w:rsidR="002B32A0" w:rsidRPr="00CE1D7F" w:rsidRDefault="002B32A0" w:rsidP="002B32A0">
      <w:pPr>
        <w:pStyle w:val="BodyText"/>
      </w:pPr>
      <w:r w:rsidRPr="00CE1D7F">
        <w:t xml:space="preserve">Our analysis shows there is no ‘silver bullet’ solution to impact analysis. Many domestic stakeholders consulted on this did not have strong visibility of the aggregate impacts generated from ARC-funded research, although they report the need for improved communication of impact in the future. Likewise, 71% of respondents to our survey reported that communication about impact was somewhat to very important (see </w:t>
      </w:r>
      <w:r w:rsidRPr="00F87D0E">
        <w:fldChar w:fldCharType="begin"/>
      </w:r>
      <w:r w:rsidRPr="00F87D0E">
        <w:instrText xml:space="preserve"> REF _Ref123903843 \h  \* MERGEFORMAT </w:instrText>
      </w:r>
      <w:r w:rsidRPr="00F87D0E">
        <w:fldChar w:fldCharType="separate"/>
      </w:r>
      <w:r w:rsidR="000B0AC7" w:rsidRPr="000B0AC7">
        <w:t>Figure 4.7</w:t>
      </w:r>
      <w:r w:rsidRPr="00F87D0E">
        <w:fldChar w:fldCharType="end"/>
      </w:r>
      <w:r w:rsidRPr="00CE1D7F">
        <w:t xml:space="preserve">). </w:t>
      </w:r>
    </w:p>
    <w:p w14:paraId="76B7212C" w14:textId="77777777" w:rsidR="002B32A0" w:rsidRPr="00CE1D7F" w:rsidRDefault="002B32A0" w:rsidP="002B32A0">
      <w:pPr>
        <w:pStyle w:val="BodyText"/>
      </w:pPr>
      <w:r w:rsidRPr="00CE1D7F">
        <w:t xml:space="preserve">This desire for improved communication of impact but lack of visibility is primarily due to the large volume of projects funded over the past 2 decades (approximately 29,000), the diverse range of research activity supported by the NCGP, and the absence of a consolidated and regular report of impact. It means there are highly divergent views amongst key stakeholders in Australia’s research system about the appropriate impact measures, metrics, data, information sources and analytical techniques required to measure impact more systematically in the future. </w:t>
      </w:r>
    </w:p>
    <w:p w14:paraId="6A808826" w14:textId="5054FD36" w:rsidR="002B32A0" w:rsidRPr="00CE1D7F" w:rsidRDefault="002B32A0" w:rsidP="002B32A0">
      <w:pPr>
        <w:pStyle w:val="BodyText"/>
      </w:pPr>
      <w:r w:rsidRPr="00CE1D7F">
        <w:t xml:space="preserve">Moreover, many approaches, techniques and models of impact assessment have been deployed overseas (see </w:t>
      </w:r>
      <w:r>
        <w:t>section </w:t>
      </w:r>
      <w:r w:rsidRPr="00F87D0E">
        <w:fldChar w:fldCharType="begin"/>
      </w:r>
      <w:r w:rsidRPr="00F87D0E">
        <w:instrText xml:space="preserve"> REF _Ref129603789 \r \h  \* MERGEFORMAT </w:instrText>
      </w:r>
      <w:r w:rsidRPr="00F87D0E">
        <w:fldChar w:fldCharType="separate"/>
      </w:r>
      <w:r w:rsidR="000B0AC7">
        <w:t>4.2.2</w:t>
      </w:r>
      <w:r w:rsidRPr="00F87D0E">
        <w:fldChar w:fldCharType="end"/>
      </w:r>
      <w:r w:rsidRPr="00CE1D7F">
        <w:t>). Many of these models could be considered within the Australian context; however, caution is required. These models are often driven by different funding arrangements (and funding scale), program structures, policy requirements and disciplinary focuses, making translation complex.</w:t>
      </w:r>
    </w:p>
    <w:p w14:paraId="5FF3FAAF" w14:textId="77777777" w:rsidR="002B32A0" w:rsidRPr="00CE1D7F" w:rsidRDefault="002B32A0" w:rsidP="002B32A0">
      <w:pPr>
        <w:pStyle w:val="BodyText"/>
      </w:pPr>
      <w:r w:rsidRPr="00CE1D7F">
        <w:t xml:space="preserve">Addressing these challenges requires an understanding of several aspects. </w:t>
      </w:r>
    </w:p>
    <w:p w14:paraId="2DE50675" w14:textId="77777777" w:rsidR="002B32A0" w:rsidRPr="00CE1D7F" w:rsidRDefault="002B32A0" w:rsidP="002B32A0">
      <w:pPr>
        <w:pStyle w:val="BodyText"/>
      </w:pPr>
      <w:r w:rsidRPr="00CE1D7F">
        <w:t xml:space="preserve">First, it requires clarity about the purpose of impact assessment. Impact assessment can be used to communicate, influence or advocate to a broad range of stakeholders about the benefits and outcomes of research. Funding agencies can use it to allocate or reallocate resources within programs, between programs and across the broader research ecosystem. </w:t>
      </w:r>
      <w:r w:rsidRPr="00CE1D7F">
        <w:lastRenderedPageBreak/>
        <w:t xml:space="preserve">Impact assessment can also be used to manage the performance of researchers, their partners and institutions. </w:t>
      </w:r>
    </w:p>
    <w:p w14:paraId="46358C26" w14:textId="77777777" w:rsidR="002B32A0" w:rsidRPr="00CE1D7F" w:rsidRDefault="002B32A0" w:rsidP="002B32A0">
      <w:pPr>
        <w:pStyle w:val="BodyText"/>
      </w:pPr>
      <w:r w:rsidRPr="00CE1D7F">
        <w:t xml:space="preserve">Second, impact assessment can burden the ARC, universities, researchers and their partners/end-users to collect and assemble the information required to appropriately demonstrate the outcomes and impacts of world-class research. As the case studies presented in this report show, research outcomes and impacts can be underpinned by a multi-year research program involving many participants, various institutions and multiple grants/funding sources. Demonstrating the pathway to impact for all NCGP research can significantly burden the ARC, the research sector and research partners. </w:t>
      </w:r>
    </w:p>
    <w:p w14:paraId="0F4E58E3" w14:textId="77777777" w:rsidR="002B32A0" w:rsidRPr="00CE1D7F" w:rsidRDefault="002B32A0" w:rsidP="002B32A0">
      <w:pPr>
        <w:pStyle w:val="BodyText"/>
      </w:pPr>
      <w:r w:rsidRPr="00CE1D7F">
        <w:t xml:space="preserve">Third, impact assessment requires understanding the tools and techniques suitable for the entire program, individual schemes and individual projects. It also requires an understanding of the techniques that are appropriate for different types of research (i.e. researcher-led or end-user-led) and different disciplines funded by the ARC. Once again, international practice identifies a range of potential techniques that could be used to support impact assessment in the future. Likewise, many Australian universities are considering how best to measure impact and are at varying stages of maturity. A range of lessons can also be derived from the Australian sector, and further consultation is needed to tease these lessons out. </w:t>
      </w:r>
    </w:p>
    <w:p w14:paraId="4BB4B017" w14:textId="77777777" w:rsidR="002B32A0" w:rsidRPr="00CE1D7F" w:rsidRDefault="002B32A0" w:rsidP="002B32A0">
      <w:pPr>
        <w:pStyle w:val="Heading2"/>
      </w:pPr>
      <w:bookmarkStart w:id="209" w:name="_Ref129787830"/>
      <w:bookmarkStart w:id="210" w:name="_Toc129795167"/>
      <w:bookmarkStart w:id="211" w:name="_Toc129963967"/>
      <w:bookmarkStart w:id="212" w:name="_Toc131174606"/>
      <w:bookmarkStart w:id="213" w:name="_Toc132970658"/>
      <w:bookmarkStart w:id="214" w:name="_Toc135323697"/>
      <w:r w:rsidRPr="00CE1D7F">
        <w:t>Opp</w:t>
      </w:r>
      <w:r w:rsidRPr="00CE1D7F">
        <w:rPr>
          <w:noProof/>
        </w:rPr>
        <mc:AlternateContent>
          <mc:Choice Requires="wps">
            <w:drawing>
              <wp:anchor distT="0" distB="0" distL="114300" distR="114300" simplePos="0" relativeHeight="251677696" behindDoc="0" locked="1" layoutInCell="1" allowOverlap="1" wp14:anchorId="4BC004E9" wp14:editId="6251D1C5">
                <wp:simplePos x="0" y="0"/>
                <wp:positionH relativeFrom="page">
                  <wp:posOffset>437515</wp:posOffset>
                </wp:positionH>
                <wp:positionV relativeFrom="paragraph">
                  <wp:posOffset>-2540</wp:posOffset>
                </wp:positionV>
                <wp:extent cx="1167765" cy="732790"/>
                <wp:effectExtent l="0" t="0" r="0" b="0"/>
                <wp:wrapNone/>
                <wp:docPr id="116" name="Text Box 1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167765" cy="7327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34D5301" w14:textId="77777777" w:rsidR="002B32A0" w:rsidRDefault="002B32A0" w:rsidP="002B32A0">
                            <w:pPr>
                              <w:pStyle w:val="SideNoteRegularRight"/>
                              <w:jc w:val="left"/>
                            </w:pPr>
                            <w:r w:rsidRPr="00537EDE">
                              <w:rPr>
                                <w:szCs w:val="18"/>
                              </w:rPr>
                              <w:t>KEQ 8. What improvements, if any, could be made to the data and/or data collection methodologies the ARC uses to assess the outcomes and impacts of NCGP-funded research? What data points/metrics could the ARC collect to better inform future impact assessment work?</w:t>
                            </w:r>
                          </w:p>
                        </w:txbxContent>
                      </wps:txbx>
                      <wps:bodyPr rot="0" spcFirstLastPara="0" vertOverflow="overflow" horzOverflow="overflow" vert="horz" wrap="square" lIns="0" tIns="0" rIns="76200" bIns="762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BC004E9" id="Text Box 116" o:spid="_x0000_s1042" type="#_x0000_t202" alt="&quot;&quot;" style="position:absolute;left:0;text-align:left;margin-left:34.45pt;margin-top:-.2pt;width:91.95pt;height:57.7pt;z-index:251677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" filled="f" stroked="f" strokeweight=".5pt">
                <v:textbox style="mso-fit-shape-to-text:t" inset="0,0,6pt,6pt">
                  <w:txbxContent>
                    <w:p w14:paraId="434D5301" w14:textId="77777777" w:rsidR="002B32A0" w:rsidRDefault="002B32A0" w:rsidP="002B32A0">
                      <w:pPr>
                        <w:pStyle w:val="SideNoteRegularRight"/>
                        <w:jc w:val="left"/>
                      </w:pPr>
                      <w:r w:rsidRPr="00537EDE">
                        <w:rPr>
                          <w:szCs w:val="18"/>
                        </w:rPr>
                        <w:t>KEQ 8. What improvements, if any, could be made to the data and/or data collection methodologies the ARC uses to assess the outcomes and impacts of NCGP-funded research? What data points/metrics could the ARC collect to better inform future impact assessment work?</w:t>
                      </w:r>
                    </w:p>
                  </w:txbxContent>
                </v:textbox>
                <w10:wrap anchorx="page"/>
                <w10:anchorlock/>
              </v:shape>
            </w:pict>
          </mc:Fallback>
        </mc:AlternateContent>
      </w:r>
      <w:r w:rsidRPr="00CE1D7F">
        <w:t>ortunities for improvement</w:t>
      </w:r>
      <w:bookmarkEnd w:id="209"/>
      <w:bookmarkEnd w:id="210"/>
      <w:bookmarkEnd w:id="211"/>
      <w:bookmarkEnd w:id="212"/>
      <w:bookmarkEnd w:id="213"/>
      <w:bookmarkEnd w:id="214"/>
    </w:p>
    <w:p w14:paraId="1278B90D" w14:textId="1E359796" w:rsidR="000B0AC7" w:rsidRPr="00CE1D7F" w:rsidRDefault="000B0AC7" w:rsidP="006258ED">
      <w:pPr>
        <w:pStyle w:val="Caption"/>
      </w:pPr>
      <w:r w:rsidRPr="00CE1D7F">
        <w:rPr>
          <w:rStyle w:val="CaptionLabel"/>
        </w:rPr>
        <w:t>Key Finding </w:t>
      </w:r>
      <w:r w:rsidRPr="00CE1D7F">
        <w:rPr>
          <w:rStyle w:val="CaptionLabel"/>
        </w:rPr>
        <w:fldChar w:fldCharType="begin"/>
      </w:r>
      <w:r w:rsidRPr="00CE1D7F">
        <w:rPr>
          <w:rStyle w:val="CaptionLabel"/>
        </w:rPr>
        <w:instrText xml:space="preserve"> SEQ Key_Finding \* ARABIC  \* MERGEFORMAT </w:instrText>
      </w:r>
      <w:r w:rsidRPr="00CE1D7F">
        <w:rPr>
          <w:rStyle w:val="CaptionLabel"/>
        </w:rPr>
        <w:fldChar w:fldCharType="separate"/>
      </w:r>
      <w:r>
        <w:rPr>
          <w:rStyle w:val="CaptionLabel"/>
          <w:noProof/>
        </w:rPr>
        <w:t>13</w:t>
      </w:r>
      <w:r w:rsidRPr="00CE1D7F">
        <w:rPr>
          <w:rStyle w:val="CaptionLabel"/>
        </w:rPr>
        <w:fldChar w:fldCharType="end"/>
      </w:r>
      <w:r w:rsidRPr="00CE1D7F">
        <w:tab/>
        <w:t>Opportunities for improvement</w:t>
      </w:r>
    </w:p>
    <w:tbl>
      <w:tblPr>
        <w:tblW w:w="0" w:type="auto"/>
        <w:tblLayout w:type="fixed"/>
        <w:tblCellMar>
          <w:left w:w="0" w:type="dxa"/>
          <w:right w:w="0" w:type="dxa"/>
        </w:tblCellMar>
        <w:tblLook w:val="0000" w:firstRow="0" w:lastRow="0" w:firstColumn="0" w:lastColumn="0" w:noHBand="0" w:noVBand="0"/>
        <w:tblCaption w:val="Key Finding 13"/>
        <w:tblDescription w:val="Opportunities for improvement"/>
      </w:tblPr>
      <w:tblGrid>
        <w:gridCol w:w="7936"/>
      </w:tblGrid>
      <w:tr w:rsidR="002B32A0" w:rsidRPr="00CE1D7F" w14:paraId="6AB8D9D2" w14:textId="77777777" w:rsidTr="006258ED">
        <w:tc>
          <w:tcPr>
            <w:tcW w:w="7936" w:type="dxa"/>
            <w:shd w:val="clear" w:color="auto" w:fill="E5E5E5"/>
            <w:tcMar>
              <w:top w:w="112" w:type="dxa"/>
              <w:bottom w:w="184" w:type="dxa"/>
              <w:right w:w="120" w:type="dxa"/>
            </w:tcMar>
          </w:tcPr>
          <w:p w14:paraId="506493C9" w14:textId="77777777" w:rsidR="002B32A0" w:rsidRPr="001A6DB5" w:rsidRDefault="002B32A0" w:rsidP="006258ED">
            <w:pPr>
              <w:pStyle w:val="BoxText"/>
              <w:rPr>
                <w:sz w:val="22"/>
              </w:rPr>
            </w:pPr>
            <w:r w:rsidRPr="001A6DB5">
              <w:rPr>
                <w:sz w:val="22"/>
                <w:szCs w:val="24"/>
              </w:rPr>
              <w:t xml:space="preserve">As </w:t>
            </w:r>
            <w:r w:rsidRPr="001A6DB5">
              <w:rPr>
                <w:sz w:val="22"/>
              </w:rPr>
              <w:t xml:space="preserve">there is no one-size-fits-all solutions to impact assessment, ACIL Allen sees 4 opportunities that could enhance NCGP impact assessment in the future. These include </w:t>
            </w:r>
            <w:r w:rsidRPr="0081147F">
              <w:rPr>
                <w:sz w:val="22"/>
              </w:rPr>
              <w:t>developing a NCGP impact evaluation framework, strengthening NCGP impact data collection and reporting, exploring data-driven approaches to impact assessment and enhancing the communication and understanding of research impact</w:t>
            </w:r>
            <w:r w:rsidRPr="001A6DB5">
              <w:rPr>
                <w:sz w:val="22"/>
              </w:rPr>
              <w:t>.</w:t>
            </w:r>
          </w:p>
          <w:p w14:paraId="3D867810" w14:textId="77777777" w:rsidR="002B32A0" w:rsidRPr="00CE1D7F" w:rsidRDefault="002B32A0" w:rsidP="006258ED">
            <w:pPr>
              <w:pStyle w:val="BoxText"/>
            </w:pPr>
            <w:r w:rsidRPr="001A6DB5">
              <w:rPr>
                <w:sz w:val="22"/>
              </w:rPr>
              <w:t>These opportunities provide flexibility for ARC to design an impact assessment framework in consultation with the research community and within the context of ARC’s broader reform discussions with the government and universities.</w:t>
            </w:r>
            <w:r w:rsidRPr="001A6DB5">
              <w:rPr>
                <w:sz w:val="22"/>
                <w:szCs w:val="24"/>
              </w:rPr>
              <w:t xml:space="preserve"> </w:t>
            </w:r>
          </w:p>
        </w:tc>
      </w:tr>
    </w:tbl>
    <w:p w14:paraId="50894F97" w14:textId="77777777" w:rsidR="002B32A0" w:rsidRDefault="002B32A0" w:rsidP="002B32A0">
      <w:pPr>
        <w:pStyle w:val="BodyText"/>
      </w:pPr>
    </w:p>
    <w:p w14:paraId="3EBF28D3" w14:textId="77777777" w:rsidR="002B32A0" w:rsidRPr="00CE1D7F" w:rsidRDefault="002B32A0" w:rsidP="002B32A0">
      <w:pPr>
        <w:pStyle w:val="BodyText"/>
      </w:pPr>
      <w:r w:rsidRPr="00CE1D7F">
        <w:t xml:space="preserve">Given there are no one-size-fits-all solutions to impact assessment, ACIL Allen has identified a range of opportunities to enhance impact assessment of NCGP-funded research in the future. These opportunities are based on stakeholder feedback gained through this evaluation that there is a benefit in improving impact assessment in the future and an appetite to capture this benefit. They are preferable to recommendations as recommendations require a specific implementation activity, while the opportunities provide flexibility for ARC to design an impact assessment framework in consultation with the research community. It also allows the ARC to consider these opportunities within the broader context of the independent review into the ARC and its enabling legislation, refresh of the National Science and Research Priorities and National Science Statement, </w:t>
      </w:r>
      <w:r w:rsidRPr="009F43A4">
        <w:t>the policy review of NCGP programs, the ERA transition plan, and data analytics capability building within the ARC</w:t>
      </w:r>
      <w:r w:rsidRPr="00CE1D7F">
        <w:t>.</w:t>
      </w:r>
    </w:p>
    <w:p w14:paraId="468DFFBE" w14:textId="42BC310B" w:rsidR="002B32A0" w:rsidRPr="00CE1D7F" w:rsidRDefault="002B32A0" w:rsidP="002B32A0">
      <w:pPr>
        <w:pStyle w:val="BodyText"/>
      </w:pPr>
      <w:r w:rsidRPr="00CE1D7F">
        <w:t xml:space="preserve">These opportunities relate to </w:t>
      </w:r>
      <w:r>
        <w:t>strengthening NCGP impact data collection and reporting, developing a NCGP impact evaluation framework, exploring data-driven approaches to impact assessment and enhancing the communication and understanding of research impact</w:t>
      </w:r>
      <w:r w:rsidRPr="00CE1D7F">
        <w:t xml:space="preserve">. They are summarised in </w:t>
      </w:r>
      <w:r w:rsidRPr="00F87D0E">
        <w:fldChar w:fldCharType="begin"/>
      </w:r>
      <w:r w:rsidRPr="00F87D0E">
        <w:instrText xml:space="preserve"> REF _Ref129706032 \h  \* MERGEFORMAT </w:instrText>
      </w:r>
      <w:r w:rsidRPr="00F87D0E">
        <w:fldChar w:fldCharType="separate"/>
      </w:r>
      <w:r w:rsidR="000B0AC7" w:rsidRPr="000B0AC7">
        <w:t>Table 5.1</w:t>
      </w:r>
      <w:r w:rsidRPr="00F87D0E">
        <w:fldChar w:fldCharType="end"/>
      </w:r>
      <w:r w:rsidRPr="00CE1D7F">
        <w:t xml:space="preserve"> and described in more detail below.</w:t>
      </w:r>
    </w:p>
    <w:p w14:paraId="5098F4BD" w14:textId="0ECFB348" w:rsidR="002B32A0" w:rsidRDefault="002B32A0" w:rsidP="000B0AC7">
      <w:pPr>
        <w:pStyle w:val="Caption"/>
        <w:ind w:left="-672" w:hanging="1308"/>
      </w:pPr>
      <w:bookmarkStart w:id="215" w:name="_Ref129706032"/>
      <w:r w:rsidRPr="00CE1D7F">
        <w:rPr>
          <w:rStyle w:val="CaptionLabel"/>
        </w:rPr>
        <w:lastRenderedPageBreak/>
        <w:t>Table </w:t>
      </w:r>
      <w:r w:rsidRPr="00CE1D7F">
        <w:rPr>
          <w:rStyle w:val="CaptionLabel"/>
        </w:rPr>
        <w:fldChar w:fldCharType="begin"/>
      </w:r>
      <w:r w:rsidRPr="00CE1D7F">
        <w:rPr>
          <w:rStyle w:val="CaptionLabel"/>
        </w:rPr>
        <w:instrText xml:space="preserve"> STYLEREF 1 \S \* MERGEFORMAT </w:instrText>
      </w:r>
      <w:r w:rsidRPr="00CE1D7F">
        <w:rPr>
          <w:rStyle w:val="CaptionLabel"/>
        </w:rPr>
        <w:fldChar w:fldCharType="separate"/>
      </w:r>
      <w:r w:rsidR="000B0AC7">
        <w:rPr>
          <w:rStyle w:val="CaptionLabel"/>
          <w:noProof/>
        </w:rPr>
        <w:t>5</w:t>
      </w:r>
      <w:r w:rsidRPr="00CE1D7F">
        <w:rPr>
          <w:rStyle w:val="CaptionLabel"/>
        </w:rPr>
        <w:fldChar w:fldCharType="end"/>
      </w:r>
      <w:r w:rsidRPr="00CE1D7F">
        <w:rPr>
          <w:rStyle w:val="CaptionLabel"/>
        </w:rPr>
        <w:t>.</w:t>
      </w:r>
      <w:r w:rsidRPr="00CE1D7F">
        <w:rPr>
          <w:rStyle w:val="CaptionLabel"/>
        </w:rPr>
        <w:fldChar w:fldCharType="begin"/>
      </w:r>
      <w:r w:rsidRPr="00CE1D7F">
        <w:rPr>
          <w:rStyle w:val="CaptionLabel"/>
        </w:rPr>
        <w:instrText xml:space="preserve"> SEQ Table \* ARABIC \S 1 \* MERGEFORMAT </w:instrText>
      </w:r>
      <w:r w:rsidRPr="00CE1D7F">
        <w:rPr>
          <w:rStyle w:val="CaptionLabel"/>
        </w:rPr>
        <w:fldChar w:fldCharType="separate"/>
      </w:r>
      <w:r w:rsidR="000B0AC7">
        <w:rPr>
          <w:rStyle w:val="CaptionLabel"/>
          <w:noProof/>
        </w:rPr>
        <w:t>1</w:t>
      </w:r>
      <w:r w:rsidRPr="00CE1D7F">
        <w:rPr>
          <w:rStyle w:val="CaptionLabel"/>
        </w:rPr>
        <w:fldChar w:fldCharType="end"/>
      </w:r>
      <w:bookmarkEnd w:id="215"/>
      <w:r w:rsidRPr="00CE1D7F">
        <w:tab/>
        <w:t>Summary of opportunities</w:t>
      </w:r>
    </w:p>
    <w:tbl>
      <w:tblPr>
        <w:tblStyle w:val="aacTableBasic"/>
        <w:tblW w:w="9916" w:type="dxa"/>
        <w:tblInd w:w="-1980" w:type="dxa"/>
        <w:tblLayout w:type="fixed"/>
        <w:tblLook w:val="04A0" w:firstRow="1" w:lastRow="0" w:firstColumn="1" w:lastColumn="0" w:noHBand="0" w:noVBand="1"/>
        <w:tblCaption w:val="Table 5.1 "/>
        <w:tblDescription w:val="Summary of opportunities"/>
      </w:tblPr>
      <w:tblGrid>
        <w:gridCol w:w="4112"/>
        <w:gridCol w:w="3685"/>
        <w:gridCol w:w="2119"/>
      </w:tblGrid>
      <w:tr w:rsidR="002B32A0" w:rsidRPr="00CE1D7F" w14:paraId="76D45496" w14:textId="77777777" w:rsidTr="000B0AC7">
        <w:trPr>
          <w:cnfStyle w:val="100000000000" w:firstRow="1" w:lastRow="0" w:firstColumn="0" w:lastColumn="0" w:oddVBand="0" w:evenVBand="0" w:oddHBand="0" w:evenHBand="0" w:firstRowFirstColumn="0" w:firstRowLastColumn="0" w:lastRowFirstColumn="0" w:lastRowLastColumn="0"/>
        </w:trPr>
        <w:tc>
          <w:tcPr>
            <w:tcW w:w="4112" w:type="dxa"/>
            <w:tcBorders>
              <w:top w:val="nil"/>
            </w:tcBorders>
            <w:shd w:val="solid" w:color="140034" w:fill="140034"/>
            <w:tcMar>
              <w:left w:w="80" w:type="dxa"/>
            </w:tcMar>
            <w:hideMark/>
          </w:tcPr>
          <w:p w14:paraId="16F1D2E6" w14:textId="77777777" w:rsidR="002B32A0" w:rsidRPr="00CE1D7F" w:rsidRDefault="002B32A0" w:rsidP="002A4E57">
            <w:pPr>
              <w:pStyle w:val="Tablecolumnheadings"/>
              <w:keepLines/>
              <w:spacing w:before="120"/>
              <w:ind w:left="-28"/>
            </w:pPr>
            <w:r w:rsidRPr="00CE1D7F">
              <w:t xml:space="preserve">Opportunity </w:t>
            </w:r>
          </w:p>
        </w:tc>
        <w:tc>
          <w:tcPr>
            <w:tcW w:w="3685" w:type="dxa"/>
            <w:tcBorders>
              <w:top w:val="nil"/>
            </w:tcBorders>
            <w:shd w:val="solid" w:color="140034" w:fill="140034"/>
            <w:hideMark/>
          </w:tcPr>
          <w:p w14:paraId="56348C08" w14:textId="77777777" w:rsidR="002B32A0" w:rsidRPr="00CE1D7F" w:rsidRDefault="002B32A0" w:rsidP="002A4E57">
            <w:pPr>
              <w:pStyle w:val="Tablecolumnheadings"/>
              <w:keepLines/>
              <w:spacing w:before="120"/>
            </w:pPr>
            <w:r w:rsidRPr="00CE1D7F">
              <w:t>Potential benefits</w:t>
            </w:r>
          </w:p>
        </w:tc>
        <w:tc>
          <w:tcPr>
            <w:tcW w:w="2119" w:type="dxa"/>
            <w:tcBorders>
              <w:top w:val="nil"/>
            </w:tcBorders>
            <w:shd w:val="solid" w:color="140034" w:fill="140034"/>
            <w:hideMark/>
          </w:tcPr>
          <w:p w14:paraId="38ECFDE0" w14:textId="77777777" w:rsidR="002B32A0" w:rsidRPr="00CE1D7F" w:rsidRDefault="002B32A0" w:rsidP="006258ED">
            <w:pPr>
              <w:pStyle w:val="Tablecolumnheadings"/>
              <w:keepLines/>
            </w:pPr>
            <w:r w:rsidRPr="00CE1D7F">
              <w:t>Evidence base for opportunity</w:t>
            </w:r>
          </w:p>
        </w:tc>
      </w:tr>
      <w:tr w:rsidR="00F23E07" w:rsidRPr="00CE1D7F" w14:paraId="1F77C28D" w14:textId="77777777" w:rsidTr="000B0AC7">
        <w:tc>
          <w:tcPr>
            <w:tcW w:w="4112" w:type="dxa"/>
            <w:tcMar>
              <w:left w:w="80" w:type="dxa"/>
            </w:tcMar>
            <w:hideMark/>
          </w:tcPr>
          <w:p w14:paraId="582654D3" w14:textId="77777777" w:rsidR="00F23E07" w:rsidRDefault="00F23E07" w:rsidP="00F23E07">
            <w:pPr>
              <w:pStyle w:val="BodyText"/>
              <w:spacing w:before="0" w:after="40" w:line="240" w:lineRule="auto"/>
              <w:ind w:left="284" w:right="278" w:hanging="284"/>
              <w:contextualSpacing/>
              <w:rPr>
                <w:b/>
                <w:bCs/>
              </w:rPr>
            </w:pPr>
            <w:r>
              <w:rPr>
                <w:b/>
                <w:bCs/>
              </w:rPr>
              <w:t>1</w:t>
            </w:r>
            <w:r w:rsidRPr="00FC7E87">
              <w:rPr>
                <w:b/>
                <w:bCs/>
              </w:rPr>
              <w:t>.</w:t>
            </w:r>
            <w:r w:rsidRPr="00FC7E87">
              <w:rPr>
                <w:b/>
                <w:bCs/>
              </w:rPr>
              <w:tab/>
            </w:r>
            <w:r>
              <w:rPr>
                <w:b/>
                <w:bCs/>
              </w:rPr>
              <w:t xml:space="preserve">Develop an NCGP impact evaluation framework </w:t>
            </w:r>
          </w:p>
          <w:p w14:paraId="51910E19" w14:textId="77777777" w:rsidR="00F23E07" w:rsidRDefault="00F23E07" w:rsidP="008C0C17">
            <w:pPr>
              <w:pStyle w:val="Tablelistbullet"/>
            </w:pPr>
            <w:r>
              <w:t>Develop agreed metrics with stakeholders, drawing on existing research and innovation metrics</w:t>
            </w:r>
          </w:p>
          <w:p w14:paraId="17F34990" w14:textId="144674BE" w:rsidR="00F23E07" w:rsidRPr="00CE1D7F" w:rsidRDefault="00F23E07" w:rsidP="008C0C17">
            <w:pPr>
              <w:pStyle w:val="Tablelistbullet"/>
            </w:pPr>
            <w:r>
              <w:t>Align with the national research evaluations (such as ERA and Engagement and Impact)</w:t>
            </w:r>
          </w:p>
        </w:tc>
        <w:tc>
          <w:tcPr>
            <w:tcW w:w="3685" w:type="dxa"/>
            <w:hideMark/>
          </w:tcPr>
          <w:p w14:paraId="6B59CF7C" w14:textId="6DF96B52" w:rsidR="00F23E07" w:rsidRPr="00CE1D7F" w:rsidRDefault="00F23E07" w:rsidP="008C0C17">
            <w:pPr>
              <w:pStyle w:val="Tablelistbullet"/>
            </w:pPr>
            <w:r>
              <w:t>Greater clarity and consistency on impact reporting requirements for the research sector</w:t>
            </w:r>
          </w:p>
        </w:tc>
        <w:tc>
          <w:tcPr>
            <w:tcW w:w="2119" w:type="dxa"/>
            <w:hideMark/>
          </w:tcPr>
          <w:p w14:paraId="6F79AE65" w14:textId="77777777" w:rsidR="00F23E07" w:rsidRPr="00CE1D7F" w:rsidRDefault="00F23E07" w:rsidP="008C0C17">
            <w:pPr>
              <w:pStyle w:val="Tablelistbullet"/>
            </w:pPr>
            <w:r w:rsidRPr="00CE1D7F">
              <w:t>Experience in other jurisdictions</w:t>
            </w:r>
          </w:p>
          <w:p w14:paraId="2A245DB1" w14:textId="77777777" w:rsidR="00F23E07" w:rsidRPr="00CE1D7F" w:rsidRDefault="00F23E07" w:rsidP="008C0C17">
            <w:pPr>
              <w:pStyle w:val="Tablelistbullet"/>
            </w:pPr>
            <w:r w:rsidRPr="00CE1D7F">
              <w:t>System leaders</w:t>
            </w:r>
          </w:p>
          <w:p w14:paraId="502B12A9" w14:textId="77777777" w:rsidR="00F23E07" w:rsidRPr="00CE1D7F" w:rsidRDefault="00F23E07" w:rsidP="008C0C17">
            <w:pPr>
              <w:pStyle w:val="Tablelistbullet"/>
            </w:pPr>
            <w:r w:rsidRPr="00CE1D7F">
              <w:t>Case studies</w:t>
            </w:r>
          </w:p>
        </w:tc>
      </w:tr>
      <w:tr w:rsidR="00F23E07" w:rsidRPr="00CE1D7F" w14:paraId="6F9808C2" w14:textId="77777777" w:rsidTr="000B0AC7">
        <w:tc>
          <w:tcPr>
            <w:tcW w:w="4112" w:type="dxa"/>
            <w:tcMar>
              <w:left w:w="80" w:type="dxa"/>
            </w:tcMar>
            <w:hideMark/>
          </w:tcPr>
          <w:p w14:paraId="276FC479" w14:textId="77777777" w:rsidR="00F23E07" w:rsidRDefault="00F23E07" w:rsidP="00F23E07">
            <w:pPr>
              <w:pStyle w:val="BodyText"/>
              <w:spacing w:before="0" w:after="40" w:line="240" w:lineRule="auto"/>
              <w:ind w:left="284" w:right="278" w:hanging="284"/>
              <w:contextualSpacing/>
              <w:rPr>
                <w:b/>
                <w:bCs/>
              </w:rPr>
            </w:pPr>
            <w:r>
              <w:rPr>
                <w:b/>
                <w:bCs/>
              </w:rPr>
              <w:t>2</w:t>
            </w:r>
            <w:r w:rsidRPr="00FC7E87">
              <w:rPr>
                <w:b/>
                <w:bCs/>
              </w:rPr>
              <w:t>.</w:t>
            </w:r>
            <w:r w:rsidRPr="00FC7E87">
              <w:rPr>
                <w:b/>
                <w:bCs/>
              </w:rPr>
              <w:tab/>
            </w:r>
            <w:r>
              <w:rPr>
                <w:b/>
                <w:bCs/>
              </w:rPr>
              <w:t>Strengthen</w:t>
            </w:r>
            <w:r w:rsidRPr="00FC7E87">
              <w:rPr>
                <w:b/>
                <w:bCs/>
              </w:rPr>
              <w:t xml:space="preserve"> NCGP </w:t>
            </w:r>
            <w:r>
              <w:rPr>
                <w:b/>
                <w:bCs/>
              </w:rPr>
              <w:t>impact data collection and reporting</w:t>
            </w:r>
          </w:p>
          <w:p w14:paraId="05D10FCE" w14:textId="77777777" w:rsidR="00F23E07" w:rsidRDefault="00F23E07" w:rsidP="008C0C17">
            <w:pPr>
              <w:pStyle w:val="Tablelistbullet"/>
            </w:pPr>
            <w:r>
              <w:t xml:space="preserve">Capture case-studies of the impact of major projects </w:t>
            </w:r>
          </w:p>
          <w:p w14:paraId="4321FE64" w14:textId="638C551D" w:rsidR="00F23E07" w:rsidRPr="00CE1D7F" w:rsidRDefault="00F23E07" w:rsidP="008C0C17">
            <w:pPr>
              <w:pStyle w:val="Tablelistbullet"/>
            </w:pPr>
            <w:r>
              <w:t>Capture impact data that can highlight trends for the ARC, researchers and the sector</w:t>
            </w:r>
          </w:p>
        </w:tc>
        <w:tc>
          <w:tcPr>
            <w:tcW w:w="3685" w:type="dxa"/>
            <w:hideMark/>
          </w:tcPr>
          <w:p w14:paraId="342D11F1" w14:textId="77777777" w:rsidR="00F23E07" w:rsidRDefault="00F23E07" w:rsidP="008C0C17">
            <w:pPr>
              <w:pStyle w:val="Tablelistbullet"/>
            </w:pPr>
            <w:r>
              <w:t>Improved evidence base that can better support the delivery of impact across the spectrum of basic to applied research</w:t>
            </w:r>
          </w:p>
          <w:p w14:paraId="40160C7D" w14:textId="77777777" w:rsidR="00F23E07" w:rsidRDefault="00F23E07" w:rsidP="008C0C17">
            <w:pPr>
              <w:pStyle w:val="Tablelistbullet"/>
            </w:pPr>
            <w:r>
              <w:t xml:space="preserve">Improved data and narratives for communicating research impact </w:t>
            </w:r>
          </w:p>
          <w:p w14:paraId="1ECE046E" w14:textId="7E845F3E" w:rsidR="00F23E07" w:rsidRPr="00CE1D7F" w:rsidRDefault="00F23E07" w:rsidP="008C0C17">
            <w:pPr>
              <w:pStyle w:val="Tablelistbullet"/>
            </w:pPr>
            <w:r>
              <w:t xml:space="preserve">Greater ability for universities and government to demonstrate the value of research funding for both basic and applied research </w:t>
            </w:r>
          </w:p>
        </w:tc>
        <w:tc>
          <w:tcPr>
            <w:tcW w:w="2119" w:type="dxa"/>
          </w:tcPr>
          <w:p w14:paraId="608CB8B7" w14:textId="77777777" w:rsidR="00F23E07" w:rsidRPr="00CE1D7F" w:rsidRDefault="00F23E07" w:rsidP="008C0C17">
            <w:pPr>
              <w:pStyle w:val="Tablelistbullet"/>
            </w:pPr>
            <w:r w:rsidRPr="00CE1D7F">
              <w:t>Experience in other jurisdictions</w:t>
            </w:r>
          </w:p>
          <w:p w14:paraId="11972CA2" w14:textId="77777777" w:rsidR="00F23E07" w:rsidRPr="00CE1D7F" w:rsidRDefault="00F23E07" w:rsidP="008C0C17">
            <w:pPr>
              <w:pStyle w:val="Tablelistbullet"/>
            </w:pPr>
            <w:r w:rsidRPr="00CE1D7F">
              <w:t>System leaders</w:t>
            </w:r>
          </w:p>
        </w:tc>
      </w:tr>
      <w:tr w:rsidR="00F23E07" w:rsidRPr="00CE1D7F" w14:paraId="6365F8A4" w14:textId="77777777" w:rsidTr="000B0AC7">
        <w:tc>
          <w:tcPr>
            <w:tcW w:w="4112" w:type="dxa"/>
            <w:tcMar>
              <w:left w:w="80" w:type="dxa"/>
            </w:tcMar>
            <w:hideMark/>
          </w:tcPr>
          <w:p w14:paraId="1E738B24" w14:textId="77777777" w:rsidR="00F23E07" w:rsidRDefault="00F23E07" w:rsidP="00F23E07">
            <w:pPr>
              <w:pStyle w:val="BodyText"/>
              <w:spacing w:before="0" w:after="40" w:line="240" w:lineRule="auto"/>
              <w:ind w:left="284" w:right="278" w:hanging="284"/>
              <w:contextualSpacing/>
              <w:rPr>
                <w:b/>
                <w:bCs/>
              </w:rPr>
            </w:pPr>
            <w:r w:rsidRPr="00FC7E87">
              <w:rPr>
                <w:b/>
                <w:bCs/>
              </w:rPr>
              <w:t>3.</w:t>
            </w:r>
            <w:r w:rsidRPr="00FC7E87">
              <w:rPr>
                <w:b/>
                <w:bCs/>
              </w:rPr>
              <w:tab/>
              <w:t>Explore data-driven approaches to impact assessment</w:t>
            </w:r>
          </w:p>
          <w:p w14:paraId="51ADADCF" w14:textId="77777777" w:rsidR="00F23E07" w:rsidRDefault="00F23E07" w:rsidP="008C0C17">
            <w:pPr>
              <w:pStyle w:val="Tablelistbullet"/>
            </w:pPr>
            <w:r>
              <w:t>Connect to external data sources and metrics to supplement ARC impact data collection</w:t>
            </w:r>
          </w:p>
          <w:p w14:paraId="5F27BD1F" w14:textId="373B0E38" w:rsidR="00F23E07" w:rsidRPr="00CE1D7F" w:rsidRDefault="00F23E07" w:rsidP="008C0C17">
            <w:pPr>
              <w:pStyle w:val="Tablelistbullet"/>
            </w:pPr>
            <w:r>
              <w:t>Adapt approaches over time as metrics and data sources improve</w:t>
            </w:r>
          </w:p>
        </w:tc>
        <w:tc>
          <w:tcPr>
            <w:tcW w:w="3685" w:type="dxa"/>
            <w:hideMark/>
          </w:tcPr>
          <w:p w14:paraId="6A3B7EAF" w14:textId="77777777" w:rsidR="00F23E07" w:rsidRDefault="00F23E07" w:rsidP="008C0C17">
            <w:pPr>
              <w:pStyle w:val="Tablelistbullet"/>
            </w:pPr>
            <w:r>
              <w:t>Improved capabilities to develop deep insights into the impact delivered by ARC-funded research</w:t>
            </w:r>
          </w:p>
          <w:p w14:paraId="194CFBC2" w14:textId="5E66011A" w:rsidR="00F23E07" w:rsidRPr="00CE1D7F" w:rsidRDefault="00F23E07" w:rsidP="008C0C17">
            <w:pPr>
              <w:pStyle w:val="Tablelistbullet"/>
            </w:pPr>
            <w:r>
              <w:t xml:space="preserve">Reduced </w:t>
            </w:r>
            <w:r w:rsidRPr="00FF0D0F">
              <w:t xml:space="preserve">burden </w:t>
            </w:r>
            <w:r>
              <w:t xml:space="preserve">on the research sector </w:t>
            </w:r>
            <w:r w:rsidRPr="00FF0D0F">
              <w:t>of manual data assembly associated with impact assessment</w:t>
            </w:r>
          </w:p>
        </w:tc>
        <w:tc>
          <w:tcPr>
            <w:tcW w:w="2119" w:type="dxa"/>
            <w:hideMark/>
          </w:tcPr>
          <w:p w14:paraId="3962FC72" w14:textId="77777777" w:rsidR="00F23E07" w:rsidRPr="00CE1D7F" w:rsidRDefault="00F23E07" w:rsidP="008C0C17">
            <w:pPr>
              <w:pStyle w:val="Tablelistbullet"/>
            </w:pPr>
            <w:r w:rsidRPr="00CE1D7F">
              <w:t>Experience in other jurisdictions</w:t>
            </w:r>
          </w:p>
          <w:p w14:paraId="257B7962" w14:textId="77777777" w:rsidR="00F23E07" w:rsidRPr="00CE1D7F" w:rsidRDefault="00F23E07" w:rsidP="008C0C17">
            <w:pPr>
              <w:pStyle w:val="Tablelistbullet"/>
            </w:pPr>
            <w:r w:rsidRPr="00CE1D7F">
              <w:t xml:space="preserve">System leaders </w:t>
            </w:r>
          </w:p>
          <w:p w14:paraId="0CEC6186" w14:textId="77777777" w:rsidR="00F23E07" w:rsidRPr="00CE1D7F" w:rsidRDefault="00F23E07" w:rsidP="008C0C17">
            <w:pPr>
              <w:pStyle w:val="Tablelistbullet"/>
            </w:pPr>
            <w:r w:rsidRPr="00CE1D7F">
              <w:t>Case studies</w:t>
            </w:r>
          </w:p>
        </w:tc>
      </w:tr>
      <w:tr w:rsidR="00F23E07" w:rsidRPr="00CE1D7F" w14:paraId="3222443C" w14:textId="77777777" w:rsidTr="000B0AC7">
        <w:tc>
          <w:tcPr>
            <w:tcW w:w="4112" w:type="dxa"/>
            <w:tcMar>
              <w:left w:w="80" w:type="dxa"/>
            </w:tcMar>
            <w:hideMark/>
          </w:tcPr>
          <w:p w14:paraId="786F6DA1" w14:textId="77777777" w:rsidR="00F23E07" w:rsidRDefault="00F23E07" w:rsidP="00F23E07">
            <w:pPr>
              <w:pStyle w:val="BodyText"/>
              <w:spacing w:before="0" w:after="40" w:line="240" w:lineRule="auto"/>
              <w:ind w:left="284" w:right="278" w:hanging="284"/>
              <w:contextualSpacing/>
              <w:rPr>
                <w:b/>
                <w:bCs/>
              </w:rPr>
            </w:pPr>
            <w:r w:rsidRPr="00FC7E87">
              <w:rPr>
                <w:b/>
                <w:bCs/>
              </w:rPr>
              <w:t>4.</w:t>
            </w:r>
            <w:r w:rsidRPr="00FC7E87">
              <w:rPr>
                <w:b/>
                <w:bCs/>
              </w:rPr>
              <w:tab/>
              <w:t xml:space="preserve">Enhance the communication and understanding of </w:t>
            </w:r>
            <w:r>
              <w:rPr>
                <w:b/>
                <w:bCs/>
              </w:rPr>
              <w:t xml:space="preserve">research </w:t>
            </w:r>
            <w:r w:rsidRPr="00FC7E87">
              <w:rPr>
                <w:b/>
                <w:bCs/>
              </w:rPr>
              <w:t>impact</w:t>
            </w:r>
          </w:p>
          <w:p w14:paraId="63A60D8A" w14:textId="176AF67A" w:rsidR="00F23E07" w:rsidRPr="00CE1D7F" w:rsidRDefault="00F23E07" w:rsidP="008C0C17">
            <w:pPr>
              <w:pStyle w:val="Tablelistbullet"/>
            </w:pPr>
            <w:r>
              <w:t>Regularly communicate the impact of research in an engaging, and targeted way for audiences using data and case studies</w:t>
            </w:r>
          </w:p>
        </w:tc>
        <w:tc>
          <w:tcPr>
            <w:tcW w:w="3685" w:type="dxa"/>
            <w:hideMark/>
          </w:tcPr>
          <w:p w14:paraId="6231A5FF" w14:textId="77777777" w:rsidR="00F23E07" w:rsidRDefault="00F23E07" w:rsidP="008C0C17">
            <w:pPr>
              <w:pStyle w:val="Tablelistbullet"/>
            </w:pPr>
            <w:r>
              <w:t>Improved understanding of the value of research among all stakeholders, increasing social license for government investment</w:t>
            </w:r>
          </w:p>
          <w:p w14:paraId="78C51DBB" w14:textId="4BEB58CD" w:rsidR="00F23E07" w:rsidRPr="00CE1D7F" w:rsidRDefault="00F23E07" w:rsidP="008C0C17">
            <w:pPr>
              <w:pStyle w:val="Tablelistbullet"/>
            </w:pPr>
            <w:r>
              <w:t xml:space="preserve">Improved </w:t>
            </w:r>
            <w:r w:rsidRPr="00FF0D0F">
              <w:t xml:space="preserve">early-stage extension, translation </w:t>
            </w:r>
            <w:r>
              <w:t>and</w:t>
            </w:r>
            <w:r w:rsidRPr="00FF0D0F">
              <w:t xml:space="preserve"> adoption of excellent research</w:t>
            </w:r>
            <w:r>
              <w:t>, leading to increased collaboration and impact</w:t>
            </w:r>
          </w:p>
        </w:tc>
        <w:tc>
          <w:tcPr>
            <w:tcW w:w="2119" w:type="dxa"/>
            <w:hideMark/>
          </w:tcPr>
          <w:p w14:paraId="3D1275A9" w14:textId="77777777" w:rsidR="00F23E07" w:rsidRPr="00CE1D7F" w:rsidRDefault="00F23E07" w:rsidP="008C0C17">
            <w:pPr>
              <w:pStyle w:val="Tablelistbullet"/>
            </w:pPr>
            <w:r w:rsidRPr="00CE1D7F">
              <w:t>Experience in other jurisdictions</w:t>
            </w:r>
          </w:p>
          <w:p w14:paraId="0838AF70" w14:textId="77777777" w:rsidR="00F23E07" w:rsidRPr="00CE1D7F" w:rsidRDefault="00F23E07" w:rsidP="008C0C17">
            <w:pPr>
              <w:pStyle w:val="Tablelistbullet"/>
            </w:pPr>
            <w:r w:rsidRPr="00CE1D7F">
              <w:t xml:space="preserve">System leaders </w:t>
            </w:r>
          </w:p>
          <w:p w14:paraId="01AF0367" w14:textId="77777777" w:rsidR="00F23E07" w:rsidRPr="00CE1D7F" w:rsidRDefault="00F23E07" w:rsidP="008C0C17">
            <w:pPr>
              <w:pStyle w:val="Tablelistbullet"/>
            </w:pPr>
            <w:r w:rsidRPr="00CE1D7F">
              <w:t>Survey and program data</w:t>
            </w:r>
          </w:p>
        </w:tc>
      </w:tr>
    </w:tbl>
    <w:p w14:paraId="7390FA38" w14:textId="77777777" w:rsidR="000B0AC7" w:rsidRPr="00CE1D7F" w:rsidRDefault="000B0AC7" w:rsidP="000B0AC7">
      <w:pPr>
        <w:pStyle w:val="Source"/>
        <w:spacing w:line="256" w:lineRule="auto"/>
        <w:ind w:left="-1985"/>
      </w:pPr>
      <w:r w:rsidRPr="00CE1D7F">
        <w:t>Source: ACIL Allen</w:t>
      </w:r>
    </w:p>
    <w:p w14:paraId="1BDC3A4C" w14:textId="77777777" w:rsidR="000B0AC7" w:rsidRPr="00CE1D7F" w:rsidRDefault="000B0AC7" w:rsidP="000B0AC7">
      <w:pPr>
        <w:pStyle w:val="spacer"/>
        <w:spacing w:line="256" w:lineRule="auto"/>
        <w:ind w:left="-1985"/>
      </w:pPr>
    </w:p>
    <w:p w14:paraId="63D9F958" w14:textId="77777777" w:rsidR="002B32A0" w:rsidRPr="00CE1D7F" w:rsidRDefault="002B32A0" w:rsidP="002B32A0">
      <w:pPr>
        <w:pStyle w:val="Heading3"/>
      </w:pPr>
      <w:r w:rsidRPr="00CE1D7F">
        <w:t xml:space="preserve">Opportunity </w:t>
      </w:r>
      <w:r>
        <w:t>1</w:t>
      </w:r>
      <w:r w:rsidRPr="00CE1D7F">
        <w:t xml:space="preserve">: </w:t>
      </w:r>
      <w:r w:rsidRPr="00CA1CF1">
        <w:t xml:space="preserve">Develop a </w:t>
      </w:r>
      <w:r>
        <w:t xml:space="preserve">NCGP impact evaluation framework </w:t>
      </w:r>
    </w:p>
    <w:p w14:paraId="3C3F9B35" w14:textId="77777777" w:rsidR="002B32A0" w:rsidRDefault="002B32A0" w:rsidP="002B32A0">
      <w:pPr>
        <w:pStyle w:val="BodyText"/>
      </w:pPr>
      <w:r w:rsidRPr="00CE1D7F">
        <w:t>It is clear from this evaluation that research impact is closely aligned with research excellence. All case studies demonstrate that excellent research leads to high levels of economic, research capacity, social, environmental and cultural impact.</w:t>
      </w:r>
    </w:p>
    <w:p w14:paraId="6F320BDB" w14:textId="77777777" w:rsidR="002B32A0" w:rsidRDefault="002B32A0" w:rsidP="002B32A0">
      <w:pPr>
        <w:pStyle w:val="BodyText"/>
      </w:pPr>
      <w:r w:rsidRPr="00CE1D7F">
        <w:t xml:space="preserve">The option to do nothing </w:t>
      </w:r>
      <w:r>
        <w:t xml:space="preserve">in terms of developing a NCGP impact evaluation framework </w:t>
      </w:r>
      <w:r w:rsidRPr="00CE1D7F">
        <w:t xml:space="preserve">for the next 1-2 decades is real. In lieu of an integrated impact framework, </w:t>
      </w:r>
      <w:r>
        <w:t xml:space="preserve">the </w:t>
      </w:r>
      <w:r w:rsidRPr="00CE1D7F">
        <w:t>ARC could collect data and commission another study of this nature at a time of its choosing. While this is a low cost/effort option, it does not address key concerns raised by stakeholders consulted for this report</w:t>
      </w:r>
      <w:r>
        <w:t>.</w:t>
      </w:r>
      <w:r w:rsidRPr="00CE1D7F">
        <w:t xml:space="preserve"> </w:t>
      </w:r>
    </w:p>
    <w:p w14:paraId="6DFDB4F6" w14:textId="77777777" w:rsidR="002B32A0" w:rsidRDefault="002B32A0" w:rsidP="002B32A0">
      <w:pPr>
        <w:pStyle w:val="BodyText"/>
      </w:pPr>
      <w:r>
        <w:t xml:space="preserve">It is clear that the ARC could benefit from developing a </w:t>
      </w:r>
      <w:r w:rsidRPr="000E69F4">
        <w:t xml:space="preserve">future state impact assessment framework that demonstrates the economic, social, environmental and cultural benefits </w:t>
      </w:r>
      <w:r>
        <w:t xml:space="preserve">that could be delivered by </w:t>
      </w:r>
      <w:r w:rsidRPr="000E69F4">
        <w:t>ARC-funded research</w:t>
      </w:r>
      <w:r w:rsidDel="00D93877">
        <w:t xml:space="preserve"> </w:t>
      </w:r>
      <w:r>
        <w:t xml:space="preserve">(that includes agreed metrics and impact case studies). This is necessary for guiding impact measurement. The development of the framework would </w:t>
      </w:r>
      <w:r w:rsidRPr="000E69F4">
        <w:t xml:space="preserve">require considerable engagement with Australia’s research sector before </w:t>
      </w:r>
      <w:r>
        <w:t>it</w:t>
      </w:r>
      <w:r w:rsidRPr="000E69F4">
        <w:t xml:space="preserve"> can </w:t>
      </w:r>
      <w:r>
        <w:t xml:space="preserve">be </w:t>
      </w:r>
      <w:r w:rsidRPr="000E69F4">
        <w:t>develop</w:t>
      </w:r>
      <w:r>
        <w:t>ed</w:t>
      </w:r>
      <w:r w:rsidRPr="000E69F4">
        <w:t>, refine</w:t>
      </w:r>
      <w:r>
        <w:t>d</w:t>
      </w:r>
      <w:r w:rsidRPr="000E69F4">
        <w:t xml:space="preserve"> and deploy</w:t>
      </w:r>
      <w:r>
        <w:t>ed by the ARC</w:t>
      </w:r>
      <w:r w:rsidRPr="000E69F4">
        <w:t>.</w:t>
      </w:r>
      <w:r>
        <w:t xml:space="preserve"> Such a framework would provide greater </w:t>
      </w:r>
      <w:r>
        <w:lastRenderedPageBreak/>
        <w:t xml:space="preserve">ability for universities and government to demonstrate the value of research funding for both basic and applied research. This framework should seek to reduce </w:t>
      </w:r>
      <w:r w:rsidRPr="00CE1D7F">
        <w:t xml:space="preserve">the uncertainty of the implications of a future impact assessment framework on the research sector. It </w:t>
      </w:r>
      <w:r>
        <w:t xml:space="preserve">should also </w:t>
      </w:r>
      <w:r w:rsidRPr="00CE1D7F">
        <w:t xml:space="preserve">treat impact across the different disciplines (some of which are more amenable to quantification than others) equally. </w:t>
      </w:r>
    </w:p>
    <w:p w14:paraId="39142A7E" w14:textId="77777777" w:rsidR="002B32A0" w:rsidRDefault="002B32A0" w:rsidP="002B32A0">
      <w:pPr>
        <w:pStyle w:val="BodyText"/>
      </w:pPr>
      <w:r>
        <w:t xml:space="preserve">There may be opportunities to </w:t>
      </w:r>
      <w:r w:rsidRPr="00CE1D7F">
        <w:t xml:space="preserve">consider a range of </w:t>
      </w:r>
      <w:r>
        <w:t xml:space="preserve">existing research and innovation </w:t>
      </w:r>
      <w:r w:rsidRPr="00CE1D7F">
        <w:t>metrics (supported by the relevant learned academies as constructed under ERA</w:t>
      </w:r>
      <w:r>
        <w:t xml:space="preserve">) that help to capture impact from a broad range of research disciplines (like contribution to policy or legislation) for a future </w:t>
      </w:r>
      <w:r w:rsidRPr="00CE1D7F">
        <w:t>impact assessment framework</w:t>
      </w:r>
      <w:r>
        <w:t>.</w:t>
      </w:r>
      <w:r w:rsidRPr="00CE1D7F">
        <w:rPr>
          <w:rStyle w:val="FootnoteReference"/>
        </w:rPr>
        <w:footnoteReference w:id="81"/>
      </w:r>
      <w:r w:rsidRPr="00CE1D7F">
        <w:t xml:space="preserve"> </w:t>
      </w:r>
      <w:r>
        <w:t xml:space="preserve">Aligning the framework with national research evaluations (such as ERA and EI) could provide greater clarity and consistency on impact reporting requirements for the research sector. </w:t>
      </w:r>
    </w:p>
    <w:p w14:paraId="55AEF79E" w14:textId="76672493" w:rsidR="002B32A0" w:rsidRPr="00CE1D7F" w:rsidRDefault="002B32A0" w:rsidP="002B32A0">
      <w:pPr>
        <w:pStyle w:val="BodyText"/>
      </w:pPr>
      <w:r w:rsidRPr="00CE1D7F">
        <w:t xml:space="preserve">Finally, </w:t>
      </w:r>
      <w:r>
        <w:t>u</w:t>
      </w:r>
      <w:r w:rsidRPr="00CE1D7F">
        <w:t>nderstanding how assessment at the whole-of-NCGP-level differs from assessment at the scheme level will be important</w:t>
      </w:r>
      <w:r>
        <w:t xml:space="preserve">. As such, there are opportunities to develop </w:t>
      </w:r>
      <w:r w:rsidRPr="00CE1D7F">
        <w:t xml:space="preserve">a rolling plan </w:t>
      </w:r>
      <w:r>
        <w:t xml:space="preserve">of impact assessment for each scheme under the Discovery Program and Linkage Program over the next </w:t>
      </w:r>
      <w:r w:rsidR="00054253">
        <w:t>decade.</w:t>
      </w:r>
      <w:r w:rsidRPr="00CE1D7F">
        <w:t xml:space="preserve"> </w:t>
      </w:r>
      <w:r>
        <w:t>Impact a</w:t>
      </w:r>
      <w:r w:rsidRPr="00CE1D7F">
        <w:t xml:space="preserve">ssessment at </w:t>
      </w:r>
      <w:r>
        <w:t xml:space="preserve">the scheme </w:t>
      </w:r>
      <w:r w:rsidRPr="00CE1D7F">
        <w:t xml:space="preserve">level requires different timings, data and analytical techniques, which must be considered to develop a plan. Important lessons from other jurisdictions can guide the development of a rolling plan. Those lessons </w:t>
      </w:r>
      <w:r>
        <w:t xml:space="preserve">can </w:t>
      </w:r>
      <w:r w:rsidRPr="00CE1D7F">
        <w:t>be captured and eventually integrated into any future state impact assessment framework that ARC implements.</w:t>
      </w:r>
    </w:p>
    <w:p w14:paraId="345E4C0E" w14:textId="77777777" w:rsidR="002B32A0" w:rsidRPr="00CE1D7F" w:rsidRDefault="002B32A0" w:rsidP="002B32A0">
      <w:pPr>
        <w:pStyle w:val="Heading3"/>
      </w:pPr>
      <w:r w:rsidRPr="00CE1D7F">
        <w:t xml:space="preserve">Opportunity </w:t>
      </w:r>
      <w:r>
        <w:t>2</w:t>
      </w:r>
      <w:r w:rsidRPr="00CE1D7F">
        <w:t xml:space="preserve">: </w:t>
      </w:r>
      <w:r>
        <w:t>Strengthen NCGP impact data collection and reporting</w:t>
      </w:r>
    </w:p>
    <w:p w14:paraId="20987EE4" w14:textId="77777777" w:rsidR="002B32A0" w:rsidRDefault="002B32A0" w:rsidP="002B32A0">
      <w:pPr>
        <w:pStyle w:val="BodyText"/>
      </w:pPr>
      <w:r>
        <w:t xml:space="preserve">Once the foundations for impact assessment have been established through Opportunity 1, there is an </w:t>
      </w:r>
      <w:r w:rsidRPr="00294735">
        <w:t xml:space="preserve">opportunity to strengthen the capability and capacity of the ARC to </w:t>
      </w:r>
      <w:r>
        <w:t xml:space="preserve">collect impact data and </w:t>
      </w:r>
      <w:r w:rsidRPr="00294735">
        <w:t>undertake data analysis and evaluation to elicit further insights on the impact of the research it fund</w:t>
      </w:r>
      <w:r>
        <w:t xml:space="preserve">s. </w:t>
      </w:r>
      <w:r w:rsidRPr="00243BF5">
        <w:t>The ARC has in place several systems for monitoring and measuring impact of NCGP-funded research</w:t>
      </w:r>
      <w:r>
        <w:t xml:space="preserve">. Primarily information is currently collected via final reports, which collect data on outputs, outcomes and impacts within 12 months of project completion. Additional impacts are likely to emerge after this time that are not currently captured. </w:t>
      </w:r>
    </w:p>
    <w:p w14:paraId="1548C773" w14:textId="7B431F06" w:rsidR="002B32A0" w:rsidRPr="00CE1D7F" w:rsidDel="004316AC" w:rsidRDefault="002B32A0" w:rsidP="002B32A0">
      <w:pPr>
        <w:pStyle w:val="BodyText"/>
      </w:pPr>
      <w:r>
        <w:t xml:space="preserve">By drawing on the different techniques for examining impact that are captured in this report, such as in-depth case studies and follow-up surveys, the ARC could significantly improve its ability to demonstrate the benefits of the research it funds. However, to improve its impact reporting, the ARC will need to consider the differences between the </w:t>
      </w:r>
      <w:r w:rsidRPr="00CE1D7F" w:rsidDel="004316AC">
        <w:t xml:space="preserve">2 main categories of </w:t>
      </w:r>
      <w:r>
        <w:t xml:space="preserve">NCGP-funded </w:t>
      </w:r>
      <w:r w:rsidRPr="00CE1D7F" w:rsidDel="004316AC">
        <w:t xml:space="preserve">research: basic curiosity-driven research and applied, translatable or end-user-driven research. Within each category, the NCGP supports various research activities across all academic disciplines, which allows researchers to apply for different program funding when needed. As the case studies have shown, this flexibility is crucial in supporting the evolving needs of researchers and their communities of scholarship and practice (link to </w:t>
      </w:r>
      <w:r w:rsidDel="004316AC">
        <w:t>section </w:t>
      </w:r>
      <w:r w:rsidRPr="00F87D0E" w:rsidDel="004316AC">
        <w:fldChar w:fldCharType="begin"/>
      </w:r>
      <w:r w:rsidRPr="00F87D0E" w:rsidDel="004316AC">
        <w:instrText xml:space="preserve"> REF _Ref129808629 \r \h  \* MERGEFORMAT </w:instrText>
      </w:r>
      <w:r w:rsidRPr="00F87D0E" w:rsidDel="004316AC">
        <w:fldChar w:fldCharType="separate"/>
      </w:r>
      <w:r w:rsidR="000B0AC7">
        <w:t>4.1</w:t>
      </w:r>
      <w:r w:rsidRPr="00F87D0E" w:rsidDel="004316AC">
        <w:fldChar w:fldCharType="end"/>
      </w:r>
      <w:r w:rsidRPr="00CE1D7F" w:rsidDel="004316AC">
        <w:t xml:space="preserve">). </w:t>
      </w:r>
    </w:p>
    <w:p w14:paraId="2418395B" w14:textId="73F6DC63" w:rsidR="002B32A0" w:rsidRPr="00CE1D7F" w:rsidDel="004316AC" w:rsidRDefault="002B32A0" w:rsidP="002B32A0">
      <w:pPr>
        <w:pStyle w:val="BodyText"/>
      </w:pPr>
      <w:r w:rsidRPr="00CE1D7F" w:rsidDel="004316AC">
        <w:t xml:space="preserve">As noted in </w:t>
      </w:r>
      <w:r w:rsidDel="004316AC">
        <w:t>section </w:t>
      </w:r>
      <w:r w:rsidRPr="00F87D0E" w:rsidDel="004316AC">
        <w:fldChar w:fldCharType="begin"/>
      </w:r>
      <w:r w:rsidRPr="00F87D0E" w:rsidDel="004316AC">
        <w:instrText xml:space="preserve"> REF _Ref129808880 \r \h  \* MERGEFORMAT </w:instrText>
      </w:r>
      <w:r w:rsidRPr="00F87D0E" w:rsidDel="004316AC">
        <w:fldChar w:fldCharType="separate"/>
      </w:r>
      <w:r w:rsidR="000B0AC7">
        <w:t>3.5.1</w:t>
      </w:r>
      <w:r w:rsidRPr="00F87D0E" w:rsidDel="004316AC">
        <w:fldChar w:fldCharType="end"/>
      </w:r>
      <w:r w:rsidRPr="00CE1D7F" w:rsidDel="004316AC">
        <w:t>, many stakeholders believe discovery research should be investigator-driven, in line with the Haldane Principle.</w:t>
      </w:r>
      <w:r w:rsidRPr="00CE1D7F" w:rsidDel="004316AC">
        <w:rPr>
          <w:rStyle w:val="FootnoteReference"/>
        </w:rPr>
        <w:footnoteReference w:id="82"/>
      </w:r>
      <w:r w:rsidRPr="00CE1D7F" w:rsidDel="004316AC">
        <w:rPr>
          <w:lang w:eastAsia="en-AU"/>
        </w:rPr>
        <w:t xml:space="preserve"> </w:t>
      </w:r>
      <w:r w:rsidRPr="00CE1D7F" w:rsidDel="004316AC">
        <w:t>This mirrors the key findings for the ARC’s 2020 Evaluation of the Discovery Program, which noted:</w:t>
      </w:r>
    </w:p>
    <w:p w14:paraId="505D22D6" w14:textId="77777777" w:rsidR="002B32A0" w:rsidRPr="00CE1D7F" w:rsidDel="004316AC" w:rsidRDefault="002B32A0" w:rsidP="002B32A0">
      <w:pPr>
        <w:pStyle w:val="Quote"/>
      </w:pPr>
      <w:r w:rsidRPr="00CE1D7F" w:rsidDel="004316AC">
        <w:t>While some stakeholders commented on the importance of the scheme’s contribution to the fundamental knowledge base in laying the intellectual foundations for applied research and translational benefits, others perceived tensions between its support for basic research and its focus on both Australian Government priorities and the delivery of translational benefits.</w:t>
      </w:r>
    </w:p>
    <w:p w14:paraId="200E5039" w14:textId="77777777" w:rsidR="002B32A0" w:rsidRPr="00CE1D7F" w:rsidDel="004316AC" w:rsidRDefault="002B32A0" w:rsidP="002B32A0">
      <w:pPr>
        <w:pStyle w:val="QuoteSource"/>
      </w:pPr>
      <w:r w:rsidRPr="00CE1D7F" w:rsidDel="004316AC">
        <w:lastRenderedPageBreak/>
        <w:t>Part 5, Summary of key findings, Evaluation of the Discovery Projects scheme, Final report, ARC, November 2020</w:t>
      </w:r>
    </w:p>
    <w:p w14:paraId="6028646F" w14:textId="77777777" w:rsidR="002B32A0" w:rsidRPr="00CE1D7F" w:rsidRDefault="002B32A0" w:rsidP="00E136A7">
      <w:pPr>
        <w:pStyle w:val="BodyText"/>
        <w:keepNext/>
        <w:keepLines/>
      </w:pPr>
      <w:r w:rsidRPr="00CE1D7F" w:rsidDel="004316AC">
        <w:t xml:space="preserve">Some stakeholders believe that measuring the impact of Discovery and Linkage Programs is fundamentally different and requires different tools and techniques. </w:t>
      </w:r>
      <w:r>
        <w:t xml:space="preserve">The ARC would need to build flexibility into its future impact assessment and reporting to ensure that the full potential to demonstrate and amplify impact is realised. </w:t>
      </w:r>
    </w:p>
    <w:p w14:paraId="08A1EC57" w14:textId="77777777" w:rsidR="002B32A0" w:rsidRPr="00CE1D7F" w:rsidDel="004316AC" w:rsidRDefault="002B32A0" w:rsidP="002B32A0">
      <w:pPr>
        <w:pStyle w:val="BodyText"/>
      </w:pPr>
      <w:r w:rsidRPr="00CE1D7F" w:rsidDel="004316AC">
        <w:t xml:space="preserve">Another issue </w:t>
      </w:r>
      <w:r>
        <w:t xml:space="preserve">to consider is how there can be better pathways for the </w:t>
      </w:r>
      <w:r w:rsidRPr="00CE1D7F">
        <w:t>translation and adoption</w:t>
      </w:r>
      <w:r>
        <w:t xml:space="preserve"> of NCGP-funded research, either through NCGP or some other government mechanism</w:t>
      </w:r>
      <w:r w:rsidRPr="00CE1D7F" w:rsidDel="004316AC">
        <w:t>. At least 2 case study research leaders believed that the absence of post-NCGP funding for translation constrained their ability to amplify impact. This was especially important for L</w:t>
      </w:r>
      <w:r w:rsidDel="004316AC">
        <w:t>P</w:t>
      </w:r>
      <w:r w:rsidRPr="00CE1D7F" w:rsidDel="004316AC">
        <w:t xml:space="preserve"> and CE programs where the potential benefits are large but need additional support (i.e. potentially 1 year of additional funding) to work with end-users and beneficiaries of the research. There are examples within other jurisdictions (e.g. Horizon Europe provides additional funding at the end of grants to support researchers to disseminate their results, see </w:t>
      </w:r>
      <w:r w:rsidDel="004316AC">
        <w:t>section </w:t>
      </w:r>
      <w:r w:rsidRPr="00CE1D7F" w:rsidDel="004316AC">
        <w:t xml:space="preserve">5.1.2) where such funding is provided to exceptional research teams that require post-grant support. </w:t>
      </w:r>
      <w:r>
        <w:t xml:space="preserve">This issue could be explored further in wider reviews of the research system. </w:t>
      </w:r>
    </w:p>
    <w:p w14:paraId="46F47C4E" w14:textId="77777777" w:rsidR="002B32A0" w:rsidRPr="00CE1D7F" w:rsidRDefault="002B32A0" w:rsidP="002B32A0">
      <w:pPr>
        <w:pStyle w:val="Heading3"/>
      </w:pPr>
      <w:r w:rsidRPr="00CE1D7F">
        <w:t>Opportunity 3: Explore data-driven approaches to impact assessment</w:t>
      </w:r>
    </w:p>
    <w:p w14:paraId="2C5186BE" w14:textId="77777777" w:rsidR="002B32A0" w:rsidRPr="00CE1D7F" w:rsidRDefault="002B32A0" w:rsidP="002B32A0">
      <w:pPr>
        <w:pStyle w:val="BodyText"/>
      </w:pPr>
      <w:r w:rsidRPr="00CE1D7F">
        <w:t xml:space="preserve">Historically, impact assessment has placed considerable impost on the research sector and funding agencies. It is typically a bottom-up exercise that requires significant manual data collection and analysis. </w:t>
      </w:r>
    </w:p>
    <w:p w14:paraId="4EAAE8A9" w14:textId="77777777" w:rsidR="002B32A0" w:rsidRPr="00CE1D7F" w:rsidRDefault="002B32A0" w:rsidP="002B32A0">
      <w:pPr>
        <w:pStyle w:val="BodyText"/>
      </w:pPr>
      <w:r w:rsidRPr="00CE1D7F">
        <w:t xml:space="preserve">There are also a large number of options related to the design and deployment of data-driven impact assessment exercises. Significant questions about </w:t>
      </w:r>
      <w:r w:rsidRPr="00CE1D7F">
        <w:rPr>
          <w:i/>
          <w:iCs/>
        </w:rPr>
        <w:t>what</w:t>
      </w:r>
      <w:r w:rsidRPr="00CE1D7F">
        <w:t xml:space="preserve"> data are needed, </w:t>
      </w:r>
      <w:r w:rsidRPr="00CE1D7F">
        <w:rPr>
          <w:i/>
          <w:iCs/>
        </w:rPr>
        <w:t>how</w:t>
      </w:r>
      <w:r w:rsidRPr="00CE1D7F">
        <w:t xml:space="preserve"> the data will be collected, </w:t>
      </w:r>
      <w:r w:rsidRPr="00CE1D7F">
        <w:rPr>
          <w:i/>
          <w:iCs/>
        </w:rPr>
        <w:t>who</w:t>
      </w:r>
      <w:r w:rsidRPr="00CE1D7F">
        <w:t xml:space="preserve"> pays for data that is not publicly available, </w:t>
      </w:r>
      <w:r w:rsidRPr="00CE1D7F">
        <w:rPr>
          <w:i/>
          <w:iCs/>
        </w:rPr>
        <w:t>how</w:t>
      </w:r>
      <w:r w:rsidRPr="00CE1D7F">
        <w:t xml:space="preserve"> data will be used and </w:t>
      </w:r>
      <w:r w:rsidRPr="00CE1D7F">
        <w:rPr>
          <w:i/>
          <w:iCs/>
        </w:rPr>
        <w:t>when</w:t>
      </w:r>
      <w:r w:rsidRPr="00CE1D7F">
        <w:t xml:space="preserve"> data will be analysed and reported are all significant questions that require resolution in the future. Moreover, they raise a series of technology or platform-based investment questions that must be considered over time. </w:t>
      </w:r>
    </w:p>
    <w:p w14:paraId="0DAC79BC" w14:textId="77777777" w:rsidR="002B32A0" w:rsidRDefault="002B32A0" w:rsidP="002B32A0">
      <w:pPr>
        <w:pStyle w:val="BodyText"/>
      </w:pPr>
      <w:r w:rsidRPr="00CE1D7F">
        <w:t>ARC is faced with many options to develop metrics of the NCGP’s broader contribution and its non</w:t>
      </w:r>
      <w:r>
        <w:noBreakHyphen/>
      </w:r>
      <w:r w:rsidRPr="00CE1D7F">
        <w:t>economic impacts. With emerging data science techniques and technologies, ARC has opportunities to adopt a data-driven approach to impact that builds on the foundations provided by ERA, the Innovation Metrics Review and other metrics (such as</w:t>
      </w:r>
      <w:r>
        <w:t xml:space="preserve"> those surrounding</w:t>
      </w:r>
      <w:r w:rsidRPr="00CE1D7F">
        <w:t xml:space="preserve"> the United Nation’s Sustainable Development Goals</w:t>
      </w:r>
      <w:r w:rsidRPr="00CE1D7F">
        <w:rPr>
          <w:rStyle w:val="FootnoteReference"/>
        </w:rPr>
        <w:footnoteReference w:id="83"/>
      </w:r>
      <w:r w:rsidRPr="00CE1D7F">
        <w:t xml:space="preserve">). This opportunity aligns with practice under Horizon Europe, which aims to reduce stakeholder burden of evaluation by linking </w:t>
      </w:r>
      <w:r>
        <w:t xml:space="preserve">data from grant reporting and regular surveys </w:t>
      </w:r>
      <w:r w:rsidRPr="00CE1D7F">
        <w:t>with external databases (e.g. the Scopus Citation Index and Opus Business Database</w:t>
      </w:r>
      <w:r>
        <w:t xml:space="preserve">, as occurs with </w:t>
      </w:r>
      <w:r w:rsidRPr="00CE1D7F">
        <w:t xml:space="preserve">Horizon Europe). </w:t>
      </w:r>
      <w:r>
        <w:t xml:space="preserve">This could improve the capability to develop deep insights into the impact delivered by ARC-funded research. Although some of these metrics do not capture research impacts, are imperfect and need to be complemented by impact case studies, they can provide an interim indication of impact potential and be </w:t>
      </w:r>
      <w:r w:rsidRPr="00CE1D7F">
        <w:t>built on, and improved over time.</w:t>
      </w:r>
    </w:p>
    <w:p w14:paraId="2CC6C8B6" w14:textId="77777777" w:rsidR="002B32A0" w:rsidRPr="00CE1D7F" w:rsidRDefault="002B32A0" w:rsidP="002B32A0">
      <w:pPr>
        <w:pStyle w:val="BodyText"/>
      </w:pPr>
      <w:r>
        <w:t>The development of data-driven approaches to measuring NCGP research impact</w:t>
      </w:r>
      <w:r w:rsidRPr="00CE1D7F">
        <w:t xml:space="preserve"> require</w:t>
      </w:r>
      <w:r>
        <w:t>s</w:t>
      </w:r>
      <w:r w:rsidRPr="00CE1D7F">
        <w:t xml:space="preserve"> consultation with the sector before they are </w:t>
      </w:r>
      <w:r>
        <w:t xml:space="preserve">agreed and </w:t>
      </w:r>
      <w:r w:rsidRPr="00CE1D7F">
        <w:t xml:space="preserve">deployed. </w:t>
      </w:r>
    </w:p>
    <w:p w14:paraId="610EB66C" w14:textId="77777777" w:rsidR="002B32A0" w:rsidRPr="00CE1D7F" w:rsidRDefault="002B32A0" w:rsidP="002B32A0">
      <w:pPr>
        <w:pStyle w:val="Heading3"/>
      </w:pPr>
      <w:r w:rsidRPr="00CE1D7F">
        <w:t>Opportunity 4: Enhance communication and understanding of impact</w:t>
      </w:r>
    </w:p>
    <w:p w14:paraId="0C7931F1" w14:textId="55B4A48A" w:rsidR="002B32A0" w:rsidRPr="00CE1D7F" w:rsidRDefault="002B32A0" w:rsidP="002B32A0">
      <w:pPr>
        <w:pStyle w:val="BodyText"/>
      </w:pPr>
      <w:r w:rsidRPr="00CE1D7F">
        <w:t xml:space="preserve">The survey of researchers identified that 71% of respondents believe that regular impact reporting is ‘somewhat’ or ‘very important’ (see </w:t>
      </w:r>
      <w:r w:rsidRPr="00F87D0E">
        <w:fldChar w:fldCharType="begin"/>
      </w:r>
      <w:r w:rsidRPr="00F87D0E">
        <w:instrText xml:space="preserve"> REF _Ref123903843 \h  \* MERGEFORMAT </w:instrText>
      </w:r>
      <w:r w:rsidRPr="00F87D0E">
        <w:fldChar w:fldCharType="separate"/>
      </w:r>
      <w:r w:rsidR="000B0AC7" w:rsidRPr="000B0AC7">
        <w:t>Figure 4.7</w:t>
      </w:r>
      <w:r w:rsidRPr="00F87D0E">
        <w:fldChar w:fldCharType="end"/>
      </w:r>
      <w:r w:rsidRPr="00CE1D7F">
        <w:t xml:space="preserve">). In the words of one respondent, it has long-term benefit in helping the “broader research community understand the value of </w:t>
      </w:r>
      <w:r w:rsidRPr="00CE1D7F">
        <w:lastRenderedPageBreak/>
        <w:t>ARC-funded research”</w:t>
      </w:r>
      <w:r>
        <w:t>, noting that this also extends to governments and the general public</w:t>
      </w:r>
      <w:r w:rsidRPr="00CE1D7F">
        <w:t>.</w:t>
      </w:r>
      <w:r>
        <w:t xml:space="preserve"> This can help to increase the social license for government investment in research. In addition, through improved communication of NCGP-funded research impact in a range of settings, further extension, translation and adoption of excellent research could be achieved, leading to increased collaboration and impact. </w:t>
      </w:r>
    </w:p>
    <w:p w14:paraId="207DA2D3" w14:textId="77777777" w:rsidR="002B32A0" w:rsidRPr="00CE1D7F" w:rsidRDefault="002B32A0" w:rsidP="002B32A0">
      <w:pPr>
        <w:pStyle w:val="BodyText"/>
      </w:pPr>
      <w:r w:rsidRPr="00CE1D7F">
        <w:t>To this end, there are many ways in which impact can be better communicated by ARC. However, the diverse nature of ARC-funded research and the volume of research funding over time makes communicating impact assessment in an accessible way difficult.</w:t>
      </w:r>
    </w:p>
    <w:p w14:paraId="0EDC3BF1" w14:textId="77777777" w:rsidR="002B32A0" w:rsidRPr="00CE1D7F" w:rsidRDefault="002B32A0" w:rsidP="002B32A0">
      <w:pPr>
        <w:pStyle w:val="BodyText"/>
      </w:pPr>
      <w:r w:rsidRPr="00CE1D7F">
        <w:t xml:space="preserve">ACIL Allen believes there are opportunities to </w:t>
      </w:r>
      <w:r>
        <w:t xml:space="preserve">regularly communicate the impact of research in an engaging and targeted way for audiences using data and case studies. The ARC could </w:t>
      </w:r>
      <w:r w:rsidRPr="00CE1D7F">
        <w:t xml:space="preserve">model any impact assessment communication approach on the existing </w:t>
      </w:r>
      <w:r w:rsidRPr="00CE1D7F">
        <w:rPr>
          <w:i/>
          <w:iCs/>
        </w:rPr>
        <w:t>State of Australian Research 2018-19: ERA National Report</w:t>
      </w:r>
      <w:r w:rsidRPr="00CE1D7F">
        <w:t xml:space="preserve"> dashboard already published by ARC. This interactive online platform provides an ability to search for ERA assessment outcomes by institution or </w:t>
      </w:r>
      <w:r>
        <w:t>FoR</w:t>
      </w:r>
      <w:r w:rsidRPr="00CE1D7F">
        <w:t>.</w:t>
      </w:r>
      <w:r w:rsidRPr="00CE1D7F" w:rsidDel="00C853B2">
        <w:t xml:space="preserve"> </w:t>
      </w:r>
      <w:r>
        <w:t>T</w:t>
      </w:r>
      <w:r w:rsidRPr="00CE1D7F">
        <w:t xml:space="preserve">here are opportunities to </w:t>
      </w:r>
      <w:r>
        <w:t>draw lessons from</w:t>
      </w:r>
      <w:r w:rsidRPr="00CE1D7F">
        <w:t xml:space="preserve"> this dashboard, </w:t>
      </w:r>
      <w:r>
        <w:t xml:space="preserve">and from </w:t>
      </w:r>
      <w:r w:rsidRPr="00CE1D7F">
        <w:t xml:space="preserve">other jurisdictions and feedback from stakeholders about which aspects of it are most valued. </w:t>
      </w:r>
    </w:p>
    <w:p w14:paraId="31F44460" w14:textId="77777777" w:rsidR="002B32A0" w:rsidRDefault="002B32A0" w:rsidP="002B32A0">
      <w:pPr>
        <w:pStyle w:val="BodyText"/>
      </w:pPr>
    </w:p>
    <w:p w14:paraId="02EFD6B8" w14:textId="77777777" w:rsidR="002B32A0" w:rsidRPr="00CE1D7F" w:rsidRDefault="002B32A0" w:rsidP="002B32A0">
      <w:pPr>
        <w:pStyle w:val="BodyText"/>
      </w:pPr>
    </w:p>
    <w:p w14:paraId="460CFB07" w14:textId="77777777" w:rsidR="002B32A0" w:rsidRPr="00CE1D7F" w:rsidRDefault="002B32A0" w:rsidP="002B32A0">
      <w:pPr>
        <w:pStyle w:val="BodyText"/>
      </w:pPr>
    </w:p>
    <w:p w14:paraId="7B071F7F" w14:textId="77777777" w:rsidR="002B32A0" w:rsidRPr="00CE1D7F" w:rsidRDefault="002B32A0" w:rsidP="002B32A0">
      <w:pPr>
        <w:pStyle w:val="BodyText"/>
        <w:sectPr w:rsidR="002B32A0" w:rsidRPr="00CE1D7F" w:rsidSect="006B209A">
          <w:headerReference w:type="even" r:id="rId118"/>
          <w:headerReference w:type="default" r:id="rId119"/>
          <w:footerReference w:type="even" r:id="rId120"/>
          <w:footerReference w:type="default" r:id="rId121"/>
          <w:headerReference w:type="first" r:id="rId122"/>
          <w:footerReference w:type="first" r:id="rId123"/>
          <w:pgSz w:w="11906" w:h="16838" w:code="9"/>
          <w:pgMar w:top="1134" w:right="851" w:bottom="1134" w:left="3119" w:header="454" w:footer="159" w:gutter="0"/>
          <w:cols w:space="708"/>
          <w:docGrid w:linePitch="360"/>
        </w:sectPr>
      </w:pPr>
    </w:p>
    <w:p w14:paraId="2BF92968" w14:textId="77777777" w:rsidR="000B0AC7" w:rsidRPr="00CE1D7F" w:rsidRDefault="000B0AC7" w:rsidP="000B0AC7">
      <w:pPr>
        <w:pStyle w:val="Heading1"/>
        <w:pageBreakBefore/>
        <w:ind w:left="0" w:hanging="600"/>
      </w:pPr>
      <w:bookmarkStart w:id="216" w:name="_Toc135323698"/>
      <w:r w:rsidRPr="00CE1D7F">
        <w:lastRenderedPageBreak/>
        <w:t>Concluding remarks</w:t>
      </w:r>
      <w:bookmarkEnd w:id="216"/>
    </w:p>
    <w:p w14:paraId="06295286" w14:textId="77777777" w:rsidR="002B32A0" w:rsidRPr="00CE1D7F" w:rsidRDefault="002B32A0" w:rsidP="002B32A0">
      <w:pPr>
        <w:pStyle w:val="BodyText"/>
      </w:pPr>
      <w:r w:rsidRPr="00CE1D7F">
        <w:t>This report provides the first</w:t>
      </w:r>
      <w:r>
        <w:t xml:space="preserve"> whole-of-program,</w:t>
      </w:r>
      <w:r w:rsidRPr="00CE1D7F">
        <w:t xml:space="preserve"> independent assessment of NCGP-funded research undertaken in the past 2 decades. It demonstrates that ARC-funded research has delivered </w:t>
      </w:r>
      <w:r>
        <w:t xml:space="preserve">significant and diverse </w:t>
      </w:r>
      <w:r w:rsidRPr="00CE1D7F">
        <w:t xml:space="preserve">benefits to Australia and internationally that will continue into the future. </w:t>
      </w:r>
    </w:p>
    <w:p w14:paraId="7A4FA08A" w14:textId="77777777" w:rsidR="002B32A0" w:rsidRPr="00CE1D7F" w:rsidRDefault="002B32A0" w:rsidP="002B32A0">
      <w:pPr>
        <w:pStyle w:val="BodyText"/>
      </w:pPr>
      <w:r w:rsidRPr="00CE1D7F">
        <w:t xml:space="preserve">However, the evaluation is only a snapshot of the outcomes and impacts that have been delivered through investment in some 29,0000 projects over this time. The case studies of exceptional research show the potential for NCGP-funded research to deliver impacts that are profound and positively disproportional to the investment provided by the ARC. Moreover, the evidence presented in this report shows that NCGP-funded research impacts are significant, occur in all sectors of the economy, and are delivered to a broad range of end-users and beneficiaries. Much of this impact can be attributed to the NCGP. </w:t>
      </w:r>
    </w:p>
    <w:p w14:paraId="5BCEC15F" w14:textId="77777777" w:rsidR="002B32A0" w:rsidRPr="00CE1D7F" w:rsidRDefault="002B32A0" w:rsidP="002B32A0">
      <w:pPr>
        <w:pStyle w:val="BodyText"/>
      </w:pPr>
      <w:r w:rsidRPr="00CE1D7F">
        <w:t xml:space="preserve">ACIL Allen strongly believes that more of this impact could be attributed to ARC in the future. Further investment in the metrics and data collection tools required to capture and analyse impact data systematically should be part of ARC’s future dialogue with the research sector and government. </w:t>
      </w:r>
    </w:p>
    <w:p w14:paraId="25DD4170" w14:textId="77777777" w:rsidR="002B32A0" w:rsidRPr="00CE1D7F" w:rsidRDefault="002B32A0" w:rsidP="002B32A0">
      <w:pPr>
        <w:pStyle w:val="Heading2"/>
        <w:spacing w:before="0"/>
      </w:pPr>
      <w:bookmarkStart w:id="217" w:name="_Toc129963970"/>
      <w:bookmarkStart w:id="218" w:name="_Toc131174609"/>
      <w:bookmarkStart w:id="219" w:name="_Toc132970660"/>
      <w:bookmarkStart w:id="220" w:name="_Toc135323699"/>
      <w:r w:rsidRPr="00CE1D7F">
        <w:rPr>
          <w:noProof/>
        </w:rPr>
        <mc:AlternateContent>
          <mc:Choice Requires="wps">
            <w:drawing>
              <wp:anchor distT="0" distB="0" distL="114300" distR="114300" simplePos="0" relativeHeight="251715584" behindDoc="0" locked="1" layoutInCell="1" allowOverlap="1" wp14:anchorId="6A09DB54" wp14:editId="17301BD5">
                <wp:simplePos x="0" y="0"/>
                <wp:positionH relativeFrom="page">
                  <wp:posOffset>441325</wp:posOffset>
                </wp:positionH>
                <wp:positionV relativeFrom="paragraph">
                  <wp:posOffset>-5080</wp:posOffset>
                </wp:positionV>
                <wp:extent cx="1289050" cy="2988310"/>
                <wp:effectExtent l="0" t="0" r="0" b="0"/>
                <wp:wrapNone/>
                <wp:docPr id="792" name="Text Box 79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289050" cy="28486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6C25376" w14:textId="77777777" w:rsidR="002B32A0" w:rsidRDefault="002B32A0" w:rsidP="002B32A0">
                            <w:pPr>
                              <w:pStyle w:val="SideNoteRegularRight"/>
                              <w:jc w:val="left"/>
                              <w:rPr>
                                <w:szCs w:val="18"/>
                              </w:rPr>
                            </w:pPr>
                            <w:r>
                              <w:rPr>
                                <w:szCs w:val="18"/>
                              </w:rPr>
                              <w:t>TOR 1. Assess the outcomes of NCGP-funded research, including those relevant to the Government’s broad strategic priorities</w:t>
                            </w:r>
                          </w:p>
                          <w:p w14:paraId="5808AAC3" w14:textId="77777777" w:rsidR="002B32A0" w:rsidRDefault="002B32A0" w:rsidP="002B32A0">
                            <w:pPr>
                              <w:pStyle w:val="SideNoteRegularRight"/>
                              <w:jc w:val="left"/>
                              <w:rPr>
                                <w:szCs w:val="18"/>
                              </w:rPr>
                            </w:pPr>
                            <w:r>
                              <w:rPr>
                                <w:szCs w:val="18"/>
                              </w:rPr>
                              <w:t>TOR 2. Assess the economic impact of NCGP-funded research</w:t>
                            </w:r>
                          </w:p>
                          <w:p w14:paraId="5F8BCCF6" w14:textId="77777777" w:rsidR="002B32A0" w:rsidRDefault="002B32A0" w:rsidP="002B32A0">
                            <w:pPr>
                              <w:pStyle w:val="SideNoteRegularRight"/>
                              <w:jc w:val="left"/>
                              <w:rPr>
                                <w:szCs w:val="18"/>
                              </w:rPr>
                            </w:pPr>
                            <w:r>
                              <w:rPr>
                                <w:szCs w:val="18"/>
                              </w:rPr>
                              <w:t>TOR 3. Assess the broader impacts of NCGP-funded research, including environmental, social and other impacts</w:t>
                            </w:r>
                          </w:p>
                        </w:txbxContent>
                      </wps:txbx>
                      <wps:bodyPr rot="0" spcFirstLastPara="0" vertOverflow="clip" horzOverflow="clip" vert="horz" wrap="square" lIns="0" tIns="0" rIns="76200" bIns="762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A09DB54" id="Text Box 792" o:spid="_x0000_s1043" type="#_x0000_t202" alt="&quot;&quot;" style="position:absolute;left:0;text-align:left;margin-left:34.75pt;margin-top:-.4pt;width:101.5pt;height:235.3pt;z-index:251715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" filled="f" stroked="f" strokeweight=".5pt">
                <v:textbox style="mso-fit-shape-to-text:t" inset="0,0,6pt,6pt">
                  <w:txbxContent>
                    <w:p w14:paraId="36C25376" w14:textId="77777777" w:rsidR="002B32A0" w:rsidRDefault="002B32A0" w:rsidP="002B32A0">
                      <w:pPr>
                        <w:pStyle w:val="SideNoteRegularRight"/>
                        <w:jc w:val="left"/>
                        <w:rPr>
                          <w:szCs w:val="18"/>
                        </w:rPr>
                      </w:pPr>
                      <w:r>
                        <w:rPr>
                          <w:szCs w:val="18"/>
                        </w:rPr>
                        <w:t>TOR 1. Assess the outcomes of NCGP-funded research, including those relevant to the Government’s broad strategic priorities</w:t>
                      </w:r>
                    </w:p>
                    <w:p w14:paraId="5808AAC3" w14:textId="77777777" w:rsidR="002B32A0" w:rsidRDefault="002B32A0" w:rsidP="002B32A0">
                      <w:pPr>
                        <w:pStyle w:val="SideNoteRegularRight"/>
                        <w:jc w:val="left"/>
                        <w:rPr>
                          <w:szCs w:val="18"/>
                        </w:rPr>
                      </w:pPr>
                      <w:r>
                        <w:rPr>
                          <w:szCs w:val="18"/>
                        </w:rPr>
                        <w:t>TOR 2. Assess the economic impact of NCGP-funded research</w:t>
                      </w:r>
                    </w:p>
                    <w:p w14:paraId="5F8BCCF6" w14:textId="77777777" w:rsidR="002B32A0" w:rsidRDefault="002B32A0" w:rsidP="002B32A0">
                      <w:pPr>
                        <w:pStyle w:val="SideNoteRegularRight"/>
                        <w:jc w:val="left"/>
                        <w:rPr>
                          <w:szCs w:val="18"/>
                        </w:rPr>
                      </w:pPr>
                      <w:r>
                        <w:rPr>
                          <w:szCs w:val="18"/>
                        </w:rPr>
                        <w:t>TOR 3. Assess the broader impacts of NCGP-funded research, including environmental, social and other impacts</w:t>
                      </w:r>
                    </w:p>
                  </w:txbxContent>
                </v:textbox>
                <w10:wrap anchorx="page"/>
                <w10:anchorlock/>
              </v:shape>
            </w:pict>
          </mc:Fallback>
        </mc:AlternateContent>
      </w:r>
      <w:r w:rsidRPr="00CE1D7F">
        <w:t>Outcomes and broader impacts delivered by NCGP-funded research</w:t>
      </w:r>
      <w:bookmarkEnd w:id="217"/>
      <w:bookmarkEnd w:id="218"/>
      <w:bookmarkEnd w:id="219"/>
      <w:bookmarkEnd w:id="220"/>
    </w:p>
    <w:p w14:paraId="34243D0E" w14:textId="77777777" w:rsidR="002B32A0" w:rsidRPr="00CE1D7F" w:rsidRDefault="002B32A0" w:rsidP="002B32A0">
      <w:pPr>
        <w:pStyle w:val="Heading3"/>
      </w:pPr>
      <w:r w:rsidRPr="00CE1D7F">
        <w:t xml:space="preserve">Economic impacts </w:t>
      </w:r>
    </w:p>
    <w:p w14:paraId="6D4713FB" w14:textId="77777777" w:rsidR="002B32A0" w:rsidRPr="00CE1D7F" w:rsidRDefault="002B32A0" w:rsidP="002B32A0">
      <w:pPr>
        <w:pStyle w:val="BodyText"/>
      </w:pPr>
      <w:r w:rsidRPr="00CE1D7F">
        <w:t>Economy-wide modelling of some 29,000 projects shows that the NCGP has delivered significant benefits to the Australian economy, including:</w:t>
      </w:r>
    </w:p>
    <w:p w14:paraId="5AD6727A" w14:textId="77777777" w:rsidR="002B32A0" w:rsidRPr="00CE1D7F" w:rsidRDefault="002B32A0" w:rsidP="009C5A0B">
      <w:pPr>
        <w:pStyle w:val="ListBullet"/>
      </w:pPr>
      <w:r w:rsidRPr="00CE1D7F">
        <w:rPr>
          <w:b/>
          <w:bCs/>
        </w:rPr>
        <w:t>generating substantial economic activity</w:t>
      </w:r>
      <w:r w:rsidRPr="00CE1D7F">
        <w:t>: boosting Australia’s economic output (GDP) by $184.3</w:t>
      </w:r>
      <w:r>
        <w:t> billion</w:t>
      </w:r>
      <w:r w:rsidRPr="00CE1D7F">
        <w:t xml:space="preserve">, equivalent to approximately 1.5% of Australia’s current GDP </w:t>
      </w:r>
    </w:p>
    <w:p w14:paraId="6FF29A8B" w14:textId="77777777" w:rsidR="002B32A0" w:rsidRPr="00CE1D7F" w:rsidRDefault="002B32A0" w:rsidP="009C5A0B">
      <w:pPr>
        <w:pStyle w:val="ListBullet"/>
      </w:pPr>
      <w:r w:rsidRPr="00CE1D7F">
        <w:rPr>
          <w:b/>
          <w:bCs/>
        </w:rPr>
        <w:t>raising economic welfare across Australia</w:t>
      </w:r>
      <w:r w:rsidRPr="00CE1D7F">
        <w:t>: increasing the real income of Australians by a cumulative total of $152.5</w:t>
      </w:r>
      <w:r>
        <w:t> billion</w:t>
      </w:r>
      <w:r w:rsidRPr="00CE1D7F">
        <w:t xml:space="preserve">, equivalent to increasing the average income of </w:t>
      </w:r>
      <w:r w:rsidRPr="00CE1D7F">
        <w:rPr>
          <w:i/>
          <w:iCs/>
          <w:u w:val="single"/>
        </w:rPr>
        <w:t>all</w:t>
      </w:r>
      <w:r w:rsidRPr="00CE1D7F">
        <w:t xml:space="preserve"> Australians by approximately $1,171 per person</w:t>
      </w:r>
      <w:r w:rsidRPr="00CE1D7F">
        <w:rPr>
          <w:rStyle w:val="FootnoteReference"/>
        </w:rPr>
        <w:footnoteReference w:id="84"/>
      </w:r>
    </w:p>
    <w:p w14:paraId="491FB9BC" w14:textId="77777777" w:rsidR="002B32A0" w:rsidRPr="00CE1D7F" w:rsidRDefault="002B32A0" w:rsidP="009C5A0B">
      <w:pPr>
        <w:pStyle w:val="ListBullet"/>
      </w:pPr>
      <w:r w:rsidRPr="00CE1D7F">
        <w:t xml:space="preserve">generating significant employment opportunities: creating around 6,570 FTE jobs per year </w:t>
      </w:r>
    </w:p>
    <w:p w14:paraId="61254939" w14:textId="77777777" w:rsidR="002B32A0" w:rsidRPr="00CE1D7F" w:rsidRDefault="002B32A0" w:rsidP="009C5A0B">
      <w:pPr>
        <w:pStyle w:val="ListBullet"/>
      </w:pPr>
      <w:r w:rsidRPr="00CE1D7F">
        <w:rPr>
          <w:b/>
          <w:bCs/>
        </w:rPr>
        <w:t>providing</w:t>
      </w:r>
      <w:r w:rsidRPr="00CE1D7F">
        <w:t xml:space="preserve"> </w:t>
      </w:r>
      <w:r w:rsidRPr="00CE1D7F">
        <w:rPr>
          <w:b/>
          <w:bCs/>
        </w:rPr>
        <w:t>significant value for money</w:t>
      </w:r>
      <w:r w:rsidRPr="00CE1D7F">
        <w:t>: generating $3.32 in additional economic output (GDP) for every dollar invested through the NCGP.</w:t>
      </w:r>
    </w:p>
    <w:p w14:paraId="6E76E712" w14:textId="77777777" w:rsidR="002B32A0" w:rsidRPr="00CE1D7F" w:rsidRDefault="002B32A0" w:rsidP="002B32A0">
      <w:pPr>
        <w:pStyle w:val="BodyText"/>
      </w:pPr>
      <w:r w:rsidRPr="00CE1D7F">
        <w:t xml:space="preserve">These estimated economic impacts understate the overall benefits of the NCGP as they do not account for the social and environmental impacts associated with research projects funded by the ARC. That said, this analysis shows that </w:t>
      </w:r>
      <w:r w:rsidRPr="00CE1D7F">
        <w:rPr>
          <w:lang w:eastAsia="en-AU"/>
        </w:rPr>
        <w:t xml:space="preserve">the NCGP is delivering broader economic impacts that </w:t>
      </w:r>
      <w:r w:rsidRPr="00CE1D7F">
        <w:t>directly support the intended outcomes of the Discovery and Linkage Programs. These</w:t>
      </w:r>
      <w:r w:rsidRPr="00CE1D7F">
        <w:rPr>
          <w:lang w:eastAsia="en-AU"/>
        </w:rPr>
        <w:t xml:space="preserve"> include </w:t>
      </w:r>
      <w:r w:rsidRPr="00CE1D7F">
        <w:t xml:space="preserve">commercial outcomes such as invention disclosures, commercialising and licensing technology, patents, training and spin-out/spin-off companies. </w:t>
      </w:r>
    </w:p>
    <w:p w14:paraId="628B95CC" w14:textId="77777777" w:rsidR="002B32A0" w:rsidRPr="00CE1D7F" w:rsidRDefault="002B32A0" w:rsidP="002B32A0">
      <w:pPr>
        <w:pStyle w:val="BodyText"/>
      </w:pPr>
      <w:r w:rsidRPr="00CE1D7F">
        <w:t xml:space="preserve">The case studies have demonstrated that NCGP-funded research creates economic growth and opportunity through additional income generated by Indigenous students that graduate at </w:t>
      </w:r>
      <w:r w:rsidRPr="00CE1D7F">
        <w:lastRenderedPageBreak/>
        <w:t>a higher rate, the quantum opportunity in Australia, avoided costs associated with using desalination rather than groundwater recharge, the value of future lobster production, and the value of water savings. In particular, the case studies demonstrate how the NCGP's support for curiosity-led research can over time deliver economic impacts that are potentially substantial, as in the case of quantum computing.</w:t>
      </w:r>
    </w:p>
    <w:p w14:paraId="1FFEA17B" w14:textId="77777777" w:rsidR="002B32A0" w:rsidRPr="00CE1D7F" w:rsidRDefault="002B32A0" w:rsidP="002B32A0">
      <w:pPr>
        <w:pStyle w:val="Heading3"/>
      </w:pPr>
      <w:r w:rsidRPr="00CE1D7F">
        <w:t xml:space="preserve">Broader impacts </w:t>
      </w:r>
    </w:p>
    <w:p w14:paraId="0685B485" w14:textId="77777777" w:rsidR="002B32A0" w:rsidRPr="00CE1D7F" w:rsidRDefault="002B32A0" w:rsidP="002B32A0">
      <w:pPr>
        <w:pStyle w:val="BodyText"/>
      </w:pPr>
      <w:r w:rsidRPr="00CE1D7F">
        <w:t>The NCGP’s broader impacts assessed in this report have mainly been captured qualitatively, drawing on insights from stakeholders, funding and final report data, and the survey of researchers. Not surprisingly, researchers report more impact when these have had time to emerge. Further, researchers involved in Discovery Program report a greater contribution to generating knowledge and longer lead times to impact. Researchers involved in the Linkage Program report more applied research, including partnerships with and research impact for end-users. These impacts are delivered sooner on average.</w:t>
      </w:r>
    </w:p>
    <w:p w14:paraId="526AF4B5" w14:textId="77777777" w:rsidR="002B32A0" w:rsidRPr="00CE1D7F" w:rsidRDefault="002B32A0" w:rsidP="002B32A0">
      <w:pPr>
        <w:pStyle w:val="BodyText"/>
      </w:pPr>
      <w:r w:rsidRPr="00CE1D7F">
        <w:t>The case studies provide examples of excellent research that, when funded and supported to occur over many years, delivers significant benefits to the economy, research capacity, society, culture, and the environment. These are illustrations of the types and nature of the impacts delivered over a long period of time.</w:t>
      </w:r>
    </w:p>
    <w:p w14:paraId="6C3AABE7" w14:textId="77777777" w:rsidR="002B32A0" w:rsidRPr="00CE1D7F" w:rsidRDefault="002B32A0" w:rsidP="002B32A0">
      <w:pPr>
        <w:pStyle w:val="Heading4"/>
      </w:pPr>
      <w:r>
        <w:t>Building r</w:t>
      </w:r>
      <w:r w:rsidRPr="00CE1D7F">
        <w:t xml:space="preserve">esearch capacity </w:t>
      </w:r>
    </w:p>
    <w:p w14:paraId="21E1A931" w14:textId="77777777" w:rsidR="002B32A0" w:rsidRPr="00CE1D7F" w:rsidRDefault="002B32A0" w:rsidP="002B32A0">
      <w:pPr>
        <w:pStyle w:val="BodyText"/>
      </w:pPr>
      <w:r w:rsidRPr="00CE1D7F">
        <w:t xml:space="preserve">NCGP-funded research has </w:t>
      </w:r>
      <w:r>
        <w:t>built</w:t>
      </w:r>
      <w:r w:rsidRPr="00CE1D7F">
        <w:t xml:space="preserve"> significant research capacity by enabling new research directions, research training (e.g. researchers and graduates) and new partnerships (in Australia and internationally). This is helping generate new knowledge, leverage Australia’s expertise internationally and generate a research workforce for the future.</w:t>
      </w:r>
    </w:p>
    <w:p w14:paraId="69248268" w14:textId="77777777" w:rsidR="002B32A0" w:rsidRPr="00CE1D7F" w:rsidRDefault="002B32A0" w:rsidP="002B32A0">
      <w:pPr>
        <w:pStyle w:val="BodyText"/>
      </w:pPr>
      <w:r w:rsidRPr="00CE1D7F">
        <w:t xml:space="preserve">The 7 case studies alone are responsible for training 253 honours, 398 PhD students, 87 Masters and 52 postdoctoral fellows. They demonstrate the breadth of collaboration enabled by the funding to educate the community, translate research, broaden the research scope, and ensure research outputs focus on critical issues. </w:t>
      </w:r>
    </w:p>
    <w:p w14:paraId="38ABC62B" w14:textId="77777777" w:rsidR="002B32A0" w:rsidRPr="00CE1D7F" w:rsidRDefault="002B32A0" w:rsidP="002B32A0">
      <w:pPr>
        <w:pStyle w:val="BodyText"/>
      </w:pPr>
      <w:r w:rsidRPr="00CE1D7F">
        <w:t>Further, research projects have leveraged substantial co-contributions from partners, totalling $9.3</w:t>
      </w:r>
      <w:r>
        <w:t> billion</w:t>
      </w:r>
      <w:r w:rsidRPr="00CE1D7F">
        <w:t xml:space="preserve"> cash and $12.4</w:t>
      </w:r>
      <w:r>
        <w:t> billion</w:t>
      </w:r>
      <w:r w:rsidRPr="00CE1D7F">
        <w:t xml:space="preserve"> in-kind. This demonstrates the extent of collaboration stimulated by NCGP-funded research.</w:t>
      </w:r>
    </w:p>
    <w:p w14:paraId="30DE3929" w14:textId="77777777" w:rsidR="002B32A0" w:rsidRPr="00CE1D7F" w:rsidRDefault="002B32A0" w:rsidP="002B32A0">
      <w:pPr>
        <w:pStyle w:val="Heading4"/>
      </w:pPr>
      <w:r w:rsidRPr="00CE1D7F">
        <w:t>Social impacts</w:t>
      </w:r>
    </w:p>
    <w:p w14:paraId="5843B60E" w14:textId="77777777" w:rsidR="002B32A0" w:rsidRPr="00CE1D7F" w:rsidRDefault="002B32A0" w:rsidP="002B32A0">
      <w:pPr>
        <w:pStyle w:val="BodyText"/>
      </w:pPr>
      <w:r w:rsidRPr="00CE1D7F">
        <w:t xml:space="preserve">NCGP-funded research has produced broad social impacts, including improved health and wellbeing, informed decision-making, improved safety and security, and reduced social problems. The case studies highlight significant social contributions, including support for stronger community engagement and entitlements, improved wellbeing and quality of life, improved accuracy, responsiveness and efficiency of the legal and justice system, reduced pain and suffering, and enhanced community wellbeing and reconciliation. </w:t>
      </w:r>
    </w:p>
    <w:p w14:paraId="38AC20F6" w14:textId="77777777" w:rsidR="002B32A0" w:rsidRPr="00CE1D7F" w:rsidRDefault="002B32A0" w:rsidP="002B32A0">
      <w:pPr>
        <w:pStyle w:val="Heading4"/>
      </w:pPr>
      <w:r w:rsidRPr="00CE1D7F">
        <w:t>Environmental impacts</w:t>
      </w:r>
    </w:p>
    <w:p w14:paraId="3E794A18" w14:textId="218ED639" w:rsidR="002B32A0" w:rsidRPr="00CE1D7F" w:rsidRDefault="002B32A0" w:rsidP="002B32A0">
      <w:pPr>
        <w:pStyle w:val="BodyText"/>
      </w:pPr>
      <w:r w:rsidRPr="00CE1D7F">
        <w:t xml:space="preserve">Research projects have and will continue to deliver environmental impacts. These include contributing to better natural resource management and reduced environmental damage. The breadth of impact </w:t>
      </w:r>
      <w:r w:rsidR="00054253">
        <w:t>is</w:t>
      </w:r>
      <w:r w:rsidRPr="00CE1D7F">
        <w:t xml:space="preserve"> highlighted more fully in the case studies, which show the significant impact of the research on the environment. These impact include supporting the environmental sustainability of Australia’s emerging lobster aquaculture industry; modernising irrigation to save water and support water quality and ecological outcomes, mitigate drought impacts and protect key refuges for endangered species; developing more efficient clean energy technologies; reducing energy consumption and emissions; and enabling injection of </w:t>
      </w:r>
      <w:r w:rsidRPr="00CE1D7F">
        <w:lastRenderedPageBreak/>
        <w:t>water into aquifers to protect important wetlands and lakes, and, in turn, helping ensure the protection of flora and fauna that depend on those wetlands.</w:t>
      </w:r>
    </w:p>
    <w:p w14:paraId="4E1C548F" w14:textId="77777777" w:rsidR="002B32A0" w:rsidRPr="00CE1D7F" w:rsidRDefault="002B32A0" w:rsidP="002B32A0">
      <w:pPr>
        <w:pStyle w:val="Heading4"/>
      </w:pPr>
      <w:r w:rsidRPr="00CE1D7F">
        <w:t>Cultural impacts</w:t>
      </w:r>
    </w:p>
    <w:p w14:paraId="2FE4C39F" w14:textId="77777777" w:rsidR="002B32A0" w:rsidRPr="00CE1D7F" w:rsidRDefault="002B32A0" w:rsidP="002B32A0">
      <w:pPr>
        <w:pStyle w:val="BodyText"/>
      </w:pPr>
      <w:r w:rsidRPr="00CE1D7F">
        <w:t>NCGP-funded research is contributing to cultural impacts by improving cultural understanding and preservation. While cultural impacts delivered by NCGP-funded research projects are difficult to systematically identify and quantify, the case studies again highlight the depth of impact delivered. These include supporting a culture change movement on DFV, and enabling deeper cultural connections, understanding and engagement across 3 community partners and other end-users globally.</w:t>
      </w:r>
    </w:p>
    <w:p w14:paraId="76318426" w14:textId="77777777" w:rsidR="002B32A0" w:rsidRPr="00CE1D7F" w:rsidRDefault="002B32A0" w:rsidP="002B32A0">
      <w:pPr>
        <w:pStyle w:val="Heading4"/>
      </w:pPr>
      <w:r w:rsidRPr="00CE1D7F">
        <w:t>Alignment with Government’s strategic priorities</w:t>
      </w:r>
    </w:p>
    <w:p w14:paraId="64A79A64" w14:textId="77777777" w:rsidR="002B32A0" w:rsidRPr="00CE1D7F" w:rsidRDefault="002B32A0" w:rsidP="002B32A0">
      <w:pPr>
        <w:pStyle w:val="BodyText"/>
      </w:pPr>
      <w:r w:rsidRPr="00CE1D7F">
        <w:t xml:space="preserve">The case studies highlight the value of research in addressing Australia’s needs, including those aligned with government priorities. </w:t>
      </w:r>
    </w:p>
    <w:p w14:paraId="0CDAE073" w14:textId="65CBCC83" w:rsidR="002B32A0" w:rsidRPr="00CE1D7F" w:rsidRDefault="002B32A0" w:rsidP="002B32A0">
      <w:pPr>
        <w:pStyle w:val="BodyText"/>
      </w:pPr>
      <w:r w:rsidRPr="00CE1D7F">
        <w:t xml:space="preserve">The government has a strategic role in identifying areas of focus and critical needs for applied and mission-based research, while the Haldane Principle should guide discovery research, such that researchers define ‘blue-sky’ challenges and priorities. Researcher-led curiosity and freedom has been the cornerstone of foundational discoveries in Australia, as evidenced by the </w:t>
      </w:r>
      <w:r w:rsidRPr="00CE1D7F">
        <w:rPr>
          <w:i/>
          <w:iCs/>
        </w:rPr>
        <w:t>Quantum Computation and Communication Technology</w:t>
      </w:r>
      <w:r w:rsidRPr="00CE1D7F">
        <w:t xml:space="preserve"> case study</w:t>
      </w:r>
      <w:r>
        <w:t xml:space="preserve"> (see chapter </w:t>
      </w:r>
      <w:r w:rsidRPr="00F87D0E">
        <w:fldChar w:fldCharType="begin"/>
      </w:r>
      <w:r w:rsidR="00F87D0E" w:rsidRPr="00F87D0E">
        <w:instrText xml:space="preserve"> REF _Ref131081145 \r \h  \* MERGEFORMAT </w:instrText>
      </w:r>
      <w:r w:rsidRPr="00F87D0E">
        <w:fldChar w:fldCharType="separate"/>
      </w:r>
      <w:r w:rsidR="000B0AC7">
        <w:t>7</w:t>
      </w:r>
      <w:r w:rsidRPr="00F87D0E">
        <w:fldChar w:fldCharType="end"/>
      </w:r>
      <w:r>
        <w:t>)</w:t>
      </w:r>
      <w:r w:rsidRPr="00CE1D7F">
        <w:t xml:space="preserve">, a hugely successful program of research. </w:t>
      </w:r>
    </w:p>
    <w:p w14:paraId="43E14164" w14:textId="77777777" w:rsidR="002B32A0" w:rsidRPr="00CE1D7F" w:rsidRDefault="002B32A0" w:rsidP="002B32A0">
      <w:pPr>
        <w:pStyle w:val="Heading2"/>
      </w:pPr>
      <w:bookmarkStart w:id="221" w:name="_Toc129963971"/>
      <w:bookmarkStart w:id="222" w:name="_Toc131174610"/>
      <w:bookmarkStart w:id="223" w:name="_Toc132970661"/>
      <w:bookmarkStart w:id="224" w:name="_Toc135323700"/>
      <w:r w:rsidRPr="00CE1D7F">
        <w:t>Suppor</w:t>
      </w:r>
      <w:r w:rsidRPr="00CE1D7F">
        <w:rPr>
          <w:noProof/>
        </w:rPr>
        <mc:AlternateContent>
          <mc:Choice Requires="wps">
            <w:drawing>
              <wp:anchor distT="0" distB="0" distL="114300" distR="114300" simplePos="0" relativeHeight="251716608" behindDoc="0" locked="1" layoutInCell="1" allowOverlap="1" wp14:anchorId="2BA86697" wp14:editId="767468C6">
                <wp:simplePos x="0" y="0"/>
                <wp:positionH relativeFrom="page">
                  <wp:posOffset>441325</wp:posOffset>
                </wp:positionH>
                <wp:positionV relativeFrom="paragraph">
                  <wp:posOffset>-5080</wp:posOffset>
                </wp:positionV>
                <wp:extent cx="1289050" cy="1299210"/>
                <wp:effectExtent l="0" t="0" r="0" b="0"/>
                <wp:wrapNone/>
                <wp:docPr id="791" name="Text Box 79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289050" cy="12452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C2064C1" w14:textId="77777777" w:rsidR="002B32A0" w:rsidRDefault="002B32A0" w:rsidP="002B32A0">
                            <w:pPr>
                              <w:pStyle w:val="SideNoteRegularRight"/>
                              <w:jc w:val="left"/>
                            </w:pPr>
                            <w:r>
                              <w:t>TOR 4. Assess the effectiveness with which the ARC is supporting, monitoring and reporting on NCGP research impact</w:t>
                            </w:r>
                          </w:p>
                        </w:txbxContent>
                      </wps:txbx>
                      <wps:bodyPr rot="0" spcFirstLastPara="0" vertOverflow="clip" horzOverflow="clip" vert="horz" wrap="square" lIns="0" tIns="0" rIns="76200" bIns="762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BA86697" id="Text Box 791" o:spid="_x0000_s1044" type="#_x0000_t202" alt="&quot;&quot;" style="position:absolute;left:0;text-align:left;margin-left:34.75pt;margin-top:-.4pt;width:101.5pt;height:102.3pt;z-index:251716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" filled="f" stroked="f" strokeweight=".5pt">
                <v:textbox style="mso-fit-shape-to-text:t" inset="0,0,6pt,6pt">
                  <w:txbxContent>
                    <w:p w14:paraId="4C2064C1" w14:textId="77777777" w:rsidR="002B32A0" w:rsidRDefault="002B32A0" w:rsidP="002B32A0">
                      <w:pPr>
                        <w:pStyle w:val="SideNoteRegularRight"/>
                        <w:jc w:val="left"/>
                      </w:pPr>
                      <w:r>
                        <w:t>TOR 4. Assess the effectiveness with which the ARC is supporting, monitoring and reporting on NCGP research impact</w:t>
                      </w:r>
                    </w:p>
                  </w:txbxContent>
                </v:textbox>
                <w10:wrap anchorx="page"/>
                <w10:anchorlock/>
              </v:shape>
            </w:pict>
          </mc:Fallback>
        </mc:AlternateContent>
      </w:r>
      <w:r w:rsidRPr="00CE1D7F">
        <w:t>ting, monitoring and reporting on NCGP-research impact</w:t>
      </w:r>
      <w:bookmarkEnd w:id="221"/>
      <w:bookmarkEnd w:id="222"/>
      <w:bookmarkEnd w:id="223"/>
      <w:bookmarkEnd w:id="224"/>
      <w:r w:rsidRPr="00CE1D7F">
        <w:t xml:space="preserve"> </w:t>
      </w:r>
    </w:p>
    <w:p w14:paraId="33967A36" w14:textId="77777777" w:rsidR="002B32A0" w:rsidRPr="00CE1D7F" w:rsidRDefault="002B32A0" w:rsidP="002B32A0">
      <w:pPr>
        <w:pStyle w:val="BodyText"/>
      </w:pPr>
      <w:r w:rsidRPr="00CE1D7F">
        <w:t>The ARC supports the delivery of outcomes and impacts by providing grants for basic and applied research, funding career development, and supporting the sector through outreach and engagement with universities. It also plays an essential funding role in the innovation ecosystem, which other funding sources would not support (noting that non-ARC funding sources are also essential in supporting pathways to impact and filling gaps in the activities/research funded by the ARC). Most stakeholders consulted consider that the ARC is effective in this role, and a large proportion of the impact described in this report is attributable to the NCGP’s research funding.</w:t>
      </w:r>
    </w:p>
    <w:p w14:paraId="2EDB3E23" w14:textId="77777777" w:rsidR="002B32A0" w:rsidRPr="00CE1D7F" w:rsidRDefault="002B32A0" w:rsidP="002B32A0">
      <w:pPr>
        <w:pStyle w:val="BodyText"/>
        <w:spacing w:before="0"/>
      </w:pPr>
      <w:r w:rsidRPr="00CE1D7F">
        <w:t>Th</w:t>
      </w:r>
      <w:r w:rsidRPr="00CE1D7F">
        <w:rPr>
          <w:noProof/>
        </w:rPr>
        <mc:AlternateContent>
          <mc:Choice Requires="wps">
            <w:drawing>
              <wp:anchor distT="0" distB="0" distL="114300" distR="114300" simplePos="0" relativeHeight="251717632" behindDoc="0" locked="1" layoutInCell="1" allowOverlap="1" wp14:anchorId="6AE45D6D" wp14:editId="55E11535">
                <wp:simplePos x="0" y="0"/>
                <wp:positionH relativeFrom="page">
                  <wp:posOffset>441325</wp:posOffset>
                </wp:positionH>
                <wp:positionV relativeFrom="paragraph">
                  <wp:posOffset>-5080</wp:posOffset>
                </wp:positionV>
                <wp:extent cx="1289050" cy="1637030"/>
                <wp:effectExtent l="0" t="0" r="0" b="0"/>
                <wp:wrapNone/>
                <wp:docPr id="790" name="Text Box 79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289050" cy="15659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6184BBE" w14:textId="77777777" w:rsidR="002B32A0" w:rsidRDefault="002B32A0" w:rsidP="002B32A0">
                            <w:pPr>
                              <w:pStyle w:val="SideNoteRegularRight"/>
                              <w:jc w:val="left"/>
                              <w:rPr>
                                <w:szCs w:val="18"/>
                              </w:rPr>
                            </w:pPr>
                            <w:r>
                              <w:rPr>
                                <w:szCs w:val="18"/>
                              </w:rPr>
                              <w:t>TOR 5. identify lessons and recommendations on how the impact of ARC-funded research could be better supported, monitored and communicated in the future</w:t>
                            </w:r>
                          </w:p>
                        </w:txbxContent>
                      </wps:txbx>
                      <wps:bodyPr rot="0" spcFirstLastPara="0" vertOverflow="clip" horzOverflow="clip" vert="horz" wrap="square" lIns="0" tIns="0" rIns="76200" bIns="762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AE45D6D" id="Text Box 790" o:spid="_x0000_s1045" type="#_x0000_t202" alt="&quot;&quot;" style="position:absolute;margin-left:34.75pt;margin-top:-.4pt;width:101.5pt;height:128.9pt;z-index:251717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" filled="f" stroked="f" strokeweight=".5pt">
                <v:textbox style="mso-fit-shape-to-text:t" inset="0,0,6pt,6pt">
                  <w:txbxContent>
                    <w:p w14:paraId="76184BBE" w14:textId="77777777" w:rsidR="002B32A0" w:rsidRDefault="002B32A0" w:rsidP="002B32A0">
                      <w:pPr>
                        <w:pStyle w:val="SideNoteRegularRight"/>
                        <w:jc w:val="left"/>
                        <w:rPr>
                          <w:szCs w:val="18"/>
                        </w:rPr>
                      </w:pPr>
                      <w:r>
                        <w:rPr>
                          <w:szCs w:val="18"/>
                        </w:rPr>
                        <w:t>TOR 5. identify lessons and recommendations on how the impact of ARC-funded research could be better supported, monitored and communicated in the future</w:t>
                      </w:r>
                    </w:p>
                  </w:txbxContent>
                </v:textbox>
                <w10:wrap anchorx="page"/>
                <w10:anchorlock/>
              </v:shape>
            </w:pict>
          </mc:Fallback>
        </mc:AlternateContent>
      </w:r>
      <w:r w:rsidRPr="00CE1D7F">
        <w:t xml:space="preserve">e ARC has in place systems for monitoring, measuring and communicating impact. However, these can be improved to enable the ARC to undertake more impactful data analysis and evaluation, and for the ARC to deliver more accountability and transparency around public funding and advocate for the value of research and the impacts delivered. </w:t>
      </w:r>
    </w:p>
    <w:p w14:paraId="2BEB9A5C" w14:textId="77777777" w:rsidR="002B32A0" w:rsidRPr="00CE1D7F" w:rsidRDefault="002B32A0" w:rsidP="002B32A0">
      <w:pPr>
        <w:pStyle w:val="BodyText"/>
      </w:pPr>
      <w:r w:rsidRPr="00CE1D7F">
        <w:t>There is no single solution to impact measurement. Australia’s approach should be carefully considered and tailored to reflect the purpose of the impact assessment, reduce the burden on the sector, employ the best available tools and techniques to capture an understanding of the breadth of impact, and be developed in broad consultation with the sector. Impact assessment should also be undertaken more frequently than it has been.</w:t>
      </w:r>
    </w:p>
    <w:p w14:paraId="088D8681" w14:textId="068487BE" w:rsidR="002B32A0" w:rsidRPr="00CE1D7F" w:rsidRDefault="002B32A0" w:rsidP="009C5A0B">
      <w:pPr>
        <w:pStyle w:val="BodyText"/>
        <w:keepNext/>
        <w:keepLines/>
      </w:pPr>
      <w:r w:rsidRPr="00CE1D7F">
        <w:t xml:space="preserve">ACIL Allen sees 4 opportunities for future growth that could enhance impact assessment in the future (see </w:t>
      </w:r>
      <w:r w:rsidRPr="00F87D0E">
        <w:fldChar w:fldCharType="begin"/>
      </w:r>
      <w:r w:rsidRPr="00F87D0E">
        <w:instrText xml:space="preserve"> REF _Ref129706032 \h  \* MERGEFORMAT </w:instrText>
      </w:r>
      <w:r w:rsidRPr="00F87D0E">
        <w:fldChar w:fldCharType="separate"/>
      </w:r>
      <w:r w:rsidR="000B0AC7" w:rsidRPr="000B0AC7">
        <w:t>Table 5.1</w:t>
      </w:r>
      <w:r w:rsidRPr="00F87D0E">
        <w:fldChar w:fldCharType="end"/>
      </w:r>
      <w:r w:rsidRPr="00CE1D7F">
        <w:t>), including:</w:t>
      </w:r>
    </w:p>
    <w:p w14:paraId="386DB67D" w14:textId="77777777" w:rsidR="002B32A0" w:rsidRPr="00CE1D7F" w:rsidRDefault="002B32A0" w:rsidP="009C5A0B">
      <w:pPr>
        <w:pStyle w:val="ListBullet"/>
        <w:keepNext/>
        <w:keepLines/>
      </w:pPr>
      <w:r>
        <w:t>developing a NCGP impact evaluation framework</w:t>
      </w:r>
    </w:p>
    <w:p w14:paraId="63FEB904" w14:textId="77777777" w:rsidR="002B32A0" w:rsidRPr="00CE1D7F" w:rsidRDefault="002B32A0" w:rsidP="009C5A0B">
      <w:pPr>
        <w:pStyle w:val="ListBullet"/>
        <w:keepNext/>
        <w:keepLines/>
      </w:pPr>
      <w:r>
        <w:t>strengthening NCGP impact data collection and reporting</w:t>
      </w:r>
    </w:p>
    <w:p w14:paraId="3E0CC5F7" w14:textId="77777777" w:rsidR="002B32A0" w:rsidRPr="00CE1D7F" w:rsidRDefault="002B32A0" w:rsidP="009C5A0B">
      <w:pPr>
        <w:pStyle w:val="ListBullet"/>
        <w:keepNext/>
        <w:keepLines/>
      </w:pPr>
      <w:r w:rsidRPr="00CE1D7F">
        <w:t>exploring data-driven approaches to impact assessment</w:t>
      </w:r>
    </w:p>
    <w:p w14:paraId="0B1363B5" w14:textId="77777777" w:rsidR="002B32A0" w:rsidRPr="00CE1D7F" w:rsidRDefault="002B32A0" w:rsidP="009C5A0B">
      <w:pPr>
        <w:pStyle w:val="ListBullet"/>
      </w:pPr>
      <w:r w:rsidRPr="00CE1D7F">
        <w:t>enhancing the communication and understanding of impact.</w:t>
      </w:r>
    </w:p>
    <w:p w14:paraId="01E4DB78" w14:textId="77777777" w:rsidR="002B32A0" w:rsidRPr="00CE1D7F" w:rsidRDefault="002B32A0" w:rsidP="002B32A0">
      <w:pPr>
        <w:pStyle w:val="BodyText"/>
      </w:pPr>
      <w:r w:rsidRPr="00CE1D7F">
        <w:lastRenderedPageBreak/>
        <w:t xml:space="preserve">These opportunities are inherently flexible as these changes would </w:t>
      </w:r>
      <w:r>
        <w:t>r</w:t>
      </w:r>
      <w:r w:rsidRPr="00CE1D7F">
        <w:t>equir</w:t>
      </w:r>
      <w:r>
        <w:t>e</w:t>
      </w:r>
      <w:r w:rsidRPr="00CE1D7F">
        <w:t xml:space="preserve"> the ARC to consult broadly with the research community. Several concurrent reviews and activities are also in progress, and the ARC will need to consider the emerging findings from these broader reforms. </w:t>
      </w:r>
    </w:p>
    <w:p w14:paraId="43C42D5C" w14:textId="77777777" w:rsidR="002B32A0" w:rsidRPr="00CE1D7F" w:rsidRDefault="002B32A0" w:rsidP="002B32A0">
      <w:pPr>
        <w:pStyle w:val="BodyText"/>
      </w:pPr>
    </w:p>
    <w:p w14:paraId="580D070D" w14:textId="77777777" w:rsidR="002B32A0" w:rsidRPr="00CE1D7F" w:rsidRDefault="002B32A0" w:rsidP="002B32A0">
      <w:pPr>
        <w:pStyle w:val="BodyText"/>
      </w:pPr>
    </w:p>
    <w:p w14:paraId="06D46C65" w14:textId="77777777" w:rsidR="002B32A0" w:rsidRPr="00CE1D7F" w:rsidRDefault="002B32A0" w:rsidP="002B32A0">
      <w:pPr>
        <w:pStyle w:val="BodyText"/>
      </w:pPr>
    </w:p>
    <w:p w14:paraId="1E4F1D09" w14:textId="77777777" w:rsidR="002B32A0" w:rsidRPr="00CE1D7F" w:rsidRDefault="002B32A0" w:rsidP="002B32A0">
      <w:pPr>
        <w:pStyle w:val="BodyText"/>
        <w:sectPr w:rsidR="002B32A0" w:rsidRPr="00CE1D7F" w:rsidSect="006B209A">
          <w:headerReference w:type="even" r:id="rId124"/>
          <w:headerReference w:type="default" r:id="rId125"/>
          <w:footerReference w:type="even" r:id="rId126"/>
          <w:footerReference w:type="default" r:id="rId127"/>
          <w:headerReference w:type="first" r:id="rId128"/>
          <w:footerReference w:type="first" r:id="rId129"/>
          <w:pgSz w:w="11906" w:h="16838" w:code="9"/>
          <w:pgMar w:top="1134" w:right="851" w:bottom="1134" w:left="3119" w:header="454" w:footer="159" w:gutter="0"/>
          <w:cols w:space="708"/>
          <w:docGrid w:linePitch="360"/>
        </w:sectPr>
      </w:pPr>
    </w:p>
    <w:p w14:paraId="1896BE70" w14:textId="77777777" w:rsidR="000B0AC7" w:rsidRPr="00CE1D7F" w:rsidRDefault="000B0AC7" w:rsidP="000B0AC7">
      <w:pPr>
        <w:pStyle w:val="Partxx"/>
      </w:pPr>
      <w:bookmarkStart w:id="225" w:name="_Toc135323701"/>
      <w:r w:rsidRPr="00CE1D7F">
        <w:lastRenderedPageBreak/>
        <w:t>Case studies</w:t>
      </w:r>
      <w:bookmarkEnd w:id="225"/>
    </w:p>
    <w:p w14:paraId="13EDF95E" w14:textId="77777777" w:rsidR="002B32A0" w:rsidRPr="00CE1D7F" w:rsidRDefault="002B32A0" w:rsidP="002B32A0">
      <w:pPr>
        <w:pStyle w:val="BodyText"/>
      </w:pPr>
    </w:p>
    <w:p w14:paraId="2B844392" w14:textId="77777777" w:rsidR="002B32A0" w:rsidRPr="00CE1D7F" w:rsidRDefault="002B32A0" w:rsidP="002B32A0">
      <w:pPr>
        <w:pStyle w:val="BodyText"/>
      </w:pPr>
    </w:p>
    <w:p w14:paraId="0C210944" w14:textId="77777777" w:rsidR="002B32A0" w:rsidRPr="00CE1D7F" w:rsidRDefault="002B32A0" w:rsidP="002B32A0">
      <w:pPr>
        <w:pStyle w:val="BodyText"/>
      </w:pPr>
    </w:p>
    <w:p w14:paraId="6A6D2548" w14:textId="77777777" w:rsidR="002B32A0" w:rsidRPr="00CE1D7F" w:rsidRDefault="002B32A0" w:rsidP="002B32A0">
      <w:pPr>
        <w:pStyle w:val="BodyText"/>
      </w:pPr>
    </w:p>
    <w:p w14:paraId="783C221B" w14:textId="77777777" w:rsidR="002B32A0" w:rsidRPr="00CE1D7F" w:rsidRDefault="002B32A0" w:rsidP="002B32A0">
      <w:pPr>
        <w:pStyle w:val="BodyText"/>
      </w:pPr>
    </w:p>
    <w:p w14:paraId="35F555AD" w14:textId="77777777" w:rsidR="002B32A0" w:rsidRPr="00CE1D7F" w:rsidRDefault="002B32A0" w:rsidP="002B32A0">
      <w:pPr>
        <w:pStyle w:val="BodyText"/>
      </w:pPr>
    </w:p>
    <w:p w14:paraId="1FE4AF08" w14:textId="77777777" w:rsidR="002B32A0" w:rsidRPr="00CE1D7F" w:rsidRDefault="002B32A0" w:rsidP="002B32A0">
      <w:pPr>
        <w:pStyle w:val="BodyText"/>
      </w:pPr>
    </w:p>
    <w:p w14:paraId="231B8FF0" w14:textId="77777777" w:rsidR="002B32A0" w:rsidRPr="00CE1D7F" w:rsidRDefault="002B32A0" w:rsidP="002B32A0">
      <w:pPr>
        <w:pStyle w:val="BodyText"/>
        <w:sectPr w:rsidR="002B32A0" w:rsidRPr="00CE1D7F" w:rsidSect="006B209A">
          <w:headerReference w:type="even" r:id="rId130"/>
          <w:headerReference w:type="default" r:id="rId131"/>
          <w:footerReference w:type="even" r:id="rId132"/>
          <w:footerReference w:type="default" r:id="rId133"/>
          <w:headerReference w:type="first" r:id="rId134"/>
          <w:footerReference w:type="first" r:id="rId135"/>
          <w:pgSz w:w="11906" w:h="16838" w:code="9"/>
          <w:pgMar w:top="2760" w:right="720" w:bottom="1134" w:left="1134" w:header="454" w:footer="159" w:gutter="0"/>
          <w:cols w:space="708"/>
          <w:docGrid w:linePitch="360"/>
        </w:sectPr>
      </w:pPr>
    </w:p>
    <w:p w14:paraId="475F2176" w14:textId="77777777" w:rsidR="000B0AC7" w:rsidRPr="00CE1D7F" w:rsidRDefault="000B0AC7" w:rsidP="000B0AC7">
      <w:pPr>
        <w:pStyle w:val="Heading1"/>
        <w:pageBreakBefore/>
        <w:ind w:left="0" w:hanging="600"/>
      </w:pPr>
      <w:bookmarkStart w:id="226" w:name="_Ref131081145"/>
      <w:bookmarkStart w:id="227" w:name="_Toc135323702"/>
      <w:r w:rsidRPr="002158B7">
        <w:lastRenderedPageBreak/>
        <w:t>Quantum Computation and Communication Technology</w:t>
      </w:r>
      <w:bookmarkEnd w:id="226"/>
      <w:bookmarkEnd w:id="227"/>
    </w:p>
    <w:p w14:paraId="5C9A15C4" w14:textId="77777777" w:rsidR="002B32A0" w:rsidRDefault="002B32A0" w:rsidP="002B32A0">
      <w:pPr>
        <w:pStyle w:val="BodyText"/>
      </w:pPr>
      <w:r>
        <w:t xml:space="preserve">This case study reports on the key findings of the </w:t>
      </w:r>
      <w:r w:rsidRPr="005E75BC">
        <w:t xml:space="preserve">Centre of Excellence </w:t>
      </w:r>
      <w:r w:rsidRPr="00DF725B">
        <w:t>for Quantum Computation and Communications</w:t>
      </w:r>
      <w:r w:rsidRPr="005E75BC">
        <w:t xml:space="preserve"> Technology</w:t>
      </w:r>
      <w:r>
        <w:t xml:space="preserve"> (CQC</w:t>
      </w:r>
      <w:r w:rsidRPr="00041EEA">
        <w:rPr>
          <w:vertAlign w:val="superscript"/>
        </w:rPr>
        <w:t>2</w:t>
      </w:r>
      <w:r>
        <w:t>T).</w:t>
      </w:r>
    </w:p>
    <w:p w14:paraId="1E41DF11" w14:textId="77777777" w:rsidR="002B32A0" w:rsidRPr="008446E5" w:rsidRDefault="002B32A0" w:rsidP="008C56B9">
      <w:pPr>
        <w:pStyle w:val="Heading2"/>
      </w:pPr>
      <w:bookmarkStart w:id="228" w:name="_Toc131174633"/>
      <w:bookmarkStart w:id="229" w:name="_Toc132970664"/>
      <w:bookmarkStart w:id="230" w:name="_Toc135323703"/>
      <w:r>
        <w:rPr>
          <w:noProof/>
        </w:rPr>
        <mc:AlternateContent>
          <mc:Choice Requires="wps">
            <w:drawing>
              <wp:anchor distT="0" distB="0" distL="114300" distR="114300" simplePos="0" relativeHeight="251732992" behindDoc="0" locked="0" layoutInCell="1" allowOverlap="1" wp14:anchorId="2AB84D8B" wp14:editId="7B839007">
                <wp:simplePos x="0" y="0"/>
                <wp:positionH relativeFrom="page">
                  <wp:posOffset>657225</wp:posOffset>
                </wp:positionH>
                <wp:positionV relativeFrom="paragraph">
                  <wp:posOffset>464185</wp:posOffset>
                </wp:positionV>
                <wp:extent cx="6248400" cy="2438400"/>
                <wp:effectExtent l="19050" t="19050" r="19050" b="19050"/>
                <wp:wrapNone/>
                <wp:docPr id="620" name="Rectangle: Rounded Corners 6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248400" cy="2438400"/>
                        </a:xfrm>
                        <a:prstGeom prst="roundRect">
                          <a:avLst>
                            <a:gd name="adj" fmla="val 6814"/>
                          </a:avLst>
                        </a:prstGeom>
                        <a:noFill/>
                        <a:ln w="34925" cap="rnd">
                          <a:solidFill>
                            <a:schemeClr val="tx2"/>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23F9BCAE" id="Rectangle: Rounded Corners 620" o:spid="_x0000_s1026" alt="&quot;&quot;" style="position:absolute;margin-left:51.75pt;margin-top:36.55pt;width:492pt;height:192pt;z-index:251732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446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" filled="f" strokecolor="#6c3f99 [3215]" strokeweight="2.75pt">
                <v:stroke dashstyle="1 1" joinstyle="miter" endcap="round"/>
                <w10:wrap anchorx="page"/>
              </v:roundrect>
            </w:pict>
          </mc:Fallback>
        </mc:AlternateContent>
      </w:r>
      <w:r w:rsidRPr="008446E5">
        <w:t>Key findings</w:t>
      </w:r>
      <w:bookmarkEnd w:id="228"/>
      <w:bookmarkEnd w:id="229"/>
      <w:bookmarkEnd w:id="230"/>
    </w:p>
    <w:p w14:paraId="60174100" w14:textId="77777777" w:rsidR="002B32A0" w:rsidRDefault="002B32A0" w:rsidP="002B32A0">
      <w:pPr>
        <w:pStyle w:val="BodyText"/>
      </w:pPr>
      <w:r>
        <w:rPr>
          <w:noProof/>
        </w:rPr>
        <mc:AlternateContent>
          <mc:Choice Requires="wps">
            <w:drawing>
              <wp:anchor distT="0" distB="0" distL="114300" distR="114300" simplePos="0" relativeHeight="251740160" behindDoc="0" locked="0" layoutInCell="1" allowOverlap="1" wp14:anchorId="01396823" wp14:editId="125CC97B">
                <wp:simplePos x="0" y="0"/>
                <wp:positionH relativeFrom="column">
                  <wp:posOffset>2372360</wp:posOffset>
                </wp:positionH>
                <wp:positionV relativeFrom="paragraph">
                  <wp:posOffset>123190</wp:posOffset>
                </wp:positionV>
                <wp:extent cx="1952625" cy="842645"/>
                <wp:effectExtent l="0" t="0" r="0" b="0"/>
                <wp:wrapNone/>
                <wp:docPr id="799" name="Text Box 79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952625" cy="842645"/>
                        </a:xfrm>
                        <a:prstGeom prst="rect">
                          <a:avLst/>
                        </a:prstGeom>
                        <a:noFill/>
                      </wps:spPr>
                      <wps:txbx>
                        <w:txbxContent>
                          <w:p w14:paraId="3E54DD67" w14:textId="77777777" w:rsidR="002B32A0" w:rsidRDefault="002B32A0" w:rsidP="002B32A0">
                            <w:pPr>
                              <w:spacing w:line="204" w:lineRule="auto"/>
                              <w:rPr>
                                <w:rFonts w:asciiTheme="minorHAnsi" w:eastAsia="Yu Gothic UI Semibold" w:cstheme="minorBidi"/>
                                <w:b/>
                                <w:bCs/>
                                <w:color w:val="000000" w:themeColor="text1"/>
                                <w:kern w:val="24"/>
                                <w:sz w:val="36"/>
                                <w:szCs w:val="36"/>
                              </w:rPr>
                            </w:pPr>
                            <w:r>
                              <w:rPr>
                                <w:rFonts w:asciiTheme="minorHAnsi" w:eastAsia="Yu Gothic UI Semibold" w:cstheme="minorBidi"/>
                                <w:b/>
                                <w:bCs/>
                                <w:color w:val="000000" w:themeColor="text1"/>
                                <w:kern w:val="24"/>
                                <w:sz w:val="36"/>
                                <w:szCs w:val="36"/>
                              </w:rPr>
                              <w:t>$2.2</w:t>
                            </w:r>
                            <w:r>
                              <w:rPr>
                                <w:rFonts w:asciiTheme="minorHAnsi" w:eastAsia="Yu Gothic UI Semibold" w:cstheme="minorBidi"/>
                                <w:b/>
                                <w:bCs/>
                                <w:color w:val="000000" w:themeColor="text1"/>
                                <w:kern w:val="24"/>
                                <w:sz w:val="36"/>
                                <w:szCs w:val="36"/>
                              </w:rPr>
                              <w:t> </w:t>
                            </w:r>
                            <w:r>
                              <w:rPr>
                                <w:rFonts w:asciiTheme="minorHAnsi" w:eastAsia="Yu Gothic UI Semibold" w:cstheme="minorBidi"/>
                                <w:b/>
                                <w:bCs/>
                                <w:color w:val="000000" w:themeColor="text1"/>
                                <w:kern w:val="24"/>
                                <w:sz w:val="36"/>
                                <w:szCs w:val="36"/>
                              </w:rPr>
                              <w:t xml:space="preserve">billion </w:t>
                            </w:r>
                            <w:r w:rsidRPr="00105EEA">
                              <w:rPr>
                                <w:rFonts w:cstheme="minorBidi"/>
                                <w:b/>
                                <w:bCs/>
                                <w:color w:val="000000" w:themeColor="text1"/>
                                <w:kern w:val="24"/>
                              </w:rPr>
                              <w:t xml:space="preserve">NPV </w:t>
                            </w:r>
                            <w:r>
                              <w:rPr>
                                <w:rFonts w:cstheme="minorBidi"/>
                                <w:b/>
                                <w:bCs/>
                                <w:color w:val="000000" w:themeColor="text1"/>
                                <w:kern w:val="24"/>
                              </w:rPr>
                              <w:t>of present and anticipated economic impacts BCR of 4.50.</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1396823" id="Text Box 799" o:spid="_x0000_s1046" type="#_x0000_t202" alt="&quot;&quot;" style="position:absolute;margin-left:186.8pt;margin-top:9.7pt;width:153.75pt;height:66.3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" filled="f" stroked="f">
                <v:textbox>
                  <w:txbxContent>
                    <w:p w14:paraId="3E54DD67" w14:textId="77777777" w:rsidR="002B32A0" w:rsidRDefault="002B32A0" w:rsidP="002B32A0">
                      <w:pPr>
                        <w:spacing w:line="204" w:lineRule="auto"/>
                        <w:rPr>
                          <w:rFonts w:asciiTheme="minorHAnsi" w:eastAsia="Yu Gothic UI Semibold" w:cstheme="minorBidi"/>
                          <w:b/>
                          <w:bCs/>
                          <w:color w:val="000000" w:themeColor="text1"/>
                          <w:kern w:val="24"/>
                          <w:sz w:val="36"/>
                          <w:szCs w:val="36"/>
                        </w:rPr>
                      </w:pPr>
                      <w:r>
                        <w:rPr>
                          <w:rFonts w:asciiTheme="minorHAnsi" w:eastAsia="Yu Gothic UI Semibold" w:cstheme="minorBidi"/>
                          <w:b/>
                          <w:bCs/>
                          <w:color w:val="000000" w:themeColor="text1"/>
                          <w:kern w:val="24"/>
                          <w:sz w:val="36"/>
                          <w:szCs w:val="36"/>
                        </w:rPr>
                        <w:t>$2.2</w:t>
                      </w:r>
                      <w:r>
                        <w:rPr>
                          <w:rFonts w:asciiTheme="minorHAnsi" w:eastAsia="Yu Gothic UI Semibold" w:cstheme="minorBidi"/>
                          <w:b/>
                          <w:bCs/>
                          <w:color w:val="000000" w:themeColor="text1"/>
                          <w:kern w:val="24"/>
                          <w:sz w:val="36"/>
                          <w:szCs w:val="36"/>
                        </w:rPr>
                        <w:t> </w:t>
                      </w:r>
                      <w:r>
                        <w:rPr>
                          <w:rFonts w:asciiTheme="minorHAnsi" w:eastAsia="Yu Gothic UI Semibold" w:cstheme="minorBidi"/>
                          <w:b/>
                          <w:bCs/>
                          <w:color w:val="000000" w:themeColor="text1"/>
                          <w:kern w:val="24"/>
                          <w:sz w:val="36"/>
                          <w:szCs w:val="36"/>
                        </w:rPr>
                        <w:t xml:space="preserve">billion </w:t>
                      </w:r>
                      <w:r w:rsidRPr="00105EEA">
                        <w:rPr>
                          <w:rFonts w:cstheme="minorBidi"/>
                          <w:b/>
                          <w:bCs/>
                          <w:color w:val="000000" w:themeColor="text1"/>
                          <w:kern w:val="24"/>
                        </w:rPr>
                        <w:t xml:space="preserve">NPV </w:t>
                      </w:r>
                      <w:r>
                        <w:rPr>
                          <w:rFonts w:cstheme="minorBidi"/>
                          <w:b/>
                          <w:bCs/>
                          <w:color w:val="000000" w:themeColor="text1"/>
                          <w:kern w:val="24"/>
                        </w:rPr>
                        <w:t>of present and anticipated economic impacts BCR of 4.50.</w:t>
                      </w:r>
                    </w:p>
                  </w:txbxContent>
                </v:textbox>
              </v:shape>
            </w:pict>
          </mc:Fallback>
        </mc:AlternateContent>
      </w:r>
      <w:r>
        <w:rPr>
          <w:noProof/>
        </w:rPr>
        <w:drawing>
          <wp:anchor distT="0" distB="0" distL="114300" distR="114300" simplePos="0" relativeHeight="251739136" behindDoc="0" locked="0" layoutInCell="1" allowOverlap="1" wp14:anchorId="0CAA2118" wp14:editId="75C4578A">
            <wp:simplePos x="0" y="0"/>
            <wp:positionH relativeFrom="page">
              <wp:posOffset>3600450</wp:posOffset>
            </wp:positionH>
            <wp:positionV relativeFrom="paragraph">
              <wp:posOffset>221615</wp:posOffset>
            </wp:positionV>
            <wp:extent cx="514350" cy="514350"/>
            <wp:effectExtent l="0" t="0" r="0" b="0"/>
            <wp:wrapNone/>
            <wp:docPr id="806" name="Picture 80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192" descr="Icon&#10;&#10;Description automatically generated"/>
                    <pic:cNvPicPr>
                      <a:picLocks noChangeAspect="1"/>
                    </pic:cNvPicPr>
                  </pic:nvPicPr>
                  <pic:blipFill>
                    <a:blip r:embed="rId136" cstate="print">
                      <a:extLst>
                        <a:ext uri="{BEBA8EAE-BF5A-486C-A8C5-ECC9F3942E4B}">
                          <a14:imgProps xmlns:a14="http://schemas.microsoft.com/office/drawing/2010/main">
                            <a14:imgLayer r:embed="rId137">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514350" cy="514350"/>
                    </a:xfrm>
                    <a:prstGeom prst="rect">
                      <a:avLst/>
                    </a:prstGeom>
                  </pic:spPr>
                </pic:pic>
              </a:graphicData>
            </a:graphic>
          </wp:anchor>
        </w:drawing>
      </w:r>
      <w:r>
        <w:rPr>
          <w:noProof/>
        </w:rPr>
        <mc:AlternateContent>
          <mc:Choice Requires="wps">
            <w:drawing>
              <wp:anchor distT="0" distB="0" distL="114300" distR="114300" simplePos="0" relativeHeight="251736064" behindDoc="0" locked="0" layoutInCell="1" allowOverlap="1" wp14:anchorId="085F4C13" wp14:editId="4AF6253B">
                <wp:simplePos x="0" y="0"/>
                <wp:positionH relativeFrom="column">
                  <wp:posOffset>-437515</wp:posOffset>
                </wp:positionH>
                <wp:positionV relativeFrom="paragraph">
                  <wp:posOffset>113665</wp:posOffset>
                </wp:positionV>
                <wp:extent cx="1952625" cy="771525"/>
                <wp:effectExtent l="0" t="0" r="0" b="0"/>
                <wp:wrapNone/>
                <wp:docPr id="554" name="Text Box 5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952625" cy="771525"/>
                        </a:xfrm>
                        <a:prstGeom prst="rect">
                          <a:avLst/>
                        </a:prstGeom>
                        <a:noFill/>
                      </wps:spPr>
                      <wps:txbx>
                        <w:txbxContent>
                          <w:p w14:paraId="23D24A92" w14:textId="77777777" w:rsidR="002B32A0" w:rsidRDefault="002B32A0" w:rsidP="002B32A0">
                            <w:pPr>
                              <w:spacing w:line="204" w:lineRule="auto"/>
                              <w:rPr>
                                <w:rFonts w:asciiTheme="minorHAnsi" w:eastAsia="Yu Gothic UI Semibold" w:cstheme="minorBidi"/>
                                <w:b/>
                                <w:bCs/>
                                <w:color w:val="000000" w:themeColor="text1"/>
                                <w:kern w:val="24"/>
                                <w:sz w:val="36"/>
                                <w:szCs w:val="36"/>
                              </w:rPr>
                            </w:pPr>
                            <w:bookmarkStart w:id="231" w:name="_Hlk129075606"/>
                            <w:r w:rsidRPr="003852D8">
                              <w:rPr>
                                <w:rFonts w:asciiTheme="minorHAnsi" w:eastAsia="Yu Gothic UI Semibold" w:cstheme="minorBidi"/>
                                <w:b/>
                                <w:bCs/>
                                <w:color w:val="000000" w:themeColor="text1"/>
                                <w:kern w:val="24"/>
                                <w:sz w:val="36"/>
                                <w:szCs w:val="36"/>
                              </w:rPr>
                              <w:t>$</w:t>
                            </w:r>
                            <w:r>
                              <w:rPr>
                                <w:rFonts w:asciiTheme="minorHAnsi" w:eastAsia="Yu Gothic UI Semibold" w:cstheme="minorBidi"/>
                                <w:b/>
                                <w:bCs/>
                                <w:color w:val="000000" w:themeColor="text1"/>
                                <w:kern w:val="24"/>
                                <w:sz w:val="36"/>
                                <w:szCs w:val="36"/>
                              </w:rPr>
                              <w:t>97</w:t>
                            </w:r>
                            <w:r w:rsidRPr="00403367">
                              <w:rPr>
                                <w:rFonts w:asciiTheme="minorHAnsi" w:eastAsia="Yu Gothic UI Semibold" w:cstheme="minorBidi"/>
                                <w:b/>
                                <w:bCs/>
                                <w:color w:val="000000" w:themeColor="text1"/>
                                <w:kern w:val="24"/>
                                <w:sz w:val="36"/>
                                <w:szCs w:val="36"/>
                              </w:rPr>
                              <w:t>.</w:t>
                            </w:r>
                            <w:r>
                              <w:rPr>
                                <w:rFonts w:asciiTheme="minorHAnsi" w:eastAsia="Yu Gothic UI Semibold" w:cstheme="minorBidi"/>
                                <w:b/>
                                <w:bCs/>
                                <w:color w:val="000000" w:themeColor="text1"/>
                                <w:kern w:val="24"/>
                                <w:sz w:val="36"/>
                                <w:szCs w:val="36"/>
                              </w:rPr>
                              <w:t>8</w:t>
                            </w:r>
                            <w:r w:rsidRPr="00403367">
                              <w:rPr>
                                <w:rFonts w:asciiTheme="minorHAnsi" w:eastAsia="Yu Gothic UI Semibold" w:cstheme="minorBidi"/>
                                <w:b/>
                                <w:bCs/>
                                <w:color w:val="000000" w:themeColor="text1"/>
                                <w:kern w:val="24"/>
                                <w:sz w:val="36"/>
                                <w:szCs w:val="36"/>
                              </w:rPr>
                              <w:t xml:space="preserve">m </w:t>
                            </w:r>
                            <w:r w:rsidRPr="003852D8">
                              <w:rPr>
                                <w:rFonts w:asciiTheme="minorHAnsi" w:eastAsia="Yu Gothic UI Semibold" w:cstheme="minorBidi"/>
                                <w:b/>
                                <w:bCs/>
                                <w:color w:val="000000" w:themeColor="text1"/>
                                <w:kern w:val="24"/>
                              </w:rPr>
                              <w:t xml:space="preserve">invested by ARC and </w:t>
                            </w:r>
                            <w:r w:rsidRPr="003852D8">
                              <w:rPr>
                                <w:rFonts w:asciiTheme="minorHAnsi" w:eastAsia="Yu Gothic UI Semibold" w:cstheme="minorBidi"/>
                                <w:b/>
                                <w:bCs/>
                                <w:color w:val="000000" w:themeColor="text1"/>
                                <w:kern w:val="24"/>
                                <w:sz w:val="32"/>
                                <w:szCs w:val="32"/>
                              </w:rPr>
                              <w:t>$</w:t>
                            </w:r>
                            <w:r>
                              <w:rPr>
                                <w:rFonts w:asciiTheme="minorHAnsi" w:eastAsia="Yu Gothic UI Semibold" w:cstheme="minorBidi"/>
                                <w:b/>
                                <w:bCs/>
                                <w:color w:val="000000" w:themeColor="text1"/>
                                <w:kern w:val="24"/>
                                <w:sz w:val="32"/>
                                <w:szCs w:val="32"/>
                              </w:rPr>
                              <w:t>218.3</w:t>
                            </w:r>
                            <w:r w:rsidRPr="00403367">
                              <w:rPr>
                                <w:rFonts w:asciiTheme="minorHAnsi" w:eastAsia="Yu Gothic UI Semibold" w:cstheme="minorBidi"/>
                                <w:b/>
                                <w:bCs/>
                                <w:color w:val="000000" w:themeColor="text1"/>
                                <w:kern w:val="24"/>
                                <w:sz w:val="32"/>
                                <w:szCs w:val="32"/>
                              </w:rPr>
                              <w:t xml:space="preserve">m </w:t>
                            </w:r>
                            <w:r w:rsidRPr="003852D8">
                              <w:rPr>
                                <w:rFonts w:asciiTheme="minorHAnsi" w:eastAsia="Yu Gothic UI Semibold" w:cstheme="minorBidi"/>
                                <w:b/>
                                <w:bCs/>
                                <w:color w:val="000000" w:themeColor="text1"/>
                                <w:kern w:val="24"/>
                              </w:rPr>
                              <w:t>by participating organisations</w:t>
                            </w:r>
                          </w:p>
                          <w:bookmarkEnd w:id="231"/>
                          <w:p w14:paraId="558388DF" w14:textId="77777777" w:rsidR="002B32A0" w:rsidRDefault="002B32A0" w:rsidP="002B32A0">
                            <w:pPr>
                              <w:spacing w:line="204" w:lineRule="auto"/>
                              <w:rPr>
                                <w:rFonts w:asciiTheme="minorHAnsi" w:eastAsia="Yu Gothic UI Semibold" w:cstheme="minorBidi"/>
                                <w:b/>
                                <w:bCs/>
                                <w:color w:val="000000" w:themeColor="text1"/>
                                <w:kern w:val="24"/>
                                <w:sz w:val="36"/>
                                <w:szCs w:val="36"/>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85F4C13" id="Text Box 554" o:spid="_x0000_s1047" type="#_x0000_t202" alt="&quot;&quot;" style="position:absolute;margin-left:-34.45pt;margin-top:8.95pt;width:153.75pt;height:60.7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" filled="f" stroked="f">
                <v:textbox>
                  <w:txbxContent>
                    <w:p w14:paraId="23D24A92" w14:textId="77777777" w:rsidR="002B32A0" w:rsidRDefault="002B32A0" w:rsidP="002B32A0">
                      <w:pPr>
                        <w:spacing w:line="204" w:lineRule="auto"/>
                        <w:rPr>
                          <w:rFonts w:asciiTheme="minorHAnsi" w:eastAsia="Yu Gothic UI Semibold" w:cstheme="minorBidi"/>
                          <w:b/>
                          <w:bCs/>
                          <w:color w:val="000000" w:themeColor="text1"/>
                          <w:kern w:val="24"/>
                          <w:sz w:val="36"/>
                          <w:szCs w:val="36"/>
                        </w:rPr>
                      </w:pPr>
                      <w:bookmarkStart w:id="232" w:name="_Hlk129075606"/>
                      <w:r w:rsidRPr="003852D8">
                        <w:rPr>
                          <w:rFonts w:asciiTheme="minorHAnsi" w:eastAsia="Yu Gothic UI Semibold" w:cstheme="minorBidi"/>
                          <w:b/>
                          <w:bCs/>
                          <w:color w:val="000000" w:themeColor="text1"/>
                          <w:kern w:val="24"/>
                          <w:sz w:val="36"/>
                          <w:szCs w:val="36"/>
                        </w:rPr>
                        <w:t>$</w:t>
                      </w:r>
                      <w:r>
                        <w:rPr>
                          <w:rFonts w:asciiTheme="minorHAnsi" w:eastAsia="Yu Gothic UI Semibold" w:cstheme="minorBidi"/>
                          <w:b/>
                          <w:bCs/>
                          <w:color w:val="000000" w:themeColor="text1"/>
                          <w:kern w:val="24"/>
                          <w:sz w:val="36"/>
                          <w:szCs w:val="36"/>
                        </w:rPr>
                        <w:t>97</w:t>
                      </w:r>
                      <w:r w:rsidRPr="00403367">
                        <w:rPr>
                          <w:rFonts w:asciiTheme="minorHAnsi" w:eastAsia="Yu Gothic UI Semibold" w:cstheme="minorBidi"/>
                          <w:b/>
                          <w:bCs/>
                          <w:color w:val="000000" w:themeColor="text1"/>
                          <w:kern w:val="24"/>
                          <w:sz w:val="36"/>
                          <w:szCs w:val="36"/>
                        </w:rPr>
                        <w:t>.</w:t>
                      </w:r>
                      <w:r>
                        <w:rPr>
                          <w:rFonts w:asciiTheme="minorHAnsi" w:eastAsia="Yu Gothic UI Semibold" w:cstheme="minorBidi"/>
                          <w:b/>
                          <w:bCs/>
                          <w:color w:val="000000" w:themeColor="text1"/>
                          <w:kern w:val="24"/>
                          <w:sz w:val="36"/>
                          <w:szCs w:val="36"/>
                        </w:rPr>
                        <w:t>8</w:t>
                      </w:r>
                      <w:r w:rsidRPr="00403367">
                        <w:rPr>
                          <w:rFonts w:asciiTheme="minorHAnsi" w:eastAsia="Yu Gothic UI Semibold" w:cstheme="minorBidi"/>
                          <w:b/>
                          <w:bCs/>
                          <w:color w:val="000000" w:themeColor="text1"/>
                          <w:kern w:val="24"/>
                          <w:sz w:val="36"/>
                          <w:szCs w:val="36"/>
                        </w:rPr>
                        <w:t xml:space="preserve">m </w:t>
                      </w:r>
                      <w:r w:rsidRPr="003852D8">
                        <w:rPr>
                          <w:rFonts w:asciiTheme="minorHAnsi" w:eastAsia="Yu Gothic UI Semibold" w:cstheme="minorBidi"/>
                          <w:b/>
                          <w:bCs/>
                          <w:color w:val="000000" w:themeColor="text1"/>
                          <w:kern w:val="24"/>
                        </w:rPr>
                        <w:t xml:space="preserve">invested by ARC and </w:t>
                      </w:r>
                      <w:r w:rsidRPr="003852D8">
                        <w:rPr>
                          <w:rFonts w:asciiTheme="minorHAnsi" w:eastAsia="Yu Gothic UI Semibold" w:cstheme="minorBidi"/>
                          <w:b/>
                          <w:bCs/>
                          <w:color w:val="000000" w:themeColor="text1"/>
                          <w:kern w:val="24"/>
                          <w:sz w:val="32"/>
                          <w:szCs w:val="32"/>
                        </w:rPr>
                        <w:t>$</w:t>
                      </w:r>
                      <w:r>
                        <w:rPr>
                          <w:rFonts w:asciiTheme="minorHAnsi" w:eastAsia="Yu Gothic UI Semibold" w:cstheme="minorBidi"/>
                          <w:b/>
                          <w:bCs/>
                          <w:color w:val="000000" w:themeColor="text1"/>
                          <w:kern w:val="24"/>
                          <w:sz w:val="32"/>
                          <w:szCs w:val="32"/>
                        </w:rPr>
                        <w:t>218.3</w:t>
                      </w:r>
                      <w:r w:rsidRPr="00403367">
                        <w:rPr>
                          <w:rFonts w:asciiTheme="minorHAnsi" w:eastAsia="Yu Gothic UI Semibold" w:cstheme="minorBidi"/>
                          <w:b/>
                          <w:bCs/>
                          <w:color w:val="000000" w:themeColor="text1"/>
                          <w:kern w:val="24"/>
                          <w:sz w:val="32"/>
                          <w:szCs w:val="32"/>
                        </w:rPr>
                        <w:t xml:space="preserve">m </w:t>
                      </w:r>
                      <w:r w:rsidRPr="003852D8">
                        <w:rPr>
                          <w:rFonts w:asciiTheme="minorHAnsi" w:eastAsia="Yu Gothic UI Semibold" w:cstheme="minorBidi"/>
                          <w:b/>
                          <w:bCs/>
                          <w:color w:val="000000" w:themeColor="text1"/>
                          <w:kern w:val="24"/>
                        </w:rPr>
                        <w:t>by participating organisations</w:t>
                      </w:r>
                    </w:p>
                    <w:bookmarkEnd w:id="232"/>
                    <w:p w14:paraId="558388DF" w14:textId="77777777" w:rsidR="002B32A0" w:rsidRDefault="002B32A0" w:rsidP="002B32A0">
                      <w:pPr>
                        <w:spacing w:line="204" w:lineRule="auto"/>
                        <w:rPr>
                          <w:rFonts w:asciiTheme="minorHAnsi" w:eastAsia="Yu Gothic UI Semibold" w:cstheme="minorBidi"/>
                          <w:b/>
                          <w:bCs/>
                          <w:color w:val="000000" w:themeColor="text1"/>
                          <w:kern w:val="24"/>
                          <w:sz w:val="36"/>
                          <w:szCs w:val="36"/>
                        </w:rPr>
                      </w:pPr>
                    </w:p>
                  </w:txbxContent>
                </v:textbox>
              </v:shape>
            </w:pict>
          </mc:Fallback>
        </mc:AlternateContent>
      </w:r>
      <w:r>
        <w:rPr>
          <w:noProof/>
        </w:rPr>
        <w:drawing>
          <wp:anchor distT="0" distB="0" distL="114300" distR="114300" simplePos="0" relativeHeight="251745280" behindDoc="0" locked="0" layoutInCell="1" allowOverlap="1" wp14:anchorId="5FFF2857" wp14:editId="5ABB7EA0">
            <wp:simplePos x="0" y="0"/>
            <wp:positionH relativeFrom="column">
              <wp:posOffset>1572260</wp:posOffset>
            </wp:positionH>
            <wp:positionV relativeFrom="paragraph">
              <wp:posOffset>1801495</wp:posOffset>
            </wp:positionV>
            <wp:extent cx="582295" cy="593725"/>
            <wp:effectExtent l="0" t="0" r="0" b="0"/>
            <wp:wrapNone/>
            <wp:docPr id="555" name="Picture 55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Picture 555" descr="Icon&#10;&#10;Description automatically generated"/>
                    <pic:cNvPicPr>
                      <a:picLocks noChangeAspect="1"/>
                    </pic:cNvPicPr>
                  </pic:nvPicPr>
                  <pic:blipFill>
                    <a:blip r:embed="rId138" cstate="print">
                      <a:extLst>
                        <a:ext uri="{BEBA8EAE-BF5A-486C-A8C5-ECC9F3942E4B}">
                          <a14:imgProps xmlns:a14="http://schemas.microsoft.com/office/drawing/2010/main">
                            <a14:imgLayer r:embed="rId139">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582295" cy="593725"/>
                    </a:xfrm>
                    <a:prstGeom prst="rect">
                      <a:avLst/>
                    </a:prstGeom>
                  </pic:spPr>
                </pic:pic>
              </a:graphicData>
            </a:graphic>
          </wp:anchor>
        </w:drawing>
      </w:r>
      <w:r>
        <w:rPr>
          <w:noProof/>
        </w:rPr>
        <w:drawing>
          <wp:anchor distT="0" distB="0" distL="114300" distR="114300" simplePos="0" relativeHeight="251735040" behindDoc="0" locked="0" layoutInCell="1" allowOverlap="1" wp14:anchorId="65F5A4FA" wp14:editId="1BC6F765">
            <wp:simplePos x="0" y="0"/>
            <wp:positionH relativeFrom="column">
              <wp:posOffset>-1092200</wp:posOffset>
            </wp:positionH>
            <wp:positionV relativeFrom="paragraph">
              <wp:posOffset>235585</wp:posOffset>
            </wp:positionV>
            <wp:extent cx="555625" cy="566420"/>
            <wp:effectExtent l="0" t="0" r="0" b="0"/>
            <wp:wrapNone/>
            <wp:docPr id="556" name="Picture 55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Picture 556" descr="Icon&#10;&#10;Description automatically generated"/>
                    <pic:cNvPicPr>
                      <a:picLocks noChangeAspect="1"/>
                    </pic:cNvPicPr>
                  </pic:nvPicPr>
                  <pic:blipFill>
                    <a:blip r:embed="rId140" cstate="print">
                      <a:extLst>
                        <a:ext uri="{BEBA8EAE-BF5A-486C-A8C5-ECC9F3942E4B}">
                          <a14:imgProps xmlns:a14="http://schemas.microsoft.com/office/drawing/2010/main">
                            <a14:imgLayer r:embed="rId141">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555625" cy="566420"/>
                    </a:xfrm>
                    <a:prstGeom prst="rect">
                      <a:avLst/>
                    </a:prstGeom>
                  </pic:spPr>
                </pic:pic>
              </a:graphicData>
            </a:graphic>
          </wp:anchor>
        </w:drawing>
      </w:r>
    </w:p>
    <w:p w14:paraId="7725952F" w14:textId="77777777" w:rsidR="002B32A0" w:rsidRDefault="002B32A0" w:rsidP="002B32A0">
      <w:pPr>
        <w:pStyle w:val="BodyText"/>
      </w:pPr>
    </w:p>
    <w:p w14:paraId="77D91366" w14:textId="77777777" w:rsidR="002B32A0" w:rsidRDefault="002B32A0" w:rsidP="002B32A0">
      <w:pPr>
        <w:pStyle w:val="BodyText"/>
      </w:pPr>
      <w:r>
        <w:rPr>
          <w:noProof/>
        </w:rPr>
        <mc:AlternateContent>
          <mc:Choice Requires="wpg">
            <w:drawing>
              <wp:anchor distT="0" distB="0" distL="114300" distR="114300" simplePos="0" relativeHeight="251741184" behindDoc="0" locked="0" layoutInCell="1" allowOverlap="1" wp14:anchorId="3B0D98BC" wp14:editId="65D3662F">
                <wp:simplePos x="0" y="0"/>
                <wp:positionH relativeFrom="column">
                  <wp:posOffset>-1220470</wp:posOffset>
                </wp:positionH>
                <wp:positionV relativeFrom="paragraph">
                  <wp:posOffset>358140</wp:posOffset>
                </wp:positionV>
                <wp:extent cx="790575" cy="752475"/>
                <wp:effectExtent l="0" t="0" r="0" b="0"/>
                <wp:wrapNone/>
                <wp:docPr id="795" name="Group 795" descr="Icon&#10;&#10;Description automatically generated"/>
                <wp:cNvGraphicFramePr/>
                <a:graphic xmlns:a="http://schemas.openxmlformats.org/drawingml/2006/main">
                  <a:graphicData uri="http://schemas.microsoft.com/office/word/2010/wordprocessingGroup">
                    <wpg:wgp>
                      <wpg:cNvGrpSpPr/>
                      <wpg:grpSpPr>
                        <a:xfrm>
                          <a:off x="0" y="0"/>
                          <a:ext cx="790575" cy="752475"/>
                          <a:chOff x="0" y="0"/>
                          <a:chExt cx="790575" cy="752475"/>
                        </a:xfrm>
                      </wpg:grpSpPr>
                      <pic:pic xmlns:pic="http://schemas.openxmlformats.org/drawingml/2006/picture">
                        <pic:nvPicPr>
                          <pic:cNvPr id="796" name="Graphic 796" descr="Diploma roll with solid fill"/>
                          <pic:cNvPicPr>
                            <a:picLocks noChangeAspect="1"/>
                          </pic:cNvPicPr>
                        </pic:nvPicPr>
                        <pic:blipFill>
                          <a:blip r:embed="rId142">
                            <a:extLst>
                              <a:ext uri="{28A0092B-C50C-407E-A947-70E740481C1C}">
                                <a14:useLocalDpi xmlns:a14="http://schemas.microsoft.com/office/drawing/2010/main" val="0"/>
                              </a:ext>
                              <a:ext uri="{96DAC541-7B7A-43D3-8B79-37D633B846F1}">
                                <asvg:svgBlip xmlns:asvg="http://schemas.microsoft.com/office/drawing/2016/SVG/main" r:embed="rId143"/>
                              </a:ext>
                            </a:extLst>
                          </a:blip>
                          <a:stretch>
                            <a:fillRect/>
                          </a:stretch>
                        </pic:blipFill>
                        <pic:spPr>
                          <a:xfrm rot="19117289">
                            <a:off x="257175" y="219075"/>
                            <a:ext cx="533400" cy="533400"/>
                          </a:xfrm>
                          <a:prstGeom prst="rect">
                            <a:avLst/>
                          </a:prstGeom>
                        </pic:spPr>
                      </pic:pic>
                      <pic:pic xmlns:pic="http://schemas.openxmlformats.org/drawingml/2006/picture">
                        <pic:nvPicPr>
                          <pic:cNvPr id="797" name="Graphic 797" descr="Graduation cap with solid fill"/>
                          <pic:cNvPicPr>
                            <a:picLocks noChangeAspect="1"/>
                          </pic:cNvPicPr>
                        </pic:nvPicPr>
                        <pic:blipFill>
                          <a:blip r:embed="rId144">
                            <a:extLst>
                              <a:ext uri="{28A0092B-C50C-407E-A947-70E740481C1C}">
                                <a14:useLocalDpi xmlns:a14="http://schemas.microsoft.com/office/drawing/2010/main" val="0"/>
                              </a:ext>
                              <a:ext uri="{96DAC541-7B7A-43D3-8B79-37D633B846F1}">
                                <asvg:svgBlip xmlns:asvg="http://schemas.microsoft.com/office/drawing/2016/SVG/main" r:embed="rId145"/>
                              </a:ext>
                            </a:extLst>
                          </a:blip>
                          <a:stretch>
                            <a:fillRect/>
                          </a:stretch>
                        </pic:blipFill>
                        <pic:spPr>
                          <a:xfrm>
                            <a:off x="0" y="0"/>
                            <a:ext cx="619125" cy="619125"/>
                          </a:xfrm>
                          <a:prstGeom prst="rect">
                            <a:avLst/>
                          </a:prstGeom>
                        </pic:spPr>
                      </pic:pic>
                    </wpg:wgp>
                  </a:graphicData>
                </a:graphic>
              </wp:anchor>
            </w:drawing>
          </mc:Choice>
          <mc:Fallback>
            <w:pict>
              <v:group w14:anchorId="349280EF" id="Group 795" o:spid="_x0000_s1026" alt="Icon&#10;&#10;Description automatically generated" style="position:absolute;margin-left:-96.1pt;margin-top:28.2pt;width:62.25pt;height:59.25pt;z-index:251741184" coordsize="7905,752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phic 796" o:spid="_x0000_s1027" type="#_x0000_t75" alt="Diploma roll with solid fill" style="position:absolute;left:2571;top:2190;width:5334;height:5334;rotation:-271178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">
                  <v:imagedata r:id="rId146" o:title="Diploma roll with solid fill"/>
                </v:shape>
                <v:shape id="Graphic 797" o:spid="_x0000_s1028" type="#_x0000_t75" alt="Graduation cap with solid fill" style="position:absolute;width:6191;height:6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">
                  <v:imagedata r:id="rId147" o:title="Graduation cap with solid fill"/>
                </v:shape>
              </v:group>
            </w:pict>
          </mc:Fallback>
        </mc:AlternateContent>
      </w:r>
    </w:p>
    <w:p w14:paraId="5DCA1C79" w14:textId="77777777" w:rsidR="002B32A0" w:rsidRDefault="002B32A0" w:rsidP="002B32A0">
      <w:pPr>
        <w:pStyle w:val="BodyText"/>
      </w:pPr>
      <w:r>
        <w:rPr>
          <w:noProof/>
        </w:rPr>
        <mc:AlternateContent>
          <mc:Choice Requires="wps">
            <w:drawing>
              <wp:anchor distT="0" distB="0" distL="114300" distR="114300" simplePos="0" relativeHeight="251744256" behindDoc="0" locked="0" layoutInCell="1" allowOverlap="1" wp14:anchorId="5F850D97" wp14:editId="0E674DEC">
                <wp:simplePos x="0" y="0"/>
                <wp:positionH relativeFrom="column">
                  <wp:posOffset>2334260</wp:posOffset>
                </wp:positionH>
                <wp:positionV relativeFrom="paragraph">
                  <wp:posOffset>95250</wp:posOffset>
                </wp:positionV>
                <wp:extent cx="2466975" cy="725805"/>
                <wp:effectExtent l="0" t="0" r="0" b="0"/>
                <wp:wrapNone/>
                <wp:docPr id="800" name="Text Box 8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466975" cy="725805"/>
                        </a:xfrm>
                        <a:prstGeom prst="rect">
                          <a:avLst/>
                        </a:prstGeom>
                        <a:noFill/>
                      </wps:spPr>
                      <wps:txbx>
                        <w:txbxContent>
                          <w:p w14:paraId="126B65BB" w14:textId="77777777" w:rsidR="002B32A0" w:rsidRPr="00BB2870" w:rsidRDefault="002B32A0" w:rsidP="002B32A0">
                            <w:pPr>
                              <w:spacing w:line="204" w:lineRule="auto"/>
                              <w:rPr>
                                <w:rFonts w:asciiTheme="minorHAnsi" w:eastAsia="Yu Gothic UI Semibold" w:cstheme="minorBidi"/>
                                <w:b/>
                                <w:bCs/>
                                <w:color w:val="000000" w:themeColor="text1"/>
                                <w:kern w:val="24"/>
                              </w:rPr>
                            </w:pPr>
                            <w:r w:rsidRPr="0097634D">
                              <w:rPr>
                                <w:rFonts w:cstheme="minorBidi"/>
                                <w:color w:val="000000" w:themeColor="text1"/>
                                <w:kern w:val="24"/>
                              </w:rPr>
                              <w:t xml:space="preserve">Since 2000 the Centre has </w:t>
                            </w:r>
                            <w:r w:rsidRPr="00453B8F">
                              <w:rPr>
                                <w:rFonts w:cstheme="minorBidi"/>
                                <w:color w:val="000000" w:themeColor="text1"/>
                                <w:kern w:val="24"/>
                              </w:rPr>
                              <w:t xml:space="preserve">published more than </w:t>
                            </w:r>
                            <w:r w:rsidRPr="00A014AC">
                              <w:rPr>
                                <w:rFonts w:cstheme="minorBidi"/>
                                <w:b/>
                                <w:bCs/>
                                <w:color w:val="000000" w:themeColor="text1"/>
                                <w:kern w:val="24"/>
                                <w:sz w:val="36"/>
                                <w:szCs w:val="36"/>
                              </w:rPr>
                              <w:t xml:space="preserve">2,203 </w:t>
                            </w:r>
                            <w:r w:rsidRPr="00BB2870">
                              <w:rPr>
                                <w:rFonts w:asciiTheme="minorHAnsi" w:eastAsia="Yu Gothic UI Semibold" w:cstheme="minorBidi"/>
                                <w:b/>
                                <w:bCs/>
                                <w:color w:val="000000" w:themeColor="text1"/>
                                <w:kern w:val="24"/>
                              </w:rPr>
                              <w:t>refereed papers</w:t>
                            </w:r>
                            <w:r>
                              <w:rPr>
                                <w:rFonts w:asciiTheme="minorHAnsi" w:eastAsia="Yu Gothic UI Semibold" w:cstheme="minorBidi"/>
                                <w:b/>
                                <w:bCs/>
                                <w:color w:val="000000" w:themeColor="text1"/>
                                <w:kern w:val="24"/>
                              </w:rPr>
                              <w:t xml:space="preserve">, over 100 </w:t>
                            </w:r>
                            <w:r w:rsidRPr="00A014AC">
                              <w:rPr>
                                <w:rFonts w:asciiTheme="minorHAnsi" w:eastAsia="Yu Gothic UI Semibold" w:cstheme="minorBidi"/>
                                <w:color w:val="000000" w:themeColor="text1"/>
                                <w:kern w:val="24"/>
                              </w:rPr>
                              <w:t>granted patents with</w:t>
                            </w:r>
                            <w:r w:rsidRPr="00220C4B">
                              <w:rPr>
                                <w:rFonts w:asciiTheme="minorHAnsi" w:eastAsia="Yu Gothic UI Semibold" w:cstheme="minorBidi"/>
                                <w:b/>
                                <w:bCs/>
                                <w:color w:val="000000" w:themeColor="text1"/>
                                <w:kern w:val="24"/>
                              </w:rPr>
                              <w:t xml:space="preserve"> 50 </w:t>
                            </w:r>
                            <w:r w:rsidRPr="00A014AC">
                              <w:rPr>
                                <w:rFonts w:asciiTheme="minorHAnsi" w:eastAsia="Yu Gothic UI Semibold" w:cstheme="minorBidi"/>
                                <w:color w:val="000000" w:themeColor="text1"/>
                                <w:kern w:val="24"/>
                              </w:rPr>
                              <w:t>patent applications underway</w:t>
                            </w:r>
                          </w:p>
                        </w:txbxContent>
                      </wps:txbx>
                      <wps:bodyPr wrap="square" rtlCol="0">
                        <a:spAutoFit/>
                      </wps:bodyPr>
                    </wps:wsp>
                  </a:graphicData>
                </a:graphic>
                <wp14:sizeRelH relativeFrom="margin">
                  <wp14:pctWidth>0</wp14:pctWidth>
                </wp14:sizeRelH>
              </wp:anchor>
            </w:drawing>
          </mc:Choice>
          <mc:Fallback>
            <w:pict>
              <v:shape w14:anchorId="5F850D97" id="Text Box 800" o:spid="_x0000_s1048" type="#_x0000_t202" alt="&quot;&quot;" style="position:absolute;margin-left:183.8pt;margin-top:7.5pt;width:194.25pt;height:57.15pt;z-index:251744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" filled="f" stroked="f">
                <v:textbox style="mso-fit-shape-to-text:t">
                  <w:txbxContent>
                    <w:p w14:paraId="126B65BB" w14:textId="77777777" w:rsidR="002B32A0" w:rsidRPr="00BB2870" w:rsidRDefault="002B32A0" w:rsidP="002B32A0">
                      <w:pPr>
                        <w:spacing w:line="204" w:lineRule="auto"/>
                        <w:rPr>
                          <w:rFonts w:asciiTheme="minorHAnsi" w:eastAsia="Yu Gothic UI Semibold" w:cstheme="minorBidi"/>
                          <w:b/>
                          <w:bCs/>
                          <w:color w:val="000000" w:themeColor="text1"/>
                          <w:kern w:val="24"/>
                        </w:rPr>
                      </w:pPr>
                      <w:r w:rsidRPr="0097634D">
                        <w:rPr>
                          <w:rFonts w:cstheme="minorBidi"/>
                          <w:color w:val="000000" w:themeColor="text1"/>
                          <w:kern w:val="24"/>
                        </w:rPr>
                        <w:t xml:space="preserve">Since 2000 the Centre has </w:t>
                      </w:r>
                      <w:r w:rsidRPr="00453B8F">
                        <w:rPr>
                          <w:rFonts w:cstheme="minorBidi"/>
                          <w:color w:val="000000" w:themeColor="text1"/>
                          <w:kern w:val="24"/>
                        </w:rPr>
                        <w:t xml:space="preserve">published more than </w:t>
                      </w:r>
                      <w:r w:rsidRPr="00A014AC">
                        <w:rPr>
                          <w:rFonts w:cstheme="minorBidi"/>
                          <w:b/>
                          <w:bCs/>
                          <w:color w:val="000000" w:themeColor="text1"/>
                          <w:kern w:val="24"/>
                          <w:sz w:val="36"/>
                          <w:szCs w:val="36"/>
                        </w:rPr>
                        <w:t xml:space="preserve">2,203 </w:t>
                      </w:r>
                      <w:r w:rsidRPr="00BB2870">
                        <w:rPr>
                          <w:rFonts w:asciiTheme="minorHAnsi" w:eastAsia="Yu Gothic UI Semibold" w:cstheme="minorBidi"/>
                          <w:b/>
                          <w:bCs/>
                          <w:color w:val="000000" w:themeColor="text1"/>
                          <w:kern w:val="24"/>
                        </w:rPr>
                        <w:t>refereed papers</w:t>
                      </w:r>
                      <w:r>
                        <w:rPr>
                          <w:rFonts w:asciiTheme="minorHAnsi" w:eastAsia="Yu Gothic UI Semibold" w:cstheme="minorBidi"/>
                          <w:b/>
                          <w:bCs/>
                          <w:color w:val="000000" w:themeColor="text1"/>
                          <w:kern w:val="24"/>
                        </w:rPr>
                        <w:t xml:space="preserve">, over 100 </w:t>
                      </w:r>
                      <w:r w:rsidRPr="00A014AC">
                        <w:rPr>
                          <w:rFonts w:asciiTheme="minorHAnsi" w:eastAsia="Yu Gothic UI Semibold" w:cstheme="minorBidi"/>
                          <w:color w:val="000000" w:themeColor="text1"/>
                          <w:kern w:val="24"/>
                        </w:rPr>
                        <w:t>granted patents with</w:t>
                      </w:r>
                      <w:r w:rsidRPr="00220C4B">
                        <w:rPr>
                          <w:rFonts w:asciiTheme="minorHAnsi" w:eastAsia="Yu Gothic UI Semibold" w:cstheme="minorBidi"/>
                          <w:b/>
                          <w:bCs/>
                          <w:color w:val="000000" w:themeColor="text1"/>
                          <w:kern w:val="24"/>
                        </w:rPr>
                        <w:t xml:space="preserve"> 50 </w:t>
                      </w:r>
                      <w:r w:rsidRPr="00A014AC">
                        <w:rPr>
                          <w:rFonts w:asciiTheme="minorHAnsi" w:eastAsia="Yu Gothic UI Semibold" w:cstheme="minorBidi"/>
                          <w:color w:val="000000" w:themeColor="text1"/>
                          <w:kern w:val="24"/>
                        </w:rPr>
                        <w:t>patent applications underway</w:t>
                      </w:r>
                    </w:p>
                  </w:txbxContent>
                </v:textbox>
              </v:shape>
            </w:pict>
          </mc:Fallback>
        </mc:AlternateContent>
      </w:r>
      <w:r>
        <w:rPr>
          <w:noProof/>
        </w:rPr>
        <w:drawing>
          <wp:anchor distT="0" distB="0" distL="114300" distR="114300" simplePos="0" relativeHeight="251743232" behindDoc="0" locked="0" layoutInCell="1" allowOverlap="1" wp14:anchorId="2C251813" wp14:editId="2619535E">
            <wp:simplePos x="0" y="0"/>
            <wp:positionH relativeFrom="column">
              <wp:posOffset>1577975</wp:posOffset>
            </wp:positionH>
            <wp:positionV relativeFrom="paragraph">
              <wp:posOffset>121920</wp:posOffset>
            </wp:positionV>
            <wp:extent cx="682625" cy="683260"/>
            <wp:effectExtent l="0" t="0" r="0" b="0"/>
            <wp:wrapNone/>
            <wp:docPr id="804" name="Picture 80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descr="Icon&#10;&#10;Description automatically generated"/>
                    <pic:cNvPicPr>
                      <a:picLocks noChangeAspect="1"/>
                    </pic:cNvPicPr>
                  </pic:nvPicPr>
                  <pic:blipFill>
                    <a:blip r:embed="rId148" cstate="print">
                      <a:extLst>
                        <a:ext uri="{BEBA8EAE-BF5A-486C-A8C5-ECC9F3942E4B}">
                          <a14:imgProps xmlns:a14="http://schemas.microsoft.com/office/drawing/2010/main">
                            <a14:imgLayer r:embed="rId149">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682625" cy="683260"/>
                    </a:xfrm>
                    <a:prstGeom prst="rect">
                      <a:avLst/>
                    </a:prstGeom>
                  </pic:spPr>
                </pic:pic>
              </a:graphicData>
            </a:graphic>
          </wp:anchor>
        </w:drawing>
      </w:r>
      <w:r>
        <w:rPr>
          <w:noProof/>
        </w:rPr>
        <mc:AlternateContent>
          <mc:Choice Requires="wps">
            <w:drawing>
              <wp:anchor distT="0" distB="0" distL="114300" distR="114300" simplePos="0" relativeHeight="251742208" behindDoc="0" locked="0" layoutInCell="1" allowOverlap="1" wp14:anchorId="349FF50C" wp14:editId="7788942A">
                <wp:simplePos x="0" y="0"/>
                <wp:positionH relativeFrom="column">
                  <wp:posOffset>-427990</wp:posOffset>
                </wp:positionH>
                <wp:positionV relativeFrom="paragraph">
                  <wp:posOffset>122555</wp:posOffset>
                </wp:positionV>
                <wp:extent cx="2095500" cy="962025"/>
                <wp:effectExtent l="0" t="0" r="0" b="0"/>
                <wp:wrapNone/>
                <wp:docPr id="794" name="Text Box 79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095500" cy="962025"/>
                        </a:xfrm>
                        <a:prstGeom prst="rect">
                          <a:avLst/>
                        </a:prstGeom>
                        <a:noFill/>
                      </wps:spPr>
                      <wps:txbx>
                        <w:txbxContent>
                          <w:p w14:paraId="1FC549DF" w14:textId="77777777" w:rsidR="002B32A0" w:rsidRDefault="002B32A0" w:rsidP="002B32A0">
                            <w:pPr>
                              <w:spacing w:line="204" w:lineRule="auto"/>
                              <w:rPr>
                                <w:rFonts w:asciiTheme="minorHAnsi" w:eastAsia="Yu Gothic UI Semibold" w:cstheme="minorBidi"/>
                                <w:b/>
                                <w:bCs/>
                                <w:color w:val="000000" w:themeColor="text1"/>
                                <w:kern w:val="24"/>
                                <w:sz w:val="36"/>
                                <w:szCs w:val="36"/>
                              </w:rPr>
                            </w:pPr>
                            <w:r w:rsidRPr="00220C4B">
                              <w:rPr>
                                <w:rFonts w:asciiTheme="minorHAnsi" w:eastAsia="Yu Gothic UI Semibold" w:cstheme="minorBidi"/>
                                <w:b/>
                                <w:bCs/>
                                <w:color w:val="000000" w:themeColor="text1"/>
                                <w:kern w:val="24"/>
                                <w:sz w:val="36"/>
                                <w:szCs w:val="36"/>
                              </w:rPr>
                              <w:t xml:space="preserve">951 </w:t>
                            </w:r>
                            <w:r w:rsidRPr="00A014AC">
                              <w:rPr>
                                <w:rFonts w:asciiTheme="minorHAnsi" w:eastAsia="Yu Gothic UI Semibold" w:cstheme="minorBidi"/>
                                <w:color w:val="000000" w:themeColor="text1"/>
                                <w:kern w:val="24"/>
                                <w:sz w:val="24"/>
                                <w:szCs w:val="24"/>
                              </w:rPr>
                              <w:t xml:space="preserve">jobs created, including training for </w:t>
                            </w:r>
                            <w:r w:rsidRPr="00A014AC">
                              <w:rPr>
                                <w:rFonts w:asciiTheme="minorHAnsi" w:eastAsia="Yu Gothic UI Semibold" w:cstheme="minorBidi"/>
                                <w:b/>
                                <w:bCs/>
                                <w:color w:val="000000" w:themeColor="text1"/>
                                <w:kern w:val="24"/>
                                <w:sz w:val="24"/>
                                <w:szCs w:val="24"/>
                              </w:rPr>
                              <w:t xml:space="preserve">569 </w:t>
                            </w:r>
                            <w:r w:rsidRPr="00A014AC">
                              <w:rPr>
                                <w:rFonts w:asciiTheme="minorHAnsi" w:eastAsia="Yu Gothic UI Semibold" w:cstheme="minorBidi"/>
                                <w:color w:val="000000" w:themeColor="text1"/>
                                <w:kern w:val="24"/>
                                <w:sz w:val="24"/>
                                <w:szCs w:val="24"/>
                              </w:rPr>
                              <w:t>postgraduate/final year Honours students and</w:t>
                            </w:r>
                            <w:r w:rsidRPr="00A014AC">
                              <w:rPr>
                                <w:rFonts w:asciiTheme="minorHAnsi" w:eastAsia="Yu Gothic UI Semibold" w:cstheme="minorBidi"/>
                                <w:b/>
                                <w:bCs/>
                                <w:color w:val="000000" w:themeColor="text1"/>
                                <w:kern w:val="24"/>
                                <w:sz w:val="24"/>
                                <w:szCs w:val="24"/>
                              </w:rPr>
                              <w:t xml:space="preserve"> 382 </w:t>
                            </w:r>
                            <w:r w:rsidRPr="00A014AC">
                              <w:rPr>
                                <w:rFonts w:asciiTheme="minorHAnsi" w:eastAsia="Yu Gothic UI Semibold" w:cstheme="minorBidi"/>
                                <w:color w:val="000000" w:themeColor="text1"/>
                                <w:kern w:val="24"/>
                                <w:sz w:val="24"/>
                                <w:szCs w:val="24"/>
                              </w:rPr>
                              <w:t>University roles</w:t>
                            </w:r>
                            <w:r w:rsidRPr="00A014AC">
                              <w:rPr>
                                <w:rFonts w:asciiTheme="minorHAnsi" w:eastAsia="Yu Gothic UI Semibold" w:cstheme="minorBidi"/>
                                <w:b/>
                                <w:bCs/>
                                <w:color w:val="000000" w:themeColor="text1"/>
                                <w:kern w:val="24"/>
                                <w:sz w:val="24"/>
                                <w:szCs w:val="24"/>
                              </w:rPr>
                              <w:t xml:space="preserve">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49FF50C" id="Text Box 794" o:spid="_x0000_s1049" type="#_x0000_t202" alt="&quot;&quot;" style="position:absolute;margin-left:-33.7pt;margin-top:9.65pt;width:165pt;height:75.7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" filled="f" stroked="f">
                <v:textbox>
                  <w:txbxContent>
                    <w:p w14:paraId="1FC549DF" w14:textId="77777777" w:rsidR="002B32A0" w:rsidRDefault="002B32A0" w:rsidP="002B32A0">
                      <w:pPr>
                        <w:spacing w:line="204" w:lineRule="auto"/>
                        <w:rPr>
                          <w:rFonts w:asciiTheme="minorHAnsi" w:eastAsia="Yu Gothic UI Semibold" w:cstheme="minorBidi"/>
                          <w:b/>
                          <w:bCs/>
                          <w:color w:val="000000" w:themeColor="text1"/>
                          <w:kern w:val="24"/>
                          <w:sz w:val="36"/>
                          <w:szCs w:val="36"/>
                        </w:rPr>
                      </w:pPr>
                      <w:r w:rsidRPr="00220C4B">
                        <w:rPr>
                          <w:rFonts w:asciiTheme="minorHAnsi" w:eastAsia="Yu Gothic UI Semibold" w:cstheme="minorBidi"/>
                          <w:b/>
                          <w:bCs/>
                          <w:color w:val="000000" w:themeColor="text1"/>
                          <w:kern w:val="24"/>
                          <w:sz w:val="36"/>
                          <w:szCs w:val="36"/>
                        </w:rPr>
                        <w:t xml:space="preserve">951 </w:t>
                      </w:r>
                      <w:r w:rsidRPr="00A014AC">
                        <w:rPr>
                          <w:rFonts w:asciiTheme="minorHAnsi" w:eastAsia="Yu Gothic UI Semibold" w:cstheme="minorBidi"/>
                          <w:color w:val="000000" w:themeColor="text1"/>
                          <w:kern w:val="24"/>
                          <w:sz w:val="24"/>
                          <w:szCs w:val="24"/>
                        </w:rPr>
                        <w:t xml:space="preserve">jobs created, including training for </w:t>
                      </w:r>
                      <w:r w:rsidRPr="00A014AC">
                        <w:rPr>
                          <w:rFonts w:asciiTheme="minorHAnsi" w:eastAsia="Yu Gothic UI Semibold" w:cstheme="minorBidi"/>
                          <w:b/>
                          <w:bCs/>
                          <w:color w:val="000000" w:themeColor="text1"/>
                          <w:kern w:val="24"/>
                          <w:sz w:val="24"/>
                          <w:szCs w:val="24"/>
                        </w:rPr>
                        <w:t xml:space="preserve">569 </w:t>
                      </w:r>
                      <w:r w:rsidRPr="00A014AC">
                        <w:rPr>
                          <w:rFonts w:asciiTheme="minorHAnsi" w:eastAsia="Yu Gothic UI Semibold" w:cstheme="minorBidi"/>
                          <w:color w:val="000000" w:themeColor="text1"/>
                          <w:kern w:val="24"/>
                          <w:sz w:val="24"/>
                          <w:szCs w:val="24"/>
                        </w:rPr>
                        <w:t>postgraduate/final year Honours students and</w:t>
                      </w:r>
                      <w:r w:rsidRPr="00A014AC">
                        <w:rPr>
                          <w:rFonts w:asciiTheme="minorHAnsi" w:eastAsia="Yu Gothic UI Semibold" w:cstheme="minorBidi"/>
                          <w:b/>
                          <w:bCs/>
                          <w:color w:val="000000" w:themeColor="text1"/>
                          <w:kern w:val="24"/>
                          <w:sz w:val="24"/>
                          <w:szCs w:val="24"/>
                        </w:rPr>
                        <w:t xml:space="preserve"> 382 </w:t>
                      </w:r>
                      <w:r w:rsidRPr="00A014AC">
                        <w:rPr>
                          <w:rFonts w:asciiTheme="minorHAnsi" w:eastAsia="Yu Gothic UI Semibold" w:cstheme="minorBidi"/>
                          <w:color w:val="000000" w:themeColor="text1"/>
                          <w:kern w:val="24"/>
                          <w:sz w:val="24"/>
                          <w:szCs w:val="24"/>
                        </w:rPr>
                        <w:t>University roles</w:t>
                      </w:r>
                      <w:r w:rsidRPr="00A014AC">
                        <w:rPr>
                          <w:rFonts w:asciiTheme="minorHAnsi" w:eastAsia="Yu Gothic UI Semibold" w:cstheme="minorBidi"/>
                          <w:b/>
                          <w:bCs/>
                          <w:color w:val="000000" w:themeColor="text1"/>
                          <w:kern w:val="24"/>
                          <w:sz w:val="24"/>
                          <w:szCs w:val="24"/>
                        </w:rPr>
                        <w:t xml:space="preserve"> </w:t>
                      </w:r>
                    </w:p>
                  </w:txbxContent>
                </v:textbox>
              </v:shape>
            </w:pict>
          </mc:Fallback>
        </mc:AlternateContent>
      </w:r>
    </w:p>
    <w:p w14:paraId="2DB347DE" w14:textId="77777777" w:rsidR="002B32A0" w:rsidRDefault="002B32A0" w:rsidP="002B32A0">
      <w:pPr>
        <w:pStyle w:val="BodyText"/>
      </w:pPr>
    </w:p>
    <w:p w14:paraId="51D8D76E" w14:textId="77777777" w:rsidR="002B32A0" w:rsidRDefault="002B32A0" w:rsidP="002B32A0">
      <w:pPr>
        <w:pStyle w:val="BodyText"/>
      </w:pPr>
    </w:p>
    <w:p w14:paraId="06CD7141" w14:textId="77777777" w:rsidR="002B32A0" w:rsidRDefault="002B32A0" w:rsidP="002B32A0">
      <w:pPr>
        <w:pStyle w:val="BodyText"/>
      </w:pPr>
      <w:r>
        <w:rPr>
          <w:noProof/>
        </w:rPr>
        <mc:AlternateContent>
          <mc:Choice Requires="wps">
            <w:drawing>
              <wp:anchor distT="0" distB="0" distL="114300" distR="114300" simplePos="0" relativeHeight="251738112" behindDoc="1" locked="0" layoutInCell="1" allowOverlap="1" wp14:anchorId="4DA9020C" wp14:editId="67C06AB0">
                <wp:simplePos x="0" y="0"/>
                <wp:positionH relativeFrom="margin">
                  <wp:posOffset>-437515</wp:posOffset>
                </wp:positionH>
                <wp:positionV relativeFrom="paragraph">
                  <wp:posOffset>199390</wp:posOffset>
                </wp:positionV>
                <wp:extent cx="1895475" cy="610870"/>
                <wp:effectExtent l="0" t="0" r="0" b="0"/>
                <wp:wrapTight wrapText="bothSides">
                  <wp:wrapPolygon edited="0">
                    <wp:start x="0" y="0"/>
                    <wp:lineTo x="0" y="21600"/>
                    <wp:lineTo x="21600" y="21600"/>
                    <wp:lineTo x="21600" y="0"/>
                  </wp:wrapPolygon>
                </wp:wrapTight>
                <wp:docPr id="798" name="Text Box 79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895475" cy="610870"/>
                        </a:xfrm>
                        <a:prstGeom prst="rect">
                          <a:avLst/>
                        </a:prstGeom>
                        <a:noFill/>
                      </wps:spPr>
                      <wps:txbx>
                        <w:txbxContent>
                          <w:p w14:paraId="6364C0FA" w14:textId="77777777" w:rsidR="002B32A0" w:rsidRDefault="002B32A0" w:rsidP="002B32A0">
                            <w:pPr>
                              <w:spacing w:line="216" w:lineRule="auto"/>
                              <w:rPr>
                                <w:rFonts w:cstheme="minorBidi"/>
                                <w:b/>
                                <w:bCs/>
                                <w:color w:val="000000" w:themeColor="text1"/>
                                <w:kern w:val="24"/>
                                <w:sz w:val="36"/>
                                <w:szCs w:val="36"/>
                              </w:rPr>
                            </w:pPr>
                            <w:bookmarkStart w:id="233" w:name="_Hlk130384247"/>
                            <w:bookmarkStart w:id="234" w:name="_Hlk130384248"/>
                            <w:r w:rsidRPr="00A014AC">
                              <w:rPr>
                                <w:rFonts w:cstheme="minorBidi"/>
                                <w:b/>
                                <w:bCs/>
                                <w:color w:val="000000" w:themeColor="text1"/>
                                <w:kern w:val="24"/>
                                <w:sz w:val="36"/>
                                <w:szCs w:val="36"/>
                              </w:rPr>
                              <w:t>122</w:t>
                            </w:r>
                            <w:r w:rsidRPr="00220C4B">
                              <w:rPr>
                                <w:rFonts w:cstheme="minorBidi"/>
                                <w:b/>
                                <w:bCs/>
                                <w:color w:val="000000" w:themeColor="text1"/>
                                <w:kern w:val="24"/>
                                <w:sz w:val="28"/>
                                <w:szCs w:val="28"/>
                              </w:rPr>
                              <w:t xml:space="preserve"> </w:t>
                            </w:r>
                            <w:r w:rsidRPr="00A014AC">
                              <w:rPr>
                                <w:rFonts w:cstheme="minorBidi"/>
                                <w:color w:val="000000" w:themeColor="text1"/>
                                <w:kern w:val="24"/>
                              </w:rPr>
                              <w:t>industry full time equivalent jobs created through spin-out companies</w:t>
                            </w:r>
                            <w:bookmarkEnd w:id="233"/>
                            <w:bookmarkEnd w:id="234"/>
                          </w:p>
                        </w:txbxContent>
                      </wps:txbx>
                      <wps:bodyPr wrap="square" rtlCol="0">
                        <a:spAutoFit/>
                      </wps:bodyPr>
                    </wps:wsp>
                  </a:graphicData>
                </a:graphic>
                <wp14:sizeRelH relativeFrom="margin">
                  <wp14:pctWidth>0</wp14:pctWidth>
                </wp14:sizeRelH>
              </wp:anchor>
            </w:drawing>
          </mc:Choice>
          <mc:Fallback>
            <w:pict>
              <v:shape w14:anchorId="4DA9020C" id="Text Box 798" o:spid="_x0000_s1050" type="#_x0000_t202" alt="&quot;&quot;" style="position:absolute;margin-left:-34.45pt;margin-top:15.7pt;width:149.25pt;height:48.1pt;z-index:-25157836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" filled="f" stroked="f">
                <v:textbox style="mso-fit-shape-to-text:t">
                  <w:txbxContent>
                    <w:p w14:paraId="6364C0FA" w14:textId="77777777" w:rsidR="002B32A0" w:rsidRDefault="002B32A0" w:rsidP="002B32A0">
                      <w:pPr>
                        <w:spacing w:line="216" w:lineRule="auto"/>
                        <w:rPr>
                          <w:rFonts w:cstheme="minorBidi"/>
                          <w:b/>
                          <w:bCs/>
                          <w:color w:val="000000" w:themeColor="text1"/>
                          <w:kern w:val="24"/>
                          <w:sz w:val="36"/>
                          <w:szCs w:val="36"/>
                        </w:rPr>
                      </w:pPr>
                      <w:bookmarkStart w:id="235" w:name="_Hlk130384247"/>
                      <w:bookmarkStart w:id="236" w:name="_Hlk130384248"/>
                      <w:r w:rsidRPr="00A014AC">
                        <w:rPr>
                          <w:rFonts w:cstheme="minorBidi"/>
                          <w:b/>
                          <w:bCs/>
                          <w:color w:val="000000" w:themeColor="text1"/>
                          <w:kern w:val="24"/>
                          <w:sz w:val="36"/>
                          <w:szCs w:val="36"/>
                        </w:rPr>
                        <w:t>122</w:t>
                      </w:r>
                      <w:r w:rsidRPr="00220C4B">
                        <w:rPr>
                          <w:rFonts w:cstheme="minorBidi"/>
                          <w:b/>
                          <w:bCs/>
                          <w:color w:val="000000" w:themeColor="text1"/>
                          <w:kern w:val="24"/>
                          <w:sz w:val="28"/>
                          <w:szCs w:val="28"/>
                        </w:rPr>
                        <w:t xml:space="preserve"> </w:t>
                      </w:r>
                      <w:r w:rsidRPr="00A014AC">
                        <w:rPr>
                          <w:rFonts w:cstheme="minorBidi"/>
                          <w:color w:val="000000" w:themeColor="text1"/>
                          <w:kern w:val="24"/>
                        </w:rPr>
                        <w:t>industry full time equivalent jobs created through spin-out companies</w:t>
                      </w:r>
                      <w:bookmarkEnd w:id="235"/>
                      <w:bookmarkEnd w:id="236"/>
                    </w:p>
                  </w:txbxContent>
                </v:textbox>
                <w10:wrap type="tight" anchorx="margin"/>
              </v:shape>
            </w:pict>
          </mc:Fallback>
        </mc:AlternateContent>
      </w:r>
      <w:r>
        <w:rPr>
          <w:noProof/>
        </w:rPr>
        <w:drawing>
          <wp:anchor distT="0" distB="0" distL="114300" distR="114300" simplePos="0" relativeHeight="251737088" behindDoc="0" locked="0" layoutInCell="1" allowOverlap="1" wp14:anchorId="5BC9C418" wp14:editId="6674A49C">
            <wp:simplePos x="0" y="0"/>
            <wp:positionH relativeFrom="page">
              <wp:posOffset>836295</wp:posOffset>
            </wp:positionH>
            <wp:positionV relativeFrom="paragraph">
              <wp:posOffset>219710</wp:posOffset>
            </wp:positionV>
            <wp:extent cx="572135" cy="572770"/>
            <wp:effectExtent l="0" t="0" r="0" b="0"/>
            <wp:wrapNone/>
            <wp:docPr id="805" name="Picture 80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98" descr="Logo&#10;&#10;Description automatically generated"/>
                    <pic:cNvPicPr>
                      <a:picLocks noChangeAspect="1"/>
                    </pic:cNvPicPr>
                  </pic:nvPicPr>
                  <pic:blipFill>
                    <a:blip r:embed="rId150" cstate="print">
                      <a:extLst>
                        <a:ext uri="{BEBA8EAE-BF5A-486C-A8C5-ECC9F3942E4B}">
                          <a14:imgProps xmlns:a14="http://schemas.microsoft.com/office/drawing/2010/main">
                            <a14:imgLayer r:embed="rId151">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572135" cy="572770"/>
                    </a:xfrm>
                    <a:prstGeom prst="rect">
                      <a:avLst/>
                    </a:prstGeom>
                  </pic:spPr>
                </pic:pic>
              </a:graphicData>
            </a:graphic>
          </wp:anchor>
        </w:drawing>
      </w:r>
      <w:r>
        <w:rPr>
          <w:noProof/>
        </w:rPr>
        <mc:AlternateContent>
          <mc:Choice Requires="wps">
            <w:drawing>
              <wp:anchor distT="0" distB="0" distL="114300" distR="114300" simplePos="0" relativeHeight="251746304" behindDoc="0" locked="0" layoutInCell="1" allowOverlap="1" wp14:anchorId="23DBD0FC" wp14:editId="42ED24FE">
                <wp:simplePos x="0" y="0"/>
                <wp:positionH relativeFrom="column">
                  <wp:posOffset>2324735</wp:posOffset>
                </wp:positionH>
                <wp:positionV relativeFrom="paragraph">
                  <wp:posOffset>190500</wp:posOffset>
                </wp:positionV>
                <wp:extent cx="2514600" cy="800100"/>
                <wp:effectExtent l="0" t="0" r="0" b="0"/>
                <wp:wrapNone/>
                <wp:docPr id="553" name="Text Box 5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514600" cy="800100"/>
                        </a:xfrm>
                        <a:prstGeom prst="rect">
                          <a:avLst/>
                        </a:prstGeom>
                        <a:noFill/>
                      </wps:spPr>
                      <wps:txbx>
                        <w:txbxContent>
                          <w:p w14:paraId="228959A7" w14:textId="77777777" w:rsidR="002B32A0" w:rsidRPr="002D2BF7" w:rsidRDefault="002B32A0" w:rsidP="002B32A0">
                            <w:pPr>
                              <w:spacing w:line="204" w:lineRule="auto"/>
                              <w:rPr>
                                <w:rFonts w:asciiTheme="minorHAnsi" w:eastAsia="Yu Gothic UI Semibold" w:cstheme="minorBidi"/>
                                <w:b/>
                                <w:bCs/>
                                <w:color w:val="000000" w:themeColor="text1"/>
                                <w:kern w:val="24"/>
                                <w:sz w:val="20"/>
                                <w:szCs w:val="20"/>
                                <w:lang w:val="en-US"/>
                              </w:rPr>
                            </w:pPr>
                            <w:r w:rsidRPr="00D83B98">
                              <w:rPr>
                                <w:rFonts w:asciiTheme="minorHAnsi" w:eastAsia="Yu Gothic UI Semibold" w:cstheme="minorBidi"/>
                                <w:b/>
                                <w:bCs/>
                                <w:color w:val="000000" w:themeColor="text1"/>
                                <w:kern w:val="24"/>
                                <w:lang w:val="en-US"/>
                              </w:rPr>
                              <w:t xml:space="preserve">Alignment with Government </w:t>
                            </w:r>
                            <w:r w:rsidRPr="002D2BF7">
                              <w:rPr>
                                <w:rFonts w:asciiTheme="minorHAnsi" w:eastAsia="Yu Gothic UI Semibold" w:cstheme="minorBidi"/>
                                <w:b/>
                                <w:bCs/>
                                <w:color w:val="000000" w:themeColor="text1"/>
                                <w:kern w:val="24"/>
                                <w:lang w:val="en-US"/>
                              </w:rPr>
                              <w:t xml:space="preserve">science and research priorities </w:t>
                            </w:r>
                            <w:r w:rsidRPr="00D83B98">
                              <w:rPr>
                                <w:rFonts w:asciiTheme="minorHAnsi" w:eastAsia="Yu Gothic UI Semibold" w:cstheme="minorBidi"/>
                                <w:b/>
                                <w:bCs/>
                                <w:color w:val="000000" w:themeColor="text1"/>
                                <w:kern w:val="24"/>
                                <w:lang w:val="en-US"/>
                              </w:rPr>
                              <w:t>including</w:t>
                            </w:r>
                            <w:r>
                              <w:rPr>
                                <w:rFonts w:asciiTheme="minorHAnsi" w:eastAsia="Yu Gothic UI Semibold" w:cstheme="minorBidi"/>
                                <w:b/>
                                <w:bCs/>
                                <w:color w:val="000000" w:themeColor="text1"/>
                                <w:kern w:val="24"/>
                                <w:lang w:val="en-US"/>
                              </w:rPr>
                              <w:t xml:space="preserve"> </w:t>
                            </w:r>
                            <w:r w:rsidRPr="002D2BF7">
                              <w:rPr>
                                <w:rFonts w:asciiTheme="minorHAnsi" w:eastAsia="Yu Gothic UI Semibold" w:cstheme="minorBidi"/>
                                <w:color w:val="000000" w:themeColor="text1"/>
                                <w:kern w:val="24"/>
                                <w:sz w:val="20"/>
                                <w:szCs w:val="20"/>
                                <w:lang w:val="en-US"/>
                              </w:rPr>
                              <w:t>transport</w:t>
                            </w:r>
                            <w:r>
                              <w:rPr>
                                <w:rFonts w:asciiTheme="minorHAnsi" w:eastAsia="Yu Gothic UI Semibold" w:cstheme="minorBidi"/>
                                <w:color w:val="000000" w:themeColor="text1"/>
                                <w:kern w:val="24"/>
                                <w:sz w:val="20"/>
                                <w:szCs w:val="20"/>
                                <w:lang w:val="en-US"/>
                              </w:rPr>
                              <w:t xml:space="preserve">, </w:t>
                            </w:r>
                            <w:r w:rsidRPr="002D2BF7">
                              <w:rPr>
                                <w:rFonts w:asciiTheme="minorHAnsi" w:eastAsia="Yu Gothic UI Semibold" w:cstheme="minorBidi"/>
                                <w:color w:val="000000" w:themeColor="text1"/>
                                <w:kern w:val="24"/>
                                <w:sz w:val="20"/>
                                <w:szCs w:val="20"/>
                                <w:lang w:val="en-US"/>
                              </w:rPr>
                              <w:t>cybersecurity; energy; resources; advanced manufacturing; environmental change, and health</w:t>
                            </w:r>
                            <w:r>
                              <w:rPr>
                                <w:rFonts w:asciiTheme="minorHAnsi" w:eastAsia="Yu Gothic UI Semibold" w:cstheme="minorBidi"/>
                                <w:color w:val="000000" w:themeColor="text1"/>
                                <w:kern w:val="24"/>
                                <w:sz w:val="20"/>
                                <w:szCs w:val="20"/>
                                <w:lang w:val="en-US"/>
                              </w:rPr>
                              <w: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3DBD0FC" id="Text Box 553" o:spid="_x0000_s1051" type="#_x0000_t202" alt="&quot;&quot;" style="position:absolute;margin-left:183.05pt;margin-top:15pt;width:198pt;height:63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" filled="f" stroked="f">
                <v:textbox>
                  <w:txbxContent>
                    <w:p w14:paraId="228959A7" w14:textId="77777777" w:rsidR="002B32A0" w:rsidRPr="002D2BF7" w:rsidRDefault="002B32A0" w:rsidP="002B32A0">
                      <w:pPr>
                        <w:spacing w:line="204" w:lineRule="auto"/>
                        <w:rPr>
                          <w:rFonts w:asciiTheme="minorHAnsi" w:eastAsia="Yu Gothic UI Semibold" w:cstheme="minorBidi"/>
                          <w:b/>
                          <w:bCs/>
                          <w:color w:val="000000" w:themeColor="text1"/>
                          <w:kern w:val="24"/>
                          <w:sz w:val="20"/>
                          <w:szCs w:val="20"/>
                          <w:lang w:val="en-US"/>
                        </w:rPr>
                      </w:pPr>
                      <w:r w:rsidRPr="00D83B98">
                        <w:rPr>
                          <w:rFonts w:asciiTheme="minorHAnsi" w:eastAsia="Yu Gothic UI Semibold" w:cstheme="minorBidi"/>
                          <w:b/>
                          <w:bCs/>
                          <w:color w:val="000000" w:themeColor="text1"/>
                          <w:kern w:val="24"/>
                          <w:lang w:val="en-US"/>
                        </w:rPr>
                        <w:t xml:space="preserve">Alignment with Government </w:t>
                      </w:r>
                      <w:r w:rsidRPr="002D2BF7">
                        <w:rPr>
                          <w:rFonts w:asciiTheme="minorHAnsi" w:eastAsia="Yu Gothic UI Semibold" w:cstheme="minorBidi"/>
                          <w:b/>
                          <w:bCs/>
                          <w:color w:val="000000" w:themeColor="text1"/>
                          <w:kern w:val="24"/>
                          <w:lang w:val="en-US"/>
                        </w:rPr>
                        <w:t xml:space="preserve">science and research priorities </w:t>
                      </w:r>
                      <w:r w:rsidRPr="00D83B98">
                        <w:rPr>
                          <w:rFonts w:asciiTheme="minorHAnsi" w:eastAsia="Yu Gothic UI Semibold" w:cstheme="minorBidi"/>
                          <w:b/>
                          <w:bCs/>
                          <w:color w:val="000000" w:themeColor="text1"/>
                          <w:kern w:val="24"/>
                          <w:lang w:val="en-US"/>
                        </w:rPr>
                        <w:t>including</w:t>
                      </w:r>
                      <w:r>
                        <w:rPr>
                          <w:rFonts w:asciiTheme="minorHAnsi" w:eastAsia="Yu Gothic UI Semibold" w:cstheme="minorBidi"/>
                          <w:b/>
                          <w:bCs/>
                          <w:color w:val="000000" w:themeColor="text1"/>
                          <w:kern w:val="24"/>
                          <w:lang w:val="en-US"/>
                        </w:rPr>
                        <w:t xml:space="preserve"> </w:t>
                      </w:r>
                      <w:r w:rsidRPr="002D2BF7">
                        <w:rPr>
                          <w:rFonts w:asciiTheme="minorHAnsi" w:eastAsia="Yu Gothic UI Semibold" w:cstheme="minorBidi"/>
                          <w:color w:val="000000" w:themeColor="text1"/>
                          <w:kern w:val="24"/>
                          <w:sz w:val="20"/>
                          <w:szCs w:val="20"/>
                          <w:lang w:val="en-US"/>
                        </w:rPr>
                        <w:t>transport</w:t>
                      </w:r>
                      <w:r>
                        <w:rPr>
                          <w:rFonts w:asciiTheme="minorHAnsi" w:eastAsia="Yu Gothic UI Semibold" w:cstheme="minorBidi"/>
                          <w:color w:val="000000" w:themeColor="text1"/>
                          <w:kern w:val="24"/>
                          <w:sz w:val="20"/>
                          <w:szCs w:val="20"/>
                          <w:lang w:val="en-US"/>
                        </w:rPr>
                        <w:t xml:space="preserve">, </w:t>
                      </w:r>
                      <w:r w:rsidRPr="002D2BF7">
                        <w:rPr>
                          <w:rFonts w:asciiTheme="minorHAnsi" w:eastAsia="Yu Gothic UI Semibold" w:cstheme="minorBidi"/>
                          <w:color w:val="000000" w:themeColor="text1"/>
                          <w:kern w:val="24"/>
                          <w:sz w:val="20"/>
                          <w:szCs w:val="20"/>
                          <w:lang w:val="en-US"/>
                        </w:rPr>
                        <w:t>cybersecurity; energy; resources; advanced manufacturing; environmental change, and health</w:t>
                      </w:r>
                      <w:r>
                        <w:rPr>
                          <w:rFonts w:asciiTheme="minorHAnsi" w:eastAsia="Yu Gothic UI Semibold" w:cstheme="minorBidi"/>
                          <w:color w:val="000000" w:themeColor="text1"/>
                          <w:kern w:val="24"/>
                          <w:sz w:val="20"/>
                          <w:szCs w:val="20"/>
                          <w:lang w:val="en-US"/>
                        </w:rPr>
                        <w:t>.</w:t>
                      </w:r>
                    </w:p>
                  </w:txbxContent>
                </v:textbox>
              </v:shape>
            </w:pict>
          </mc:Fallback>
        </mc:AlternateContent>
      </w:r>
    </w:p>
    <w:p w14:paraId="127E795F" w14:textId="77777777" w:rsidR="002B32A0" w:rsidRDefault="002B32A0" w:rsidP="002B32A0">
      <w:pPr>
        <w:pStyle w:val="BodyText"/>
      </w:pPr>
    </w:p>
    <w:p w14:paraId="1902F22D" w14:textId="77777777" w:rsidR="002B32A0" w:rsidRDefault="002B32A0" w:rsidP="002B32A0">
      <w:pPr>
        <w:pStyle w:val="BodyText"/>
      </w:pPr>
    </w:p>
    <w:p w14:paraId="211178D3" w14:textId="77777777" w:rsidR="002B32A0" w:rsidRDefault="002B32A0" w:rsidP="002B32A0">
      <w:pPr>
        <w:pStyle w:val="BodyText"/>
      </w:pPr>
    </w:p>
    <w:p w14:paraId="3654ED47" w14:textId="77777777" w:rsidR="002B32A0" w:rsidRDefault="002B32A0" w:rsidP="008C56B9">
      <w:pPr>
        <w:pStyle w:val="Heading2"/>
        <w:spacing w:before="480"/>
      </w:pPr>
      <w:bookmarkStart w:id="237" w:name="_Toc131174634"/>
      <w:bookmarkStart w:id="238" w:name="_Toc132970665"/>
      <w:bookmarkStart w:id="239" w:name="_Toc135323704"/>
      <w:r>
        <w:t>Case study framework</w:t>
      </w:r>
      <w:bookmarkEnd w:id="237"/>
      <w:bookmarkEnd w:id="238"/>
      <w:bookmarkEnd w:id="239"/>
    </w:p>
    <w:p w14:paraId="731F803A" w14:textId="4904EE46" w:rsidR="00346479" w:rsidRDefault="002B32A0" w:rsidP="002B32A0">
      <w:pPr>
        <w:pStyle w:val="BodyText"/>
      </w:pPr>
      <w:r w:rsidRPr="00CE1D7F">
        <w:t>This case study uses an evaluation framework</w:t>
      </w:r>
      <w:r>
        <w:t xml:space="preserve"> that ACIL Allen has used</w:t>
      </w:r>
      <w:r w:rsidRPr="00CE1D7F">
        <w:t xml:space="preserve"> to assess the impact and value of research undertaken by many organisations.</w:t>
      </w:r>
      <w:r w:rsidRPr="00CE1D7F">
        <w:rPr>
          <w:rStyle w:val="FootnoteReference"/>
        </w:rPr>
        <w:footnoteReference w:id="85"/>
      </w:r>
      <w:r w:rsidRPr="00CE1D7F">
        <w:t xml:space="preserve"> The results from </w:t>
      </w:r>
      <w:r>
        <w:t>applying that</w:t>
      </w:r>
      <w:r w:rsidRPr="00CE1D7F">
        <w:t xml:space="preserve"> framework</w:t>
      </w:r>
      <w:r>
        <w:t xml:space="preserve"> to the </w:t>
      </w:r>
      <w:r w:rsidRPr="00041EEA">
        <w:t>CQC</w:t>
      </w:r>
      <w:r w:rsidRPr="00041EEA">
        <w:rPr>
          <w:vertAlign w:val="superscript"/>
        </w:rPr>
        <w:t>2</w:t>
      </w:r>
      <w:r w:rsidRPr="00041EEA">
        <w:t xml:space="preserve">T </w:t>
      </w:r>
      <w:r w:rsidRPr="00393831">
        <w:t xml:space="preserve">case study </w:t>
      </w:r>
      <w:r>
        <w:t>are</w:t>
      </w:r>
      <w:r w:rsidRPr="00393831">
        <w:t xml:space="preserve"> summarised in </w:t>
      </w:r>
      <w:r w:rsidRPr="00F87D0E">
        <w:fldChar w:fldCharType="begin"/>
      </w:r>
      <w:r w:rsidRPr="00F87D0E">
        <w:instrText xml:space="preserve"> REF _Ref131087691 \h  \* MERGEFORMAT </w:instrText>
      </w:r>
      <w:r w:rsidRPr="00F87D0E">
        <w:fldChar w:fldCharType="separate"/>
      </w:r>
      <w:r w:rsidR="000B0AC7" w:rsidRPr="000B0AC7">
        <w:t>Figure 7.1</w:t>
      </w:r>
      <w:r w:rsidRPr="00F87D0E">
        <w:fldChar w:fldCharType="end"/>
      </w:r>
      <w:r>
        <w:t>.</w:t>
      </w:r>
    </w:p>
    <w:p w14:paraId="5D35CD0B" w14:textId="77777777" w:rsidR="00346479" w:rsidRDefault="00346479">
      <w:pPr>
        <w:spacing w:before="0" w:after="160" w:line="259" w:lineRule="auto"/>
      </w:pPr>
      <w:r>
        <w:br w:type="page"/>
      </w:r>
    </w:p>
    <w:p w14:paraId="1A871D32" w14:textId="548CB78A" w:rsidR="002B32A0" w:rsidRDefault="002B32A0" w:rsidP="002B32A0">
      <w:pPr>
        <w:pStyle w:val="Caption"/>
        <w:ind w:left="-1202"/>
      </w:pPr>
      <w:bookmarkStart w:id="240" w:name="_Ref131087691"/>
      <w:r w:rsidRPr="006D4B86">
        <w:rPr>
          <w:rStyle w:val="CaptionLabel"/>
        </w:rPr>
        <w:lastRenderedPageBreak/>
        <w:t>Figure </w:t>
      </w:r>
      <w:r w:rsidRPr="006D4B86">
        <w:rPr>
          <w:rStyle w:val="CaptionLabel"/>
        </w:rPr>
        <w:fldChar w:fldCharType="begin"/>
      </w:r>
      <w:r w:rsidRPr="006D4B86">
        <w:rPr>
          <w:rStyle w:val="CaptionLabel"/>
        </w:rPr>
        <w:instrText xml:space="preserve"> STYLEREF 1 \S \* MERGEFORMAT </w:instrText>
      </w:r>
      <w:r w:rsidRPr="006D4B86">
        <w:rPr>
          <w:rStyle w:val="CaptionLabel"/>
        </w:rPr>
        <w:fldChar w:fldCharType="separate"/>
      </w:r>
      <w:r w:rsidR="000B0AC7">
        <w:rPr>
          <w:rStyle w:val="CaptionLabel"/>
          <w:noProof/>
        </w:rPr>
        <w:t>7</w:t>
      </w:r>
      <w:r w:rsidRPr="006D4B86">
        <w:rPr>
          <w:rStyle w:val="CaptionLabel"/>
        </w:rPr>
        <w:fldChar w:fldCharType="end"/>
      </w:r>
      <w:r w:rsidRPr="006D4B86">
        <w:rPr>
          <w:rStyle w:val="CaptionLabel"/>
        </w:rPr>
        <w:t>.</w:t>
      </w:r>
      <w:r w:rsidRPr="006D4B86">
        <w:rPr>
          <w:rStyle w:val="CaptionLabel"/>
        </w:rPr>
        <w:fldChar w:fldCharType="begin"/>
      </w:r>
      <w:r w:rsidRPr="006D4B86">
        <w:rPr>
          <w:rStyle w:val="CaptionLabel"/>
        </w:rPr>
        <w:instrText xml:space="preserve"> SEQ Figure \* ARABIC \S 1 \* MERGEFORMAT </w:instrText>
      </w:r>
      <w:r w:rsidRPr="006D4B86">
        <w:rPr>
          <w:rStyle w:val="CaptionLabel"/>
        </w:rPr>
        <w:fldChar w:fldCharType="separate"/>
      </w:r>
      <w:r w:rsidR="000B0AC7">
        <w:rPr>
          <w:rStyle w:val="CaptionLabel"/>
          <w:noProof/>
        </w:rPr>
        <w:t>1</w:t>
      </w:r>
      <w:r w:rsidRPr="006D4B86">
        <w:rPr>
          <w:rStyle w:val="CaptionLabel"/>
        </w:rPr>
        <w:fldChar w:fldCharType="end"/>
      </w:r>
      <w:bookmarkEnd w:id="240"/>
      <w:r>
        <w:tab/>
        <w:t xml:space="preserve">Impact Framework Diagram for </w:t>
      </w:r>
      <w:r w:rsidRPr="00041EEA">
        <w:t>CQC</w:t>
      </w:r>
      <w:r w:rsidRPr="00041EEA">
        <w:rPr>
          <w:vertAlign w:val="superscript"/>
        </w:rPr>
        <w:t>2</w:t>
      </w:r>
      <w:r w:rsidRPr="00041EEA">
        <w:t>T</w:t>
      </w:r>
    </w:p>
    <w:tbl>
      <w:tblPr>
        <w:tblW w:w="6584" w:type="pct"/>
        <w:tblInd w:w="-2410" w:type="dxa"/>
        <w:tblBorders>
          <w:top w:val="single" w:sz="4" w:space="0" w:color="auto"/>
          <w:bottom w:val="single" w:sz="4" w:space="0" w:color="auto"/>
        </w:tblBorders>
        <w:tblLayout w:type="fixed"/>
        <w:tblCellMar>
          <w:left w:w="0" w:type="dxa"/>
          <w:right w:w="0" w:type="dxa"/>
        </w:tblCellMar>
        <w:tblLook w:val="0000" w:firstRow="0" w:lastRow="0" w:firstColumn="0" w:lastColumn="0" w:noHBand="0" w:noVBand="0"/>
        <w:tblCaption w:val="Figure 7.1 "/>
        <w:tblDescription w:val="Impact Framework Diagram for CQC2T"/>
      </w:tblPr>
      <w:tblGrid>
        <w:gridCol w:w="1700"/>
        <w:gridCol w:w="142"/>
        <w:gridCol w:w="1985"/>
        <w:gridCol w:w="142"/>
        <w:gridCol w:w="2552"/>
        <w:gridCol w:w="142"/>
        <w:gridCol w:w="2268"/>
        <w:gridCol w:w="142"/>
        <w:gridCol w:w="1377"/>
      </w:tblGrid>
      <w:tr w:rsidR="002B32A0" w:rsidRPr="00B03BA4" w14:paraId="65CFDB23" w14:textId="77777777" w:rsidTr="00346479">
        <w:trPr>
          <w:trHeight w:val="527"/>
        </w:trPr>
        <w:tc>
          <w:tcPr>
            <w:tcW w:w="1700" w:type="dxa"/>
            <w:tcBorders>
              <w:top w:val="nil"/>
              <w:left w:val="nil"/>
              <w:bottom w:val="nil"/>
              <w:right w:val="nil"/>
            </w:tcBorders>
            <w:shd w:val="clear" w:color="auto" w:fill="140034" w:themeFill="background2"/>
            <w:vAlign w:val="center"/>
          </w:tcPr>
          <w:p w14:paraId="4C77BED6" w14:textId="77777777" w:rsidR="002B32A0" w:rsidRPr="00393831" w:rsidRDefault="002B32A0" w:rsidP="006258ED">
            <w:pPr>
              <w:keepNext/>
              <w:spacing w:after="0" w:line="240" w:lineRule="auto"/>
              <w:jc w:val="center"/>
              <w:rPr>
                <w:rFonts w:cstheme="majorHAnsi"/>
                <w:b/>
                <w:color w:val="FFFFFF" w:themeColor="background1"/>
              </w:rPr>
            </w:pPr>
            <w:r w:rsidRPr="00393831">
              <w:rPr>
                <w:rFonts w:cstheme="majorHAnsi"/>
                <w:b/>
                <w:color w:val="FFFFFF" w:themeColor="background1"/>
              </w:rPr>
              <w:t>INPUTS</w:t>
            </w:r>
          </w:p>
        </w:tc>
        <w:tc>
          <w:tcPr>
            <w:tcW w:w="142" w:type="dxa"/>
            <w:tcBorders>
              <w:top w:val="nil"/>
              <w:left w:val="nil"/>
              <w:bottom w:val="nil"/>
              <w:right w:val="nil"/>
            </w:tcBorders>
            <w:shd w:val="clear" w:color="auto" w:fill="auto"/>
            <w:vAlign w:val="center"/>
          </w:tcPr>
          <w:p w14:paraId="28E0F002" w14:textId="77777777" w:rsidR="002B32A0" w:rsidRPr="00393831" w:rsidRDefault="002B32A0" w:rsidP="006258ED">
            <w:pPr>
              <w:keepNext/>
              <w:spacing w:after="0" w:line="240" w:lineRule="auto"/>
              <w:jc w:val="center"/>
              <w:rPr>
                <w:rFonts w:cstheme="majorHAnsi"/>
                <w:b/>
                <w:color w:val="FFFFFF" w:themeColor="background1"/>
              </w:rPr>
            </w:pPr>
          </w:p>
        </w:tc>
        <w:tc>
          <w:tcPr>
            <w:tcW w:w="1985" w:type="dxa"/>
            <w:tcBorders>
              <w:top w:val="nil"/>
              <w:left w:val="nil"/>
              <w:bottom w:val="nil"/>
              <w:right w:val="nil"/>
            </w:tcBorders>
            <w:shd w:val="clear" w:color="auto" w:fill="140034" w:themeFill="background2"/>
            <w:vAlign w:val="center"/>
          </w:tcPr>
          <w:p w14:paraId="58645584" w14:textId="77777777" w:rsidR="002B32A0" w:rsidRPr="00393831" w:rsidRDefault="002B32A0" w:rsidP="006258ED">
            <w:pPr>
              <w:keepNext/>
              <w:spacing w:after="0" w:line="240" w:lineRule="auto"/>
              <w:jc w:val="center"/>
              <w:rPr>
                <w:rFonts w:cstheme="majorHAnsi"/>
                <w:b/>
                <w:color w:val="FFFFFF" w:themeColor="background1"/>
              </w:rPr>
            </w:pPr>
            <w:r w:rsidRPr="00393831">
              <w:rPr>
                <w:rFonts w:cstheme="majorHAnsi"/>
                <w:b/>
                <w:color w:val="FFFFFF" w:themeColor="background1"/>
              </w:rPr>
              <w:t>ACTIVITIES</w:t>
            </w:r>
          </w:p>
        </w:tc>
        <w:tc>
          <w:tcPr>
            <w:tcW w:w="142" w:type="dxa"/>
            <w:tcBorders>
              <w:top w:val="nil"/>
              <w:left w:val="nil"/>
              <w:bottom w:val="nil"/>
              <w:right w:val="nil"/>
            </w:tcBorders>
            <w:shd w:val="clear" w:color="auto" w:fill="auto"/>
            <w:vAlign w:val="center"/>
          </w:tcPr>
          <w:p w14:paraId="1C318C29" w14:textId="77777777" w:rsidR="002B32A0" w:rsidRPr="00393831" w:rsidRDefault="002B32A0" w:rsidP="006258ED">
            <w:pPr>
              <w:keepNext/>
              <w:spacing w:after="0" w:line="240" w:lineRule="auto"/>
              <w:ind w:firstLine="34"/>
              <w:jc w:val="center"/>
              <w:rPr>
                <w:rFonts w:cstheme="majorHAnsi"/>
                <w:b/>
                <w:color w:val="FFFFFF" w:themeColor="background1"/>
              </w:rPr>
            </w:pPr>
          </w:p>
        </w:tc>
        <w:tc>
          <w:tcPr>
            <w:tcW w:w="2552" w:type="dxa"/>
            <w:tcBorders>
              <w:top w:val="nil"/>
              <w:left w:val="nil"/>
              <w:bottom w:val="nil"/>
              <w:right w:val="nil"/>
            </w:tcBorders>
            <w:shd w:val="clear" w:color="auto" w:fill="140034" w:themeFill="background2"/>
            <w:vAlign w:val="center"/>
          </w:tcPr>
          <w:p w14:paraId="33DAC741" w14:textId="77777777" w:rsidR="002B32A0" w:rsidRPr="00393831" w:rsidRDefault="002B32A0" w:rsidP="006258ED">
            <w:pPr>
              <w:keepNext/>
              <w:spacing w:after="0" w:line="240" w:lineRule="auto"/>
              <w:ind w:left="118"/>
              <w:jc w:val="center"/>
              <w:rPr>
                <w:rFonts w:cstheme="majorHAnsi"/>
                <w:b/>
                <w:color w:val="FFFFFF" w:themeColor="background1"/>
              </w:rPr>
            </w:pPr>
            <w:r w:rsidRPr="00393831">
              <w:rPr>
                <w:rFonts w:cstheme="majorHAnsi"/>
                <w:b/>
                <w:color w:val="FFFFFF" w:themeColor="background1"/>
              </w:rPr>
              <w:t>OUTPUTS</w:t>
            </w:r>
          </w:p>
        </w:tc>
        <w:tc>
          <w:tcPr>
            <w:tcW w:w="142" w:type="dxa"/>
            <w:tcBorders>
              <w:top w:val="nil"/>
              <w:left w:val="nil"/>
              <w:bottom w:val="nil"/>
              <w:right w:val="nil"/>
            </w:tcBorders>
            <w:shd w:val="clear" w:color="auto" w:fill="auto"/>
            <w:vAlign w:val="center"/>
          </w:tcPr>
          <w:p w14:paraId="6B1AD197" w14:textId="77777777" w:rsidR="002B32A0" w:rsidRPr="00393831" w:rsidRDefault="002B32A0" w:rsidP="006258ED">
            <w:pPr>
              <w:keepNext/>
              <w:spacing w:after="0" w:line="240" w:lineRule="auto"/>
              <w:ind w:firstLine="32"/>
              <w:jc w:val="center"/>
              <w:rPr>
                <w:rFonts w:cstheme="majorHAnsi"/>
                <w:b/>
                <w:color w:val="FFFFFF" w:themeColor="background1"/>
              </w:rPr>
            </w:pPr>
          </w:p>
        </w:tc>
        <w:tc>
          <w:tcPr>
            <w:tcW w:w="2268" w:type="dxa"/>
            <w:tcBorders>
              <w:top w:val="nil"/>
              <w:left w:val="nil"/>
              <w:bottom w:val="nil"/>
              <w:right w:val="nil"/>
            </w:tcBorders>
            <w:shd w:val="clear" w:color="auto" w:fill="140034" w:themeFill="background2"/>
            <w:vAlign w:val="center"/>
          </w:tcPr>
          <w:p w14:paraId="7EE78AE8" w14:textId="77777777" w:rsidR="002B32A0" w:rsidRPr="00393831" w:rsidRDefault="002B32A0" w:rsidP="006258ED">
            <w:pPr>
              <w:spacing w:after="0" w:line="240" w:lineRule="auto"/>
              <w:ind w:left="61"/>
              <w:jc w:val="center"/>
              <w:rPr>
                <w:rFonts w:cstheme="majorHAnsi"/>
                <w:b/>
                <w:color w:val="FFFFFF" w:themeColor="background1"/>
                <w:lang w:eastAsia="en-AU"/>
              </w:rPr>
            </w:pPr>
            <w:r w:rsidRPr="00393831">
              <w:rPr>
                <w:rFonts w:cstheme="majorHAnsi"/>
                <w:b/>
                <w:color w:val="FFFFFF" w:themeColor="background1"/>
                <w:lang w:eastAsia="en-AU"/>
              </w:rPr>
              <w:t>OUTCOMES</w:t>
            </w:r>
          </w:p>
        </w:tc>
        <w:tc>
          <w:tcPr>
            <w:tcW w:w="142" w:type="dxa"/>
            <w:tcBorders>
              <w:top w:val="nil"/>
              <w:left w:val="nil"/>
              <w:bottom w:val="nil"/>
              <w:right w:val="nil"/>
            </w:tcBorders>
            <w:shd w:val="clear" w:color="auto" w:fill="auto"/>
            <w:vAlign w:val="center"/>
          </w:tcPr>
          <w:p w14:paraId="13C8ECA1" w14:textId="77777777" w:rsidR="002B32A0" w:rsidRPr="00393831" w:rsidRDefault="002B32A0" w:rsidP="006258ED">
            <w:pPr>
              <w:keepNext/>
              <w:spacing w:after="0" w:line="240" w:lineRule="auto"/>
              <w:ind w:left="-65" w:firstLine="32"/>
              <w:jc w:val="center"/>
              <w:rPr>
                <w:rFonts w:cstheme="majorHAnsi"/>
                <w:b/>
                <w:color w:val="FFFFFF" w:themeColor="background1"/>
              </w:rPr>
            </w:pPr>
          </w:p>
        </w:tc>
        <w:tc>
          <w:tcPr>
            <w:tcW w:w="1377" w:type="dxa"/>
            <w:tcBorders>
              <w:top w:val="nil"/>
              <w:left w:val="nil"/>
              <w:bottom w:val="nil"/>
              <w:right w:val="nil"/>
            </w:tcBorders>
            <w:shd w:val="clear" w:color="auto" w:fill="140034" w:themeFill="background2"/>
            <w:vAlign w:val="center"/>
          </w:tcPr>
          <w:p w14:paraId="1E2AAA31" w14:textId="77777777" w:rsidR="002B32A0" w:rsidRPr="00393831" w:rsidRDefault="002B32A0" w:rsidP="006258ED">
            <w:pPr>
              <w:spacing w:after="0" w:line="240" w:lineRule="auto"/>
              <w:ind w:left="61"/>
              <w:jc w:val="center"/>
              <w:rPr>
                <w:rFonts w:cstheme="majorHAnsi"/>
                <w:b/>
                <w:color w:val="FFFFFF" w:themeColor="background1"/>
                <w:lang w:eastAsia="en-AU"/>
              </w:rPr>
            </w:pPr>
            <w:r w:rsidRPr="00393831">
              <w:rPr>
                <w:rFonts w:cstheme="majorHAnsi"/>
                <w:b/>
                <w:color w:val="FFFFFF" w:themeColor="background1"/>
                <w:lang w:eastAsia="en-AU"/>
              </w:rPr>
              <w:t>IMPACTS</w:t>
            </w:r>
          </w:p>
        </w:tc>
      </w:tr>
      <w:tr w:rsidR="002B32A0" w:rsidRPr="00B03BA4" w14:paraId="6A7C9E5F" w14:textId="77777777" w:rsidTr="00346479">
        <w:trPr>
          <w:trHeight w:hRule="exact" w:val="151"/>
        </w:trPr>
        <w:tc>
          <w:tcPr>
            <w:tcW w:w="1700" w:type="dxa"/>
            <w:tcBorders>
              <w:top w:val="nil"/>
              <w:bottom w:val="nil"/>
              <w:right w:val="single" w:sz="12" w:space="0" w:color="FFFFFF" w:themeColor="background1"/>
            </w:tcBorders>
          </w:tcPr>
          <w:p w14:paraId="7216B689" w14:textId="77777777" w:rsidR="002B32A0" w:rsidRPr="00DC2B65" w:rsidRDefault="002B32A0" w:rsidP="006258ED">
            <w:pPr>
              <w:keepNext/>
              <w:spacing w:after="0" w:line="240" w:lineRule="auto"/>
              <w:ind w:hanging="3402"/>
              <w:jc w:val="center"/>
              <w:rPr>
                <w:rFonts w:ascii="Calibri" w:hAnsi="Calibri"/>
                <w:sz w:val="16"/>
                <w:szCs w:val="16"/>
              </w:rPr>
            </w:pPr>
          </w:p>
        </w:tc>
        <w:tc>
          <w:tcPr>
            <w:tcW w:w="142" w:type="dxa"/>
            <w:tcBorders>
              <w:top w:val="nil"/>
              <w:left w:val="single" w:sz="12" w:space="0" w:color="FFFFFF" w:themeColor="background1"/>
              <w:bottom w:val="single" w:sz="12" w:space="0" w:color="FFFFFF" w:themeColor="background1"/>
              <w:right w:val="single" w:sz="12" w:space="0" w:color="FFFFFF" w:themeColor="background1"/>
            </w:tcBorders>
          </w:tcPr>
          <w:p w14:paraId="6C65AA64" w14:textId="77777777" w:rsidR="002B32A0" w:rsidRPr="00DC2B65" w:rsidRDefault="002B32A0" w:rsidP="006258ED">
            <w:pPr>
              <w:keepNext/>
              <w:spacing w:after="0" w:line="240" w:lineRule="auto"/>
              <w:jc w:val="center"/>
              <w:rPr>
                <w:rFonts w:ascii="Calibri" w:hAnsi="Calibri"/>
                <w:sz w:val="16"/>
                <w:szCs w:val="16"/>
              </w:rPr>
            </w:pPr>
          </w:p>
        </w:tc>
        <w:tc>
          <w:tcPr>
            <w:tcW w:w="1985" w:type="dxa"/>
            <w:tcBorders>
              <w:top w:val="nil"/>
              <w:left w:val="single" w:sz="12" w:space="0" w:color="FFFFFF" w:themeColor="background1"/>
              <w:bottom w:val="nil"/>
              <w:right w:val="single" w:sz="12" w:space="0" w:color="FFFFFF" w:themeColor="background1"/>
            </w:tcBorders>
          </w:tcPr>
          <w:p w14:paraId="1346ABA7" w14:textId="77777777" w:rsidR="002B32A0" w:rsidRPr="00DC2B65" w:rsidRDefault="002B32A0" w:rsidP="006258ED">
            <w:pPr>
              <w:keepNext/>
              <w:spacing w:after="0" w:line="240" w:lineRule="auto"/>
              <w:ind w:left="-108"/>
              <w:jc w:val="center"/>
              <w:rPr>
                <w:rFonts w:ascii="Calibri" w:hAnsi="Calibri"/>
                <w:sz w:val="16"/>
                <w:szCs w:val="16"/>
              </w:rPr>
            </w:pPr>
          </w:p>
        </w:tc>
        <w:tc>
          <w:tcPr>
            <w:tcW w:w="142" w:type="dxa"/>
            <w:tcBorders>
              <w:top w:val="nil"/>
              <w:left w:val="single" w:sz="12" w:space="0" w:color="FFFFFF" w:themeColor="background1"/>
              <w:bottom w:val="nil"/>
              <w:right w:val="single" w:sz="12" w:space="0" w:color="FFFFFF" w:themeColor="background1"/>
            </w:tcBorders>
          </w:tcPr>
          <w:p w14:paraId="1933D9BF" w14:textId="77777777" w:rsidR="002B32A0" w:rsidRPr="00DC2B65" w:rsidRDefault="002B32A0" w:rsidP="006258ED">
            <w:pPr>
              <w:keepNext/>
              <w:spacing w:after="0" w:line="240" w:lineRule="auto"/>
              <w:ind w:firstLine="34"/>
              <w:jc w:val="center"/>
              <w:rPr>
                <w:rFonts w:ascii="Calibri" w:hAnsi="Calibri"/>
                <w:sz w:val="16"/>
                <w:szCs w:val="16"/>
              </w:rPr>
            </w:pPr>
          </w:p>
        </w:tc>
        <w:tc>
          <w:tcPr>
            <w:tcW w:w="2552" w:type="dxa"/>
            <w:tcBorders>
              <w:top w:val="nil"/>
              <w:left w:val="single" w:sz="12" w:space="0" w:color="FFFFFF" w:themeColor="background1"/>
              <w:bottom w:val="nil"/>
              <w:right w:val="single" w:sz="12" w:space="0" w:color="FFFFFF" w:themeColor="background1"/>
            </w:tcBorders>
          </w:tcPr>
          <w:p w14:paraId="75353113" w14:textId="77777777" w:rsidR="002B32A0" w:rsidRPr="00DC2B65" w:rsidRDefault="002B32A0" w:rsidP="006258ED">
            <w:pPr>
              <w:pStyle w:val="Tablelistbullet"/>
              <w:numPr>
                <w:ilvl w:val="0"/>
                <w:numId w:val="0"/>
              </w:numPr>
              <w:rPr>
                <w:rFonts w:ascii="Calibri" w:hAnsi="Calibri" w:cs="Arial"/>
                <w:sz w:val="16"/>
                <w:szCs w:val="16"/>
              </w:rPr>
            </w:pPr>
          </w:p>
        </w:tc>
        <w:tc>
          <w:tcPr>
            <w:tcW w:w="142" w:type="dxa"/>
            <w:tcBorders>
              <w:top w:val="nil"/>
              <w:left w:val="single" w:sz="12" w:space="0" w:color="FFFFFF" w:themeColor="background1"/>
              <w:bottom w:val="nil"/>
              <w:right w:val="single" w:sz="12" w:space="0" w:color="FFFFFF" w:themeColor="background1"/>
            </w:tcBorders>
          </w:tcPr>
          <w:p w14:paraId="14A8AB0E" w14:textId="77777777" w:rsidR="002B32A0" w:rsidRPr="00DC2B65" w:rsidRDefault="002B32A0" w:rsidP="006258ED">
            <w:pPr>
              <w:keepNext/>
              <w:spacing w:after="0" w:line="240" w:lineRule="auto"/>
              <w:ind w:hanging="3402"/>
              <w:jc w:val="center"/>
              <w:rPr>
                <w:rFonts w:ascii="Calibri" w:hAnsi="Calibri"/>
                <w:sz w:val="16"/>
                <w:szCs w:val="16"/>
              </w:rPr>
            </w:pPr>
          </w:p>
        </w:tc>
        <w:tc>
          <w:tcPr>
            <w:tcW w:w="2268" w:type="dxa"/>
            <w:tcBorders>
              <w:top w:val="nil"/>
              <w:left w:val="single" w:sz="12" w:space="0" w:color="FFFFFF" w:themeColor="background1"/>
              <w:bottom w:val="nil"/>
              <w:right w:val="single" w:sz="12" w:space="0" w:color="FFFFFF" w:themeColor="background1"/>
            </w:tcBorders>
          </w:tcPr>
          <w:p w14:paraId="25B6E306" w14:textId="77777777" w:rsidR="002B32A0" w:rsidRPr="003301BC" w:rsidRDefault="002B32A0" w:rsidP="002B32A0">
            <w:pPr>
              <w:pStyle w:val="Tablelistbullet"/>
              <w:ind w:left="280" w:hanging="280"/>
            </w:pPr>
          </w:p>
        </w:tc>
        <w:tc>
          <w:tcPr>
            <w:tcW w:w="142" w:type="dxa"/>
            <w:tcBorders>
              <w:top w:val="nil"/>
              <w:left w:val="single" w:sz="12" w:space="0" w:color="FFFFFF" w:themeColor="background1"/>
              <w:bottom w:val="nil"/>
              <w:right w:val="single" w:sz="12" w:space="0" w:color="FFFFFF" w:themeColor="background1"/>
            </w:tcBorders>
          </w:tcPr>
          <w:p w14:paraId="743013BA" w14:textId="77777777" w:rsidR="002B32A0" w:rsidRPr="00DC2B65" w:rsidRDefault="002B32A0" w:rsidP="006258ED">
            <w:pPr>
              <w:keepNext/>
              <w:spacing w:after="0" w:line="240" w:lineRule="auto"/>
              <w:ind w:left="-17" w:firstLine="32"/>
              <w:jc w:val="center"/>
              <w:rPr>
                <w:rFonts w:ascii="Calibri" w:hAnsi="Calibri"/>
                <w:sz w:val="16"/>
                <w:szCs w:val="16"/>
              </w:rPr>
            </w:pPr>
          </w:p>
        </w:tc>
        <w:tc>
          <w:tcPr>
            <w:tcW w:w="1377" w:type="dxa"/>
            <w:tcBorders>
              <w:top w:val="nil"/>
              <w:left w:val="single" w:sz="12" w:space="0" w:color="FFFFFF" w:themeColor="background1"/>
              <w:bottom w:val="nil"/>
              <w:right w:val="single" w:sz="12" w:space="0" w:color="FFFFFF" w:themeColor="background1"/>
            </w:tcBorders>
          </w:tcPr>
          <w:p w14:paraId="7371A966" w14:textId="77777777" w:rsidR="002B32A0" w:rsidRPr="00DC2B65" w:rsidRDefault="002B32A0" w:rsidP="006258ED">
            <w:pPr>
              <w:keepNext/>
              <w:spacing w:after="0" w:line="240" w:lineRule="auto"/>
              <w:ind w:left="96"/>
              <w:jc w:val="center"/>
              <w:rPr>
                <w:rFonts w:ascii="Calibri" w:hAnsi="Calibri"/>
                <w:sz w:val="16"/>
                <w:szCs w:val="16"/>
              </w:rPr>
            </w:pPr>
          </w:p>
        </w:tc>
      </w:tr>
      <w:tr w:rsidR="002B32A0" w:rsidRPr="00B03BA4" w14:paraId="7E20C890" w14:textId="77777777" w:rsidTr="00346479">
        <w:trPr>
          <w:trHeight w:val="348"/>
        </w:trPr>
        <w:tc>
          <w:tcPr>
            <w:tcW w:w="1700" w:type="dxa"/>
            <w:tcBorders>
              <w:top w:val="nil"/>
              <w:left w:val="nil"/>
              <w:bottom w:val="nil"/>
              <w:right w:val="nil"/>
            </w:tcBorders>
            <w:shd w:val="clear" w:color="auto" w:fill="DEDEDE" w:themeFill="accent3" w:themeFillTint="99"/>
          </w:tcPr>
          <w:p w14:paraId="49D48724" w14:textId="77777777" w:rsidR="002B32A0" w:rsidRDefault="002B32A0" w:rsidP="002B32A0">
            <w:pPr>
              <w:pStyle w:val="Tablelistbullet"/>
              <w:ind w:left="280" w:hanging="280"/>
            </w:pPr>
            <w:r w:rsidRPr="00CA70DF">
              <w:t>$</w:t>
            </w:r>
            <w:r>
              <w:t xml:space="preserve">97.8 </w:t>
            </w:r>
            <w:r w:rsidRPr="00CA70DF">
              <w:t>m</w:t>
            </w:r>
            <w:r>
              <w:t>illion</w:t>
            </w:r>
            <w:r w:rsidRPr="00CA70DF">
              <w:t xml:space="preserve"> </w:t>
            </w:r>
            <w:r>
              <w:t>cash support</w:t>
            </w:r>
            <w:r w:rsidRPr="00CA70DF">
              <w:t xml:space="preserve"> by ARC and </w:t>
            </w:r>
            <w:r>
              <w:br/>
            </w:r>
            <w:r w:rsidRPr="00CA70DF">
              <w:t>$</w:t>
            </w:r>
            <w:r>
              <w:t>218.3</w:t>
            </w:r>
            <w:r w:rsidRPr="00CA70DF">
              <w:t xml:space="preserve"> m</w:t>
            </w:r>
            <w:r>
              <w:t>illion</w:t>
            </w:r>
            <w:r w:rsidRPr="00CA70DF">
              <w:t xml:space="preserve"> </w:t>
            </w:r>
            <w:r w:rsidRPr="00240D8D">
              <w:rPr>
                <w:rFonts w:asciiTheme="minorHAnsi" w:eastAsia="Yu Gothic UI Semibold"/>
                <w:color w:val="000000" w:themeColor="text1"/>
                <w:kern w:val="24"/>
              </w:rPr>
              <w:t xml:space="preserve">cash and in-kind support from </w:t>
            </w:r>
            <w:r w:rsidRPr="00CA70DF">
              <w:t>participating organisations</w:t>
            </w:r>
          </w:p>
          <w:p w14:paraId="795147BE" w14:textId="600F0C43" w:rsidR="002B32A0" w:rsidRPr="00B03BA4" w:rsidRDefault="002B32A0" w:rsidP="002B32A0">
            <w:pPr>
              <w:pStyle w:val="Tablelistbullet"/>
              <w:ind w:left="280" w:hanging="280"/>
            </w:pPr>
            <w:r>
              <w:t>Funding and capital raising by the Centre’s spin-off companies are not included in these input figures (examples of spin-off funding are included in Section </w:t>
            </w:r>
            <w:r w:rsidRPr="00F87D0E">
              <w:fldChar w:fldCharType="begin"/>
            </w:r>
            <w:r w:rsidRPr="00F87D0E">
              <w:instrText xml:space="preserve"> REF _Ref131078522 \r \h  \* MERGEFORMAT </w:instrText>
            </w:r>
            <w:r w:rsidRPr="00F87D0E">
              <w:fldChar w:fldCharType="separate"/>
            </w:r>
            <w:r w:rsidR="000B0AC7">
              <w:t>7.7</w:t>
            </w:r>
            <w:r w:rsidRPr="00F87D0E">
              <w:fldChar w:fldCharType="end"/>
            </w:r>
            <w:r>
              <w:t>).</w:t>
            </w:r>
          </w:p>
        </w:tc>
        <w:tc>
          <w:tcPr>
            <w:tcW w:w="142" w:type="dxa"/>
            <w:tcBorders>
              <w:top w:val="single" w:sz="12" w:space="0" w:color="FFFFFF" w:themeColor="background1"/>
              <w:left w:val="nil"/>
              <w:bottom w:val="nil"/>
              <w:right w:val="nil"/>
            </w:tcBorders>
          </w:tcPr>
          <w:p w14:paraId="3E3A31CB" w14:textId="77777777" w:rsidR="002B32A0" w:rsidRPr="00B03BA4" w:rsidRDefault="002B32A0" w:rsidP="006258ED">
            <w:pPr>
              <w:pStyle w:val="BodyText"/>
            </w:pPr>
          </w:p>
        </w:tc>
        <w:tc>
          <w:tcPr>
            <w:tcW w:w="1985" w:type="dxa"/>
            <w:tcBorders>
              <w:top w:val="nil"/>
              <w:left w:val="nil"/>
              <w:bottom w:val="nil"/>
              <w:right w:val="nil"/>
            </w:tcBorders>
            <w:shd w:val="clear" w:color="auto" w:fill="DEDEDE" w:themeFill="accent3" w:themeFillTint="99"/>
          </w:tcPr>
          <w:p w14:paraId="599516A1" w14:textId="77777777" w:rsidR="002B32A0" w:rsidRDefault="002B32A0" w:rsidP="002B32A0">
            <w:pPr>
              <w:pStyle w:val="Tablelistbullet"/>
              <w:ind w:left="280" w:hanging="280"/>
            </w:pPr>
            <w:r w:rsidDel="00AC6351">
              <w:t xml:space="preserve">The </w:t>
            </w:r>
            <w:r w:rsidRPr="000229EE">
              <w:t>CQC²T</w:t>
            </w:r>
            <w:r>
              <w:t xml:space="preserve"> is a globally leading and </w:t>
            </w:r>
            <w:r w:rsidRPr="00231D4A">
              <w:t xml:space="preserve">highly coordinated effort involving 7 Australian universities and 25 international partner organisations </w:t>
            </w:r>
            <w:r>
              <w:t xml:space="preserve">with a focussed effort </w:t>
            </w:r>
            <w:r w:rsidRPr="00231D4A">
              <w:t xml:space="preserve">to achieve scaling in </w:t>
            </w:r>
            <w:r>
              <w:t xml:space="preserve">silicon and optical </w:t>
            </w:r>
            <w:r w:rsidRPr="00231D4A">
              <w:t xml:space="preserve">quantum computing hardware and the development of scalable error-corrected quantum communications networks. </w:t>
            </w:r>
          </w:p>
          <w:p w14:paraId="47920F2E" w14:textId="77777777" w:rsidR="002B32A0" w:rsidRPr="00B03BA4" w:rsidRDefault="002B32A0" w:rsidP="002B32A0">
            <w:pPr>
              <w:pStyle w:val="Tablelistbullet"/>
              <w:ind w:left="280" w:hanging="280"/>
            </w:pPr>
            <w:r>
              <w:t>CQC</w:t>
            </w:r>
            <w:r w:rsidRPr="00231D4A">
              <w:rPr>
                <w:vertAlign w:val="superscript"/>
              </w:rPr>
              <w:t>2</w:t>
            </w:r>
            <w:r>
              <w:t>T conducts research across 9 quantum computing and communications work programs (described further in section 9.6).</w:t>
            </w:r>
          </w:p>
        </w:tc>
        <w:tc>
          <w:tcPr>
            <w:tcW w:w="142" w:type="dxa"/>
            <w:tcBorders>
              <w:top w:val="nil"/>
              <w:left w:val="nil"/>
              <w:bottom w:val="nil"/>
              <w:right w:val="nil"/>
            </w:tcBorders>
          </w:tcPr>
          <w:p w14:paraId="495D38BE" w14:textId="77777777" w:rsidR="002B32A0" w:rsidRPr="00B03BA4" w:rsidRDefault="002B32A0" w:rsidP="006258ED">
            <w:pPr>
              <w:pStyle w:val="Tabletext"/>
            </w:pPr>
          </w:p>
        </w:tc>
        <w:tc>
          <w:tcPr>
            <w:tcW w:w="2552" w:type="dxa"/>
            <w:tcBorders>
              <w:top w:val="nil"/>
              <w:left w:val="nil"/>
              <w:bottom w:val="nil"/>
              <w:right w:val="nil"/>
            </w:tcBorders>
            <w:shd w:val="clear" w:color="auto" w:fill="DEDEDE" w:themeFill="accent3" w:themeFillTint="99"/>
          </w:tcPr>
          <w:p w14:paraId="1856B37B" w14:textId="77777777" w:rsidR="002B32A0" w:rsidRPr="003301BC" w:rsidRDefault="002B32A0" w:rsidP="006258ED">
            <w:pPr>
              <w:pStyle w:val="Tablelistbullet"/>
              <w:numPr>
                <w:ilvl w:val="0"/>
                <w:numId w:val="0"/>
              </w:numPr>
              <w:ind w:left="280"/>
            </w:pPr>
            <w:r>
              <w:t>Key outputs include</w:t>
            </w:r>
            <w:r w:rsidRPr="003301BC">
              <w:t xml:space="preserve">: </w:t>
            </w:r>
          </w:p>
          <w:p w14:paraId="51304315" w14:textId="77777777" w:rsidR="002B32A0" w:rsidRDefault="002B32A0" w:rsidP="002B32A0">
            <w:pPr>
              <w:pStyle w:val="Tablelistbullet"/>
              <w:ind w:left="280" w:hanging="280"/>
            </w:pPr>
            <w:r w:rsidRPr="006036F8">
              <w:t>Delivery of world’s first integrated circuit</w:t>
            </w:r>
            <w:r>
              <w:t>,</w:t>
            </w:r>
            <w:r w:rsidRPr="006036F8">
              <w:t xml:space="preserve"> </w:t>
            </w:r>
            <w:r>
              <w:t xml:space="preserve">and invented a globally unique technique to </w:t>
            </w:r>
            <w:r w:rsidRPr="006036F8">
              <w:t>manufacture</w:t>
            </w:r>
            <w:r>
              <w:t>,</w:t>
            </w:r>
            <w:r w:rsidRPr="006036F8">
              <w:t xml:space="preserve"> at atomic scale</w:t>
            </w:r>
          </w:p>
          <w:p w14:paraId="438A6ED2" w14:textId="77777777" w:rsidR="002B32A0" w:rsidRDefault="002B32A0" w:rsidP="002B32A0">
            <w:pPr>
              <w:pStyle w:val="Tablelistbullet"/>
              <w:ind w:left="280" w:hanging="280"/>
            </w:pPr>
            <w:r>
              <w:t>W</w:t>
            </w:r>
            <w:r w:rsidRPr="00ED13F8">
              <w:t xml:space="preserve">orld record </w:t>
            </w:r>
            <w:r>
              <w:t xml:space="preserve">coherence times and fidelities in </w:t>
            </w:r>
            <w:r w:rsidRPr="00ED13F8">
              <w:t xml:space="preserve">single electron </w:t>
            </w:r>
            <w:r>
              <w:t xml:space="preserve">and nuclear spin atom qubits in </w:t>
            </w:r>
            <w:r w:rsidRPr="00ED13F8">
              <w:t>silicon</w:t>
            </w:r>
          </w:p>
          <w:p w14:paraId="30CA413C" w14:textId="77777777" w:rsidR="002B32A0" w:rsidRDefault="002B32A0" w:rsidP="002B32A0">
            <w:pPr>
              <w:pStyle w:val="Tablelistbullet"/>
              <w:ind w:left="280" w:hanging="280"/>
            </w:pPr>
            <w:r>
              <w:t>Demonstrated first single and 2 qubit gates in MOS dots</w:t>
            </w:r>
          </w:p>
          <w:p w14:paraId="5A35778F" w14:textId="77777777" w:rsidR="002B32A0" w:rsidRDefault="002B32A0" w:rsidP="002B32A0">
            <w:pPr>
              <w:pStyle w:val="Tablelistbullet"/>
              <w:ind w:left="280" w:hanging="280"/>
            </w:pPr>
            <w:r>
              <w:t>Invented methodologies to realise practical optical quantum computers</w:t>
            </w:r>
          </w:p>
          <w:p w14:paraId="50387DD8" w14:textId="77777777" w:rsidR="002B32A0" w:rsidRDefault="002B32A0" w:rsidP="002B32A0">
            <w:pPr>
              <w:pStyle w:val="Tablelistbullet"/>
              <w:ind w:left="280" w:hanging="280"/>
            </w:pPr>
            <w:r>
              <w:t>Demonstrated world-leading experiments in single photon, hybrid and continuous variable optical processors</w:t>
            </w:r>
          </w:p>
          <w:p w14:paraId="22409998" w14:textId="77777777" w:rsidR="002B32A0" w:rsidRDefault="002B32A0" w:rsidP="002B32A0">
            <w:pPr>
              <w:pStyle w:val="Tablelistbullet"/>
              <w:ind w:left="280" w:hanging="280"/>
            </w:pPr>
            <w:r w:rsidRPr="00704563">
              <w:t xml:space="preserve">Providing world’s most popular </w:t>
            </w:r>
            <w:r>
              <w:t>&amp;</w:t>
            </w:r>
            <w:r w:rsidRPr="00704563">
              <w:t xml:space="preserve"> powerful online random number generator</w:t>
            </w:r>
          </w:p>
          <w:p w14:paraId="235112B2" w14:textId="77777777" w:rsidR="002B32A0" w:rsidRDefault="002B32A0" w:rsidP="002B32A0">
            <w:pPr>
              <w:pStyle w:val="Tablelistbullet"/>
              <w:ind w:left="280" w:hanging="280"/>
            </w:pPr>
            <w:r w:rsidRPr="00704563">
              <w:t>Demonstrat</w:t>
            </w:r>
            <w:r>
              <w:t>ed</w:t>
            </w:r>
            <w:r w:rsidRPr="00704563">
              <w:t xml:space="preserve"> quantum teleportation to avoid loss in communication channels</w:t>
            </w:r>
          </w:p>
          <w:p w14:paraId="7846EC29" w14:textId="77777777" w:rsidR="002B32A0" w:rsidRDefault="002B32A0" w:rsidP="002B32A0">
            <w:pPr>
              <w:pStyle w:val="Tablelistbullet"/>
              <w:ind w:left="280" w:hanging="280"/>
            </w:pPr>
            <w:r w:rsidRPr="00041EEA">
              <w:t>Demonstrated highest fidelity quantum memories</w:t>
            </w:r>
          </w:p>
          <w:p w14:paraId="53DED542" w14:textId="77777777" w:rsidR="002B32A0" w:rsidRDefault="002B32A0" w:rsidP="006258ED">
            <w:pPr>
              <w:pStyle w:val="Tablelistbullet"/>
              <w:numPr>
                <w:ilvl w:val="0"/>
                <w:numId w:val="0"/>
              </w:numPr>
            </w:pPr>
          </w:p>
          <w:p w14:paraId="26A82244" w14:textId="56D174E3" w:rsidR="002B32A0" w:rsidRPr="003301BC" w:rsidRDefault="002B32A0" w:rsidP="006258ED">
            <w:pPr>
              <w:pStyle w:val="BoxListBullet"/>
              <w:ind w:left="252" w:firstLine="0"/>
            </w:pPr>
            <w:r>
              <w:t>See further examples of key outputs in section </w:t>
            </w:r>
            <w:r w:rsidRPr="00F87D0E">
              <w:fldChar w:fldCharType="begin"/>
            </w:r>
            <w:r w:rsidRPr="00F87D0E">
              <w:instrText xml:space="preserve"> REF _Ref131087388 \n \h  \* MERGEFORMAT </w:instrText>
            </w:r>
            <w:r w:rsidRPr="00F87D0E">
              <w:fldChar w:fldCharType="separate"/>
            </w:r>
            <w:r w:rsidR="000B0AC7">
              <w:t>7.7</w:t>
            </w:r>
            <w:r w:rsidRPr="00F87D0E">
              <w:fldChar w:fldCharType="end"/>
            </w:r>
            <w:r>
              <w:t>.</w:t>
            </w:r>
          </w:p>
        </w:tc>
        <w:tc>
          <w:tcPr>
            <w:tcW w:w="142" w:type="dxa"/>
            <w:tcBorders>
              <w:top w:val="nil"/>
              <w:left w:val="nil"/>
              <w:bottom w:val="nil"/>
              <w:right w:val="nil"/>
            </w:tcBorders>
          </w:tcPr>
          <w:p w14:paraId="1B3743A7" w14:textId="77777777" w:rsidR="002B32A0" w:rsidRPr="00B03BA4" w:rsidRDefault="002B32A0" w:rsidP="006258ED">
            <w:pPr>
              <w:pStyle w:val="Tabletext"/>
            </w:pPr>
          </w:p>
        </w:tc>
        <w:tc>
          <w:tcPr>
            <w:tcW w:w="2268" w:type="dxa"/>
            <w:tcBorders>
              <w:top w:val="nil"/>
              <w:left w:val="nil"/>
              <w:bottom w:val="nil"/>
              <w:right w:val="nil"/>
            </w:tcBorders>
            <w:shd w:val="clear" w:color="auto" w:fill="DEDEDE" w:themeFill="accent3" w:themeFillTint="99"/>
          </w:tcPr>
          <w:p w14:paraId="322B12F1" w14:textId="77777777" w:rsidR="002B32A0" w:rsidRDefault="002B32A0" w:rsidP="002B32A0">
            <w:pPr>
              <w:pStyle w:val="Tablelistbullet"/>
              <w:ind w:left="280" w:hanging="280"/>
            </w:pPr>
            <w:r w:rsidRPr="006036F8">
              <w:t>The Centre has published more than 2</w:t>
            </w:r>
            <w:r>
              <w:t>,203</w:t>
            </w:r>
            <w:r w:rsidRPr="006036F8">
              <w:t xml:space="preserve"> papers </w:t>
            </w:r>
            <w:r>
              <w:t xml:space="preserve">since 2000 </w:t>
            </w:r>
            <w:r w:rsidRPr="006036F8">
              <w:t xml:space="preserve">which includes more than 200 in the high impact factor (IF) Science and the Nature suite of journals </w:t>
            </w:r>
          </w:p>
          <w:p w14:paraId="39828703" w14:textId="77777777" w:rsidR="002B32A0" w:rsidRPr="00231D4A" w:rsidRDefault="002B32A0" w:rsidP="002B32A0">
            <w:pPr>
              <w:pStyle w:val="Tablelistbullet"/>
              <w:ind w:left="280" w:hanging="280"/>
            </w:pPr>
            <w:r>
              <w:t>Global leadership in silicon and optical quantum</w:t>
            </w:r>
            <w:r w:rsidRPr="00231D4A">
              <w:t xml:space="preserve"> computing, cyber-security</w:t>
            </w:r>
            <w:r w:rsidRPr="00231D4A" w:rsidDel="007E5CE5">
              <w:t>,</w:t>
            </w:r>
            <w:r w:rsidRPr="00231D4A">
              <w:t xml:space="preserve"> cryptography</w:t>
            </w:r>
            <w:r>
              <w:t xml:space="preserve">, and </w:t>
            </w:r>
            <w:r w:rsidRPr="00231D4A">
              <w:t>quantum information processing</w:t>
            </w:r>
            <w:r>
              <w:t>.</w:t>
            </w:r>
            <w:r w:rsidRPr="00231D4A">
              <w:t xml:space="preserve"> </w:t>
            </w:r>
          </w:p>
          <w:p w14:paraId="5F82414D" w14:textId="77777777" w:rsidR="002B32A0" w:rsidRPr="00231D4A" w:rsidRDefault="002B32A0" w:rsidP="002B32A0">
            <w:pPr>
              <w:pStyle w:val="Tablelistbullet"/>
              <w:ind w:left="280" w:hanging="280"/>
            </w:pPr>
            <w:r w:rsidRPr="00231D4A">
              <w:t>Examples of the private businesses who have invested in the Centre</w:t>
            </w:r>
            <w:r>
              <w:t xml:space="preserve">’s research, and that of its spin out company, Silicon Quantum Computing, </w:t>
            </w:r>
            <w:r w:rsidRPr="00231D4A">
              <w:t xml:space="preserve">include </w:t>
            </w:r>
            <w:r>
              <w:t xml:space="preserve">IBM, </w:t>
            </w:r>
            <w:r w:rsidRPr="00231D4A">
              <w:t>Hewlett Packard, the Semiconductor Research Corporation, the Commonwealth Bank of Australia and Telstra.</w:t>
            </w:r>
          </w:p>
        </w:tc>
        <w:tc>
          <w:tcPr>
            <w:tcW w:w="142" w:type="dxa"/>
            <w:tcBorders>
              <w:top w:val="nil"/>
              <w:left w:val="nil"/>
              <w:bottom w:val="nil"/>
              <w:right w:val="nil"/>
            </w:tcBorders>
          </w:tcPr>
          <w:p w14:paraId="230FFE31" w14:textId="77777777" w:rsidR="002B32A0" w:rsidRPr="00B03BA4" w:rsidRDefault="002B32A0" w:rsidP="006258ED">
            <w:pPr>
              <w:pStyle w:val="Tabletext"/>
            </w:pPr>
          </w:p>
        </w:tc>
        <w:tc>
          <w:tcPr>
            <w:tcW w:w="1377" w:type="dxa"/>
            <w:tcBorders>
              <w:top w:val="nil"/>
              <w:left w:val="nil"/>
              <w:bottom w:val="nil"/>
              <w:right w:val="nil"/>
            </w:tcBorders>
            <w:shd w:val="clear" w:color="auto" w:fill="DEDEDE" w:themeFill="accent3" w:themeFillTint="99"/>
          </w:tcPr>
          <w:p w14:paraId="379761C3" w14:textId="77777777" w:rsidR="002B32A0" w:rsidRDefault="002B32A0" w:rsidP="002B32A0">
            <w:pPr>
              <w:pStyle w:val="Tablelistbullet"/>
              <w:numPr>
                <w:ilvl w:val="0"/>
                <w:numId w:val="64"/>
              </w:numPr>
            </w:pPr>
            <w:r w:rsidRPr="002718E9">
              <w:t>$</w:t>
            </w:r>
            <w:r>
              <w:t>2.2 billion</w:t>
            </w:r>
            <w:r w:rsidRPr="002718E9">
              <w:t xml:space="preserve"> NPV of present and anticipated economic impacts. </w:t>
            </w:r>
          </w:p>
          <w:p w14:paraId="458E4603" w14:textId="77777777" w:rsidR="002B32A0" w:rsidRPr="00B03BA4" w:rsidRDefault="002B32A0" w:rsidP="002B32A0">
            <w:pPr>
              <w:pStyle w:val="Tablelistbullet"/>
              <w:numPr>
                <w:ilvl w:val="0"/>
                <w:numId w:val="64"/>
              </w:numPr>
            </w:pPr>
            <w:r w:rsidRPr="00453B8F">
              <w:t>B</w:t>
            </w:r>
            <w:r w:rsidRPr="00791668">
              <w:t>enefit-cost ratio</w:t>
            </w:r>
            <w:r w:rsidRPr="00453B8F">
              <w:t xml:space="preserve"> of </w:t>
            </w:r>
            <w:r>
              <w:t>4.50</w:t>
            </w:r>
            <w:r w:rsidRPr="00453B8F">
              <w:t>.</w:t>
            </w:r>
          </w:p>
        </w:tc>
      </w:tr>
      <w:tr w:rsidR="002B32A0" w14:paraId="0B2A4FD8" w14:textId="77777777" w:rsidTr="00346479">
        <w:tblPrEx>
          <w:tblBorders>
            <w:top w:val="none" w:sz="0" w:space="0" w:color="auto"/>
            <w:bottom w:val="none" w:sz="0" w:space="0" w:color="auto"/>
          </w:tblBorders>
        </w:tblPrEx>
        <w:trPr>
          <w:trHeight w:val="120"/>
        </w:trPr>
        <w:tc>
          <w:tcPr>
            <w:tcW w:w="10450" w:type="dxa"/>
            <w:gridSpan w:val="9"/>
            <w:tcBorders>
              <w:bottom w:val="single" w:sz="4" w:space="0" w:color="000100"/>
            </w:tcBorders>
            <w:shd w:val="clear" w:color="auto" w:fill="auto"/>
            <w:tcMar>
              <w:top w:w="12" w:type="dxa"/>
              <w:bottom w:w="113" w:type="dxa"/>
            </w:tcMar>
          </w:tcPr>
          <w:p w14:paraId="4ABB3698" w14:textId="77777777" w:rsidR="002B32A0" w:rsidRDefault="002B32A0" w:rsidP="006258ED">
            <w:pPr>
              <w:pStyle w:val="Source"/>
            </w:pPr>
            <w:r>
              <w:t>Source: ACIL Allen 2023</w:t>
            </w:r>
          </w:p>
        </w:tc>
      </w:tr>
      <w:tr w:rsidR="002B32A0" w14:paraId="1F5BCA29" w14:textId="77777777" w:rsidTr="00346479">
        <w:tblPrEx>
          <w:tblBorders>
            <w:top w:val="none" w:sz="0" w:space="0" w:color="auto"/>
            <w:bottom w:val="none" w:sz="0" w:space="0" w:color="auto"/>
          </w:tblBorders>
        </w:tblPrEx>
        <w:trPr>
          <w:trHeight w:hRule="exact" w:val="142"/>
        </w:trPr>
        <w:tc>
          <w:tcPr>
            <w:tcW w:w="10450" w:type="dxa"/>
            <w:gridSpan w:val="9"/>
            <w:tcBorders>
              <w:top w:val="single" w:sz="4" w:space="0" w:color="000100"/>
            </w:tcBorders>
            <w:shd w:val="clear" w:color="auto" w:fill="auto"/>
            <w:tcMar>
              <w:top w:w="0" w:type="dxa"/>
              <w:bottom w:w="40" w:type="dxa"/>
            </w:tcMar>
          </w:tcPr>
          <w:p w14:paraId="7145D726" w14:textId="77777777" w:rsidR="002B32A0" w:rsidRDefault="002B32A0" w:rsidP="006258ED">
            <w:pPr>
              <w:pStyle w:val="spacer"/>
            </w:pPr>
          </w:p>
        </w:tc>
      </w:tr>
    </w:tbl>
    <w:p w14:paraId="1F675C64" w14:textId="77777777" w:rsidR="002B32A0" w:rsidRDefault="002B32A0" w:rsidP="008C56B9">
      <w:pPr>
        <w:pStyle w:val="Heading2"/>
      </w:pPr>
      <w:bookmarkStart w:id="241" w:name="_Toc131174635"/>
      <w:bookmarkStart w:id="242" w:name="_Toc132970666"/>
      <w:bookmarkStart w:id="243" w:name="_Toc135323705"/>
      <w:r w:rsidRPr="00094217">
        <w:t>Background</w:t>
      </w:r>
      <w:bookmarkEnd w:id="241"/>
      <w:bookmarkEnd w:id="242"/>
      <w:bookmarkEnd w:id="243"/>
    </w:p>
    <w:p w14:paraId="5B502578" w14:textId="77777777" w:rsidR="002B32A0" w:rsidRDefault="002B32A0" w:rsidP="002B32A0">
      <w:pPr>
        <w:pStyle w:val="BodyText"/>
      </w:pPr>
      <w:r>
        <w:t>This case study relates to projects funded under the following ARC schemes:</w:t>
      </w:r>
    </w:p>
    <w:p w14:paraId="2CBA4ED4" w14:textId="77777777" w:rsidR="002B32A0" w:rsidRDefault="002B32A0" w:rsidP="008C56B9">
      <w:pPr>
        <w:pStyle w:val="ListBullet"/>
      </w:pPr>
      <w:r>
        <w:t xml:space="preserve">Discovery Program: </w:t>
      </w:r>
      <w:r w:rsidRPr="00DD5811">
        <w:t>Australian Laureate Fellowships</w:t>
      </w:r>
      <w:r>
        <w:t>.</w:t>
      </w:r>
    </w:p>
    <w:p w14:paraId="026ED384" w14:textId="77777777" w:rsidR="002B32A0" w:rsidRDefault="002B32A0" w:rsidP="008C56B9">
      <w:pPr>
        <w:pStyle w:val="ListBullet"/>
      </w:pPr>
      <w:r>
        <w:t xml:space="preserve">Linkage Program: </w:t>
      </w:r>
      <w:r w:rsidRPr="00DD5811">
        <w:t>ARC Centres of Excellence and Linkage Infrastructure, Equipment and Facilities</w:t>
      </w:r>
      <w:r>
        <w:t>.</w:t>
      </w:r>
    </w:p>
    <w:p w14:paraId="70B520C7" w14:textId="77777777" w:rsidR="002B32A0" w:rsidRDefault="002B32A0" w:rsidP="008C56B9">
      <w:pPr>
        <w:pStyle w:val="Heading3"/>
      </w:pPr>
      <w:r>
        <w:lastRenderedPageBreak/>
        <w:t>The project</w:t>
      </w:r>
    </w:p>
    <w:p w14:paraId="6FB76A7A" w14:textId="1571CEE7" w:rsidR="002B32A0" w:rsidRDefault="002B32A0" w:rsidP="002B32A0">
      <w:pPr>
        <w:pStyle w:val="BodyText"/>
      </w:pPr>
      <w:r w:rsidRPr="00217AB6">
        <w:t xml:space="preserve">Quantum technologies </w:t>
      </w:r>
      <w:r w:rsidRPr="00A5740B">
        <w:t xml:space="preserve">work by </w:t>
      </w:r>
      <w:r>
        <w:t xml:space="preserve">controlling and manipulating the world at its very smallest length-scales </w:t>
      </w:r>
      <w:r w:rsidRPr="00A5740B">
        <w:t>using the principles of quantum mechanics</w:t>
      </w:r>
      <w:r>
        <w:t xml:space="preserve">. This includes understanding and controlling </w:t>
      </w:r>
      <w:r w:rsidRPr="00A5740B">
        <w:t xml:space="preserve">the physics of </w:t>
      </w:r>
      <w:r>
        <w:t>single atomic particles, including single electron spins, single nuclear spins, and single photons of light. Over the past 50 years, the applications of quantum physics have</w:t>
      </w:r>
      <w:r w:rsidRPr="00A40F48">
        <w:t xml:space="preserve"> </w:t>
      </w:r>
      <w:r>
        <w:t xml:space="preserve">enabled </w:t>
      </w:r>
      <w:r w:rsidRPr="00A40F48">
        <w:t>the development of transistor and semiconductor technologies</w:t>
      </w:r>
      <w:r>
        <w:t xml:space="preserve">. These technologies have </w:t>
      </w:r>
      <w:r w:rsidRPr="00A40F48">
        <w:t>enabled the digital electronics revolution of the 20</w:t>
      </w:r>
      <w:r w:rsidRPr="000B6169">
        <w:t>th</w:t>
      </w:r>
      <w:r w:rsidRPr="00A40F48">
        <w:t xml:space="preserve"> century</w:t>
      </w:r>
      <w:r>
        <w:t xml:space="preserve"> allowing us the internet, sending man to the moon and to communicate across the globe. It has also included</w:t>
      </w:r>
      <w:r w:rsidRPr="00A40F48">
        <w:t xml:space="preserve"> laser technologies that </w:t>
      </w:r>
      <w:r>
        <w:t>underpin</w:t>
      </w:r>
      <w:r w:rsidRPr="00A40F48">
        <w:t xml:space="preserve"> medical imaging technologies, </w:t>
      </w:r>
      <w:r>
        <w:t>bar code scanning and optical communication systems. A second wave of quantum technological revolution is based on the ability to engineer and control quantum states for ultra-fast quantum computing, secure quantum communications technology and quantum sensing.</w:t>
      </w:r>
      <w:r w:rsidRPr="00231D4A">
        <w:rPr>
          <w:vertAlign w:val="superscript"/>
        </w:rPr>
        <w:footnoteReference w:id="86"/>
      </w:r>
      <w:r>
        <w:t xml:space="preserve"> Quantum technologies can potentially bring significant benefits to numerous industries and areas of the economy (see examples provided in </w:t>
      </w:r>
      <w:r w:rsidRPr="00F87D0E">
        <w:fldChar w:fldCharType="begin"/>
      </w:r>
      <w:r w:rsidRPr="00F87D0E">
        <w:instrText xml:space="preserve"> REF _Ref131087453 \h  \* MERGEFORMAT </w:instrText>
      </w:r>
      <w:r w:rsidRPr="00F87D0E">
        <w:fldChar w:fldCharType="separate"/>
      </w:r>
      <w:r w:rsidR="000B0AC7" w:rsidRPr="000B0AC7">
        <w:t>Box 7.1</w:t>
      </w:r>
      <w:r w:rsidRPr="00F87D0E">
        <w:fldChar w:fldCharType="end"/>
      </w:r>
      <w:r>
        <w:t>).</w:t>
      </w:r>
    </w:p>
    <w:p w14:paraId="5F8A4F64" w14:textId="23A3370D" w:rsidR="000B0AC7" w:rsidRDefault="000B0AC7" w:rsidP="006258ED">
      <w:pPr>
        <w:pStyle w:val="Caption"/>
      </w:pPr>
      <w:bookmarkStart w:id="244" w:name="_Ref131087453"/>
      <w:r w:rsidRPr="006D4B86">
        <w:rPr>
          <w:rStyle w:val="CaptionLabel"/>
        </w:rPr>
        <w:t>Box </w:t>
      </w:r>
      <w:r w:rsidRPr="006D4B86">
        <w:rPr>
          <w:rStyle w:val="CaptionLabel"/>
        </w:rPr>
        <w:fldChar w:fldCharType="begin"/>
      </w:r>
      <w:r w:rsidRPr="006D4B86">
        <w:rPr>
          <w:rStyle w:val="CaptionLabel"/>
        </w:rPr>
        <w:instrText xml:space="preserve"> STYLEREF 1 \S \* MERGEFORMAT </w:instrText>
      </w:r>
      <w:r w:rsidRPr="006D4B86">
        <w:rPr>
          <w:rStyle w:val="CaptionLabel"/>
        </w:rPr>
        <w:fldChar w:fldCharType="separate"/>
      </w:r>
      <w:r>
        <w:rPr>
          <w:rStyle w:val="CaptionLabel"/>
          <w:noProof/>
        </w:rPr>
        <w:t>7</w:t>
      </w:r>
      <w:r w:rsidRPr="006D4B86">
        <w:rPr>
          <w:rStyle w:val="CaptionLabel"/>
        </w:rPr>
        <w:fldChar w:fldCharType="end"/>
      </w:r>
      <w:r w:rsidRPr="006D4B86">
        <w:rPr>
          <w:rStyle w:val="CaptionLabel"/>
        </w:rPr>
        <w:t>.</w:t>
      </w:r>
      <w:r w:rsidRPr="006D4B86">
        <w:rPr>
          <w:rStyle w:val="CaptionLabel"/>
        </w:rPr>
        <w:fldChar w:fldCharType="begin"/>
      </w:r>
      <w:r w:rsidRPr="006D4B86">
        <w:rPr>
          <w:rStyle w:val="CaptionLabel"/>
        </w:rPr>
        <w:instrText xml:space="preserve"> SEQ Box \* ARABIC \S 1 \* MERGEFORMAT </w:instrText>
      </w:r>
      <w:r w:rsidRPr="006D4B86">
        <w:rPr>
          <w:rStyle w:val="CaptionLabel"/>
        </w:rPr>
        <w:fldChar w:fldCharType="separate"/>
      </w:r>
      <w:r>
        <w:rPr>
          <w:rStyle w:val="CaptionLabel"/>
          <w:noProof/>
        </w:rPr>
        <w:t>1</w:t>
      </w:r>
      <w:r w:rsidRPr="006D4B86">
        <w:rPr>
          <w:rStyle w:val="CaptionLabel"/>
        </w:rPr>
        <w:fldChar w:fldCharType="end"/>
      </w:r>
      <w:bookmarkEnd w:id="244"/>
      <w:r>
        <w:tab/>
        <w:t>Potential applications of quantum computing technology</w:t>
      </w:r>
    </w:p>
    <w:tbl>
      <w:tblPr>
        <w:tblStyle w:val="aacTableBox"/>
        <w:tblW w:w="5000" w:type="pct"/>
        <w:tblLook w:val="04A0" w:firstRow="1" w:lastRow="0" w:firstColumn="1" w:lastColumn="0" w:noHBand="0" w:noVBand="1"/>
        <w:tblCaption w:val="Box 7.1"/>
        <w:tblDescription w:val="Potential applications of quantum computing technology"/>
      </w:tblPr>
      <w:tblGrid>
        <w:gridCol w:w="7936"/>
      </w:tblGrid>
      <w:tr w:rsidR="002B32A0" w14:paraId="3830BEB7" w14:textId="77777777" w:rsidTr="000B0AC7">
        <w:tc>
          <w:tcPr>
            <w:tcW w:w="5000" w:type="pct"/>
          </w:tcPr>
          <w:p w14:paraId="74B77094" w14:textId="77777777" w:rsidR="002B32A0" w:rsidRDefault="002B32A0" w:rsidP="006258ED">
            <w:pPr>
              <w:pStyle w:val="BoxText"/>
            </w:pPr>
            <w:r>
              <w:t>Quantum computing has the potential to bring about significant benefits in a wide range of fields, including:</w:t>
            </w:r>
          </w:p>
          <w:p w14:paraId="3C66C53E" w14:textId="77777777" w:rsidR="002B32A0" w:rsidRDefault="002B32A0" w:rsidP="002B32A0">
            <w:pPr>
              <w:pStyle w:val="BoxListBullet"/>
            </w:pPr>
            <w:r w:rsidRPr="001F3FF8">
              <w:rPr>
                <w:b/>
                <w:bCs/>
              </w:rPr>
              <w:t>Materials science</w:t>
            </w:r>
            <w:r>
              <w:t>: by optimising and discovering new materials, such as more efficient solar cells and better battery technology.</w:t>
            </w:r>
          </w:p>
          <w:p w14:paraId="4DA9AF84" w14:textId="77777777" w:rsidR="002B32A0" w:rsidRDefault="002B32A0" w:rsidP="002B32A0">
            <w:pPr>
              <w:pStyle w:val="BoxListBullet"/>
            </w:pPr>
            <w:r w:rsidRPr="001F3FF8">
              <w:rPr>
                <w:b/>
                <w:bCs/>
              </w:rPr>
              <w:t>Drug discovery</w:t>
            </w:r>
            <w:r w:rsidRPr="002D2BF7">
              <w:t>:</w:t>
            </w:r>
            <w:r>
              <w:t xml:space="preserve"> by expediting the discovery and development of new drugs by simulating complex molecular interactions.</w:t>
            </w:r>
          </w:p>
          <w:p w14:paraId="01BF4C8C" w14:textId="77777777" w:rsidR="002B32A0" w:rsidRDefault="002B32A0" w:rsidP="002B32A0">
            <w:pPr>
              <w:pStyle w:val="BoxListBullet"/>
            </w:pPr>
            <w:r w:rsidRPr="001F3FF8">
              <w:rPr>
                <w:b/>
                <w:bCs/>
              </w:rPr>
              <w:t>Financial modelling:</w:t>
            </w:r>
            <w:r>
              <w:t xml:space="preserve"> by helping financial organisations to better model and understand complex financial systems and make financial predictions more accurate.</w:t>
            </w:r>
          </w:p>
          <w:p w14:paraId="22E8586C" w14:textId="77777777" w:rsidR="002B32A0" w:rsidRDefault="002B32A0" w:rsidP="002B32A0">
            <w:pPr>
              <w:pStyle w:val="BoxListBullet"/>
            </w:pPr>
            <w:r w:rsidRPr="001F3FF8">
              <w:rPr>
                <w:b/>
                <w:bCs/>
              </w:rPr>
              <w:t>Supply chain optimisation:</w:t>
            </w:r>
            <w:r>
              <w:t xml:space="preserve"> by helping to optimise supply chain networks, reducing waste, and increasing efficiency in areas such as transportation and logistics.</w:t>
            </w:r>
          </w:p>
          <w:p w14:paraId="4694FE9A" w14:textId="77777777" w:rsidR="002B32A0" w:rsidRDefault="002B32A0" w:rsidP="002B32A0">
            <w:pPr>
              <w:pStyle w:val="BoxListBullet"/>
            </w:pPr>
            <w:r w:rsidRPr="005738BB">
              <w:rPr>
                <w:b/>
                <w:bCs/>
              </w:rPr>
              <w:t>Environment and sustainability:</w:t>
            </w:r>
            <w:r>
              <w:t xml:space="preserve"> by addressing some of the biggest challenges posed by climate change, such as improving our understanding of weather patterns and developing more efficient clean energy technologies.</w:t>
            </w:r>
          </w:p>
          <w:p w14:paraId="5CF842D8" w14:textId="77777777" w:rsidR="002B32A0" w:rsidRDefault="002B32A0" w:rsidP="002B32A0">
            <w:pPr>
              <w:pStyle w:val="BoxListBullet"/>
            </w:pPr>
            <w:r w:rsidRPr="005738BB">
              <w:rPr>
                <w:b/>
                <w:bCs/>
              </w:rPr>
              <w:t>Artificial Intelligence</w:t>
            </w:r>
            <w:r>
              <w:t>: by significantly enhancing the performance and capabilities of artificial intelligence systems, enabling the development of more advanced and intelligent systems.</w:t>
            </w:r>
          </w:p>
          <w:p w14:paraId="3B293DB3" w14:textId="77777777" w:rsidR="002B32A0" w:rsidRDefault="002B32A0" w:rsidP="002B32A0">
            <w:pPr>
              <w:pStyle w:val="BoxListBullet"/>
            </w:pPr>
            <w:r w:rsidRPr="005738BB">
              <w:rPr>
                <w:b/>
                <w:bCs/>
              </w:rPr>
              <w:t>Cryptography</w:t>
            </w:r>
            <w:r w:rsidRPr="002D2BF7">
              <w:t>:</w:t>
            </w:r>
            <w:r>
              <w:t xml:space="preserve"> by improving the security of sensitive data.</w:t>
            </w:r>
          </w:p>
        </w:tc>
      </w:tr>
    </w:tbl>
    <w:p w14:paraId="5C38B5C3" w14:textId="77777777" w:rsidR="000B0AC7" w:rsidRDefault="000B0AC7" w:rsidP="006258ED">
      <w:pPr>
        <w:pStyle w:val="Source"/>
      </w:pPr>
      <w:r>
        <w:t>Source: EY (</w:t>
      </w:r>
      <w:hyperlink r:id="rId152" w:history="1">
        <w:r w:rsidRPr="00B925BE">
          <w:rPr>
            <w:rStyle w:val="Hyperlink"/>
          </w:rPr>
          <w:t>https://www.ey.com/en_se/innovation/could-quantum-computing-be-the-technology-that-drives-your-quantum-leap-forward</w:t>
        </w:r>
      </w:hyperlink>
      <w:r>
        <w:t>) and Noetic (</w:t>
      </w:r>
      <w:hyperlink r:id="rId153" w:history="1">
        <w:r w:rsidRPr="00B925BE">
          <w:rPr>
            <w:rStyle w:val="Hyperlink"/>
          </w:rPr>
          <w:t>https://www.dst.defence.gov.au/sites/default/files/events/documents/Quantum%20Computing%20Insights%20Paper.pdf</w:t>
        </w:r>
      </w:hyperlink>
      <w:r>
        <w:t xml:space="preserve">) </w:t>
      </w:r>
    </w:p>
    <w:p w14:paraId="49140A48" w14:textId="77777777" w:rsidR="002B32A0" w:rsidRDefault="002B32A0" w:rsidP="002B32A0">
      <w:pPr>
        <w:pStyle w:val="BodyText"/>
      </w:pPr>
      <w:r w:rsidRPr="0067509A">
        <w:t xml:space="preserve">Australia is a global </w:t>
      </w:r>
      <w:r>
        <w:t xml:space="preserve">leader in the </w:t>
      </w:r>
      <w:r w:rsidRPr="0067509A">
        <w:t xml:space="preserve">quantum technology sector, with world-class expertise and research capabilities developed over </w:t>
      </w:r>
      <w:r>
        <w:t>2</w:t>
      </w:r>
      <w:r w:rsidRPr="0067509A">
        <w:t xml:space="preserve"> decades of sustained investment in academic research. This long</w:t>
      </w:r>
      <w:r>
        <w:t>-</w:t>
      </w:r>
      <w:r w:rsidRPr="0067509A">
        <w:t xml:space="preserve">term investment in foundational research </w:t>
      </w:r>
      <w:r>
        <w:t>enables</w:t>
      </w:r>
      <w:r w:rsidRPr="0067509A">
        <w:t xml:space="preserve"> the growth of exciting new start-ups and ventures. These emerging quantum businesses are developing and commercialising diverse offerings including quantum computing </w:t>
      </w:r>
      <w:r>
        <w:t>hardware</w:t>
      </w:r>
      <w:r w:rsidRPr="0067509A">
        <w:t>,</w:t>
      </w:r>
      <w:r>
        <w:t xml:space="preserve"> quantum simulators, </w:t>
      </w:r>
      <w:r w:rsidRPr="0067509A">
        <w:t xml:space="preserve">quantum enhanced cybersecurity solutions, precision timing solutions, </w:t>
      </w:r>
      <w:r>
        <w:t xml:space="preserve">quantum </w:t>
      </w:r>
      <w:r>
        <w:lastRenderedPageBreak/>
        <w:t xml:space="preserve">sensing and other </w:t>
      </w:r>
      <w:r w:rsidRPr="0067509A">
        <w:t>enabling technologies that support quantum technology development and more.</w:t>
      </w:r>
      <w:r>
        <w:rPr>
          <w:rStyle w:val="FootnoteReference"/>
        </w:rPr>
        <w:footnoteReference w:id="87"/>
      </w:r>
      <w:r>
        <w:t xml:space="preserve"> </w:t>
      </w:r>
    </w:p>
    <w:p w14:paraId="20DB45EC" w14:textId="77777777" w:rsidR="002B32A0" w:rsidRDefault="002B32A0" w:rsidP="002B32A0">
      <w:r w:rsidRPr="00E93AA2">
        <w:t xml:space="preserve">The CQC²T is a hugely ambitious undertaking </w:t>
      </w:r>
      <w:r>
        <w:t>that</w:t>
      </w:r>
      <w:r w:rsidRPr="00E93AA2">
        <w:t xml:space="preserve"> continues to put Australia at the forefront of quantum physics globally.</w:t>
      </w:r>
      <w:r w:rsidRPr="00231D4A">
        <w:t xml:space="preserve"> </w:t>
      </w:r>
      <w:r>
        <w:t xml:space="preserve">At its core, the </w:t>
      </w:r>
      <w:r w:rsidRPr="00E93AA2">
        <w:t xml:space="preserve">CQC²T </w:t>
      </w:r>
      <w:r>
        <w:t>focuses on the experimental demonstration of the fundamental building blocks of a silicon-based solid-state quantum processor and an optical quantum processor, including the convergence of these 2 technologies using a quantum repeater for both secure communications and distributed quantum computation.</w:t>
      </w:r>
      <w:r w:rsidRPr="003301BC">
        <w:t xml:space="preserve"> </w:t>
      </w:r>
    </w:p>
    <w:p w14:paraId="17163971" w14:textId="77777777" w:rsidR="002B32A0" w:rsidRDefault="002B32A0" w:rsidP="002B32A0">
      <w:r>
        <w:t xml:space="preserve">The </w:t>
      </w:r>
      <w:r w:rsidRPr="00E93AA2">
        <w:t xml:space="preserve">CQC²T involves </w:t>
      </w:r>
      <w:r>
        <w:t>~</w:t>
      </w:r>
      <w:r w:rsidRPr="004274BD">
        <w:t>250 staff and students from</w:t>
      </w:r>
      <w:r w:rsidRPr="00E93AA2">
        <w:t xml:space="preserve"> 7 Australian universities, organised across 9 integrated work packages. </w:t>
      </w:r>
      <w:r>
        <w:t>All programs are supported by world-leading theorists who comprehensively describe solid-state and optical devices, including atomistic device design, computer architectures and circuits, quantum control, quantum metrology, quantum communications protocols and networks.</w:t>
      </w:r>
      <w:r w:rsidRPr="00E93AA2">
        <w:t xml:space="preserve"> The CQC²T has given these researchers a shared mission at an important inter</w:t>
      </w:r>
      <w:r>
        <w:t>section </w:t>
      </w:r>
      <w:r w:rsidRPr="00E93AA2">
        <w:t xml:space="preserve">between fundamental discovery and technological development. </w:t>
      </w:r>
      <w:r>
        <w:t>Since 2000 the</w:t>
      </w:r>
      <w:r w:rsidRPr="00E93AA2">
        <w:t xml:space="preserve"> Centre has published more than </w:t>
      </w:r>
      <w:r>
        <w:t xml:space="preserve">2,203 papers, produced over100 granted patents (with an additional 50 patents pending or at the </w:t>
      </w:r>
      <w:r w:rsidRPr="003B62CB">
        <w:t>Patent Cooperation Treaty</w:t>
      </w:r>
      <w:r>
        <w:t xml:space="preserve"> (PCT) phase) and employed approximately 950 people graduating 569 students in quantum science and engineering. In the past 12 years alone, the Centre has published 200 papers in the most prestigious peer reviewed publications, the Nature and Science suite of journals. As one of the major contributors to global university rankings, this exceptional record of publishing more than one article a month in these journals for over 12 years</w:t>
      </w:r>
      <w:r w:rsidRPr="00E93AA2">
        <w:t xml:space="preserve"> places CQC</w:t>
      </w:r>
      <w:r w:rsidRPr="00E93AA2">
        <w:rPr>
          <w:vertAlign w:val="superscript"/>
        </w:rPr>
        <w:t>2</w:t>
      </w:r>
      <w:r w:rsidRPr="00E93AA2">
        <w:t>T in the elite group of quantum information researchers internationally.</w:t>
      </w:r>
      <w:r>
        <w:t xml:space="preserve"> Indeed, this exceptional track record of achievement would not be matched by any other quantum information research Centre globally. </w:t>
      </w:r>
    </w:p>
    <w:p w14:paraId="4AA65B33" w14:textId="3D2313DE" w:rsidR="002B32A0" w:rsidRDefault="002B32A0" w:rsidP="002B32A0">
      <w:r w:rsidRPr="00F87D0E">
        <w:fldChar w:fldCharType="begin"/>
      </w:r>
      <w:r w:rsidRPr="00F87D0E">
        <w:instrText xml:space="preserve"> REF _Ref131087466 \h  \* MERGEFORMAT </w:instrText>
      </w:r>
      <w:r w:rsidRPr="00F87D0E">
        <w:fldChar w:fldCharType="separate"/>
      </w:r>
      <w:r w:rsidR="000B0AC7" w:rsidRPr="000B0AC7">
        <w:t>Box 7.2</w:t>
      </w:r>
      <w:r w:rsidRPr="00F87D0E">
        <w:fldChar w:fldCharType="end"/>
      </w:r>
      <w:r>
        <w:t xml:space="preserve"> summarises just some of the CQC</w:t>
      </w:r>
      <w:r w:rsidRPr="006D4B86">
        <w:rPr>
          <w:vertAlign w:val="superscript"/>
        </w:rPr>
        <w:t>2</w:t>
      </w:r>
      <w:r>
        <w:t xml:space="preserve">T’s key results to date, to provide a high-level overview of some of the Centre’s breakthroughs in quantum computing and communications. </w:t>
      </w:r>
    </w:p>
    <w:p w14:paraId="276D4F7B" w14:textId="47AB78C8" w:rsidR="000B0AC7" w:rsidRDefault="000B0AC7" w:rsidP="006258ED">
      <w:pPr>
        <w:pStyle w:val="Caption"/>
      </w:pPr>
      <w:bookmarkStart w:id="245" w:name="_Ref131087466"/>
      <w:r w:rsidRPr="002A4EB1">
        <w:rPr>
          <w:rStyle w:val="CaptionLabel"/>
        </w:rPr>
        <w:lastRenderedPageBreak/>
        <w:t>Box </w:t>
      </w:r>
      <w:r w:rsidRPr="002A4EB1">
        <w:rPr>
          <w:rStyle w:val="CaptionLabel"/>
        </w:rPr>
        <w:fldChar w:fldCharType="begin"/>
      </w:r>
      <w:r w:rsidRPr="002A4EB1">
        <w:rPr>
          <w:rStyle w:val="CaptionLabel"/>
        </w:rPr>
        <w:instrText xml:space="preserve"> STYLEREF 1 \S \* MERGEFORMAT </w:instrText>
      </w:r>
      <w:r w:rsidRPr="002A4EB1">
        <w:rPr>
          <w:rStyle w:val="CaptionLabel"/>
        </w:rPr>
        <w:fldChar w:fldCharType="separate"/>
      </w:r>
      <w:r>
        <w:rPr>
          <w:rStyle w:val="CaptionLabel"/>
          <w:noProof/>
        </w:rPr>
        <w:t>7</w:t>
      </w:r>
      <w:r w:rsidRPr="002A4EB1">
        <w:rPr>
          <w:rStyle w:val="CaptionLabel"/>
        </w:rPr>
        <w:fldChar w:fldCharType="end"/>
      </w:r>
      <w:r w:rsidRPr="002A4EB1">
        <w:rPr>
          <w:rStyle w:val="CaptionLabel"/>
        </w:rPr>
        <w:t>.</w:t>
      </w:r>
      <w:r w:rsidRPr="002A4EB1">
        <w:rPr>
          <w:rStyle w:val="CaptionLabel"/>
        </w:rPr>
        <w:fldChar w:fldCharType="begin"/>
      </w:r>
      <w:r w:rsidRPr="002A4EB1">
        <w:rPr>
          <w:rStyle w:val="CaptionLabel"/>
        </w:rPr>
        <w:instrText xml:space="preserve"> SEQ Box \* ARABIC \S 1 \* MERGEFORMAT </w:instrText>
      </w:r>
      <w:r w:rsidRPr="002A4EB1">
        <w:rPr>
          <w:rStyle w:val="CaptionLabel"/>
        </w:rPr>
        <w:fldChar w:fldCharType="separate"/>
      </w:r>
      <w:r>
        <w:rPr>
          <w:rStyle w:val="CaptionLabel"/>
          <w:noProof/>
        </w:rPr>
        <w:t>2</w:t>
      </w:r>
      <w:r w:rsidRPr="002A4EB1">
        <w:rPr>
          <w:rStyle w:val="CaptionLabel"/>
        </w:rPr>
        <w:fldChar w:fldCharType="end"/>
      </w:r>
      <w:bookmarkEnd w:id="245"/>
      <w:r>
        <w:tab/>
        <w:t>Key results to date</w:t>
      </w:r>
    </w:p>
    <w:tbl>
      <w:tblPr>
        <w:tblStyle w:val="aacTableBox"/>
        <w:tblW w:w="0" w:type="auto"/>
        <w:tblLayout w:type="fixed"/>
        <w:tblLook w:val="04A0" w:firstRow="1" w:lastRow="0" w:firstColumn="1" w:lastColumn="0" w:noHBand="0" w:noVBand="1"/>
        <w:tblCaption w:val="Box 7.2"/>
        <w:tblDescription w:val="Key results to date"/>
      </w:tblPr>
      <w:tblGrid>
        <w:gridCol w:w="7936"/>
      </w:tblGrid>
      <w:tr w:rsidR="002B32A0" w14:paraId="7C8A7C66" w14:textId="77777777" w:rsidTr="000B0AC7">
        <w:tc>
          <w:tcPr>
            <w:tcW w:w="7936" w:type="dxa"/>
          </w:tcPr>
          <w:p w14:paraId="59AEC352" w14:textId="77777777" w:rsidR="002B32A0" w:rsidRDefault="002B32A0" w:rsidP="006258ED">
            <w:pPr>
              <w:pStyle w:val="BoxText"/>
            </w:pPr>
            <w:r>
              <w:t>The Centre has demonstrated the following key outcomes:</w:t>
            </w:r>
          </w:p>
          <w:p w14:paraId="20880DBD" w14:textId="77777777" w:rsidR="002B32A0" w:rsidRDefault="002B32A0" w:rsidP="002B32A0">
            <w:pPr>
              <w:pStyle w:val="BoxListBullet"/>
            </w:pPr>
            <w:r>
              <w:t>Invented and pioneered manufacturing at the atomic-scale in silicon</w:t>
            </w:r>
          </w:p>
          <w:p w14:paraId="1E83C32F" w14:textId="77777777" w:rsidR="002B32A0" w:rsidRDefault="002B32A0" w:rsidP="002B32A0">
            <w:pPr>
              <w:pStyle w:val="BoxListBullet"/>
            </w:pPr>
            <w:r>
              <w:t>Developed the world’s smallest single atom transistor</w:t>
            </w:r>
          </w:p>
          <w:p w14:paraId="3FE3AC67" w14:textId="77777777" w:rsidR="002B32A0" w:rsidRDefault="002B32A0" w:rsidP="002B32A0">
            <w:pPr>
              <w:pStyle w:val="BoxListBullet"/>
            </w:pPr>
            <w:r>
              <w:t xml:space="preserve">Was the first to demonstrate both a single electron spin and a single nuclear spin qubit in silicon </w:t>
            </w:r>
          </w:p>
          <w:p w14:paraId="1C59CC74" w14:textId="77777777" w:rsidR="002B32A0" w:rsidRDefault="002B32A0" w:rsidP="002B32A0">
            <w:pPr>
              <w:pStyle w:val="BoxListBullet"/>
            </w:pPr>
            <w:r>
              <w:t>Demonstrated that atom qubits hold the world record for the highest quality qubits in silicon</w:t>
            </w:r>
          </w:p>
          <w:p w14:paraId="3C053A3C" w14:textId="77777777" w:rsidR="002B32A0" w:rsidRDefault="002B32A0" w:rsidP="002B32A0">
            <w:pPr>
              <w:pStyle w:val="BoxListBullet"/>
            </w:pPr>
            <w:r>
              <w:t>Developed the world’s first integrated circuit at the atomic scale</w:t>
            </w:r>
          </w:p>
          <w:p w14:paraId="2F97DD33" w14:textId="77777777" w:rsidR="002B32A0" w:rsidRDefault="002B32A0" w:rsidP="002B32A0">
            <w:pPr>
              <w:pStyle w:val="BoxListBullet"/>
            </w:pPr>
            <w:r>
              <w:t>Developed and patented architectures to realise large scale, fault tolerant quantum computers</w:t>
            </w:r>
          </w:p>
          <w:p w14:paraId="700DB95A" w14:textId="77777777" w:rsidR="002B32A0" w:rsidRDefault="002B32A0" w:rsidP="002B32A0">
            <w:pPr>
              <w:pStyle w:val="BoxListBullet"/>
            </w:pPr>
            <w:r>
              <w:t>First to demonstrate single qubit and 2 electron spin qubit gates in metal-oxide-semiconductor quantum dots</w:t>
            </w:r>
          </w:p>
          <w:p w14:paraId="598CAB01" w14:textId="77777777" w:rsidR="002B32A0" w:rsidRDefault="002B32A0" w:rsidP="002B32A0">
            <w:pPr>
              <w:pStyle w:val="BoxListBullet"/>
            </w:pPr>
            <w:r>
              <w:t xml:space="preserve">Invented and pioneered an efficient scheme to realise quantum computation with linear optics </w:t>
            </w:r>
          </w:p>
          <w:p w14:paraId="04892234" w14:textId="77777777" w:rsidR="002B32A0" w:rsidRDefault="002B32A0" w:rsidP="002B32A0">
            <w:pPr>
              <w:pStyle w:val="BoxListBullet"/>
            </w:pPr>
            <w:r>
              <w:t>Demonstrated small-scale quantum algorithms in optical quantum processors</w:t>
            </w:r>
          </w:p>
          <w:p w14:paraId="1BF1DA64" w14:textId="77777777" w:rsidR="002B32A0" w:rsidRDefault="002B32A0" w:rsidP="002B32A0">
            <w:pPr>
              <w:pStyle w:val="BoxListBullet"/>
            </w:pPr>
            <w:r>
              <w:t>Pioneered novel continuous variable and hybrid protocols for large-scale optical quantum computing</w:t>
            </w:r>
          </w:p>
          <w:p w14:paraId="2853FC55" w14:textId="77777777" w:rsidR="002B32A0" w:rsidRDefault="002B32A0" w:rsidP="002B32A0">
            <w:pPr>
              <w:pStyle w:val="BoxListBullet"/>
            </w:pPr>
            <w:r>
              <w:t>Demonstrated longest quantum memories at telecom wavelength for long distance quantum communication</w:t>
            </w:r>
          </w:p>
          <w:p w14:paraId="3903FFBA" w14:textId="77777777" w:rsidR="002B32A0" w:rsidRDefault="002B32A0" w:rsidP="002B32A0">
            <w:pPr>
              <w:pStyle w:val="BoxListBullet"/>
            </w:pPr>
            <w:r>
              <w:t xml:space="preserve">Demonstrated highest fidelity quantum memories </w:t>
            </w:r>
          </w:p>
          <w:p w14:paraId="69765AE9" w14:textId="77777777" w:rsidR="002B32A0" w:rsidRDefault="002B32A0" w:rsidP="002B32A0">
            <w:pPr>
              <w:pStyle w:val="BoxListBullet"/>
            </w:pPr>
            <w:r>
              <w:t>Demonstrated chip entanglement, amplification and qualification for space-based quantum repeater link</w:t>
            </w:r>
          </w:p>
        </w:tc>
      </w:tr>
    </w:tbl>
    <w:p w14:paraId="2BED96EE" w14:textId="77777777" w:rsidR="000B0AC7" w:rsidRDefault="000B0AC7" w:rsidP="006258ED">
      <w:pPr>
        <w:pStyle w:val="Source"/>
      </w:pPr>
      <w:r>
        <w:t>Source: ACIL Allen and CQC²T</w:t>
      </w:r>
    </w:p>
    <w:p w14:paraId="6E360BE9" w14:textId="77777777" w:rsidR="002B32A0" w:rsidRDefault="002B32A0" w:rsidP="002B32A0">
      <w:r>
        <w:t>The university partners in CQC²T are: University of New South Wales (UNSW) (lead); University of Melbourne; Australian National University (ANU); Griffith University; University of Queensland (UQ); RMIT University; and University of Technology Sydney (UTS).</w:t>
      </w:r>
    </w:p>
    <w:p w14:paraId="2A73CDFA" w14:textId="77777777" w:rsidR="002B32A0" w:rsidRDefault="002B32A0" w:rsidP="008C56B9">
      <w:pPr>
        <w:pStyle w:val="Heading2"/>
      </w:pPr>
      <w:bookmarkStart w:id="246" w:name="_Ref131087742"/>
      <w:bookmarkStart w:id="247" w:name="_Ref131087745"/>
      <w:bookmarkStart w:id="248" w:name="_Toc131174636"/>
      <w:bookmarkStart w:id="249" w:name="_Toc132970667"/>
      <w:bookmarkStart w:id="250" w:name="_Toc135323706"/>
      <w:r>
        <w:t>Inputs</w:t>
      </w:r>
      <w:bookmarkEnd w:id="246"/>
      <w:bookmarkEnd w:id="247"/>
      <w:bookmarkEnd w:id="248"/>
      <w:bookmarkEnd w:id="249"/>
      <w:bookmarkEnd w:id="250"/>
    </w:p>
    <w:p w14:paraId="37B1ABB0" w14:textId="16DABACE" w:rsidR="002B32A0" w:rsidRDefault="002B32A0" w:rsidP="002B32A0">
      <w:pPr>
        <w:pStyle w:val="ListBullet"/>
        <w:numPr>
          <w:ilvl w:val="0"/>
          <w:numId w:val="0"/>
        </w:numPr>
      </w:pPr>
      <w:r>
        <w:t>ARC and others, including academic and non-academic partners, have provided</w:t>
      </w:r>
      <w:r w:rsidRPr="00E558A0">
        <w:t xml:space="preserve"> </w:t>
      </w:r>
      <w:r w:rsidRPr="00982F91">
        <w:t>$</w:t>
      </w:r>
      <w:r>
        <w:t xml:space="preserve">237 million </w:t>
      </w:r>
      <w:r w:rsidRPr="00E558A0">
        <w:t>in cash and in-kind contributions</w:t>
      </w:r>
      <w:r>
        <w:t xml:space="preserve"> for this research (see </w:t>
      </w:r>
      <w:r w:rsidRPr="00F87D0E">
        <w:fldChar w:fldCharType="begin"/>
      </w:r>
      <w:r w:rsidRPr="00F87D0E">
        <w:instrText xml:space="preserve"> REF _Ref131087543 \h  \* MERGEFORMAT </w:instrText>
      </w:r>
      <w:r w:rsidRPr="00F87D0E">
        <w:fldChar w:fldCharType="separate"/>
      </w:r>
      <w:r w:rsidR="000B0AC7" w:rsidRPr="000B0AC7">
        <w:t>Table 7.1</w:t>
      </w:r>
      <w:r w:rsidRPr="00F87D0E">
        <w:fldChar w:fldCharType="end"/>
      </w:r>
      <w:r>
        <w:t>).</w:t>
      </w:r>
    </w:p>
    <w:p w14:paraId="36145DCC" w14:textId="77777777" w:rsidR="002B32A0" w:rsidRDefault="002B32A0" w:rsidP="002B32A0">
      <w:pPr>
        <w:spacing w:before="0" w:after="160" w:line="259" w:lineRule="auto"/>
      </w:pPr>
      <w:r>
        <w:br w:type="page"/>
      </w:r>
    </w:p>
    <w:p w14:paraId="465F334D" w14:textId="78BB01ED" w:rsidR="002B32A0" w:rsidRDefault="002B32A0" w:rsidP="000B0AC7">
      <w:pPr>
        <w:pStyle w:val="Caption"/>
        <w:spacing w:before="160"/>
        <w:ind w:left="1308" w:hanging="1308"/>
      </w:pPr>
      <w:bookmarkStart w:id="251" w:name="_Ref131087543"/>
      <w:r w:rsidRPr="006D4B86">
        <w:rPr>
          <w:rStyle w:val="CaptionLabel"/>
        </w:rPr>
        <w:lastRenderedPageBreak/>
        <w:t>Table </w:t>
      </w:r>
      <w:r w:rsidRPr="006D4B86">
        <w:rPr>
          <w:rStyle w:val="CaptionLabel"/>
        </w:rPr>
        <w:fldChar w:fldCharType="begin"/>
      </w:r>
      <w:r w:rsidRPr="006D4B86">
        <w:rPr>
          <w:rStyle w:val="CaptionLabel"/>
        </w:rPr>
        <w:instrText xml:space="preserve"> STYLEREF 1 \S \* MERGEFORMAT </w:instrText>
      </w:r>
      <w:r w:rsidRPr="006D4B86">
        <w:rPr>
          <w:rStyle w:val="CaptionLabel"/>
        </w:rPr>
        <w:fldChar w:fldCharType="separate"/>
      </w:r>
      <w:r w:rsidR="000B0AC7">
        <w:rPr>
          <w:rStyle w:val="CaptionLabel"/>
          <w:noProof/>
        </w:rPr>
        <w:t>7</w:t>
      </w:r>
      <w:r w:rsidRPr="006D4B86">
        <w:rPr>
          <w:rStyle w:val="CaptionLabel"/>
        </w:rPr>
        <w:fldChar w:fldCharType="end"/>
      </w:r>
      <w:r w:rsidRPr="006D4B86">
        <w:rPr>
          <w:rStyle w:val="CaptionLabel"/>
        </w:rPr>
        <w:t>.</w:t>
      </w:r>
      <w:r w:rsidRPr="006D4B86">
        <w:rPr>
          <w:rStyle w:val="CaptionLabel"/>
        </w:rPr>
        <w:fldChar w:fldCharType="begin"/>
      </w:r>
      <w:r w:rsidRPr="006D4B86">
        <w:rPr>
          <w:rStyle w:val="CaptionLabel"/>
        </w:rPr>
        <w:instrText xml:space="preserve"> SEQ Table \* ARABIC \S 1 \* MERGEFORMAT </w:instrText>
      </w:r>
      <w:r w:rsidRPr="006D4B86">
        <w:rPr>
          <w:rStyle w:val="CaptionLabel"/>
        </w:rPr>
        <w:fldChar w:fldCharType="separate"/>
      </w:r>
      <w:r w:rsidR="000B0AC7">
        <w:rPr>
          <w:rStyle w:val="CaptionLabel"/>
          <w:noProof/>
        </w:rPr>
        <w:t>1</w:t>
      </w:r>
      <w:r w:rsidRPr="006D4B86">
        <w:rPr>
          <w:rStyle w:val="CaptionLabel"/>
        </w:rPr>
        <w:fldChar w:fldCharType="end"/>
      </w:r>
      <w:bookmarkEnd w:id="251"/>
      <w:r>
        <w:tab/>
        <w:t>Support for this research</w:t>
      </w:r>
    </w:p>
    <w:tbl>
      <w:tblPr>
        <w:tblStyle w:val="aacTableBasic"/>
        <w:tblW w:w="6471" w:type="pct"/>
        <w:tblInd w:w="-2410" w:type="dxa"/>
        <w:tblLayout w:type="fixed"/>
        <w:tblLook w:val="04A0" w:firstRow="1" w:lastRow="0" w:firstColumn="1" w:lastColumn="0" w:noHBand="0" w:noVBand="1"/>
        <w:tblCaption w:val="Table 7.1"/>
        <w:tblDescription w:val="Support for this research"/>
      </w:tblPr>
      <w:tblGrid>
        <w:gridCol w:w="3686"/>
        <w:gridCol w:w="1646"/>
        <w:gridCol w:w="1646"/>
        <w:gridCol w:w="1646"/>
        <w:gridCol w:w="1647"/>
      </w:tblGrid>
      <w:tr w:rsidR="002B32A0" w14:paraId="789B2093" w14:textId="77777777" w:rsidTr="00163772">
        <w:trPr>
          <w:cnfStyle w:val="100000000000" w:firstRow="1" w:lastRow="0" w:firstColumn="0" w:lastColumn="0" w:oddVBand="0" w:evenVBand="0" w:oddHBand="0" w:evenHBand="0" w:firstRowFirstColumn="0" w:firstRowLastColumn="0" w:lastRowFirstColumn="0" w:lastRowLastColumn="0"/>
          <w:trHeight w:val="220"/>
        </w:trPr>
        <w:tc>
          <w:tcPr>
            <w:tcW w:w="3686" w:type="dxa"/>
            <w:tcBorders>
              <w:top w:val="nil"/>
            </w:tcBorders>
            <w:shd w:val="solid" w:color="140034" w:fill="140034"/>
            <w:tcMar>
              <w:left w:w="80" w:type="dxa"/>
            </w:tcMar>
            <w:hideMark/>
          </w:tcPr>
          <w:p w14:paraId="4D3FE2CB" w14:textId="77777777" w:rsidR="002B32A0" w:rsidRDefault="002B32A0" w:rsidP="008C56B9">
            <w:pPr>
              <w:pStyle w:val="Tablecolumnheadings"/>
              <w:spacing w:before="120"/>
              <w:rPr>
                <w:rStyle w:val="CaptionLabel"/>
                <w:b/>
                <w:bCs/>
              </w:rPr>
            </w:pPr>
            <w:r>
              <w:t>Contributor / Type of support</w:t>
            </w:r>
          </w:p>
        </w:tc>
        <w:tc>
          <w:tcPr>
            <w:tcW w:w="1646" w:type="dxa"/>
            <w:tcBorders>
              <w:top w:val="nil"/>
            </w:tcBorders>
            <w:shd w:val="solid" w:color="140034" w:fill="140034"/>
            <w:hideMark/>
          </w:tcPr>
          <w:p w14:paraId="26EC6D13" w14:textId="77777777" w:rsidR="002B32A0" w:rsidRDefault="002B32A0" w:rsidP="008C56B9">
            <w:pPr>
              <w:pStyle w:val="Tablecolumnheadings"/>
              <w:spacing w:before="120"/>
              <w:rPr>
                <w:rStyle w:val="CaptionLabel"/>
                <w:b/>
                <w:bCs/>
              </w:rPr>
            </w:pPr>
            <w:r w:rsidRPr="00400D76">
              <w:t>2003-2010</w:t>
            </w:r>
          </w:p>
        </w:tc>
        <w:tc>
          <w:tcPr>
            <w:tcW w:w="1646" w:type="dxa"/>
            <w:tcBorders>
              <w:top w:val="nil"/>
            </w:tcBorders>
            <w:shd w:val="solid" w:color="140034" w:fill="140034"/>
            <w:hideMark/>
          </w:tcPr>
          <w:p w14:paraId="572137E2" w14:textId="77777777" w:rsidR="002B32A0" w:rsidRDefault="002B32A0" w:rsidP="008C56B9">
            <w:pPr>
              <w:pStyle w:val="Tablecolumnheadings"/>
              <w:spacing w:before="120"/>
              <w:rPr>
                <w:rStyle w:val="CaptionLabel"/>
                <w:b/>
                <w:bCs/>
              </w:rPr>
            </w:pPr>
            <w:r w:rsidRPr="00400D76">
              <w:t>2011-2016</w:t>
            </w:r>
          </w:p>
        </w:tc>
        <w:tc>
          <w:tcPr>
            <w:tcW w:w="1646" w:type="dxa"/>
            <w:tcBorders>
              <w:top w:val="nil"/>
            </w:tcBorders>
            <w:shd w:val="solid" w:color="140034" w:fill="140034"/>
            <w:hideMark/>
          </w:tcPr>
          <w:p w14:paraId="3069CBF8" w14:textId="77777777" w:rsidR="002B32A0" w:rsidRDefault="002B32A0" w:rsidP="008C56B9">
            <w:pPr>
              <w:pStyle w:val="Tablecolumnheadings"/>
              <w:spacing w:before="120"/>
            </w:pPr>
            <w:r w:rsidRPr="00400D76">
              <w:t>2017-2025</w:t>
            </w:r>
          </w:p>
        </w:tc>
        <w:tc>
          <w:tcPr>
            <w:tcW w:w="1647" w:type="dxa"/>
            <w:tcBorders>
              <w:top w:val="nil"/>
            </w:tcBorders>
            <w:shd w:val="solid" w:color="140034" w:fill="140034"/>
            <w:hideMark/>
          </w:tcPr>
          <w:p w14:paraId="65C2AE07" w14:textId="77777777" w:rsidR="002B32A0" w:rsidRDefault="002B32A0" w:rsidP="006258ED">
            <w:pPr>
              <w:pStyle w:val="Tablecolumnheadings"/>
              <w:rPr>
                <w:rStyle w:val="CaptionLabel"/>
                <w:b/>
                <w:bCs/>
              </w:rPr>
            </w:pPr>
            <w:r>
              <w:t>Total Contributions</w:t>
            </w:r>
          </w:p>
        </w:tc>
      </w:tr>
      <w:tr w:rsidR="002B32A0" w14:paraId="4E0A7568" w14:textId="77777777" w:rsidTr="00163772">
        <w:trPr>
          <w:trHeight w:val="199"/>
        </w:trPr>
        <w:tc>
          <w:tcPr>
            <w:tcW w:w="3686" w:type="dxa"/>
            <w:tcMar>
              <w:left w:w="80" w:type="dxa"/>
            </w:tcMar>
            <w:hideMark/>
          </w:tcPr>
          <w:p w14:paraId="723DA607" w14:textId="77777777" w:rsidR="002B32A0" w:rsidRDefault="002B32A0" w:rsidP="006258ED">
            <w:pPr>
              <w:pStyle w:val="Tabletext"/>
              <w:rPr>
                <w:b/>
                <w:bCs/>
              </w:rPr>
            </w:pPr>
            <w:r w:rsidRPr="008C56B9">
              <w:rPr>
                <w:b/>
                <w:bCs/>
                <w:color w:val="FFFFFF" w:themeColor="background1"/>
              </w:rPr>
              <w:t>Cash</w:t>
            </w:r>
          </w:p>
        </w:tc>
        <w:tc>
          <w:tcPr>
            <w:tcW w:w="1646" w:type="dxa"/>
          </w:tcPr>
          <w:p w14:paraId="421759D9" w14:textId="77777777" w:rsidR="002B32A0" w:rsidRDefault="002B32A0" w:rsidP="006258ED">
            <w:pPr>
              <w:pStyle w:val="Tabletext"/>
            </w:pPr>
          </w:p>
        </w:tc>
        <w:tc>
          <w:tcPr>
            <w:tcW w:w="1646" w:type="dxa"/>
          </w:tcPr>
          <w:p w14:paraId="14DEA4B0" w14:textId="77777777" w:rsidR="002B32A0" w:rsidRDefault="002B32A0" w:rsidP="006258ED">
            <w:pPr>
              <w:pStyle w:val="Tabletext"/>
            </w:pPr>
          </w:p>
        </w:tc>
        <w:tc>
          <w:tcPr>
            <w:tcW w:w="1646" w:type="dxa"/>
          </w:tcPr>
          <w:p w14:paraId="3C60B906" w14:textId="77777777" w:rsidR="002B32A0" w:rsidRDefault="002B32A0" w:rsidP="006258ED">
            <w:pPr>
              <w:pStyle w:val="Tabletext"/>
            </w:pPr>
          </w:p>
        </w:tc>
        <w:tc>
          <w:tcPr>
            <w:tcW w:w="1647" w:type="dxa"/>
          </w:tcPr>
          <w:p w14:paraId="65A6E0C9" w14:textId="77777777" w:rsidR="002B32A0" w:rsidRDefault="002B32A0" w:rsidP="006258ED">
            <w:pPr>
              <w:pStyle w:val="Tabletext"/>
            </w:pPr>
          </w:p>
        </w:tc>
      </w:tr>
      <w:tr w:rsidR="002B32A0" w14:paraId="767E55F3" w14:textId="77777777" w:rsidTr="00163772">
        <w:trPr>
          <w:trHeight w:val="209"/>
        </w:trPr>
        <w:tc>
          <w:tcPr>
            <w:tcW w:w="10271" w:type="dxa"/>
            <w:gridSpan w:val="5"/>
            <w:tcMar>
              <w:left w:w="80" w:type="dxa"/>
            </w:tcMar>
            <w:hideMark/>
          </w:tcPr>
          <w:p w14:paraId="0246F053" w14:textId="77777777" w:rsidR="002B32A0" w:rsidRDefault="002B32A0" w:rsidP="006258ED">
            <w:pPr>
              <w:pStyle w:val="Tabletext"/>
            </w:pPr>
            <w:bookmarkStart w:id="252" w:name="_Hlk130997220"/>
            <w:r w:rsidRPr="00CE04D6">
              <w:rPr>
                <w:b/>
                <w:bCs/>
              </w:rPr>
              <w:t>CE0348250</w:t>
            </w:r>
            <w:bookmarkEnd w:id="252"/>
            <w:r>
              <w:rPr>
                <w:b/>
                <w:bCs/>
              </w:rPr>
              <w:t xml:space="preserve"> – </w:t>
            </w:r>
            <w:r w:rsidRPr="00DD534A">
              <w:rPr>
                <w:b/>
                <w:bCs/>
              </w:rPr>
              <w:t xml:space="preserve">Centre </w:t>
            </w:r>
            <w:r>
              <w:rPr>
                <w:b/>
                <w:bCs/>
              </w:rPr>
              <w:t xml:space="preserve">of Excellence </w:t>
            </w:r>
            <w:r w:rsidRPr="00DD534A">
              <w:rPr>
                <w:b/>
                <w:bCs/>
              </w:rPr>
              <w:t>for Quantum Computer Technology</w:t>
            </w:r>
          </w:p>
        </w:tc>
      </w:tr>
      <w:tr w:rsidR="002B32A0" w14:paraId="7B268E09" w14:textId="77777777" w:rsidTr="00163772">
        <w:trPr>
          <w:trHeight w:val="209"/>
        </w:trPr>
        <w:tc>
          <w:tcPr>
            <w:tcW w:w="3686" w:type="dxa"/>
            <w:tcMar>
              <w:left w:w="80" w:type="dxa"/>
            </w:tcMar>
          </w:tcPr>
          <w:p w14:paraId="67B43527" w14:textId="77777777" w:rsidR="002B32A0" w:rsidRPr="00CE04D6" w:rsidRDefault="002B32A0" w:rsidP="006258ED">
            <w:pPr>
              <w:pStyle w:val="Tabletext"/>
              <w:rPr>
                <w:b/>
                <w:bCs/>
              </w:rPr>
            </w:pPr>
            <w:r w:rsidRPr="008E60F9">
              <w:t xml:space="preserve">Academic partner </w:t>
            </w:r>
          </w:p>
        </w:tc>
        <w:tc>
          <w:tcPr>
            <w:tcW w:w="1646" w:type="dxa"/>
          </w:tcPr>
          <w:p w14:paraId="0767FCE7" w14:textId="77777777" w:rsidR="002B32A0" w:rsidRDefault="002B32A0" w:rsidP="006258ED">
            <w:pPr>
              <w:pStyle w:val="Tabletext"/>
            </w:pPr>
            <w:r w:rsidRPr="008E60F9">
              <w:t>$</w:t>
            </w:r>
            <w:r>
              <w:t>16,971,530</w:t>
            </w:r>
          </w:p>
        </w:tc>
        <w:tc>
          <w:tcPr>
            <w:tcW w:w="1646" w:type="dxa"/>
          </w:tcPr>
          <w:p w14:paraId="3B5DD454" w14:textId="77777777" w:rsidR="002B32A0" w:rsidRDefault="002B32A0" w:rsidP="006258ED">
            <w:pPr>
              <w:pStyle w:val="Tabletext"/>
            </w:pPr>
          </w:p>
        </w:tc>
        <w:tc>
          <w:tcPr>
            <w:tcW w:w="1646" w:type="dxa"/>
          </w:tcPr>
          <w:p w14:paraId="19A76D04" w14:textId="77777777" w:rsidR="002B32A0" w:rsidRDefault="002B32A0" w:rsidP="006258ED">
            <w:pPr>
              <w:pStyle w:val="Tabletext"/>
            </w:pPr>
          </w:p>
        </w:tc>
        <w:tc>
          <w:tcPr>
            <w:tcW w:w="1647" w:type="dxa"/>
          </w:tcPr>
          <w:p w14:paraId="470DE567" w14:textId="77777777" w:rsidR="002B32A0" w:rsidRDefault="002B32A0" w:rsidP="006258ED">
            <w:pPr>
              <w:pStyle w:val="Tabletext"/>
            </w:pPr>
            <w:r w:rsidRPr="008E60F9">
              <w:t>$</w:t>
            </w:r>
            <w:r>
              <w:t>16,971,530</w:t>
            </w:r>
          </w:p>
        </w:tc>
      </w:tr>
      <w:tr w:rsidR="002B32A0" w14:paraId="0CDC7036" w14:textId="77777777" w:rsidTr="00163772">
        <w:trPr>
          <w:trHeight w:val="209"/>
        </w:trPr>
        <w:tc>
          <w:tcPr>
            <w:tcW w:w="3686" w:type="dxa"/>
            <w:tcMar>
              <w:left w:w="80" w:type="dxa"/>
            </w:tcMar>
          </w:tcPr>
          <w:p w14:paraId="1123E582" w14:textId="77777777" w:rsidR="002B32A0" w:rsidRPr="00CE04D6" w:rsidRDefault="002B32A0" w:rsidP="006258ED">
            <w:pPr>
              <w:pStyle w:val="Tabletext"/>
              <w:rPr>
                <w:b/>
                <w:bCs/>
              </w:rPr>
            </w:pPr>
            <w:r w:rsidRPr="008E60F9">
              <w:t>Non-academic partner</w:t>
            </w:r>
          </w:p>
        </w:tc>
        <w:tc>
          <w:tcPr>
            <w:tcW w:w="1646" w:type="dxa"/>
          </w:tcPr>
          <w:p w14:paraId="292877FB" w14:textId="77777777" w:rsidR="002B32A0" w:rsidRDefault="002B32A0" w:rsidP="006258ED">
            <w:pPr>
              <w:pStyle w:val="Tabletext"/>
            </w:pPr>
            <w:r w:rsidRPr="008E60F9">
              <w:t>$</w:t>
            </w:r>
            <w:r>
              <w:t>2,314,876</w:t>
            </w:r>
          </w:p>
        </w:tc>
        <w:tc>
          <w:tcPr>
            <w:tcW w:w="1646" w:type="dxa"/>
          </w:tcPr>
          <w:p w14:paraId="108FA42A" w14:textId="77777777" w:rsidR="002B32A0" w:rsidRDefault="002B32A0" w:rsidP="006258ED">
            <w:pPr>
              <w:pStyle w:val="Tabletext"/>
            </w:pPr>
          </w:p>
        </w:tc>
        <w:tc>
          <w:tcPr>
            <w:tcW w:w="1646" w:type="dxa"/>
          </w:tcPr>
          <w:p w14:paraId="719999C6" w14:textId="77777777" w:rsidR="002B32A0" w:rsidRDefault="002B32A0" w:rsidP="006258ED">
            <w:pPr>
              <w:pStyle w:val="Tabletext"/>
            </w:pPr>
          </w:p>
        </w:tc>
        <w:tc>
          <w:tcPr>
            <w:tcW w:w="1647" w:type="dxa"/>
          </w:tcPr>
          <w:p w14:paraId="2CAD3BD0" w14:textId="77777777" w:rsidR="002B32A0" w:rsidRDefault="002B32A0" w:rsidP="006258ED">
            <w:pPr>
              <w:pStyle w:val="Tabletext"/>
            </w:pPr>
            <w:r w:rsidRPr="008E60F9">
              <w:t>$</w:t>
            </w:r>
            <w:r>
              <w:t>2,314,876</w:t>
            </w:r>
          </w:p>
        </w:tc>
      </w:tr>
      <w:tr w:rsidR="002B32A0" w14:paraId="1E79C7C0" w14:textId="77777777" w:rsidTr="00163772">
        <w:trPr>
          <w:trHeight w:val="209"/>
        </w:trPr>
        <w:tc>
          <w:tcPr>
            <w:tcW w:w="3686" w:type="dxa"/>
            <w:tcMar>
              <w:left w:w="80" w:type="dxa"/>
            </w:tcMar>
          </w:tcPr>
          <w:p w14:paraId="7FC96C54" w14:textId="77777777" w:rsidR="002B32A0" w:rsidRPr="008E60F9" w:rsidRDefault="002B32A0" w:rsidP="006258ED">
            <w:pPr>
              <w:pStyle w:val="Tabletext"/>
            </w:pPr>
            <w:r w:rsidRPr="00FA2370">
              <w:t>ARC</w:t>
            </w:r>
          </w:p>
        </w:tc>
        <w:tc>
          <w:tcPr>
            <w:tcW w:w="1646" w:type="dxa"/>
          </w:tcPr>
          <w:p w14:paraId="6D4DD2DE" w14:textId="77777777" w:rsidR="002B32A0" w:rsidRPr="008E60F9" w:rsidRDefault="002B32A0" w:rsidP="006258ED">
            <w:pPr>
              <w:pStyle w:val="Tabletext"/>
            </w:pPr>
            <w:r w:rsidRPr="00FA2370">
              <w:t>$24,100,000</w:t>
            </w:r>
          </w:p>
        </w:tc>
        <w:tc>
          <w:tcPr>
            <w:tcW w:w="1646" w:type="dxa"/>
          </w:tcPr>
          <w:p w14:paraId="5D9F6E55" w14:textId="77777777" w:rsidR="002B32A0" w:rsidRPr="008E60F9" w:rsidRDefault="002B32A0" w:rsidP="006258ED">
            <w:pPr>
              <w:pStyle w:val="Tabletext"/>
            </w:pPr>
          </w:p>
        </w:tc>
        <w:tc>
          <w:tcPr>
            <w:tcW w:w="1646" w:type="dxa"/>
          </w:tcPr>
          <w:p w14:paraId="48588B12" w14:textId="77777777" w:rsidR="002B32A0" w:rsidRDefault="002B32A0" w:rsidP="006258ED">
            <w:pPr>
              <w:pStyle w:val="Tabletext"/>
            </w:pPr>
          </w:p>
        </w:tc>
        <w:tc>
          <w:tcPr>
            <w:tcW w:w="1647" w:type="dxa"/>
          </w:tcPr>
          <w:p w14:paraId="07DC035D" w14:textId="77777777" w:rsidR="002B32A0" w:rsidRPr="008E60F9" w:rsidRDefault="002B32A0" w:rsidP="006258ED">
            <w:pPr>
              <w:pStyle w:val="Tabletext"/>
            </w:pPr>
            <w:r w:rsidRPr="00FA2370">
              <w:t>$24,100,000</w:t>
            </w:r>
          </w:p>
        </w:tc>
      </w:tr>
      <w:tr w:rsidR="002B32A0" w14:paraId="726AB6CC" w14:textId="77777777" w:rsidTr="00163772">
        <w:trPr>
          <w:trHeight w:val="199"/>
        </w:trPr>
        <w:tc>
          <w:tcPr>
            <w:tcW w:w="10271" w:type="dxa"/>
            <w:gridSpan w:val="5"/>
            <w:tcMar>
              <w:left w:w="80" w:type="dxa"/>
            </w:tcMar>
            <w:hideMark/>
          </w:tcPr>
          <w:p w14:paraId="40F0D6BC" w14:textId="77777777" w:rsidR="002B32A0" w:rsidRDefault="002B32A0" w:rsidP="006258ED">
            <w:pPr>
              <w:pStyle w:val="Tabletext"/>
            </w:pPr>
            <w:r w:rsidRPr="00CE04D6">
              <w:rPr>
                <w:b/>
                <w:bCs/>
              </w:rPr>
              <w:t xml:space="preserve">CE1101027 </w:t>
            </w:r>
            <w:r>
              <w:rPr>
                <w:b/>
                <w:bCs/>
              </w:rPr>
              <w:t xml:space="preserve">– </w:t>
            </w:r>
            <w:r w:rsidRPr="00DD534A">
              <w:rPr>
                <w:b/>
                <w:bCs/>
              </w:rPr>
              <w:t xml:space="preserve">Centre </w:t>
            </w:r>
            <w:r>
              <w:rPr>
                <w:b/>
                <w:bCs/>
              </w:rPr>
              <w:t>o</w:t>
            </w:r>
            <w:r w:rsidRPr="00DD534A">
              <w:rPr>
                <w:b/>
                <w:bCs/>
              </w:rPr>
              <w:t xml:space="preserve">f Excellence </w:t>
            </w:r>
            <w:r>
              <w:rPr>
                <w:b/>
                <w:bCs/>
              </w:rPr>
              <w:t>f</w:t>
            </w:r>
            <w:r w:rsidRPr="00DD534A">
              <w:rPr>
                <w:b/>
                <w:bCs/>
              </w:rPr>
              <w:t>or Quantum Computation and Communication Technology</w:t>
            </w:r>
          </w:p>
        </w:tc>
      </w:tr>
      <w:tr w:rsidR="002B32A0" w14:paraId="0BCF009B" w14:textId="77777777" w:rsidTr="00163772">
        <w:trPr>
          <w:trHeight w:val="199"/>
        </w:trPr>
        <w:tc>
          <w:tcPr>
            <w:tcW w:w="3686" w:type="dxa"/>
            <w:tcMar>
              <w:left w:w="80" w:type="dxa"/>
            </w:tcMar>
          </w:tcPr>
          <w:p w14:paraId="02F39B69" w14:textId="77777777" w:rsidR="002B32A0" w:rsidRPr="009F3038" w:rsidRDefault="002B32A0" w:rsidP="006258ED">
            <w:pPr>
              <w:pStyle w:val="Tabletext"/>
            </w:pPr>
            <w:r w:rsidRPr="008E60F9">
              <w:t>Academic partner</w:t>
            </w:r>
          </w:p>
        </w:tc>
        <w:tc>
          <w:tcPr>
            <w:tcW w:w="1646" w:type="dxa"/>
          </w:tcPr>
          <w:p w14:paraId="569DC2D1" w14:textId="77777777" w:rsidR="002B32A0" w:rsidRPr="00E412AE" w:rsidRDefault="002B32A0" w:rsidP="006258ED">
            <w:pPr>
              <w:pStyle w:val="Tabletext"/>
              <w:rPr>
                <w:b/>
              </w:rPr>
            </w:pPr>
          </w:p>
        </w:tc>
        <w:tc>
          <w:tcPr>
            <w:tcW w:w="1646" w:type="dxa"/>
          </w:tcPr>
          <w:p w14:paraId="7D47A431" w14:textId="77777777" w:rsidR="002B32A0" w:rsidRPr="00724D92" w:rsidRDefault="002B32A0" w:rsidP="006258ED">
            <w:pPr>
              <w:pStyle w:val="Tabletext"/>
            </w:pPr>
            <w:r w:rsidRPr="006D4B86">
              <w:t>$9,337,906</w:t>
            </w:r>
          </w:p>
        </w:tc>
        <w:tc>
          <w:tcPr>
            <w:tcW w:w="1646" w:type="dxa"/>
          </w:tcPr>
          <w:p w14:paraId="4072DB98" w14:textId="77777777" w:rsidR="002B32A0" w:rsidRPr="00724D92" w:rsidRDefault="002B32A0" w:rsidP="006258ED">
            <w:pPr>
              <w:pStyle w:val="Tabletext"/>
            </w:pPr>
            <w:r w:rsidRPr="006D4B86">
              <w:t>$1,585,875</w:t>
            </w:r>
          </w:p>
        </w:tc>
        <w:tc>
          <w:tcPr>
            <w:tcW w:w="1647" w:type="dxa"/>
          </w:tcPr>
          <w:p w14:paraId="115F305C" w14:textId="77777777" w:rsidR="002B32A0" w:rsidRPr="00724D92" w:rsidRDefault="002B32A0" w:rsidP="006258ED">
            <w:pPr>
              <w:pStyle w:val="Tabletext"/>
            </w:pPr>
            <w:r w:rsidRPr="006D4B86">
              <w:t>$10,923,781</w:t>
            </w:r>
          </w:p>
        </w:tc>
      </w:tr>
      <w:tr w:rsidR="002B32A0" w14:paraId="41527367" w14:textId="77777777" w:rsidTr="00163772">
        <w:trPr>
          <w:trHeight w:val="199"/>
        </w:trPr>
        <w:tc>
          <w:tcPr>
            <w:tcW w:w="3686" w:type="dxa"/>
            <w:tcMar>
              <w:left w:w="80" w:type="dxa"/>
            </w:tcMar>
          </w:tcPr>
          <w:p w14:paraId="1F570337" w14:textId="77777777" w:rsidR="002B32A0" w:rsidRPr="009F3038" w:rsidRDefault="002B32A0" w:rsidP="006258ED">
            <w:pPr>
              <w:pStyle w:val="Tabletext"/>
            </w:pPr>
            <w:r w:rsidRPr="008E60F9">
              <w:t>Non-academic partner</w:t>
            </w:r>
          </w:p>
        </w:tc>
        <w:tc>
          <w:tcPr>
            <w:tcW w:w="1646" w:type="dxa"/>
          </w:tcPr>
          <w:p w14:paraId="682324B4" w14:textId="77777777" w:rsidR="002B32A0" w:rsidRPr="00E412AE" w:rsidRDefault="002B32A0" w:rsidP="006258ED">
            <w:pPr>
              <w:pStyle w:val="Tabletext"/>
              <w:rPr>
                <w:b/>
              </w:rPr>
            </w:pPr>
          </w:p>
        </w:tc>
        <w:tc>
          <w:tcPr>
            <w:tcW w:w="1646" w:type="dxa"/>
          </w:tcPr>
          <w:p w14:paraId="2743F16C" w14:textId="77777777" w:rsidR="002B32A0" w:rsidRPr="00724D92" w:rsidRDefault="002B32A0" w:rsidP="006258ED">
            <w:pPr>
              <w:pStyle w:val="Tabletext"/>
            </w:pPr>
            <w:r w:rsidRPr="006D4B86">
              <w:t>$750,000</w:t>
            </w:r>
          </w:p>
        </w:tc>
        <w:tc>
          <w:tcPr>
            <w:tcW w:w="1646" w:type="dxa"/>
          </w:tcPr>
          <w:p w14:paraId="74918284" w14:textId="77777777" w:rsidR="002B32A0" w:rsidRPr="00724D92" w:rsidRDefault="002B32A0" w:rsidP="006258ED">
            <w:pPr>
              <w:pStyle w:val="Tabletext"/>
            </w:pPr>
            <w:r w:rsidRPr="006D4B86">
              <w:t>$125,000</w:t>
            </w:r>
          </w:p>
        </w:tc>
        <w:tc>
          <w:tcPr>
            <w:tcW w:w="1647" w:type="dxa"/>
          </w:tcPr>
          <w:p w14:paraId="0D48EA55" w14:textId="77777777" w:rsidR="002B32A0" w:rsidRPr="00724D92" w:rsidRDefault="002B32A0" w:rsidP="006258ED">
            <w:pPr>
              <w:pStyle w:val="Tabletext"/>
            </w:pPr>
            <w:r w:rsidRPr="006D4B86">
              <w:t>$875,000</w:t>
            </w:r>
          </w:p>
        </w:tc>
      </w:tr>
      <w:tr w:rsidR="002B32A0" w14:paraId="3233A54C" w14:textId="77777777" w:rsidTr="00163772">
        <w:trPr>
          <w:trHeight w:val="199"/>
        </w:trPr>
        <w:tc>
          <w:tcPr>
            <w:tcW w:w="3686" w:type="dxa"/>
            <w:tcMar>
              <w:left w:w="80" w:type="dxa"/>
            </w:tcMar>
            <w:hideMark/>
          </w:tcPr>
          <w:p w14:paraId="13221CEC" w14:textId="77777777" w:rsidR="002B32A0" w:rsidRDefault="002B32A0" w:rsidP="006258ED">
            <w:pPr>
              <w:pStyle w:val="Tabletext"/>
              <w:rPr>
                <w:b/>
                <w:bCs/>
              </w:rPr>
            </w:pPr>
            <w:r w:rsidRPr="009F3038">
              <w:t>ARC</w:t>
            </w:r>
          </w:p>
        </w:tc>
        <w:tc>
          <w:tcPr>
            <w:tcW w:w="1646" w:type="dxa"/>
          </w:tcPr>
          <w:p w14:paraId="1EBC4FCB" w14:textId="77777777" w:rsidR="002B32A0" w:rsidRPr="00E412AE" w:rsidRDefault="002B32A0" w:rsidP="006258ED">
            <w:pPr>
              <w:pStyle w:val="Tabletext"/>
              <w:rPr>
                <w:b/>
              </w:rPr>
            </w:pPr>
          </w:p>
        </w:tc>
        <w:tc>
          <w:tcPr>
            <w:tcW w:w="1646" w:type="dxa"/>
          </w:tcPr>
          <w:p w14:paraId="394DF238" w14:textId="77777777" w:rsidR="002B32A0" w:rsidRDefault="002B32A0" w:rsidP="006258ED">
            <w:pPr>
              <w:pStyle w:val="Tabletext"/>
            </w:pPr>
            <w:r w:rsidRPr="009F3038">
              <w:t>$21,000,000</w:t>
            </w:r>
          </w:p>
        </w:tc>
        <w:tc>
          <w:tcPr>
            <w:tcW w:w="1646" w:type="dxa"/>
          </w:tcPr>
          <w:p w14:paraId="7E520F27" w14:textId="77777777" w:rsidR="002B32A0" w:rsidRDefault="002B32A0" w:rsidP="006258ED">
            <w:pPr>
              <w:pStyle w:val="Tabletext"/>
            </w:pPr>
            <w:r w:rsidRPr="009F3038">
              <w:t>$</w:t>
            </w:r>
            <w:r>
              <w:t>6,290,504</w:t>
            </w:r>
          </w:p>
        </w:tc>
        <w:tc>
          <w:tcPr>
            <w:tcW w:w="1647" w:type="dxa"/>
          </w:tcPr>
          <w:p w14:paraId="2D1C4FF1" w14:textId="77777777" w:rsidR="002B32A0" w:rsidRDefault="002B32A0" w:rsidP="006258ED">
            <w:pPr>
              <w:pStyle w:val="Tabletext"/>
            </w:pPr>
            <w:r w:rsidRPr="009F3038">
              <w:t>$2</w:t>
            </w:r>
            <w:r>
              <w:t>7,290,504</w:t>
            </w:r>
          </w:p>
        </w:tc>
      </w:tr>
      <w:tr w:rsidR="002B32A0" w14:paraId="2F1908D3" w14:textId="77777777" w:rsidTr="00163772">
        <w:trPr>
          <w:trHeight w:val="199"/>
        </w:trPr>
        <w:tc>
          <w:tcPr>
            <w:tcW w:w="10271" w:type="dxa"/>
            <w:gridSpan w:val="5"/>
            <w:tcMar>
              <w:left w:w="80" w:type="dxa"/>
            </w:tcMar>
          </w:tcPr>
          <w:p w14:paraId="025918CC" w14:textId="77777777" w:rsidR="002B32A0" w:rsidRPr="00FF77EF" w:rsidRDefault="002B32A0" w:rsidP="006258ED">
            <w:pPr>
              <w:pStyle w:val="Tabletext"/>
            </w:pPr>
            <w:r w:rsidRPr="00CE04D6">
              <w:rPr>
                <w:b/>
                <w:bCs/>
              </w:rPr>
              <w:t>CE170100012</w:t>
            </w:r>
            <w:r>
              <w:rPr>
                <w:b/>
                <w:bCs/>
              </w:rPr>
              <w:t xml:space="preserve"> –</w:t>
            </w:r>
            <w:r w:rsidRPr="00DD534A">
              <w:rPr>
                <w:b/>
                <w:bCs/>
              </w:rPr>
              <w:t xml:space="preserve">Centre </w:t>
            </w:r>
            <w:r>
              <w:rPr>
                <w:b/>
                <w:bCs/>
              </w:rPr>
              <w:t>o</w:t>
            </w:r>
            <w:r w:rsidRPr="00DD534A">
              <w:rPr>
                <w:b/>
                <w:bCs/>
              </w:rPr>
              <w:t xml:space="preserve">f Excellence for Quantum Computation and Communication Technology </w:t>
            </w:r>
          </w:p>
        </w:tc>
      </w:tr>
      <w:tr w:rsidR="002B32A0" w14:paraId="7551A20B" w14:textId="77777777" w:rsidTr="00163772">
        <w:trPr>
          <w:trHeight w:val="199"/>
        </w:trPr>
        <w:tc>
          <w:tcPr>
            <w:tcW w:w="3686" w:type="dxa"/>
            <w:tcMar>
              <w:left w:w="80" w:type="dxa"/>
            </w:tcMar>
            <w:hideMark/>
          </w:tcPr>
          <w:p w14:paraId="6E7461C4" w14:textId="77777777" w:rsidR="002B32A0" w:rsidRDefault="002B32A0" w:rsidP="006258ED">
            <w:pPr>
              <w:pStyle w:val="Tabletext"/>
              <w:rPr>
                <w:rStyle w:val="CaptionLabel"/>
              </w:rPr>
            </w:pPr>
            <w:r w:rsidRPr="00FF77EF">
              <w:t xml:space="preserve">Academic partner </w:t>
            </w:r>
          </w:p>
        </w:tc>
        <w:tc>
          <w:tcPr>
            <w:tcW w:w="1646" w:type="dxa"/>
          </w:tcPr>
          <w:p w14:paraId="01D78841" w14:textId="77777777" w:rsidR="002B32A0" w:rsidRPr="00E412AE" w:rsidRDefault="002B32A0" w:rsidP="006258ED">
            <w:pPr>
              <w:pStyle w:val="Tabletext"/>
              <w:rPr>
                <w:b/>
              </w:rPr>
            </w:pPr>
          </w:p>
        </w:tc>
        <w:tc>
          <w:tcPr>
            <w:tcW w:w="1646" w:type="dxa"/>
          </w:tcPr>
          <w:p w14:paraId="4492D664" w14:textId="77777777" w:rsidR="002B32A0" w:rsidRPr="00E412AE" w:rsidRDefault="002B32A0" w:rsidP="006258ED">
            <w:pPr>
              <w:pStyle w:val="Tabletext"/>
              <w:rPr>
                <w:b/>
              </w:rPr>
            </w:pPr>
          </w:p>
        </w:tc>
        <w:tc>
          <w:tcPr>
            <w:tcW w:w="1646" w:type="dxa"/>
          </w:tcPr>
          <w:p w14:paraId="50379DAF" w14:textId="77777777" w:rsidR="002B32A0" w:rsidRDefault="002B32A0" w:rsidP="006258ED">
            <w:pPr>
              <w:pStyle w:val="Tabletext"/>
            </w:pPr>
            <w:r w:rsidRPr="00FF77EF">
              <w:t>$9,249,016</w:t>
            </w:r>
          </w:p>
        </w:tc>
        <w:tc>
          <w:tcPr>
            <w:tcW w:w="1647" w:type="dxa"/>
            <w:hideMark/>
          </w:tcPr>
          <w:p w14:paraId="00A92DE0" w14:textId="77777777" w:rsidR="002B32A0" w:rsidRPr="00E412AE" w:rsidRDefault="002B32A0" w:rsidP="006258ED">
            <w:pPr>
              <w:pStyle w:val="Tabletext"/>
              <w:rPr>
                <w:b/>
              </w:rPr>
            </w:pPr>
            <w:r w:rsidRPr="00FF77EF">
              <w:t>$9,249,016</w:t>
            </w:r>
          </w:p>
        </w:tc>
      </w:tr>
      <w:tr w:rsidR="002B32A0" w14:paraId="149D09E2" w14:textId="77777777" w:rsidTr="00163772">
        <w:trPr>
          <w:trHeight w:val="209"/>
        </w:trPr>
        <w:tc>
          <w:tcPr>
            <w:tcW w:w="3686" w:type="dxa"/>
            <w:tcMar>
              <w:left w:w="80" w:type="dxa"/>
            </w:tcMar>
            <w:hideMark/>
          </w:tcPr>
          <w:p w14:paraId="57C27EA0" w14:textId="77777777" w:rsidR="002B32A0" w:rsidRDefault="002B32A0" w:rsidP="006258ED">
            <w:pPr>
              <w:pStyle w:val="Tabletext"/>
              <w:rPr>
                <w:rStyle w:val="CaptionLabel"/>
                <w:b w:val="0"/>
                <w:bCs/>
              </w:rPr>
            </w:pPr>
            <w:r w:rsidRPr="00FF77EF">
              <w:t>Non-academic partner</w:t>
            </w:r>
          </w:p>
        </w:tc>
        <w:tc>
          <w:tcPr>
            <w:tcW w:w="1646" w:type="dxa"/>
          </w:tcPr>
          <w:p w14:paraId="5B80A474" w14:textId="77777777" w:rsidR="002B32A0" w:rsidRPr="00E412AE" w:rsidRDefault="002B32A0" w:rsidP="006258ED">
            <w:pPr>
              <w:pStyle w:val="Tabletext"/>
            </w:pPr>
          </w:p>
        </w:tc>
        <w:tc>
          <w:tcPr>
            <w:tcW w:w="1646" w:type="dxa"/>
          </w:tcPr>
          <w:p w14:paraId="7131D84B" w14:textId="77777777" w:rsidR="002B32A0" w:rsidRPr="00E412AE" w:rsidRDefault="002B32A0" w:rsidP="006258ED">
            <w:pPr>
              <w:pStyle w:val="Tabletext"/>
            </w:pPr>
          </w:p>
        </w:tc>
        <w:tc>
          <w:tcPr>
            <w:tcW w:w="1646" w:type="dxa"/>
          </w:tcPr>
          <w:p w14:paraId="2043B381" w14:textId="77777777" w:rsidR="002B32A0" w:rsidRDefault="002B32A0" w:rsidP="006258ED">
            <w:pPr>
              <w:pStyle w:val="Tabletext"/>
            </w:pPr>
            <w:r w:rsidRPr="00FF77EF">
              <w:t>$1,339,750</w:t>
            </w:r>
          </w:p>
        </w:tc>
        <w:tc>
          <w:tcPr>
            <w:tcW w:w="1647" w:type="dxa"/>
            <w:hideMark/>
          </w:tcPr>
          <w:p w14:paraId="604A11E3" w14:textId="77777777" w:rsidR="002B32A0" w:rsidRPr="00E412AE" w:rsidRDefault="002B32A0" w:rsidP="006258ED">
            <w:pPr>
              <w:pStyle w:val="Tabletext"/>
            </w:pPr>
            <w:r w:rsidRPr="00FF77EF">
              <w:t>$1,339,750</w:t>
            </w:r>
          </w:p>
        </w:tc>
      </w:tr>
      <w:tr w:rsidR="002B32A0" w14:paraId="2D543FEE" w14:textId="77777777" w:rsidTr="00163772">
        <w:trPr>
          <w:trHeight w:val="199"/>
        </w:trPr>
        <w:tc>
          <w:tcPr>
            <w:tcW w:w="3686" w:type="dxa"/>
            <w:tcMar>
              <w:left w:w="80" w:type="dxa"/>
            </w:tcMar>
            <w:hideMark/>
          </w:tcPr>
          <w:p w14:paraId="6790E376" w14:textId="77777777" w:rsidR="002B32A0" w:rsidRDefault="002B32A0" w:rsidP="006258ED">
            <w:pPr>
              <w:pStyle w:val="Tabletext"/>
              <w:rPr>
                <w:rStyle w:val="CaptionLabel"/>
                <w:b w:val="0"/>
                <w:bCs/>
              </w:rPr>
            </w:pPr>
            <w:r w:rsidRPr="00FF77EF">
              <w:t>ARC</w:t>
            </w:r>
          </w:p>
        </w:tc>
        <w:tc>
          <w:tcPr>
            <w:tcW w:w="1646" w:type="dxa"/>
          </w:tcPr>
          <w:p w14:paraId="3C732732" w14:textId="77777777" w:rsidR="002B32A0" w:rsidRPr="00E412AE" w:rsidRDefault="002B32A0" w:rsidP="006258ED">
            <w:pPr>
              <w:pStyle w:val="Tabletext"/>
            </w:pPr>
          </w:p>
        </w:tc>
        <w:tc>
          <w:tcPr>
            <w:tcW w:w="1646" w:type="dxa"/>
          </w:tcPr>
          <w:p w14:paraId="28B37046" w14:textId="77777777" w:rsidR="002B32A0" w:rsidRPr="00E412AE" w:rsidRDefault="002B32A0" w:rsidP="006258ED">
            <w:pPr>
              <w:pStyle w:val="Tabletext"/>
            </w:pPr>
          </w:p>
        </w:tc>
        <w:tc>
          <w:tcPr>
            <w:tcW w:w="1646" w:type="dxa"/>
          </w:tcPr>
          <w:p w14:paraId="06E6EF5F" w14:textId="77777777" w:rsidR="002B32A0" w:rsidRDefault="002B32A0" w:rsidP="006258ED">
            <w:pPr>
              <w:pStyle w:val="Tabletext"/>
            </w:pPr>
            <w:r w:rsidRPr="00FF77EF">
              <w:t>$33,700,000</w:t>
            </w:r>
          </w:p>
        </w:tc>
        <w:tc>
          <w:tcPr>
            <w:tcW w:w="1647" w:type="dxa"/>
            <w:hideMark/>
          </w:tcPr>
          <w:p w14:paraId="6479BCFE" w14:textId="77777777" w:rsidR="002B32A0" w:rsidRPr="00E412AE" w:rsidRDefault="002B32A0" w:rsidP="006258ED">
            <w:pPr>
              <w:pStyle w:val="Tabletext"/>
            </w:pPr>
            <w:r w:rsidRPr="00FF77EF">
              <w:t>$33,700,000</w:t>
            </w:r>
          </w:p>
        </w:tc>
      </w:tr>
      <w:tr w:rsidR="002B32A0" w14:paraId="7791A251" w14:textId="77777777" w:rsidTr="00163772">
        <w:trPr>
          <w:trHeight w:val="199"/>
        </w:trPr>
        <w:tc>
          <w:tcPr>
            <w:tcW w:w="10271" w:type="dxa"/>
            <w:gridSpan w:val="5"/>
            <w:tcMar>
              <w:left w:w="80" w:type="dxa"/>
            </w:tcMar>
          </w:tcPr>
          <w:p w14:paraId="14255745" w14:textId="77777777" w:rsidR="002B32A0" w:rsidRDefault="002B32A0" w:rsidP="006258ED">
            <w:pPr>
              <w:pStyle w:val="Tabletext"/>
            </w:pPr>
            <w:r w:rsidRPr="00CE04D6">
              <w:rPr>
                <w:b/>
                <w:bCs/>
              </w:rPr>
              <w:t>FL130100171</w:t>
            </w:r>
            <w:r>
              <w:rPr>
                <w:b/>
                <w:bCs/>
              </w:rPr>
              <w:t xml:space="preserve"> – </w:t>
            </w:r>
            <w:r w:rsidRPr="00DD534A">
              <w:rPr>
                <w:b/>
                <w:bCs/>
              </w:rPr>
              <w:t>Prof Michelle Simmons (Australian Laureate Fellowship)</w:t>
            </w:r>
          </w:p>
        </w:tc>
      </w:tr>
      <w:tr w:rsidR="002B32A0" w14:paraId="2B758754" w14:textId="77777777" w:rsidTr="00163772">
        <w:trPr>
          <w:trHeight w:val="209"/>
        </w:trPr>
        <w:tc>
          <w:tcPr>
            <w:tcW w:w="3686" w:type="dxa"/>
            <w:tcMar>
              <w:left w:w="80" w:type="dxa"/>
            </w:tcMar>
          </w:tcPr>
          <w:p w14:paraId="290CFCBB" w14:textId="77777777" w:rsidR="002B32A0" w:rsidRDefault="002B32A0" w:rsidP="006258ED">
            <w:pPr>
              <w:pStyle w:val="Tabletext"/>
              <w:rPr>
                <w:b/>
                <w:bCs/>
              </w:rPr>
            </w:pPr>
            <w:r w:rsidRPr="00552CB8">
              <w:t xml:space="preserve">Academic partner </w:t>
            </w:r>
          </w:p>
        </w:tc>
        <w:tc>
          <w:tcPr>
            <w:tcW w:w="1646" w:type="dxa"/>
          </w:tcPr>
          <w:p w14:paraId="72485CC9" w14:textId="77777777" w:rsidR="002B32A0" w:rsidRPr="00E412AE" w:rsidRDefault="002B32A0" w:rsidP="006258ED">
            <w:pPr>
              <w:pStyle w:val="Tabletext"/>
            </w:pPr>
          </w:p>
        </w:tc>
        <w:tc>
          <w:tcPr>
            <w:tcW w:w="1646" w:type="dxa"/>
          </w:tcPr>
          <w:p w14:paraId="5D1C7677" w14:textId="77777777" w:rsidR="002B32A0" w:rsidRDefault="002B32A0" w:rsidP="006258ED">
            <w:pPr>
              <w:pStyle w:val="Tabletext"/>
            </w:pPr>
            <w:r w:rsidRPr="00552CB8">
              <w:t>$460,863</w:t>
            </w:r>
          </w:p>
        </w:tc>
        <w:tc>
          <w:tcPr>
            <w:tcW w:w="1646" w:type="dxa"/>
          </w:tcPr>
          <w:p w14:paraId="27F99F5B" w14:textId="77777777" w:rsidR="002B32A0" w:rsidRDefault="002B32A0" w:rsidP="006258ED">
            <w:pPr>
              <w:pStyle w:val="Tabletext"/>
            </w:pPr>
            <w:r w:rsidRPr="00552CB8">
              <w:t>$460,863</w:t>
            </w:r>
          </w:p>
        </w:tc>
        <w:tc>
          <w:tcPr>
            <w:tcW w:w="1647" w:type="dxa"/>
          </w:tcPr>
          <w:p w14:paraId="2E631DA8" w14:textId="77777777" w:rsidR="002B32A0" w:rsidRDefault="002B32A0" w:rsidP="006258ED">
            <w:pPr>
              <w:pStyle w:val="Tabletext"/>
            </w:pPr>
            <w:r w:rsidRPr="00552CB8">
              <w:t>$921,725</w:t>
            </w:r>
          </w:p>
        </w:tc>
      </w:tr>
      <w:tr w:rsidR="002B32A0" w14:paraId="12D0B36B" w14:textId="77777777" w:rsidTr="00163772">
        <w:trPr>
          <w:trHeight w:val="199"/>
        </w:trPr>
        <w:tc>
          <w:tcPr>
            <w:tcW w:w="3686" w:type="dxa"/>
            <w:tcMar>
              <w:left w:w="80" w:type="dxa"/>
            </w:tcMar>
          </w:tcPr>
          <w:p w14:paraId="56D57E6D" w14:textId="77777777" w:rsidR="002B32A0" w:rsidRDefault="002B32A0" w:rsidP="006258ED">
            <w:pPr>
              <w:pStyle w:val="Tabletext"/>
              <w:rPr>
                <w:b/>
                <w:bCs/>
              </w:rPr>
            </w:pPr>
            <w:r w:rsidRPr="00552CB8">
              <w:t>ARC</w:t>
            </w:r>
          </w:p>
        </w:tc>
        <w:tc>
          <w:tcPr>
            <w:tcW w:w="1646" w:type="dxa"/>
          </w:tcPr>
          <w:p w14:paraId="575FFE6D" w14:textId="77777777" w:rsidR="002B32A0" w:rsidRPr="00E412AE" w:rsidRDefault="002B32A0" w:rsidP="006258ED">
            <w:pPr>
              <w:pStyle w:val="Tabletext"/>
            </w:pPr>
          </w:p>
        </w:tc>
        <w:tc>
          <w:tcPr>
            <w:tcW w:w="1646" w:type="dxa"/>
          </w:tcPr>
          <w:p w14:paraId="18B08BD8" w14:textId="77777777" w:rsidR="002B32A0" w:rsidRDefault="002B32A0" w:rsidP="006258ED">
            <w:pPr>
              <w:pStyle w:val="Tabletext"/>
            </w:pPr>
            <w:r w:rsidRPr="00552CB8">
              <w:t>$2,046,191</w:t>
            </w:r>
          </w:p>
        </w:tc>
        <w:tc>
          <w:tcPr>
            <w:tcW w:w="1646" w:type="dxa"/>
          </w:tcPr>
          <w:p w14:paraId="47F194B1" w14:textId="77777777" w:rsidR="002B32A0" w:rsidRDefault="002B32A0" w:rsidP="006258ED">
            <w:pPr>
              <w:pStyle w:val="Tabletext"/>
            </w:pPr>
            <w:r w:rsidRPr="00552CB8">
              <w:t>$817,251</w:t>
            </w:r>
          </w:p>
        </w:tc>
        <w:tc>
          <w:tcPr>
            <w:tcW w:w="1647" w:type="dxa"/>
          </w:tcPr>
          <w:p w14:paraId="19E21F1F" w14:textId="77777777" w:rsidR="002B32A0" w:rsidRDefault="002B32A0" w:rsidP="006258ED">
            <w:pPr>
              <w:pStyle w:val="Tabletext"/>
            </w:pPr>
            <w:r w:rsidRPr="00552CB8">
              <w:t>$2,863,442</w:t>
            </w:r>
          </w:p>
        </w:tc>
      </w:tr>
      <w:tr w:rsidR="002B32A0" w14:paraId="208712B8" w14:textId="77777777" w:rsidTr="00163772">
        <w:trPr>
          <w:trHeight w:val="199"/>
        </w:trPr>
        <w:tc>
          <w:tcPr>
            <w:tcW w:w="10271" w:type="dxa"/>
            <w:gridSpan w:val="5"/>
            <w:tcMar>
              <w:left w:w="80" w:type="dxa"/>
            </w:tcMar>
          </w:tcPr>
          <w:p w14:paraId="6B7FCA76" w14:textId="77777777" w:rsidR="002B32A0" w:rsidRDefault="002B32A0" w:rsidP="006258ED">
            <w:pPr>
              <w:pStyle w:val="Tabletext"/>
            </w:pPr>
            <w:r w:rsidRPr="00944C5E">
              <w:rPr>
                <w:b/>
                <w:bCs/>
              </w:rPr>
              <w:t>FL130100119</w:t>
            </w:r>
            <w:r>
              <w:rPr>
                <w:b/>
                <w:bCs/>
              </w:rPr>
              <w:t xml:space="preserve"> – </w:t>
            </w:r>
            <w:r w:rsidRPr="00DD534A">
              <w:rPr>
                <w:b/>
                <w:bCs/>
              </w:rPr>
              <w:t>Prof Lloyd Hollenberg (Australian Laureate Fellowship)</w:t>
            </w:r>
          </w:p>
        </w:tc>
      </w:tr>
      <w:tr w:rsidR="002B32A0" w14:paraId="296B1962" w14:textId="77777777" w:rsidTr="00163772">
        <w:trPr>
          <w:trHeight w:val="209"/>
        </w:trPr>
        <w:tc>
          <w:tcPr>
            <w:tcW w:w="3686" w:type="dxa"/>
            <w:tcMar>
              <w:left w:w="80" w:type="dxa"/>
            </w:tcMar>
          </w:tcPr>
          <w:p w14:paraId="78E5EE70" w14:textId="77777777" w:rsidR="002B32A0" w:rsidRDefault="002B32A0" w:rsidP="006258ED">
            <w:pPr>
              <w:pStyle w:val="Tabletext"/>
            </w:pPr>
            <w:r w:rsidRPr="00002103">
              <w:t xml:space="preserve">Academic partner </w:t>
            </w:r>
          </w:p>
        </w:tc>
        <w:tc>
          <w:tcPr>
            <w:tcW w:w="1646" w:type="dxa"/>
          </w:tcPr>
          <w:p w14:paraId="27F93779" w14:textId="77777777" w:rsidR="002B32A0" w:rsidRPr="00E412AE" w:rsidRDefault="002B32A0" w:rsidP="006258ED">
            <w:pPr>
              <w:pStyle w:val="Tabletext"/>
            </w:pPr>
          </w:p>
        </w:tc>
        <w:tc>
          <w:tcPr>
            <w:tcW w:w="1646" w:type="dxa"/>
          </w:tcPr>
          <w:p w14:paraId="1ED1EF4E" w14:textId="77777777" w:rsidR="002B32A0" w:rsidRDefault="002B32A0" w:rsidP="006258ED">
            <w:pPr>
              <w:pStyle w:val="Tabletext"/>
            </w:pPr>
            <w:r w:rsidRPr="00002103">
              <w:t>$531,429</w:t>
            </w:r>
          </w:p>
        </w:tc>
        <w:tc>
          <w:tcPr>
            <w:tcW w:w="1646" w:type="dxa"/>
          </w:tcPr>
          <w:p w14:paraId="76D64EB6" w14:textId="77777777" w:rsidR="002B32A0" w:rsidRDefault="002B32A0" w:rsidP="006258ED">
            <w:pPr>
              <w:pStyle w:val="Tabletext"/>
            </w:pPr>
            <w:r w:rsidRPr="00002103">
              <w:t>$398,571</w:t>
            </w:r>
          </w:p>
        </w:tc>
        <w:tc>
          <w:tcPr>
            <w:tcW w:w="1647" w:type="dxa"/>
          </w:tcPr>
          <w:p w14:paraId="169691FB" w14:textId="77777777" w:rsidR="002B32A0" w:rsidRDefault="002B32A0" w:rsidP="006258ED">
            <w:pPr>
              <w:pStyle w:val="Tabletext"/>
            </w:pPr>
            <w:r w:rsidRPr="00002103">
              <w:t>$930,000</w:t>
            </w:r>
          </w:p>
        </w:tc>
      </w:tr>
      <w:tr w:rsidR="002B32A0" w14:paraId="7E2CB6D7" w14:textId="77777777" w:rsidTr="00163772">
        <w:trPr>
          <w:trHeight w:val="199"/>
        </w:trPr>
        <w:tc>
          <w:tcPr>
            <w:tcW w:w="3686" w:type="dxa"/>
            <w:tcMar>
              <w:left w:w="80" w:type="dxa"/>
            </w:tcMar>
          </w:tcPr>
          <w:p w14:paraId="0CB99E38" w14:textId="77777777" w:rsidR="002B32A0" w:rsidRDefault="002B32A0" w:rsidP="006258ED">
            <w:pPr>
              <w:pStyle w:val="Tabletext"/>
            </w:pPr>
            <w:r w:rsidRPr="00002103">
              <w:t>ARC</w:t>
            </w:r>
          </w:p>
        </w:tc>
        <w:tc>
          <w:tcPr>
            <w:tcW w:w="1646" w:type="dxa"/>
          </w:tcPr>
          <w:p w14:paraId="47F7871C" w14:textId="77777777" w:rsidR="002B32A0" w:rsidRPr="00E412AE" w:rsidRDefault="002B32A0" w:rsidP="006258ED">
            <w:pPr>
              <w:pStyle w:val="Tabletext"/>
            </w:pPr>
          </w:p>
        </w:tc>
        <w:tc>
          <w:tcPr>
            <w:tcW w:w="1646" w:type="dxa"/>
          </w:tcPr>
          <w:p w14:paraId="7E0722EC" w14:textId="77777777" w:rsidR="002B32A0" w:rsidRDefault="002B32A0" w:rsidP="006258ED">
            <w:pPr>
              <w:pStyle w:val="Tabletext"/>
            </w:pPr>
            <w:r w:rsidRPr="00002103">
              <w:t>$2,222,500</w:t>
            </w:r>
          </w:p>
        </w:tc>
        <w:tc>
          <w:tcPr>
            <w:tcW w:w="1646" w:type="dxa"/>
          </w:tcPr>
          <w:p w14:paraId="72D3AB32" w14:textId="77777777" w:rsidR="002B32A0" w:rsidRDefault="002B32A0" w:rsidP="006258ED">
            <w:pPr>
              <w:pStyle w:val="Tabletext"/>
            </w:pPr>
            <w:r w:rsidRPr="00002103">
              <w:t>$887,500</w:t>
            </w:r>
          </w:p>
        </w:tc>
        <w:tc>
          <w:tcPr>
            <w:tcW w:w="1647" w:type="dxa"/>
          </w:tcPr>
          <w:p w14:paraId="3D5B99EC" w14:textId="77777777" w:rsidR="002B32A0" w:rsidRDefault="002B32A0" w:rsidP="006258ED">
            <w:pPr>
              <w:pStyle w:val="Tabletext"/>
            </w:pPr>
            <w:r w:rsidRPr="00002103">
              <w:t>$3,110,000</w:t>
            </w:r>
          </w:p>
        </w:tc>
      </w:tr>
      <w:tr w:rsidR="002B32A0" w14:paraId="0EF2BF01" w14:textId="77777777" w:rsidTr="00163772">
        <w:trPr>
          <w:trHeight w:val="199"/>
        </w:trPr>
        <w:tc>
          <w:tcPr>
            <w:tcW w:w="10271" w:type="dxa"/>
            <w:gridSpan w:val="5"/>
            <w:tcMar>
              <w:left w:w="80" w:type="dxa"/>
            </w:tcMar>
          </w:tcPr>
          <w:p w14:paraId="146F5A95" w14:textId="77777777" w:rsidR="002B32A0" w:rsidRPr="00791668" w:rsidRDefault="002B32A0" w:rsidP="006258ED">
            <w:pPr>
              <w:pStyle w:val="Tabletext"/>
              <w:rPr>
                <w:b/>
                <w:bCs/>
              </w:rPr>
            </w:pPr>
            <w:r w:rsidRPr="00944C5E">
              <w:rPr>
                <w:b/>
                <w:bCs/>
              </w:rPr>
              <w:t>FL150100019</w:t>
            </w:r>
            <w:r>
              <w:rPr>
                <w:b/>
                <w:bCs/>
              </w:rPr>
              <w:t xml:space="preserve"> – </w:t>
            </w:r>
            <w:r w:rsidRPr="00DD534A">
              <w:rPr>
                <w:b/>
                <w:bCs/>
              </w:rPr>
              <w:t>Ping Koy Lam (Australian Laureate Fellowship)</w:t>
            </w:r>
          </w:p>
        </w:tc>
      </w:tr>
      <w:tr w:rsidR="002B32A0" w14:paraId="67B5035F" w14:textId="77777777" w:rsidTr="00163772">
        <w:trPr>
          <w:trHeight w:val="199"/>
        </w:trPr>
        <w:tc>
          <w:tcPr>
            <w:tcW w:w="3686" w:type="dxa"/>
            <w:tcMar>
              <w:left w:w="80" w:type="dxa"/>
            </w:tcMar>
          </w:tcPr>
          <w:p w14:paraId="119637AC" w14:textId="77777777" w:rsidR="002B32A0" w:rsidRPr="00144088" w:rsidRDefault="002B32A0" w:rsidP="006258ED">
            <w:pPr>
              <w:pStyle w:val="Tabletext"/>
            </w:pPr>
            <w:r w:rsidRPr="008F3B21">
              <w:t xml:space="preserve">Academic partner </w:t>
            </w:r>
          </w:p>
        </w:tc>
        <w:tc>
          <w:tcPr>
            <w:tcW w:w="1646" w:type="dxa"/>
          </w:tcPr>
          <w:p w14:paraId="4AE27EB3" w14:textId="77777777" w:rsidR="002B32A0" w:rsidRPr="00E412AE" w:rsidRDefault="002B32A0" w:rsidP="006258ED">
            <w:pPr>
              <w:pStyle w:val="Tabletext"/>
            </w:pPr>
          </w:p>
        </w:tc>
        <w:tc>
          <w:tcPr>
            <w:tcW w:w="1646" w:type="dxa"/>
          </w:tcPr>
          <w:p w14:paraId="6E238239" w14:textId="77777777" w:rsidR="002B32A0" w:rsidRPr="00144088" w:rsidRDefault="002B32A0" w:rsidP="006258ED">
            <w:pPr>
              <w:pStyle w:val="Tabletext"/>
            </w:pPr>
            <w:r w:rsidRPr="008F3B21">
              <w:t>$197,390</w:t>
            </w:r>
          </w:p>
        </w:tc>
        <w:tc>
          <w:tcPr>
            <w:tcW w:w="1646" w:type="dxa"/>
          </w:tcPr>
          <w:p w14:paraId="6347C5CF" w14:textId="77777777" w:rsidR="002B32A0" w:rsidRDefault="002B32A0" w:rsidP="006258ED">
            <w:pPr>
              <w:pStyle w:val="Tabletext"/>
            </w:pPr>
            <w:r w:rsidRPr="008F3B21">
              <w:t>$493,475</w:t>
            </w:r>
          </w:p>
        </w:tc>
        <w:tc>
          <w:tcPr>
            <w:tcW w:w="1647" w:type="dxa"/>
          </w:tcPr>
          <w:p w14:paraId="537C6ED7" w14:textId="77777777" w:rsidR="002B32A0" w:rsidRPr="00144088" w:rsidRDefault="002B32A0" w:rsidP="006258ED">
            <w:pPr>
              <w:pStyle w:val="Tabletext"/>
            </w:pPr>
            <w:r w:rsidRPr="008F3B21">
              <w:t>$690,865</w:t>
            </w:r>
          </w:p>
        </w:tc>
      </w:tr>
      <w:tr w:rsidR="002B32A0" w14:paraId="07BDA576" w14:textId="77777777" w:rsidTr="00163772">
        <w:trPr>
          <w:trHeight w:val="199"/>
        </w:trPr>
        <w:tc>
          <w:tcPr>
            <w:tcW w:w="3686" w:type="dxa"/>
            <w:tcMar>
              <w:left w:w="80" w:type="dxa"/>
            </w:tcMar>
          </w:tcPr>
          <w:p w14:paraId="264F487A" w14:textId="77777777" w:rsidR="002B32A0" w:rsidRPr="00144088" w:rsidRDefault="002B32A0" w:rsidP="006258ED">
            <w:pPr>
              <w:pStyle w:val="Tabletext"/>
            </w:pPr>
            <w:r w:rsidRPr="008F3B21">
              <w:t>ARC</w:t>
            </w:r>
          </w:p>
        </w:tc>
        <w:tc>
          <w:tcPr>
            <w:tcW w:w="1646" w:type="dxa"/>
          </w:tcPr>
          <w:p w14:paraId="4A9C388D" w14:textId="77777777" w:rsidR="002B32A0" w:rsidRPr="00E412AE" w:rsidRDefault="002B32A0" w:rsidP="006258ED">
            <w:pPr>
              <w:pStyle w:val="Tabletext"/>
            </w:pPr>
          </w:p>
        </w:tc>
        <w:tc>
          <w:tcPr>
            <w:tcW w:w="1646" w:type="dxa"/>
          </w:tcPr>
          <w:p w14:paraId="663256F5" w14:textId="77777777" w:rsidR="002B32A0" w:rsidRPr="00144088" w:rsidRDefault="002B32A0" w:rsidP="006258ED">
            <w:pPr>
              <w:pStyle w:val="Tabletext"/>
            </w:pPr>
            <w:r w:rsidRPr="008F3B21">
              <w:t>$928,360</w:t>
            </w:r>
          </w:p>
        </w:tc>
        <w:tc>
          <w:tcPr>
            <w:tcW w:w="1646" w:type="dxa"/>
          </w:tcPr>
          <w:p w14:paraId="343ED7C3" w14:textId="77777777" w:rsidR="002B32A0" w:rsidRDefault="002B32A0" w:rsidP="006258ED">
            <w:pPr>
              <w:pStyle w:val="Tabletext"/>
            </w:pPr>
            <w:r w:rsidRPr="008F3B21">
              <w:t>$2,112,923</w:t>
            </w:r>
          </w:p>
        </w:tc>
        <w:tc>
          <w:tcPr>
            <w:tcW w:w="1647" w:type="dxa"/>
          </w:tcPr>
          <w:p w14:paraId="69E816C0" w14:textId="77777777" w:rsidR="002B32A0" w:rsidRPr="00144088" w:rsidRDefault="002B32A0" w:rsidP="006258ED">
            <w:pPr>
              <w:pStyle w:val="Tabletext"/>
            </w:pPr>
            <w:r w:rsidRPr="008F3B21">
              <w:t>$3,041,282</w:t>
            </w:r>
          </w:p>
        </w:tc>
      </w:tr>
      <w:tr w:rsidR="002B32A0" w14:paraId="289831F4" w14:textId="77777777" w:rsidTr="00163772">
        <w:trPr>
          <w:trHeight w:val="199"/>
        </w:trPr>
        <w:tc>
          <w:tcPr>
            <w:tcW w:w="10271" w:type="dxa"/>
            <w:gridSpan w:val="5"/>
            <w:tcMar>
              <w:left w:w="80" w:type="dxa"/>
            </w:tcMar>
          </w:tcPr>
          <w:p w14:paraId="11814DF4" w14:textId="77777777" w:rsidR="002B32A0" w:rsidRPr="00144088" w:rsidRDefault="002B32A0" w:rsidP="006258ED">
            <w:pPr>
              <w:pStyle w:val="Tabletext"/>
            </w:pPr>
            <w:r w:rsidRPr="00791668">
              <w:rPr>
                <w:b/>
                <w:bCs/>
              </w:rPr>
              <w:t>FL190100167</w:t>
            </w:r>
            <w:r>
              <w:rPr>
                <w:b/>
                <w:bCs/>
              </w:rPr>
              <w:t xml:space="preserve"> – </w:t>
            </w:r>
            <w:r w:rsidRPr="00DD534A">
              <w:rPr>
                <w:b/>
                <w:bCs/>
              </w:rPr>
              <w:t>Prof Andrew Dzurak (Australian Laureate Fellowship)</w:t>
            </w:r>
          </w:p>
        </w:tc>
      </w:tr>
      <w:tr w:rsidR="002B32A0" w14:paraId="59E148E7" w14:textId="77777777" w:rsidTr="00163772">
        <w:trPr>
          <w:trHeight w:val="199"/>
        </w:trPr>
        <w:tc>
          <w:tcPr>
            <w:tcW w:w="3686" w:type="dxa"/>
            <w:tcMar>
              <w:left w:w="80" w:type="dxa"/>
            </w:tcMar>
          </w:tcPr>
          <w:p w14:paraId="71C12CD6" w14:textId="77777777" w:rsidR="002B32A0" w:rsidRPr="00144088" w:rsidRDefault="002B32A0" w:rsidP="006258ED">
            <w:pPr>
              <w:pStyle w:val="Tabletext"/>
            </w:pPr>
            <w:r w:rsidRPr="00900A59">
              <w:t xml:space="preserve">Academic partner </w:t>
            </w:r>
          </w:p>
        </w:tc>
        <w:tc>
          <w:tcPr>
            <w:tcW w:w="1646" w:type="dxa"/>
          </w:tcPr>
          <w:p w14:paraId="1AE20DB9" w14:textId="77777777" w:rsidR="002B32A0" w:rsidRPr="00E412AE" w:rsidRDefault="002B32A0" w:rsidP="006258ED">
            <w:pPr>
              <w:pStyle w:val="Tabletext"/>
            </w:pPr>
          </w:p>
        </w:tc>
        <w:tc>
          <w:tcPr>
            <w:tcW w:w="1646" w:type="dxa"/>
          </w:tcPr>
          <w:p w14:paraId="6D352EF9" w14:textId="77777777" w:rsidR="002B32A0" w:rsidRPr="00144088" w:rsidRDefault="002B32A0" w:rsidP="006258ED">
            <w:pPr>
              <w:pStyle w:val="Tabletext"/>
            </w:pPr>
          </w:p>
        </w:tc>
        <w:tc>
          <w:tcPr>
            <w:tcW w:w="1646" w:type="dxa"/>
          </w:tcPr>
          <w:p w14:paraId="2C57EC36" w14:textId="77777777" w:rsidR="002B32A0" w:rsidRDefault="002B32A0" w:rsidP="006258ED">
            <w:pPr>
              <w:pStyle w:val="Tabletext"/>
            </w:pPr>
            <w:r w:rsidRPr="00900A59">
              <w:t>$1,817,165</w:t>
            </w:r>
          </w:p>
        </w:tc>
        <w:tc>
          <w:tcPr>
            <w:tcW w:w="1647" w:type="dxa"/>
          </w:tcPr>
          <w:p w14:paraId="440DA0DE" w14:textId="77777777" w:rsidR="002B32A0" w:rsidRPr="00144088" w:rsidRDefault="002B32A0" w:rsidP="006258ED">
            <w:pPr>
              <w:pStyle w:val="Tabletext"/>
            </w:pPr>
            <w:r w:rsidRPr="00900A59">
              <w:t>$1,817,165</w:t>
            </w:r>
          </w:p>
        </w:tc>
      </w:tr>
      <w:tr w:rsidR="002B32A0" w14:paraId="5CCD07EC" w14:textId="77777777" w:rsidTr="00163772">
        <w:trPr>
          <w:trHeight w:val="199"/>
        </w:trPr>
        <w:tc>
          <w:tcPr>
            <w:tcW w:w="3686" w:type="dxa"/>
            <w:tcMar>
              <w:left w:w="80" w:type="dxa"/>
            </w:tcMar>
          </w:tcPr>
          <w:p w14:paraId="32B6A11B" w14:textId="77777777" w:rsidR="002B32A0" w:rsidRPr="00144088" w:rsidRDefault="002B32A0" w:rsidP="006258ED">
            <w:pPr>
              <w:pStyle w:val="Tabletext"/>
            </w:pPr>
            <w:r w:rsidRPr="00900A59">
              <w:t>ARC</w:t>
            </w:r>
          </w:p>
        </w:tc>
        <w:tc>
          <w:tcPr>
            <w:tcW w:w="1646" w:type="dxa"/>
          </w:tcPr>
          <w:p w14:paraId="234F64D3" w14:textId="77777777" w:rsidR="002B32A0" w:rsidRPr="00E412AE" w:rsidRDefault="002B32A0" w:rsidP="006258ED">
            <w:pPr>
              <w:pStyle w:val="Tabletext"/>
            </w:pPr>
          </w:p>
        </w:tc>
        <w:tc>
          <w:tcPr>
            <w:tcW w:w="1646" w:type="dxa"/>
          </w:tcPr>
          <w:p w14:paraId="37DBA83A" w14:textId="77777777" w:rsidR="002B32A0" w:rsidRPr="00144088" w:rsidRDefault="002B32A0" w:rsidP="006258ED">
            <w:pPr>
              <w:pStyle w:val="Tabletext"/>
            </w:pPr>
          </w:p>
        </w:tc>
        <w:tc>
          <w:tcPr>
            <w:tcW w:w="1646" w:type="dxa"/>
          </w:tcPr>
          <w:p w14:paraId="00D18E0B" w14:textId="77777777" w:rsidR="002B32A0" w:rsidRDefault="002B32A0" w:rsidP="006258ED">
            <w:pPr>
              <w:pStyle w:val="Tabletext"/>
            </w:pPr>
            <w:r w:rsidRPr="00900A59">
              <w:t>$2,895,366</w:t>
            </w:r>
          </w:p>
        </w:tc>
        <w:tc>
          <w:tcPr>
            <w:tcW w:w="1647" w:type="dxa"/>
          </w:tcPr>
          <w:p w14:paraId="0242EEBA" w14:textId="77777777" w:rsidR="002B32A0" w:rsidRPr="00144088" w:rsidRDefault="002B32A0" w:rsidP="006258ED">
            <w:pPr>
              <w:pStyle w:val="Tabletext"/>
            </w:pPr>
            <w:r w:rsidRPr="00900A59">
              <w:t>$2,895,366</w:t>
            </w:r>
          </w:p>
        </w:tc>
      </w:tr>
      <w:tr w:rsidR="002B32A0" w14:paraId="1A0B741F" w14:textId="77777777" w:rsidTr="00163772">
        <w:trPr>
          <w:trHeight w:val="199"/>
        </w:trPr>
        <w:tc>
          <w:tcPr>
            <w:tcW w:w="10271" w:type="dxa"/>
            <w:gridSpan w:val="5"/>
            <w:tcMar>
              <w:left w:w="80" w:type="dxa"/>
            </w:tcMar>
          </w:tcPr>
          <w:p w14:paraId="40B5D078" w14:textId="77777777" w:rsidR="002B32A0" w:rsidRPr="00144088" w:rsidRDefault="002B32A0" w:rsidP="006258ED">
            <w:pPr>
              <w:pStyle w:val="Tabletext"/>
            </w:pPr>
            <w:r w:rsidRPr="00CE04D6">
              <w:rPr>
                <w:b/>
                <w:bCs/>
              </w:rPr>
              <w:t>LE150100151</w:t>
            </w:r>
            <w:r>
              <w:rPr>
                <w:b/>
                <w:bCs/>
              </w:rPr>
              <w:t xml:space="preserve"> – </w:t>
            </w:r>
            <w:r w:rsidRPr="008A1943">
              <w:rPr>
                <w:b/>
                <w:bCs/>
              </w:rPr>
              <w:t>Probe and engineer interactions in atomic-scale devices with a LT STM</w:t>
            </w:r>
          </w:p>
        </w:tc>
      </w:tr>
      <w:tr w:rsidR="002B32A0" w14:paraId="5BE83E5C" w14:textId="77777777" w:rsidTr="00163772">
        <w:trPr>
          <w:trHeight w:val="199"/>
        </w:trPr>
        <w:tc>
          <w:tcPr>
            <w:tcW w:w="3686" w:type="dxa"/>
            <w:tcMar>
              <w:left w:w="80" w:type="dxa"/>
            </w:tcMar>
          </w:tcPr>
          <w:p w14:paraId="44728BA6" w14:textId="77777777" w:rsidR="002B32A0" w:rsidRPr="00144088" w:rsidRDefault="002B32A0" w:rsidP="006258ED">
            <w:pPr>
              <w:pStyle w:val="Tabletext"/>
            </w:pPr>
            <w:r w:rsidRPr="00144088">
              <w:t xml:space="preserve">Academic partner </w:t>
            </w:r>
          </w:p>
        </w:tc>
        <w:tc>
          <w:tcPr>
            <w:tcW w:w="1646" w:type="dxa"/>
          </w:tcPr>
          <w:p w14:paraId="79643698" w14:textId="77777777" w:rsidR="002B32A0" w:rsidRPr="00E412AE" w:rsidRDefault="002B32A0" w:rsidP="006258ED">
            <w:pPr>
              <w:pStyle w:val="Tabletext"/>
            </w:pPr>
          </w:p>
        </w:tc>
        <w:tc>
          <w:tcPr>
            <w:tcW w:w="1646" w:type="dxa"/>
          </w:tcPr>
          <w:p w14:paraId="148F5683" w14:textId="77777777" w:rsidR="002B32A0" w:rsidRPr="00144088" w:rsidRDefault="002B32A0" w:rsidP="006258ED">
            <w:pPr>
              <w:pStyle w:val="Tabletext"/>
            </w:pPr>
            <w:r w:rsidRPr="00144088">
              <w:t>$342,200</w:t>
            </w:r>
          </w:p>
        </w:tc>
        <w:tc>
          <w:tcPr>
            <w:tcW w:w="1646" w:type="dxa"/>
          </w:tcPr>
          <w:p w14:paraId="59F6ABA4" w14:textId="77777777" w:rsidR="002B32A0" w:rsidRDefault="002B32A0" w:rsidP="006258ED">
            <w:pPr>
              <w:pStyle w:val="Tabletext"/>
            </w:pPr>
          </w:p>
        </w:tc>
        <w:tc>
          <w:tcPr>
            <w:tcW w:w="1647" w:type="dxa"/>
          </w:tcPr>
          <w:p w14:paraId="67239A6D" w14:textId="77777777" w:rsidR="002B32A0" w:rsidRPr="00144088" w:rsidRDefault="002B32A0" w:rsidP="006258ED">
            <w:pPr>
              <w:pStyle w:val="Tabletext"/>
            </w:pPr>
            <w:r w:rsidRPr="00144088">
              <w:t>$342,200</w:t>
            </w:r>
          </w:p>
        </w:tc>
      </w:tr>
      <w:tr w:rsidR="002B32A0" w14:paraId="786F5814" w14:textId="77777777" w:rsidTr="00163772">
        <w:trPr>
          <w:trHeight w:val="199"/>
        </w:trPr>
        <w:tc>
          <w:tcPr>
            <w:tcW w:w="3686" w:type="dxa"/>
            <w:tcMar>
              <w:left w:w="80" w:type="dxa"/>
            </w:tcMar>
          </w:tcPr>
          <w:p w14:paraId="77AD2570" w14:textId="77777777" w:rsidR="002B32A0" w:rsidRPr="00144088" w:rsidRDefault="002B32A0" w:rsidP="006258ED">
            <w:pPr>
              <w:pStyle w:val="Tabletext"/>
            </w:pPr>
            <w:r w:rsidRPr="00144088">
              <w:t>ARC</w:t>
            </w:r>
          </w:p>
        </w:tc>
        <w:tc>
          <w:tcPr>
            <w:tcW w:w="1646" w:type="dxa"/>
          </w:tcPr>
          <w:p w14:paraId="4882279B" w14:textId="77777777" w:rsidR="002B32A0" w:rsidRPr="00E412AE" w:rsidRDefault="002B32A0" w:rsidP="006258ED">
            <w:pPr>
              <w:pStyle w:val="Tabletext"/>
            </w:pPr>
          </w:p>
        </w:tc>
        <w:tc>
          <w:tcPr>
            <w:tcW w:w="1646" w:type="dxa"/>
          </w:tcPr>
          <w:p w14:paraId="44365121" w14:textId="77777777" w:rsidR="002B32A0" w:rsidRPr="00144088" w:rsidRDefault="002B32A0" w:rsidP="006258ED">
            <w:pPr>
              <w:pStyle w:val="Tabletext"/>
            </w:pPr>
            <w:r w:rsidRPr="00144088">
              <w:t>$760,000</w:t>
            </w:r>
          </w:p>
        </w:tc>
        <w:tc>
          <w:tcPr>
            <w:tcW w:w="1646" w:type="dxa"/>
          </w:tcPr>
          <w:p w14:paraId="72D3476F" w14:textId="77777777" w:rsidR="002B32A0" w:rsidRDefault="002B32A0" w:rsidP="006258ED">
            <w:pPr>
              <w:pStyle w:val="Tabletext"/>
            </w:pPr>
          </w:p>
        </w:tc>
        <w:tc>
          <w:tcPr>
            <w:tcW w:w="1647" w:type="dxa"/>
          </w:tcPr>
          <w:p w14:paraId="2E687578" w14:textId="77777777" w:rsidR="002B32A0" w:rsidRPr="00144088" w:rsidRDefault="002B32A0" w:rsidP="006258ED">
            <w:pPr>
              <w:pStyle w:val="Tabletext"/>
            </w:pPr>
            <w:r w:rsidRPr="00144088">
              <w:t>$760,000</w:t>
            </w:r>
          </w:p>
        </w:tc>
      </w:tr>
      <w:tr w:rsidR="002B32A0" w14:paraId="54602C7C" w14:textId="77777777" w:rsidTr="00163772">
        <w:trPr>
          <w:trHeight w:val="199"/>
        </w:trPr>
        <w:tc>
          <w:tcPr>
            <w:tcW w:w="3686" w:type="dxa"/>
            <w:tcMar>
              <w:left w:w="80" w:type="dxa"/>
            </w:tcMar>
            <w:hideMark/>
          </w:tcPr>
          <w:p w14:paraId="6292EF26" w14:textId="77777777" w:rsidR="002B32A0" w:rsidRPr="008C56B9" w:rsidRDefault="002B32A0" w:rsidP="006258ED">
            <w:pPr>
              <w:pStyle w:val="Tabletext"/>
              <w:rPr>
                <w:rFonts w:eastAsia="Times New Roman" w:cs="Calibri"/>
                <w:b/>
                <w:bCs/>
                <w:color w:val="FFFFFF" w:themeColor="background1"/>
                <w:szCs w:val="20"/>
                <w:lang w:eastAsia="en-AU"/>
              </w:rPr>
            </w:pPr>
            <w:r w:rsidRPr="008C56B9">
              <w:rPr>
                <w:rFonts w:eastAsia="Times New Roman" w:cs="Calibri"/>
                <w:b/>
                <w:bCs/>
                <w:color w:val="FFFFFF" w:themeColor="background1"/>
                <w:szCs w:val="20"/>
                <w:lang w:eastAsia="en-AU"/>
              </w:rPr>
              <w:t>In-kind</w:t>
            </w:r>
          </w:p>
        </w:tc>
        <w:tc>
          <w:tcPr>
            <w:tcW w:w="1646" w:type="dxa"/>
          </w:tcPr>
          <w:p w14:paraId="39ED769F" w14:textId="77777777" w:rsidR="002B32A0" w:rsidRPr="008C56B9" w:rsidRDefault="002B32A0" w:rsidP="006258ED">
            <w:pPr>
              <w:pStyle w:val="Tabletext"/>
              <w:rPr>
                <w:b/>
                <w:color w:val="FFFFFF" w:themeColor="background1"/>
              </w:rPr>
            </w:pPr>
          </w:p>
        </w:tc>
        <w:tc>
          <w:tcPr>
            <w:tcW w:w="1646" w:type="dxa"/>
          </w:tcPr>
          <w:p w14:paraId="65EC883A" w14:textId="77777777" w:rsidR="002B32A0" w:rsidRPr="008C56B9" w:rsidRDefault="002B32A0" w:rsidP="006258ED">
            <w:pPr>
              <w:pStyle w:val="Tabletext"/>
              <w:rPr>
                <w:color w:val="FFFFFF" w:themeColor="background1"/>
              </w:rPr>
            </w:pPr>
          </w:p>
        </w:tc>
        <w:tc>
          <w:tcPr>
            <w:tcW w:w="1646" w:type="dxa"/>
          </w:tcPr>
          <w:p w14:paraId="3E330A70" w14:textId="77777777" w:rsidR="002B32A0" w:rsidRPr="008C56B9" w:rsidRDefault="002B32A0" w:rsidP="006258ED">
            <w:pPr>
              <w:pStyle w:val="Tabletext"/>
              <w:rPr>
                <w:color w:val="FFFFFF" w:themeColor="background1"/>
              </w:rPr>
            </w:pPr>
          </w:p>
        </w:tc>
        <w:tc>
          <w:tcPr>
            <w:tcW w:w="1647" w:type="dxa"/>
          </w:tcPr>
          <w:p w14:paraId="47243DB5" w14:textId="77777777" w:rsidR="002B32A0" w:rsidRPr="008C56B9" w:rsidRDefault="002B32A0" w:rsidP="006258ED">
            <w:pPr>
              <w:pStyle w:val="Tabletext"/>
              <w:rPr>
                <w:color w:val="FFFFFF" w:themeColor="background1"/>
              </w:rPr>
            </w:pPr>
          </w:p>
        </w:tc>
      </w:tr>
      <w:tr w:rsidR="002B32A0" w14:paraId="329087C9" w14:textId="77777777" w:rsidTr="00163772">
        <w:trPr>
          <w:trHeight w:val="209"/>
        </w:trPr>
        <w:tc>
          <w:tcPr>
            <w:tcW w:w="10271" w:type="dxa"/>
            <w:gridSpan w:val="5"/>
            <w:tcMar>
              <w:left w:w="80" w:type="dxa"/>
            </w:tcMar>
            <w:hideMark/>
          </w:tcPr>
          <w:p w14:paraId="089761D3" w14:textId="77777777" w:rsidR="002B32A0" w:rsidRDefault="002B32A0" w:rsidP="006258ED">
            <w:pPr>
              <w:pStyle w:val="Tabletext"/>
            </w:pPr>
            <w:r w:rsidRPr="00CE04D6">
              <w:rPr>
                <w:b/>
                <w:bCs/>
              </w:rPr>
              <w:t>CE0348250</w:t>
            </w:r>
            <w:r>
              <w:rPr>
                <w:b/>
                <w:bCs/>
              </w:rPr>
              <w:t xml:space="preserve"> – </w:t>
            </w:r>
            <w:r w:rsidRPr="00DD534A">
              <w:rPr>
                <w:b/>
                <w:bCs/>
              </w:rPr>
              <w:t>Centre for Quantum Computer Technology</w:t>
            </w:r>
          </w:p>
        </w:tc>
      </w:tr>
      <w:tr w:rsidR="002B32A0" w14:paraId="0C01FD6E" w14:textId="77777777" w:rsidTr="00163772">
        <w:trPr>
          <w:trHeight w:val="209"/>
        </w:trPr>
        <w:tc>
          <w:tcPr>
            <w:tcW w:w="3686" w:type="dxa"/>
            <w:tcMar>
              <w:left w:w="80" w:type="dxa"/>
            </w:tcMar>
          </w:tcPr>
          <w:p w14:paraId="6DB60355" w14:textId="77777777" w:rsidR="002B32A0" w:rsidRPr="009706BC" w:rsidRDefault="002B32A0" w:rsidP="006258ED">
            <w:pPr>
              <w:pStyle w:val="Tabletext"/>
            </w:pPr>
            <w:r w:rsidRPr="00FF5804">
              <w:t xml:space="preserve">Academic partner </w:t>
            </w:r>
          </w:p>
        </w:tc>
        <w:tc>
          <w:tcPr>
            <w:tcW w:w="1646" w:type="dxa"/>
          </w:tcPr>
          <w:p w14:paraId="7AAAC17F" w14:textId="77777777" w:rsidR="002B32A0" w:rsidRPr="009706BC" w:rsidRDefault="002B32A0" w:rsidP="006258ED">
            <w:pPr>
              <w:pStyle w:val="Tabletext"/>
            </w:pPr>
            <w:r w:rsidRPr="00FF5804">
              <w:t>$9,204,836</w:t>
            </w:r>
          </w:p>
        </w:tc>
        <w:tc>
          <w:tcPr>
            <w:tcW w:w="1646" w:type="dxa"/>
          </w:tcPr>
          <w:p w14:paraId="03CE1B74" w14:textId="77777777" w:rsidR="002B32A0" w:rsidRPr="009706BC" w:rsidRDefault="002B32A0" w:rsidP="006258ED">
            <w:pPr>
              <w:pStyle w:val="Tabletext"/>
            </w:pPr>
          </w:p>
        </w:tc>
        <w:tc>
          <w:tcPr>
            <w:tcW w:w="1646" w:type="dxa"/>
          </w:tcPr>
          <w:p w14:paraId="14FFDD6D" w14:textId="77777777" w:rsidR="002B32A0" w:rsidRPr="009706BC" w:rsidRDefault="002B32A0" w:rsidP="006258ED">
            <w:pPr>
              <w:pStyle w:val="Tabletext"/>
            </w:pPr>
          </w:p>
        </w:tc>
        <w:tc>
          <w:tcPr>
            <w:tcW w:w="1647" w:type="dxa"/>
          </w:tcPr>
          <w:p w14:paraId="36DE5F7D" w14:textId="77777777" w:rsidR="002B32A0" w:rsidRPr="009706BC" w:rsidRDefault="002B32A0" w:rsidP="006258ED">
            <w:pPr>
              <w:pStyle w:val="Tabletext"/>
            </w:pPr>
            <w:r w:rsidRPr="00FF5804">
              <w:t>$9,204,836</w:t>
            </w:r>
          </w:p>
        </w:tc>
      </w:tr>
      <w:tr w:rsidR="002B32A0" w14:paraId="628382FB" w14:textId="77777777" w:rsidTr="00163772">
        <w:trPr>
          <w:trHeight w:val="209"/>
        </w:trPr>
        <w:tc>
          <w:tcPr>
            <w:tcW w:w="3686" w:type="dxa"/>
            <w:tcMar>
              <w:left w:w="80" w:type="dxa"/>
            </w:tcMar>
            <w:hideMark/>
          </w:tcPr>
          <w:p w14:paraId="43640F38" w14:textId="77777777" w:rsidR="002B32A0" w:rsidRDefault="002B32A0" w:rsidP="006258ED">
            <w:pPr>
              <w:pStyle w:val="Tabletext"/>
            </w:pPr>
            <w:r w:rsidRPr="009706BC">
              <w:t>Non-academic partner</w:t>
            </w:r>
          </w:p>
        </w:tc>
        <w:tc>
          <w:tcPr>
            <w:tcW w:w="1646" w:type="dxa"/>
            <w:hideMark/>
          </w:tcPr>
          <w:p w14:paraId="70A8C244" w14:textId="77777777" w:rsidR="002B32A0" w:rsidRPr="00E412AE" w:rsidRDefault="002B32A0" w:rsidP="006258ED">
            <w:pPr>
              <w:pStyle w:val="Tabletext"/>
            </w:pPr>
            <w:r w:rsidRPr="009706BC">
              <w:t>$4,860,769</w:t>
            </w:r>
          </w:p>
        </w:tc>
        <w:tc>
          <w:tcPr>
            <w:tcW w:w="1646" w:type="dxa"/>
          </w:tcPr>
          <w:p w14:paraId="15318C43" w14:textId="77777777" w:rsidR="002B32A0" w:rsidRDefault="002B32A0" w:rsidP="006258ED">
            <w:pPr>
              <w:pStyle w:val="Tabletext"/>
            </w:pPr>
          </w:p>
        </w:tc>
        <w:tc>
          <w:tcPr>
            <w:tcW w:w="1646" w:type="dxa"/>
          </w:tcPr>
          <w:p w14:paraId="28DEAD00" w14:textId="77777777" w:rsidR="002B32A0" w:rsidRDefault="002B32A0" w:rsidP="006258ED">
            <w:pPr>
              <w:pStyle w:val="Tabletext"/>
            </w:pPr>
          </w:p>
        </w:tc>
        <w:tc>
          <w:tcPr>
            <w:tcW w:w="1647" w:type="dxa"/>
            <w:hideMark/>
          </w:tcPr>
          <w:p w14:paraId="019F977F" w14:textId="77777777" w:rsidR="002B32A0" w:rsidRDefault="002B32A0" w:rsidP="006258ED">
            <w:pPr>
              <w:pStyle w:val="Tabletext"/>
            </w:pPr>
            <w:r w:rsidRPr="009706BC">
              <w:t>$4,860,769</w:t>
            </w:r>
          </w:p>
        </w:tc>
      </w:tr>
      <w:tr w:rsidR="002B32A0" w14:paraId="696A6340" w14:textId="77777777" w:rsidTr="00163772">
        <w:trPr>
          <w:trHeight w:val="209"/>
        </w:trPr>
        <w:tc>
          <w:tcPr>
            <w:tcW w:w="10271" w:type="dxa"/>
            <w:gridSpan w:val="5"/>
            <w:tcMar>
              <w:left w:w="80" w:type="dxa"/>
            </w:tcMar>
          </w:tcPr>
          <w:p w14:paraId="6A44B897" w14:textId="77777777" w:rsidR="002B32A0" w:rsidRPr="009706BC" w:rsidRDefault="002B32A0" w:rsidP="006258ED">
            <w:pPr>
              <w:pStyle w:val="Tabletext"/>
            </w:pPr>
            <w:r w:rsidRPr="00CE04D6">
              <w:rPr>
                <w:b/>
                <w:bCs/>
              </w:rPr>
              <w:t xml:space="preserve">CE1101027 </w:t>
            </w:r>
            <w:r>
              <w:rPr>
                <w:b/>
                <w:bCs/>
              </w:rPr>
              <w:t xml:space="preserve">– </w:t>
            </w:r>
            <w:r w:rsidRPr="00DD534A">
              <w:rPr>
                <w:b/>
                <w:bCs/>
              </w:rPr>
              <w:t xml:space="preserve">Centre </w:t>
            </w:r>
            <w:r>
              <w:rPr>
                <w:b/>
                <w:bCs/>
              </w:rPr>
              <w:t>o</w:t>
            </w:r>
            <w:r w:rsidRPr="00DD534A">
              <w:rPr>
                <w:b/>
                <w:bCs/>
              </w:rPr>
              <w:t xml:space="preserve">f Excellence </w:t>
            </w:r>
            <w:r>
              <w:rPr>
                <w:b/>
                <w:bCs/>
              </w:rPr>
              <w:t>f</w:t>
            </w:r>
            <w:r w:rsidRPr="00DD534A">
              <w:rPr>
                <w:b/>
                <w:bCs/>
              </w:rPr>
              <w:t>or Quantum Computation and Communication Technology</w:t>
            </w:r>
          </w:p>
        </w:tc>
      </w:tr>
      <w:tr w:rsidR="002B32A0" w14:paraId="581007A7" w14:textId="77777777" w:rsidTr="00163772">
        <w:trPr>
          <w:trHeight w:val="209"/>
        </w:trPr>
        <w:tc>
          <w:tcPr>
            <w:tcW w:w="3686" w:type="dxa"/>
            <w:tcMar>
              <w:left w:w="80" w:type="dxa"/>
            </w:tcMar>
          </w:tcPr>
          <w:p w14:paraId="316E8BC2" w14:textId="77777777" w:rsidR="002B32A0" w:rsidRPr="009706BC" w:rsidRDefault="002B32A0" w:rsidP="006258ED">
            <w:pPr>
              <w:pStyle w:val="Tabletext"/>
            </w:pPr>
            <w:r w:rsidRPr="008E60F9">
              <w:t>Academic partner</w:t>
            </w:r>
          </w:p>
        </w:tc>
        <w:tc>
          <w:tcPr>
            <w:tcW w:w="1646" w:type="dxa"/>
          </w:tcPr>
          <w:p w14:paraId="78F44E77" w14:textId="77777777" w:rsidR="002B32A0" w:rsidRPr="009706BC" w:rsidRDefault="002B32A0" w:rsidP="006258ED">
            <w:pPr>
              <w:pStyle w:val="Tabletext"/>
            </w:pPr>
          </w:p>
        </w:tc>
        <w:tc>
          <w:tcPr>
            <w:tcW w:w="1646" w:type="dxa"/>
          </w:tcPr>
          <w:p w14:paraId="4F7325E3" w14:textId="77777777" w:rsidR="002B32A0" w:rsidRPr="009706BC" w:rsidRDefault="002B32A0" w:rsidP="006258ED">
            <w:pPr>
              <w:pStyle w:val="Tabletext"/>
            </w:pPr>
            <w:r w:rsidRPr="00B16544">
              <w:t>$57,506,825</w:t>
            </w:r>
          </w:p>
        </w:tc>
        <w:tc>
          <w:tcPr>
            <w:tcW w:w="1646" w:type="dxa"/>
          </w:tcPr>
          <w:p w14:paraId="0F815CA5" w14:textId="77777777" w:rsidR="002B32A0" w:rsidRDefault="002B32A0" w:rsidP="006258ED">
            <w:pPr>
              <w:pStyle w:val="Tabletext"/>
            </w:pPr>
          </w:p>
        </w:tc>
        <w:tc>
          <w:tcPr>
            <w:tcW w:w="1647" w:type="dxa"/>
          </w:tcPr>
          <w:p w14:paraId="70CBDDFC" w14:textId="77777777" w:rsidR="002B32A0" w:rsidRPr="009706BC" w:rsidRDefault="002B32A0" w:rsidP="006258ED">
            <w:pPr>
              <w:pStyle w:val="Tabletext"/>
            </w:pPr>
            <w:r w:rsidRPr="00104014">
              <w:t>$57,506,825</w:t>
            </w:r>
          </w:p>
        </w:tc>
      </w:tr>
      <w:tr w:rsidR="002B32A0" w14:paraId="0CFC1FCF" w14:textId="77777777" w:rsidTr="00163772">
        <w:trPr>
          <w:trHeight w:val="209"/>
        </w:trPr>
        <w:tc>
          <w:tcPr>
            <w:tcW w:w="3686" w:type="dxa"/>
            <w:tcMar>
              <w:left w:w="80" w:type="dxa"/>
            </w:tcMar>
          </w:tcPr>
          <w:p w14:paraId="7A027C4A" w14:textId="77777777" w:rsidR="002B32A0" w:rsidRPr="009706BC" w:rsidRDefault="002B32A0" w:rsidP="006258ED">
            <w:pPr>
              <w:pStyle w:val="Tabletext"/>
            </w:pPr>
            <w:r w:rsidRPr="008E60F9">
              <w:t>Non-academic partner</w:t>
            </w:r>
          </w:p>
        </w:tc>
        <w:tc>
          <w:tcPr>
            <w:tcW w:w="1646" w:type="dxa"/>
          </w:tcPr>
          <w:p w14:paraId="4C670EEE" w14:textId="77777777" w:rsidR="002B32A0" w:rsidRPr="009706BC" w:rsidRDefault="002B32A0" w:rsidP="006258ED">
            <w:pPr>
              <w:pStyle w:val="Tabletext"/>
            </w:pPr>
          </w:p>
        </w:tc>
        <w:tc>
          <w:tcPr>
            <w:tcW w:w="1646" w:type="dxa"/>
          </w:tcPr>
          <w:p w14:paraId="28B4979B" w14:textId="77777777" w:rsidR="002B32A0" w:rsidRPr="009706BC" w:rsidRDefault="002B32A0" w:rsidP="006258ED">
            <w:pPr>
              <w:pStyle w:val="Tabletext"/>
            </w:pPr>
            <w:r w:rsidRPr="00B16544">
              <w:t>$8,294,572</w:t>
            </w:r>
          </w:p>
        </w:tc>
        <w:tc>
          <w:tcPr>
            <w:tcW w:w="1646" w:type="dxa"/>
          </w:tcPr>
          <w:p w14:paraId="3328D24D" w14:textId="77777777" w:rsidR="002B32A0" w:rsidRDefault="002B32A0" w:rsidP="006258ED">
            <w:pPr>
              <w:pStyle w:val="Tabletext"/>
            </w:pPr>
          </w:p>
        </w:tc>
        <w:tc>
          <w:tcPr>
            <w:tcW w:w="1647" w:type="dxa"/>
          </w:tcPr>
          <w:p w14:paraId="4018A844" w14:textId="77777777" w:rsidR="002B32A0" w:rsidRPr="009706BC" w:rsidRDefault="002B32A0" w:rsidP="006258ED">
            <w:pPr>
              <w:pStyle w:val="Tabletext"/>
            </w:pPr>
            <w:r w:rsidRPr="00104014">
              <w:t>$8,294,572</w:t>
            </w:r>
          </w:p>
        </w:tc>
      </w:tr>
      <w:tr w:rsidR="002B32A0" w14:paraId="6CD3F1A8" w14:textId="77777777" w:rsidTr="00163772">
        <w:trPr>
          <w:trHeight w:val="199"/>
        </w:trPr>
        <w:tc>
          <w:tcPr>
            <w:tcW w:w="10271" w:type="dxa"/>
            <w:gridSpan w:val="5"/>
            <w:tcMar>
              <w:left w:w="80" w:type="dxa"/>
            </w:tcMar>
            <w:hideMark/>
          </w:tcPr>
          <w:p w14:paraId="3F5CF947" w14:textId="77777777" w:rsidR="002B32A0" w:rsidRDefault="002B32A0" w:rsidP="006258ED">
            <w:pPr>
              <w:pStyle w:val="Tabletext"/>
            </w:pPr>
            <w:r w:rsidRPr="00CE04D6">
              <w:rPr>
                <w:b/>
                <w:bCs/>
              </w:rPr>
              <w:t>CE170100012</w:t>
            </w:r>
            <w:r>
              <w:rPr>
                <w:b/>
                <w:bCs/>
              </w:rPr>
              <w:t xml:space="preserve"> – </w:t>
            </w:r>
            <w:r w:rsidRPr="00DD534A">
              <w:rPr>
                <w:b/>
                <w:bCs/>
              </w:rPr>
              <w:t>A</w:t>
            </w:r>
            <w:r>
              <w:rPr>
                <w:b/>
                <w:bCs/>
              </w:rPr>
              <w:t>RC</w:t>
            </w:r>
            <w:r w:rsidRPr="00DD534A">
              <w:rPr>
                <w:b/>
                <w:bCs/>
              </w:rPr>
              <w:t xml:space="preserve"> Centre </w:t>
            </w:r>
            <w:r>
              <w:rPr>
                <w:b/>
                <w:bCs/>
              </w:rPr>
              <w:t>o</w:t>
            </w:r>
            <w:r w:rsidRPr="00DD534A">
              <w:rPr>
                <w:b/>
                <w:bCs/>
              </w:rPr>
              <w:t>f Excellence for Quantum Computation and Communication Technology (Non-Lead) Hollenberg</w:t>
            </w:r>
          </w:p>
        </w:tc>
      </w:tr>
      <w:tr w:rsidR="002B32A0" w14:paraId="6E694F4C" w14:textId="77777777" w:rsidTr="00163772">
        <w:trPr>
          <w:trHeight w:val="199"/>
        </w:trPr>
        <w:tc>
          <w:tcPr>
            <w:tcW w:w="3686" w:type="dxa"/>
            <w:tcMar>
              <w:left w:w="80" w:type="dxa"/>
            </w:tcMar>
            <w:hideMark/>
          </w:tcPr>
          <w:p w14:paraId="19EAA435" w14:textId="77777777" w:rsidR="002B32A0" w:rsidRDefault="002B32A0" w:rsidP="006258ED">
            <w:pPr>
              <w:pStyle w:val="Tabletext"/>
              <w:rPr>
                <w:rFonts w:eastAsia="Times New Roman" w:cs="Calibri"/>
                <w:szCs w:val="20"/>
                <w:lang w:eastAsia="en-AU"/>
              </w:rPr>
            </w:pPr>
            <w:r w:rsidRPr="000F4D5F">
              <w:t xml:space="preserve">Academic partner </w:t>
            </w:r>
          </w:p>
        </w:tc>
        <w:tc>
          <w:tcPr>
            <w:tcW w:w="1646" w:type="dxa"/>
          </w:tcPr>
          <w:p w14:paraId="59AA4790" w14:textId="77777777" w:rsidR="002B32A0" w:rsidRPr="00E412AE" w:rsidRDefault="002B32A0" w:rsidP="006258ED">
            <w:pPr>
              <w:pStyle w:val="Tabletext"/>
            </w:pPr>
          </w:p>
        </w:tc>
        <w:tc>
          <w:tcPr>
            <w:tcW w:w="1646" w:type="dxa"/>
          </w:tcPr>
          <w:p w14:paraId="748855FF" w14:textId="77777777" w:rsidR="002B32A0" w:rsidRPr="00E412AE" w:rsidRDefault="002B32A0" w:rsidP="006258ED">
            <w:pPr>
              <w:pStyle w:val="Tabletext"/>
            </w:pPr>
          </w:p>
        </w:tc>
        <w:tc>
          <w:tcPr>
            <w:tcW w:w="1646" w:type="dxa"/>
          </w:tcPr>
          <w:p w14:paraId="2D580D0D" w14:textId="77777777" w:rsidR="002B32A0" w:rsidRDefault="002B32A0" w:rsidP="006258ED">
            <w:pPr>
              <w:pStyle w:val="Tabletext"/>
            </w:pPr>
            <w:r w:rsidRPr="000F4D5F">
              <w:t>$84,019,609</w:t>
            </w:r>
          </w:p>
        </w:tc>
        <w:tc>
          <w:tcPr>
            <w:tcW w:w="1647" w:type="dxa"/>
            <w:hideMark/>
          </w:tcPr>
          <w:p w14:paraId="25F9777A" w14:textId="77777777" w:rsidR="002B32A0" w:rsidRDefault="002B32A0" w:rsidP="006258ED">
            <w:pPr>
              <w:pStyle w:val="Tabletext"/>
            </w:pPr>
            <w:r w:rsidRPr="000F4D5F">
              <w:t>$84,019,609</w:t>
            </w:r>
          </w:p>
        </w:tc>
      </w:tr>
      <w:tr w:rsidR="002B32A0" w14:paraId="36BD6C0B" w14:textId="77777777" w:rsidTr="00163772">
        <w:trPr>
          <w:trHeight w:val="209"/>
        </w:trPr>
        <w:tc>
          <w:tcPr>
            <w:tcW w:w="3686" w:type="dxa"/>
            <w:tcMar>
              <w:left w:w="80" w:type="dxa"/>
            </w:tcMar>
          </w:tcPr>
          <w:p w14:paraId="5913F77E" w14:textId="77777777" w:rsidR="002B32A0" w:rsidRDefault="002B32A0" w:rsidP="006258ED">
            <w:pPr>
              <w:pStyle w:val="Tabletext"/>
            </w:pPr>
            <w:r w:rsidRPr="000F4D5F">
              <w:t>Non-academic partner</w:t>
            </w:r>
          </w:p>
        </w:tc>
        <w:tc>
          <w:tcPr>
            <w:tcW w:w="1646" w:type="dxa"/>
          </w:tcPr>
          <w:p w14:paraId="6E0A715D" w14:textId="77777777" w:rsidR="002B32A0" w:rsidRPr="00E412AE" w:rsidRDefault="002B32A0" w:rsidP="006258ED">
            <w:pPr>
              <w:pStyle w:val="Tabletext"/>
            </w:pPr>
          </w:p>
        </w:tc>
        <w:tc>
          <w:tcPr>
            <w:tcW w:w="1646" w:type="dxa"/>
          </w:tcPr>
          <w:p w14:paraId="21ABFFC3" w14:textId="77777777" w:rsidR="002B32A0" w:rsidRDefault="002B32A0" w:rsidP="006258ED">
            <w:pPr>
              <w:pStyle w:val="Tabletext"/>
            </w:pPr>
          </w:p>
        </w:tc>
        <w:tc>
          <w:tcPr>
            <w:tcW w:w="1646" w:type="dxa"/>
          </w:tcPr>
          <w:p w14:paraId="5E7FA2CC" w14:textId="77777777" w:rsidR="002B32A0" w:rsidRDefault="002B32A0" w:rsidP="006258ED">
            <w:pPr>
              <w:pStyle w:val="Tabletext"/>
            </w:pPr>
            <w:r w:rsidRPr="000F4D5F">
              <w:t>$7,971,925</w:t>
            </w:r>
          </w:p>
        </w:tc>
        <w:tc>
          <w:tcPr>
            <w:tcW w:w="1647" w:type="dxa"/>
          </w:tcPr>
          <w:p w14:paraId="61954679" w14:textId="77777777" w:rsidR="002B32A0" w:rsidRDefault="002B32A0" w:rsidP="006258ED">
            <w:pPr>
              <w:pStyle w:val="Tabletext"/>
            </w:pPr>
            <w:r w:rsidRPr="000F4D5F">
              <w:t>$7,971,925</w:t>
            </w:r>
          </w:p>
        </w:tc>
      </w:tr>
      <w:tr w:rsidR="002B32A0" w14:paraId="7F1CA2C3" w14:textId="77777777" w:rsidTr="00163772">
        <w:trPr>
          <w:trHeight w:val="199"/>
        </w:trPr>
        <w:tc>
          <w:tcPr>
            <w:tcW w:w="10271" w:type="dxa"/>
            <w:gridSpan w:val="5"/>
            <w:tcMar>
              <w:left w:w="80" w:type="dxa"/>
            </w:tcMar>
            <w:hideMark/>
          </w:tcPr>
          <w:p w14:paraId="1BE6C4E7" w14:textId="77777777" w:rsidR="002B32A0" w:rsidRDefault="002B32A0" w:rsidP="006258ED">
            <w:pPr>
              <w:pStyle w:val="Tabletext"/>
            </w:pPr>
            <w:r w:rsidRPr="00CE04D6">
              <w:rPr>
                <w:b/>
                <w:bCs/>
              </w:rPr>
              <w:t>LE150100151</w:t>
            </w:r>
            <w:r>
              <w:rPr>
                <w:b/>
                <w:bCs/>
              </w:rPr>
              <w:t xml:space="preserve"> – </w:t>
            </w:r>
            <w:r w:rsidRPr="008A1943">
              <w:rPr>
                <w:b/>
                <w:bCs/>
              </w:rPr>
              <w:t>Probe and engineer interactions in atomic-scale devices with a LT STM</w:t>
            </w:r>
          </w:p>
        </w:tc>
      </w:tr>
      <w:tr w:rsidR="00163772" w14:paraId="0345E29A" w14:textId="77777777" w:rsidTr="00163772">
        <w:trPr>
          <w:trHeight w:val="209"/>
        </w:trPr>
        <w:tc>
          <w:tcPr>
            <w:tcW w:w="3686" w:type="dxa"/>
            <w:tcMar>
              <w:left w:w="80" w:type="dxa"/>
            </w:tcMar>
          </w:tcPr>
          <w:p w14:paraId="16FD0296" w14:textId="77777777" w:rsidR="00163772" w:rsidRDefault="00163772" w:rsidP="00DF3694">
            <w:pPr>
              <w:pStyle w:val="Tabletext"/>
            </w:pPr>
            <w:r w:rsidRPr="000F4D5F">
              <w:t>Non-academic partner</w:t>
            </w:r>
          </w:p>
        </w:tc>
        <w:tc>
          <w:tcPr>
            <w:tcW w:w="1646" w:type="dxa"/>
          </w:tcPr>
          <w:p w14:paraId="0358F6E2" w14:textId="77777777" w:rsidR="00163772" w:rsidRPr="00E412AE" w:rsidRDefault="00163772" w:rsidP="00DF3694">
            <w:pPr>
              <w:pStyle w:val="Tabletext"/>
            </w:pPr>
          </w:p>
        </w:tc>
        <w:tc>
          <w:tcPr>
            <w:tcW w:w="1646" w:type="dxa"/>
          </w:tcPr>
          <w:p w14:paraId="0703ED09" w14:textId="36ED79B4" w:rsidR="00163772" w:rsidRDefault="00163772" w:rsidP="00DF3694">
            <w:pPr>
              <w:pStyle w:val="Tabletext"/>
            </w:pPr>
            <w:r w:rsidRPr="001A2A23">
              <w:t>$49,488</w:t>
            </w:r>
          </w:p>
        </w:tc>
        <w:tc>
          <w:tcPr>
            <w:tcW w:w="1646" w:type="dxa"/>
          </w:tcPr>
          <w:p w14:paraId="3CA916D6" w14:textId="5785FFB2" w:rsidR="00163772" w:rsidRDefault="00163772" w:rsidP="00DF3694">
            <w:pPr>
              <w:pStyle w:val="Tabletext"/>
            </w:pPr>
          </w:p>
        </w:tc>
        <w:tc>
          <w:tcPr>
            <w:tcW w:w="1647" w:type="dxa"/>
          </w:tcPr>
          <w:p w14:paraId="3DDDDBCB" w14:textId="0BB47BF0" w:rsidR="00163772" w:rsidRDefault="00163772" w:rsidP="00DF3694">
            <w:pPr>
              <w:pStyle w:val="Tabletext"/>
            </w:pPr>
            <w:r w:rsidRPr="001A2A23">
              <w:t>$49,488</w:t>
            </w:r>
          </w:p>
        </w:tc>
      </w:tr>
      <w:tr w:rsidR="00163772" w14:paraId="0702C3DF" w14:textId="77777777" w:rsidTr="00163772">
        <w:trPr>
          <w:trHeight w:val="209"/>
        </w:trPr>
        <w:tc>
          <w:tcPr>
            <w:tcW w:w="3686" w:type="dxa"/>
            <w:tcMar>
              <w:left w:w="80" w:type="dxa"/>
            </w:tcMar>
          </w:tcPr>
          <w:p w14:paraId="34D41F7B" w14:textId="0F1859C7" w:rsidR="00163772" w:rsidRPr="000F4D5F" w:rsidRDefault="00163772" w:rsidP="00163772">
            <w:pPr>
              <w:pStyle w:val="Tabletext"/>
              <w:ind w:left="-1"/>
            </w:pPr>
            <w:r w:rsidRPr="00CE04D6">
              <w:rPr>
                <w:b/>
                <w:bCs/>
              </w:rPr>
              <w:t>Total</w:t>
            </w:r>
          </w:p>
        </w:tc>
        <w:tc>
          <w:tcPr>
            <w:tcW w:w="1646" w:type="dxa"/>
          </w:tcPr>
          <w:p w14:paraId="48C88FF1" w14:textId="07898C3F" w:rsidR="00163772" w:rsidRPr="00E412AE" w:rsidRDefault="00163772" w:rsidP="00163772">
            <w:pPr>
              <w:pStyle w:val="Tabletext"/>
              <w:ind w:left="-1"/>
            </w:pPr>
            <w:r w:rsidRPr="006D4B86">
              <w:rPr>
                <w:b/>
                <w:bCs/>
              </w:rPr>
              <w:t>$57,452,011</w:t>
            </w:r>
          </w:p>
        </w:tc>
        <w:tc>
          <w:tcPr>
            <w:tcW w:w="1646" w:type="dxa"/>
          </w:tcPr>
          <w:p w14:paraId="5146FDB8" w14:textId="617F1A16" w:rsidR="00163772" w:rsidRPr="001A2A23" w:rsidRDefault="00163772" w:rsidP="00163772">
            <w:pPr>
              <w:pStyle w:val="Tabletext"/>
              <w:ind w:left="-1"/>
            </w:pPr>
            <w:r w:rsidRPr="006D4B86">
              <w:rPr>
                <w:b/>
                <w:bCs/>
              </w:rPr>
              <w:t>$104,427,723</w:t>
            </w:r>
          </w:p>
        </w:tc>
        <w:tc>
          <w:tcPr>
            <w:tcW w:w="1646" w:type="dxa"/>
          </w:tcPr>
          <w:p w14:paraId="2B806EA3" w14:textId="7A75936F" w:rsidR="00163772" w:rsidRDefault="00163772" w:rsidP="00163772">
            <w:pPr>
              <w:pStyle w:val="Tabletext"/>
              <w:ind w:left="-1"/>
            </w:pPr>
            <w:r w:rsidRPr="006D4B86">
              <w:rPr>
                <w:b/>
                <w:bCs/>
              </w:rPr>
              <w:t>$154,164,792</w:t>
            </w:r>
          </w:p>
        </w:tc>
        <w:tc>
          <w:tcPr>
            <w:tcW w:w="1647" w:type="dxa"/>
          </w:tcPr>
          <w:p w14:paraId="7921212D" w14:textId="18B36396" w:rsidR="00163772" w:rsidRPr="001A2A23" w:rsidRDefault="00163772" w:rsidP="00163772">
            <w:pPr>
              <w:pStyle w:val="Tabletext"/>
              <w:ind w:left="-1"/>
            </w:pPr>
            <w:r w:rsidRPr="006D4B86">
              <w:rPr>
                <w:b/>
                <w:bCs/>
              </w:rPr>
              <w:t>$316,044,526</w:t>
            </w:r>
          </w:p>
        </w:tc>
      </w:tr>
    </w:tbl>
    <w:p w14:paraId="09F0103E" w14:textId="0F659AE7" w:rsidR="002B32A0" w:rsidRDefault="002B32A0" w:rsidP="00EB5E0E">
      <w:pPr>
        <w:pStyle w:val="BodyText"/>
        <w:spacing w:after="360"/>
      </w:pPr>
      <w:r>
        <w:t>A timeline of CQC²T ARC grant funding is presente</w:t>
      </w:r>
      <w:r w:rsidRPr="00C40642">
        <w:t xml:space="preserve">d in </w:t>
      </w:r>
      <w:r w:rsidRPr="00F87D0E">
        <w:fldChar w:fldCharType="begin"/>
      </w:r>
      <w:r w:rsidRPr="00F87D0E">
        <w:instrText xml:space="preserve"> REF _Ref131087608 \h  \* MERGEFORMAT </w:instrText>
      </w:r>
      <w:r w:rsidRPr="00F87D0E">
        <w:fldChar w:fldCharType="separate"/>
      </w:r>
      <w:r w:rsidR="000B0AC7" w:rsidRPr="000B0AC7">
        <w:t>Figure 7.2</w:t>
      </w:r>
      <w:r w:rsidRPr="00F87D0E">
        <w:fldChar w:fldCharType="end"/>
      </w:r>
      <w:r>
        <w:t xml:space="preserve"> below.</w:t>
      </w:r>
    </w:p>
    <w:p w14:paraId="0301880E" w14:textId="1DD1D815" w:rsidR="000B0AC7" w:rsidRDefault="000B0AC7" w:rsidP="000B0AC7">
      <w:pPr>
        <w:pStyle w:val="Caption"/>
        <w:ind w:left="1166" w:hanging="1308"/>
      </w:pPr>
      <w:bookmarkStart w:id="253" w:name="_Ref131087608"/>
      <w:r w:rsidRPr="006D4B86">
        <w:rPr>
          <w:rStyle w:val="CaptionLabel"/>
        </w:rPr>
        <w:lastRenderedPageBreak/>
        <w:t>Figure </w:t>
      </w:r>
      <w:r w:rsidRPr="006D4B86">
        <w:rPr>
          <w:rStyle w:val="CaptionLabel"/>
        </w:rPr>
        <w:fldChar w:fldCharType="begin"/>
      </w:r>
      <w:r w:rsidRPr="006D4B86">
        <w:rPr>
          <w:rStyle w:val="CaptionLabel"/>
        </w:rPr>
        <w:instrText xml:space="preserve"> STYLEREF 1 \S \* MERGEFORMAT </w:instrText>
      </w:r>
      <w:r w:rsidRPr="006D4B86">
        <w:rPr>
          <w:rStyle w:val="CaptionLabel"/>
        </w:rPr>
        <w:fldChar w:fldCharType="separate"/>
      </w:r>
      <w:r>
        <w:rPr>
          <w:rStyle w:val="CaptionLabel"/>
          <w:noProof/>
        </w:rPr>
        <w:t>7</w:t>
      </w:r>
      <w:r w:rsidRPr="006D4B86">
        <w:rPr>
          <w:rStyle w:val="CaptionLabel"/>
        </w:rPr>
        <w:fldChar w:fldCharType="end"/>
      </w:r>
      <w:r w:rsidRPr="006D4B86">
        <w:rPr>
          <w:rStyle w:val="CaptionLabel"/>
        </w:rPr>
        <w:t>.</w:t>
      </w:r>
      <w:r w:rsidRPr="006D4B86">
        <w:rPr>
          <w:rStyle w:val="CaptionLabel"/>
        </w:rPr>
        <w:fldChar w:fldCharType="begin"/>
      </w:r>
      <w:r w:rsidRPr="006D4B86">
        <w:rPr>
          <w:rStyle w:val="CaptionLabel"/>
        </w:rPr>
        <w:instrText xml:space="preserve"> SEQ Figure \* ARABIC \S 1 \* MERGEFORMAT </w:instrText>
      </w:r>
      <w:r w:rsidRPr="006D4B86">
        <w:rPr>
          <w:rStyle w:val="CaptionLabel"/>
        </w:rPr>
        <w:fldChar w:fldCharType="separate"/>
      </w:r>
      <w:r>
        <w:rPr>
          <w:rStyle w:val="CaptionLabel"/>
          <w:noProof/>
        </w:rPr>
        <w:t>2</w:t>
      </w:r>
      <w:r w:rsidRPr="006D4B86">
        <w:rPr>
          <w:rStyle w:val="CaptionLabel"/>
        </w:rPr>
        <w:fldChar w:fldCharType="end"/>
      </w:r>
      <w:bookmarkEnd w:id="253"/>
      <w:r>
        <w:tab/>
        <w:t>Timeline of CQC²T ARC grants</w:t>
      </w:r>
    </w:p>
    <w:tbl>
      <w:tblPr>
        <w:tblStyle w:val="aacTableFigure-Wide"/>
        <w:tblW w:w="5000" w:type="pct"/>
        <w:tblInd w:w="0" w:type="dxa"/>
        <w:tblBorders>
          <w:top w:val="single" w:sz="4" w:space="0" w:color="000000"/>
          <w:bottom w:val="single" w:sz="4" w:space="0" w:color="000000"/>
        </w:tblBorders>
        <w:tblLook w:val="04A0" w:firstRow="1" w:lastRow="0" w:firstColumn="1" w:lastColumn="0" w:noHBand="0" w:noVBand="1"/>
      </w:tblPr>
      <w:tblGrid>
        <w:gridCol w:w="7936"/>
      </w:tblGrid>
      <w:tr w:rsidR="002B32A0" w14:paraId="0F9350FF" w14:textId="77777777" w:rsidTr="00163772">
        <w:tc>
          <w:tcPr>
            <w:tcW w:w="5000" w:type="pct"/>
            <w:shd w:val="clear" w:color="auto" w:fill="auto"/>
          </w:tcPr>
          <w:p w14:paraId="7BFC0D33" w14:textId="77777777" w:rsidR="002B32A0" w:rsidRDefault="002B32A0" w:rsidP="006258ED">
            <w:pPr>
              <w:pStyle w:val="Figure"/>
              <w:jc w:val="center"/>
            </w:pPr>
            <w:r>
              <w:rPr>
                <w:noProof/>
              </w:rPr>
              <w:drawing>
                <wp:inline distT="0" distB="0" distL="0" distR="0" wp14:anchorId="1EB10F20" wp14:editId="099DF2DB">
                  <wp:extent cx="5063974" cy="6899564"/>
                  <wp:effectExtent l="0" t="0" r="3810" b="0"/>
                  <wp:docPr id="815" name="Picture 815" descr="Timeline of CQC²T ARC gr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 name="Picture 815" descr="Timeline of CQC²T ARC grants"/>
                          <pic:cNvPicPr/>
                        </pic:nvPicPr>
                        <pic:blipFill>
                          <a:blip r:embed="rId154"/>
                          <a:stretch>
                            <a:fillRect/>
                          </a:stretch>
                        </pic:blipFill>
                        <pic:spPr>
                          <a:xfrm>
                            <a:off x="0" y="0"/>
                            <a:ext cx="5073618" cy="6912704"/>
                          </a:xfrm>
                          <a:prstGeom prst="rect">
                            <a:avLst/>
                          </a:prstGeom>
                        </pic:spPr>
                      </pic:pic>
                    </a:graphicData>
                  </a:graphic>
                </wp:inline>
              </w:drawing>
            </w:r>
          </w:p>
        </w:tc>
      </w:tr>
    </w:tbl>
    <w:p w14:paraId="5CAC3D69" w14:textId="77777777" w:rsidR="000B0AC7" w:rsidRDefault="000B0AC7" w:rsidP="000B0AC7">
      <w:pPr>
        <w:pStyle w:val="Source"/>
        <w:ind w:left="1166" w:hanging="1308"/>
      </w:pPr>
      <w:r>
        <w:t>Source: ACIL Allen</w:t>
      </w:r>
    </w:p>
    <w:p w14:paraId="56BCD29D" w14:textId="77777777" w:rsidR="000B0AC7" w:rsidRDefault="000B0AC7" w:rsidP="006258ED">
      <w:pPr>
        <w:pStyle w:val="spacer"/>
      </w:pPr>
    </w:p>
    <w:p w14:paraId="3024C828" w14:textId="77777777" w:rsidR="002B32A0" w:rsidRDefault="002B32A0" w:rsidP="00EB5E0E">
      <w:pPr>
        <w:pStyle w:val="Heading2"/>
      </w:pPr>
      <w:bookmarkStart w:id="254" w:name="_Toc131174637"/>
      <w:bookmarkStart w:id="255" w:name="_Toc132970668"/>
      <w:bookmarkStart w:id="256" w:name="_Toc135323707"/>
      <w:r>
        <w:t>A</w:t>
      </w:r>
      <w:r w:rsidRPr="00B03BA4">
        <w:t>ctivities</w:t>
      </w:r>
      <w:bookmarkEnd w:id="254"/>
      <w:bookmarkEnd w:id="255"/>
      <w:bookmarkEnd w:id="256"/>
    </w:p>
    <w:p w14:paraId="0E1F7DFA" w14:textId="77777777" w:rsidR="002B32A0" w:rsidRDefault="002B32A0" w:rsidP="002B32A0">
      <w:pPr>
        <w:pStyle w:val="BodyText"/>
      </w:pPr>
      <w:r>
        <w:t>The activities of the CQC²T are complex and spread across several quantum computing disciplines and include quantum communications. The Centre has 22 research programs run by program managers who are responsible for executing the detailed, milestone driven research program. These programs are organised into 9 work-packages</w:t>
      </w:r>
      <w:r>
        <w:rPr>
          <w:rStyle w:val="FootnoteReference"/>
        </w:rPr>
        <w:footnoteReference w:id="88"/>
      </w:r>
      <w:r>
        <w:t xml:space="preserve"> overseen by 9 </w:t>
      </w:r>
      <w:r>
        <w:lastRenderedPageBreak/>
        <w:t>research team leaders who coordinate the efforts of the different programs that contribute to the high-level work package milestones.</w:t>
      </w:r>
      <w:r w:rsidRPr="00795164">
        <w:t xml:space="preserve"> </w:t>
      </w:r>
      <w:r>
        <w:t>Each program is linked to between 2 and 6 of the work packages. Sitting above this is the Centre Executive who coordinate, plan and provide effective control of the overall program.</w:t>
      </w:r>
    </w:p>
    <w:p w14:paraId="69309252" w14:textId="77777777" w:rsidR="002B32A0" w:rsidRDefault="002B32A0" w:rsidP="002B32A0">
      <w:pPr>
        <w:pStyle w:val="BodyText"/>
      </w:pPr>
      <w:r>
        <w:t>Reporting</w:t>
      </w:r>
      <w:r>
        <w:rPr>
          <w:rStyle w:val="FootnoteReference"/>
        </w:rPr>
        <w:footnoteReference w:id="89"/>
      </w:r>
      <w:r>
        <w:t xml:space="preserve"> to the ARC has simplified these programs into 4 application areas, summarised below.</w:t>
      </w:r>
    </w:p>
    <w:p w14:paraId="076A3DF7" w14:textId="77777777" w:rsidR="002B32A0" w:rsidRDefault="002B32A0" w:rsidP="002B32A0">
      <w:pPr>
        <w:pStyle w:val="ListBullet"/>
      </w:pPr>
      <w:r w:rsidRPr="00A243F1">
        <w:rPr>
          <w:b/>
          <w:bCs/>
        </w:rPr>
        <w:t xml:space="preserve">Intermediate quantum computing (IQC) ─ </w:t>
      </w:r>
      <w:r>
        <w:t>Intermediate Quantum Computers provide a nearer-term realisation of quantum processors. A major goal of the Centre is to develop the technology to produce quantum processors at the intermediate scale (between 10 and 100 qubits</w:t>
      </w:r>
      <w:r>
        <w:rPr>
          <w:rStyle w:val="FootnoteReference"/>
        </w:rPr>
        <w:footnoteReference w:id="90"/>
      </w:r>
      <w:r>
        <w:t xml:space="preserve">) based on silicon, optical or hybrid silicon/optical systems for simulation, sampling and adiabatic optimisation paradigms. Key breakthroughs in this space have included identifying </w:t>
      </w:r>
      <w:r w:rsidRPr="00AD765A">
        <w:t>the smallest quantum circuits capable of demonstrating quantum supremacy</w:t>
      </w:r>
      <w:r>
        <w:t>,</w:t>
      </w:r>
      <w:r w:rsidRPr="00AD765A">
        <w:t xml:space="preserve"> providing benchmark performance for IQC devices</w:t>
      </w:r>
      <w:r>
        <w:t xml:space="preserve">, demonstrating the first integrated circuit with atomic precision that was able to simulate a polyacetylene molecule and demonstration that </w:t>
      </w:r>
      <w:r w:rsidRPr="00AD765A">
        <w:t>it is possible to develop quantum</w:t>
      </w:r>
      <w:r>
        <w:t>-</w:t>
      </w:r>
      <w:r w:rsidRPr="00AD765A">
        <w:t>enhanced machine learning for simulation thereby leveraging classical resources</w:t>
      </w:r>
      <w:r>
        <w:t>.</w:t>
      </w:r>
    </w:p>
    <w:p w14:paraId="11D7EEF8" w14:textId="77777777" w:rsidR="002B32A0" w:rsidRDefault="002B32A0" w:rsidP="002B32A0">
      <w:pPr>
        <w:pStyle w:val="ListBullet"/>
      </w:pPr>
      <w:r w:rsidRPr="0000132F">
        <w:rPr>
          <w:b/>
          <w:bCs/>
        </w:rPr>
        <w:t xml:space="preserve">Universal Quantum Computing ─ </w:t>
      </w:r>
      <w:r>
        <w:t>CQC²T is also developing long-term architectures for Universal Quantum Computing in both the silicon and optical platforms. This includes the design, fabrication, and measurement of a systematic series of devices for creating logical qubits to demonstrate complex operations and error-correcting codes.</w:t>
      </w:r>
      <w:r w:rsidRPr="00EC606A">
        <w:t xml:space="preserve"> </w:t>
      </w:r>
      <w:r>
        <w:t>CQC</w:t>
      </w:r>
      <w:r w:rsidRPr="0000132F">
        <w:rPr>
          <w:vertAlign w:val="superscript"/>
        </w:rPr>
        <w:t>2</w:t>
      </w:r>
      <w:r>
        <w:t xml:space="preserve">T is a world-leader in atom-based quantum computing in silicon, having invented and pioneered radical fabrication and measurement strategies to realise single-atom devices, including individual atom placement, single spin initialisation, manipulation, read-out and control. With results demonstrating the longest spin coherence times in a solid-state system, demonstrating world record single and two-qubit gate fidelities and patenting detailed architectures for scale-up, the research team is well positioned to realise fault-tolerant quantum computing processors. CQC²T’s </w:t>
      </w:r>
      <w:r w:rsidRPr="005E0CC8">
        <w:t>world-leading silicon program</w:t>
      </w:r>
      <w:r w:rsidRPr="00E703DF">
        <w:t>, anchored here in Australia,</w:t>
      </w:r>
      <w:r w:rsidRPr="005E0CC8">
        <w:t xml:space="preserve"> </w:t>
      </w:r>
      <w:r>
        <w:t>have also demonstrated the ability to optically address single dopant atom spins within a device architecture, providing a pathway for the long-term goal of linking solid state and optical architectures. CQC</w:t>
      </w:r>
      <w:r w:rsidRPr="0000132F">
        <w:rPr>
          <w:vertAlign w:val="superscript"/>
        </w:rPr>
        <w:t>2</w:t>
      </w:r>
      <w:r>
        <w:t xml:space="preserve">T has also pioneered silicon metal-oxide-semiconductor (Si-MOS) quantum dot qubits, variants of commercial complementary metal-oxide-semiconductor (CMOS) transistor devices. Initially used to measure the electron and nuclear spins of atom qubits this program has since developed single and two-qubit gates with fidelities also sufficient for fault-tolerant quantum computing. </w:t>
      </w:r>
    </w:p>
    <w:p w14:paraId="23F76973" w14:textId="77777777" w:rsidR="002B32A0" w:rsidRDefault="002B32A0" w:rsidP="00EB5E0E">
      <w:pPr>
        <w:pStyle w:val="ListBullet"/>
        <w:keepNext/>
        <w:keepLines/>
      </w:pPr>
      <w:r>
        <w:lastRenderedPageBreak/>
        <w:t>CQC</w:t>
      </w:r>
      <w:r w:rsidRPr="00151DC7">
        <w:rPr>
          <w:vertAlign w:val="superscript"/>
        </w:rPr>
        <w:t>2</w:t>
      </w:r>
      <w:r>
        <w:t>T is also a world-leader in quantum optics, having pioneered both linear optics quantum computing and now cluster state and hybrid architectures. The ability to use photonic states for quantum computing (known as the KLM scheme</w:t>
      </w:r>
      <w:r>
        <w:rPr>
          <w:rStyle w:val="FootnoteReference"/>
        </w:rPr>
        <w:footnoteReference w:id="91"/>
      </w:r>
      <w:r>
        <w:t>) was originally invented in the Centre with a first demonstration of an optical two-qubit gate in 2003. The Centre has subsequently demonstrated gold-standard, full characterisation of quantum processes; performed early error correction demos and applied quantum logic to tasks in measurement, fundamental science, and feedback control. Having demonstrated small-scale algorithms using photonic qubits the teams have since generated the largest cluster states for efficient measurement-based quantum computation that will integrate well with the secure communication systems. The Centre’s work has driven a worldwide optical quantum computing research effort both in universities and industry.</w:t>
      </w:r>
    </w:p>
    <w:p w14:paraId="659533F2" w14:textId="77777777" w:rsidR="002B32A0" w:rsidRDefault="002B32A0" w:rsidP="002B32A0">
      <w:pPr>
        <w:pStyle w:val="ListBullet"/>
      </w:pPr>
      <w:r w:rsidRPr="00B55C8D">
        <w:rPr>
          <w:b/>
          <w:bCs/>
        </w:rPr>
        <w:t>Quantum Technology demonstrators</w:t>
      </w:r>
      <w:r>
        <w:rPr>
          <w:b/>
          <w:bCs/>
        </w:rPr>
        <w:t xml:space="preserve"> ─ </w:t>
      </w:r>
      <w:r>
        <w:t xml:space="preserve">CQC²T aims to realise dedicated systems that use quantum information to attain performance superior to classical computers. This includes developing quantum hard drives and portable quantum encryptors to achieve absolute security for cryptography use. Key breakthroughs in this space include the delivery of a telecom quantum memory, demonstrating telecom compatible quantum memory for storage times up to one second in </w:t>
      </w:r>
      <w:r w:rsidRPr="00484FC6">
        <w:rPr>
          <w:sz w:val="24"/>
          <w:szCs w:val="24"/>
          <w:vertAlign w:val="superscript"/>
        </w:rPr>
        <w:t>167</w:t>
      </w:r>
      <w:r>
        <w:t>Er</w:t>
      </w:r>
      <w:r w:rsidRPr="00484FC6">
        <w:rPr>
          <w:sz w:val="24"/>
          <w:szCs w:val="24"/>
          <w:vertAlign w:val="superscript"/>
        </w:rPr>
        <w:t>3+:</w:t>
      </w:r>
      <w:r>
        <w:t>Y</w:t>
      </w:r>
      <w:r w:rsidRPr="00484FC6">
        <w:rPr>
          <w:sz w:val="14"/>
          <w:szCs w:val="14"/>
        </w:rPr>
        <w:t>2</w:t>
      </w:r>
      <w:r>
        <w:t>SiO</w:t>
      </w:r>
      <w:r w:rsidRPr="00484FC6">
        <w:rPr>
          <w:sz w:val="14"/>
          <w:szCs w:val="14"/>
        </w:rPr>
        <w:t>5.</w:t>
      </w:r>
      <w:r w:rsidRPr="002A52E0">
        <w:rPr>
          <w:rStyle w:val="FootnoteReference"/>
        </w:rPr>
        <w:footnoteReference w:id="92"/>
      </w:r>
      <w:r w:rsidRPr="00484FC6">
        <w:rPr>
          <w:sz w:val="14"/>
          <w:szCs w:val="14"/>
        </w:rPr>
        <w:t xml:space="preserve">, </w:t>
      </w:r>
      <w:r>
        <w:t>Using machine learning to establish state-of-the-art memory performance and the development of precision diamond-based quantum sensors for biomedical imaging applications</w:t>
      </w:r>
    </w:p>
    <w:p w14:paraId="27F6BC95" w14:textId="77777777" w:rsidR="002B32A0" w:rsidRDefault="002B32A0" w:rsidP="002B32A0">
      <w:pPr>
        <w:pStyle w:val="ListBullet"/>
      </w:pPr>
      <w:r w:rsidRPr="00A243F1">
        <w:rPr>
          <w:b/>
          <w:bCs/>
        </w:rPr>
        <w:t xml:space="preserve">Quantum Internet─ </w:t>
      </w:r>
      <w:r>
        <w:t>CQC</w:t>
      </w:r>
      <w:r w:rsidRPr="00A243F1">
        <w:rPr>
          <w:vertAlign w:val="superscript"/>
        </w:rPr>
        <w:t>2</w:t>
      </w:r>
      <w:r>
        <w:t>T is a leader in quantum communications technology, particularly for the development of long-lived, highly efficient quantum memories and for high-speed random number generators. With the development of secure communications protocols and quantum key distribution (QKD) hardware, this program aims to improve cybersecurity for individuals, organisations, businesses, government and national infrastructure. The Centre is developing ultra-secure quantum communication networks and protocols for distributing entanglement and quantum information over extended distances using quantum cryptography and repeater networks.</w:t>
      </w:r>
      <w:r w:rsidRPr="006B526D">
        <w:t xml:space="preserve"> </w:t>
      </w:r>
      <w:r>
        <w:t>Key breakthroughs in this space include demonstrating the highest fidelity photon storage in an atomic vapour memory and developing an intra-1550nm communication band frequency converter.</w:t>
      </w:r>
    </w:p>
    <w:p w14:paraId="3FAD68A9" w14:textId="77777777" w:rsidR="002B32A0" w:rsidRPr="00B03BA4" w:rsidRDefault="002B32A0" w:rsidP="00EB5E0E">
      <w:pPr>
        <w:pStyle w:val="Heading2"/>
      </w:pPr>
      <w:bookmarkStart w:id="257" w:name="_Toc131174638"/>
      <w:bookmarkStart w:id="258" w:name="_Toc132970669"/>
      <w:bookmarkStart w:id="259" w:name="_Toc135323708"/>
      <w:r>
        <w:t>O</w:t>
      </w:r>
      <w:r w:rsidRPr="00B03BA4">
        <w:t>utputs</w:t>
      </w:r>
      <w:bookmarkEnd w:id="257"/>
      <w:bookmarkEnd w:id="258"/>
      <w:bookmarkEnd w:id="259"/>
    </w:p>
    <w:p w14:paraId="7A94EEA3" w14:textId="77777777" w:rsidR="002B32A0" w:rsidRDefault="002B32A0" w:rsidP="002B32A0">
      <w:pPr>
        <w:pStyle w:val="BodyText"/>
      </w:pPr>
      <w:r>
        <w:t>With over 2,200 papers CQC²T researchers and international partners have achieved numerous world-leading research outputs since 2000. This includes many reviews including 3 that have collectively garnered over 4,599 citations, “</w:t>
      </w:r>
      <w:r w:rsidRPr="00E703DF">
        <w:rPr>
          <w:i/>
          <w:iCs/>
        </w:rPr>
        <w:t>Silicon Quantum Electronics</w:t>
      </w:r>
      <w:r>
        <w:t>”, Reviews of Modern Physics 85, 961 (2013); 776 citations; “</w:t>
      </w:r>
      <w:r w:rsidRPr="00E703DF">
        <w:rPr>
          <w:i/>
          <w:iCs/>
        </w:rPr>
        <w:t>Gaussian Quantum Information</w:t>
      </w:r>
      <w:r>
        <w:t xml:space="preserve">”, </w:t>
      </w:r>
      <w:r w:rsidRPr="00924833">
        <w:t>Review</w:t>
      </w:r>
      <w:r>
        <w:t>s</w:t>
      </w:r>
      <w:r w:rsidRPr="00924833">
        <w:t xml:space="preserve"> of Modern Physics 84, 621 (2012)</w:t>
      </w:r>
      <w:r>
        <w:t>; 2024 citations and “</w:t>
      </w:r>
      <w:r w:rsidRPr="00E703DF">
        <w:rPr>
          <w:i/>
          <w:iCs/>
        </w:rPr>
        <w:t>Linear optical quantum computing with photonic qubits</w:t>
      </w:r>
      <w:r>
        <w:t xml:space="preserve">”, </w:t>
      </w:r>
      <w:r w:rsidRPr="00924833">
        <w:t>Review</w:t>
      </w:r>
      <w:r>
        <w:t>s</w:t>
      </w:r>
      <w:r w:rsidRPr="00924833">
        <w:t xml:space="preserve"> of Modern Physics </w:t>
      </w:r>
      <w:r>
        <w:t>79</w:t>
      </w:r>
      <w:r w:rsidRPr="00924833">
        <w:t xml:space="preserve">, </w:t>
      </w:r>
      <w:r>
        <w:t>139</w:t>
      </w:r>
      <w:r w:rsidRPr="00924833">
        <w:t xml:space="preserve"> (20</w:t>
      </w:r>
      <w:r>
        <w:t>07</w:t>
      </w:r>
      <w:r w:rsidRPr="00924833">
        <w:t>)</w:t>
      </w:r>
      <w:r>
        <w:t>; 1799 citations.</w:t>
      </w:r>
      <w:r w:rsidRPr="00924833">
        <w:t xml:space="preserve"> </w:t>
      </w:r>
    </w:p>
    <w:p w14:paraId="3E93DBDA" w14:textId="77777777" w:rsidR="002B32A0" w:rsidRDefault="002B32A0" w:rsidP="002B32A0">
      <w:pPr>
        <w:pStyle w:val="BodyText"/>
      </w:pPr>
      <w:r>
        <w:t>Australia is a renowned world leader in silicon quantum computing. Here</w:t>
      </w:r>
      <w:r w:rsidRPr="00924833">
        <w:t xml:space="preserve"> </w:t>
      </w:r>
      <w:r>
        <w:t xml:space="preserve">the teams have led the field demonstrating the highest quality qubits with the longest coherence times to date in the solid state using atom qubits in silicon, the most highly manufacturable material system with new programs now emerging in Si-MOS quantum dot quantum computing. In the optical program, Centre researchers are renowned for theoretically inventing the main techniques to </w:t>
      </w:r>
      <w:r>
        <w:lastRenderedPageBreak/>
        <w:t>make optical quantum computing practical and demonstrating key experimental milestones to confirm this. Significant highlight examples include:</w:t>
      </w:r>
    </w:p>
    <w:p w14:paraId="4965FEC1" w14:textId="77777777" w:rsidR="002B32A0" w:rsidRDefault="002B32A0" w:rsidP="002B32A0">
      <w:pPr>
        <w:pStyle w:val="ListBullet"/>
      </w:pPr>
      <w:r w:rsidRPr="00527A5B">
        <w:rPr>
          <w:b/>
          <w:bCs/>
        </w:rPr>
        <w:t>Delivery of the world’s first integrated circuit manufactured at the atomic scale</w:t>
      </w:r>
      <w:r>
        <w:t>, which operates as an analogue quantum processor (</w:t>
      </w:r>
      <w:r w:rsidRPr="009315E3">
        <w:rPr>
          <w:lang w:eastAsia="en-AU"/>
        </w:rPr>
        <w:t>Kiczynski</w:t>
      </w:r>
      <w:r>
        <w:rPr>
          <w:lang w:eastAsia="en-AU"/>
        </w:rPr>
        <w:t xml:space="preserve"> et al.,</w:t>
      </w:r>
      <w:r w:rsidRPr="009315E3">
        <w:rPr>
          <w:lang w:eastAsia="en-AU"/>
        </w:rPr>
        <w:t xml:space="preserve"> </w:t>
      </w:r>
      <w:r>
        <w:rPr>
          <w:lang w:eastAsia="en-AU"/>
        </w:rPr>
        <w:t>2022)</w:t>
      </w:r>
      <w:r>
        <w:rPr>
          <w:rStyle w:val="FootnoteReference"/>
        </w:rPr>
        <w:footnoteReference w:id="93"/>
      </w:r>
      <w:r>
        <w:t>. The Centre’s quantum computing spin-out company, Silicon Quantum Computing Pty Ltd (SQC) used this quantum processor to accurately model the quantum states of a small, organic polyacetylene molecule – definitively proving the validity of the company’s technology for modelling quantum systems. This has come less than a decade after the team’s 2012 declaration that it had fabricated the world’s first single-atom transistor (Fuechsle</w:t>
      </w:r>
      <w:r w:rsidRPr="00EF0169">
        <w:rPr>
          <w:lang w:eastAsia="en-AU"/>
        </w:rPr>
        <w:t xml:space="preserve"> </w:t>
      </w:r>
      <w:r>
        <w:rPr>
          <w:lang w:eastAsia="en-AU"/>
        </w:rPr>
        <w:t>et al.,</w:t>
      </w:r>
      <w:r w:rsidRPr="009315E3">
        <w:rPr>
          <w:lang w:eastAsia="en-AU"/>
        </w:rPr>
        <w:t xml:space="preserve"> </w:t>
      </w:r>
      <w:r>
        <w:rPr>
          <w:lang w:eastAsia="en-AU"/>
        </w:rPr>
        <w:t>2012).</w:t>
      </w:r>
      <w:r>
        <w:t xml:space="preserve"> Development of SQC’s stable, low-noise atomic-scale circuit technology (Weber et al., 2012; Kranz et al. 2020) will not only allow the company and its customers to construct quantum simulations for a range of systems, including pharmaceuticals, materials for batteries, catalysts and new materials that have never existed before (SQC, 2022), but the high quality of the qubits are ideal for developing fault-tolerant processors (Hill et al, 2015). </w:t>
      </w:r>
    </w:p>
    <w:p w14:paraId="68EB13AB" w14:textId="77777777" w:rsidR="002B32A0" w:rsidRDefault="002B32A0" w:rsidP="002B32A0">
      <w:pPr>
        <w:pStyle w:val="ListBullet"/>
      </w:pPr>
      <w:r w:rsidRPr="00527A5B">
        <w:rPr>
          <w:b/>
          <w:bCs/>
        </w:rPr>
        <w:t xml:space="preserve">Demonstrating the </w:t>
      </w:r>
      <w:r>
        <w:rPr>
          <w:b/>
          <w:bCs/>
        </w:rPr>
        <w:t>longest coherence times and highest single qubit fidelities</w:t>
      </w:r>
      <w:r w:rsidRPr="00527A5B">
        <w:rPr>
          <w:b/>
          <w:bCs/>
        </w:rPr>
        <w:t>:</w:t>
      </w:r>
      <w:r>
        <w:t xml:space="preserve"> Building off the success in demonstrating the first single electron spin qubit (Pla et al., 2012) and the first nuclear spin qubit (Pla et al</w:t>
      </w:r>
      <w:r>
        <w:rPr>
          <w:rStyle w:val="FootnoteReference"/>
        </w:rPr>
        <w:t>,</w:t>
      </w:r>
      <w:r>
        <w:t xml:space="preserve"> 2013) in silicon with record coherence times (Muhonen et al., 2014) (35 seconds) and quantum gate fidelities (Muhonen et al., 2015), the ion implantation program between the University of Melbourne and UNSW Sydney has recently shown that near error-free quantum computing is possible in atom qubits in silicon. Operations that are 99% error-free make it possible to detect errors and correct them when they occur. This result provides a critical step towards building universal quantum computers with low enough errors to handle meaningful computations (Madzik </w:t>
      </w:r>
      <w:r w:rsidRPr="005A1FD2">
        <w:rPr>
          <w:i/>
          <w:iCs/>
        </w:rPr>
        <w:t>et al,</w:t>
      </w:r>
      <w:r>
        <w:t xml:space="preserve"> 2022).</w:t>
      </w:r>
    </w:p>
    <w:p w14:paraId="1D5E73FF" w14:textId="77777777" w:rsidR="002B32A0" w:rsidRDefault="002B32A0" w:rsidP="002B32A0">
      <w:pPr>
        <w:pStyle w:val="ListBullet"/>
      </w:pPr>
      <w:r>
        <w:rPr>
          <w:b/>
          <w:bCs/>
        </w:rPr>
        <w:t>Precision manufacturing of atom qubits</w:t>
      </w:r>
      <w:r w:rsidRPr="00F0407A">
        <w:rPr>
          <w:b/>
          <w:bCs/>
        </w:rPr>
        <w:t xml:space="preserve"> </w:t>
      </w:r>
      <w:r>
        <w:rPr>
          <w:b/>
          <w:bCs/>
        </w:rPr>
        <w:t>with world-leading</w:t>
      </w:r>
      <w:r w:rsidRPr="00527A5B">
        <w:rPr>
          <w:b/>
          <w:bCs/>
        </w:rPr>
        <w:t xml:space="preserve"> qubit quality metrics</w:t>
      </w:r>
      <w:r>
        <w:rPr>
          <w:b/>
          <w:bCs/>
        </w:rPr>
        <w:t xml:space="preserve">: </w:t>
      </w:r>
      <w:r>
        <w:t>The demonstration of our globally unique precision atom-scale manufacturing has allowed us to engineer each aspect of qubit quality for long-term scalability to achieve the fastest (Keith et al., 2019) and highest fidelity (Keith et al., 2022) qubit initialisation and read-out; the fastest 2-qubit gates (Gorman et al., 2019); the lowest charge noise qubit system (Kranz et al., 2020) and the demonstration of 3D integration in a monolithic chip (Koch et al., 2019). With both single and two-qubit gates reaching the fault-tolerant limit, these programs make long-term scaling of high-quality atom qubits in silicon a promising qubit platform for a large-scale, fault-tolerant silicon-based quantum computer.</w:t>
      </w:r>
      <w:r>
        <w:rPr>
          <w:rStyle w:val="FootnoteReference"/>
        </w:rPr>
        <w:footnoteReference w:id="94"/>
      </w:r>
    </w:p>
    <w:p w14:paraId="4B94AE31" w14:textId="77777777" w:rsidR="002B32A0" w:rsidRPr="00117164" w:rsidRDefault="002B32A0" w:rsidP="002B32A0">
      <w:pPr>
        <w:pStyle w:val="ListBullet"/>
      </w:pPr>
      <w:r w:rsidRPr="003C6787">
        <w:rPr>
          <w:b/>
          <w:bCs/>
        </w:rPr>
        <w:t xml:space="preserve">Quantum dot qubits: </w:t>
      </w:r>
      <w:r>
        <w:t xml:space="preserve">In 2019, our quantum dot research teams demonstrated qubits in a second platform, quantum dot qubits in silicon as distinct from single atom qubits, that hold the fidelity benchmarks for both 1-qubit (Yang et al., 2019) and 2-qubit (Huang et al., 2019) logic gates for this platform. By using engineered control pulses and an isotopically enriched </w:t>
      </w:r>
      <w:r w:rsidRPr="003C6787">
        <w:rPr>
          <w:vertAlign w:val="superscript"/>
        </w:rPr>
        <w:t>28</w:t>
      </w:r>
      <w:r>
        <w:t xml:space="preserve">Si device, the team at UNSW obtained a 1-qubit gate fidelity of 99.96% using Clifford-based randomised benchmarking, the highest reported to date in the quantum dot system. In 2020 the team also showed that SiMOS quantum dot qubits could maintain high fidelity at a temperature of 1.5 K, opening the possibility of qubit operation using simplified cryogenic systems (Yang et al., 2020). </w:t>
      </w:r>
    </w:p>
    <w:p w14:paraId="21EB5C41" w14:textId="77777777" w:rsidR="002B32A0" w:rsidRPr="00FD241F" w:rsidRDefault="002B32A0" w:rsidP="002B32A0">
      <w:pPr>
        <w:pStyle w:val="ListBullet"/>
      </w:pPr>
      <w:r w:rsidRPr="00876F4F">
        <w:rPr>
          <w:b/>
          <w:bCs/>
        </w:rPr>
        <w:t>Three modalities for Optical Quantum Computing:</w:t>
      </w:r>
      <w:r>
        <w:t xml:space="preserve"> </w:t>
      </w:r>
      <w:r w:rsidRPr="001E0A71">
        <w:t xml:space="preserve">The optical quantum computing </w:t>
      </w:r>
      <w:r>
        <w:t>team has pioneered a multi-pronged approach</w:t>
      </w:r>
      <w:r w:rsidRPr="001E0A71">
        <w:t xml:space="preserve">. </w:t>
      </w:r>
      <w:r>
        <w:t xml:space="preserve">In the first approach, </w:t>
      </w:r>
      <w:r w:rsidRPr="001E0A71">
        <w:t xml:space="preserve">quantum bits </w:t>
      </w:r>
      <w:r>
        <w:t xml:space="preserve">were </w:t>
      </w:r>
      <w:r>
        <w:lastRenderedPageBreak/>
        <w:t>encoded i</w:t>
      </w:r>
      <w:r w:rsidRPr="001E0A71">
        <w:t>n the polari</w:t>
      </w:r>
      <w:r>
        <w:t>s</w:t>
      </w:r>
      <w:r w:rsidRPr="001E0A71">
        <w:t xml:space="preserve">ation or spatial </w:t>
      </w:r>
      <w:r>
        <w:t>state of single photons where they developed new t</w:t>
      </w:r>
      <w:r w:rsidRPr="001E0A71">
        <w:t xml:space="preserve">echniques for simplifying complex multi-qubit gates </w:t>
      </w:r>
      <w:r>
        <w:t>to</w:t>
      </w:r>
      <w:r w:rsidRPr="001E0A71">
        <w:t xml:space="preserve"> implement</w:t>
      </w:r>
      <w:r>
        <w:t xml:space="preserve"> </w:t>
      </w:r>
      <w:r w:rsidRPr="001E0A71">
        <w:t xml:space="preserve">real calculations </w:t>
      </w:r>
      <w:r>
        <w:t xml:space="preserve">using </w:t>
      </w:r>
      <w:r w:rsidRPr="00BA35CD">
        <w:t xml:space="preserve">the iterative phase estimation algorithm (IPEA) </w:t>
      </w:r>
      <w:r>
        <w:t>using</w:t>
      </w:r>
      <w:r w:rsidRPr="001E0A71">
        <w:t xml:space="preserve"> </w:t>
      </w:r>
      <w:r>
        <w:t xml:space="preserve">a small-scale quantum processor </w:t>
      </w:r>
      <w:r w:rsidRPr="001E0A71">
        <w:t>(</w:t>
      </w:r>
      <w:r>
        <w:t>Zhou et al., 2013). They then used</w:t>
      </w:r>
      <w:r w:rsidRPr="001E0A71">
        <w:t xml:space="preserve"> these </w:t>
      </w:r>
      <w:r>
        <w:t>protocols</w:t>
      </w:r>
      <w:r w:rsidRPr="001E0A71">
        <w:t xml:space="preserve"> to </w:t>
      </w:r>
      <w:r>
        <w:t>demonstrate the first</w:t>
      </w:r>
      <w:r w:rsidRPr="001E0A71">
        <w:t xml:space="preserve"> </w:t>
      </w:r>
      <w:r>
        <w:t xml:space="preserve">3 qubit </w:t>
      </w:r>
      <w:r w:rsidRPr="001E0A71">
        <w:t>Fredkin Gate, i.e. a controlled-controlled-NO</w:t>
      </w:r>
      <w:r>
        <w:t>T (</w:t>
      </w:r>
      <w:r w:rsidRPr="00B7484C">
        <w:t>R. B. Patel et al., 2016</w:t>
      </w:r>
      <w:r>
        <w:t xml:space="preserve">) and </w:t>
      </w:r>
      <w:r w:rsidRPr="00876F4F">
        <w:rPr>
          <w:lang w:val="en-US"/>
        </w:rPr>
        <w:t>demonstrated Boson Sampling (</w:t>
      </w:r>
      <w:r w:rsidRPr="00791668">
        <w:rPr>
          <w:iCs/>
        </w:rPr>
        <w:t>Broome et al.,</w:t>
      </w:r>
      <w:r>
        <w:rPr>
          <w:i/>
        </w:rPr>
        <w:t xml:space="preserve"> </w:t>
      </w:r>
      <w:r w:rsidRPr="009145D3">
        <w:t>2013</w:t>
      </w:r>
      <w:r>
        <w:t xml:space="preserve">) </w:t>
      </w:r>
      <w:r w:rsidRPr="00876F4F">
        <w:rPr>
          <w:lang w:val="en-US"/>
        </w:rPr>
        <w:t xml:space="preserve">– a problem believed to be intractable for classical computers. </w:t>
      </w:r>
      <w:r>
        <w:t xml:space="preserve">In the second approach, </w:t>
      </w:r>
      <w:r w:rsidRPr="00876F4F">
        <w:rPr>
          <w:lang w:val="en-US"/>
        </w:rPr>
        <w:t>quantum information is carried by the states of optical modes, where in collaboration with PI Furusawa the optical quantum computing team showed that by multiplexing light modes in the time domain</w:t>
      </w:r>
      <w:r>
        <w:rPr>
          <w:lang w:val="en-US"/>
        </w:rPr>
        <w:t>,</w:t>
      </w:r>
      <w:r w:rsidRPr="00876F4F">
        <w:rPr>
          <w:lang w:val="en-US"/>
        </w:rPr>
        <w:t xml:space="preserve"> they could deterministically generate and fully </w:t>
      </w:r>
      <w:r w:rsidRPr="00DD5811">
        <w:t>characterise</w:t>
      </w:r>
      <w:r w:rsidRPr="00876F4F">
        <w:rPr>
          <w:lang w:val="en-US"/>
        </w:rPr>
        <w:t xml:space="preserve"> a continuous-variable cluster state containing more than 10,000 entangled modes (</w:t>
      </w:r>
      <w:r>
        <w:rPr>
          <w:lang w:val="en-US"/>
        </w:rPr>
        <w:t>Yokohama et al., 2013</w:t>
      </w:r>
      <w:r w:rsidRPr="00876F4F">
        <w:rPr>
          <w:lang w:val="en-US"/>
        </w:rPr>
        <w:t xml:space="preserve">). This has since expanded to </w:t>
      </w:r>
      <w:r w:rsidRPr="008C131E">
        <w:t>10</w:t>
      </w:r>
      <w:r w:rsidRPr="00876F4F">
        <w:rPr>
          <w:vertAlign w:val="superscript"/>
        </w:rPr>
        <w:t>4</w:t>
      </w:r>
      <w:r w:rsidRPr="008C131E">
        <w:t xml:space="preserve"> to 10</w:t>
      </w:r>
      <w:r w:rsidRPr="00876F4F">
        <w:rPr>
          <w:vertAlign w:val="superscript"/>
        </w:rPr>
        <w:t>6</w:t>
      </w:r>
      <w:r w:rsidRPr="008C131E">
        <w:t xml:space="preserve"> entangled modes</w:t>
      </w:r>
      <w:r>
        <w:t xml:space="preserve"> (</w:t>
      </w:r>
      <w:r w:rsidRPr="00AD166F">
        <w:t>Asavanant et al</w:t>
      </w:r>
      <w:r>
        <w:t xml:space="preserve">., </w:t>
      </w:r>
      <w:r w:rsidRPr="00AD166F">
        <w:t>2019</w:t>
      </w:r>
      <w:r>
        <w:t xml:space="preserve">). </w:t>
      </w:r>
      <w:r w:rsidRPr="00876F4F">
        <w:rPr>
          <w:lang w:val="en-US"/>
        </w:rPr>
        <w:t>Finally</w:t>
      </w:r>
      <w:r>
        <w:rPr>
          <w:lang w:val="en-US"/>
        </w:rPr>
        <w:t>,</w:t>
      </w:r>
      <w:r w:rsidRPr="00876F4F">
        <w:rPr>
          <w:lang w:val="en-US"/>
        </w:rPr>
        <w:t xml:space="preserve"> in the third approach, a hybrid system combines qubit and modal techniques (</w:t>
      </w:r>
      <w:r>
        <w:rPr>
          <w:lang w:val="en-US"/>
        </w:rPr>
        <w:t xml:space="preserve">Jeong et al., 2014) </w:t>
      </w:r>
      <w:r w:rsidRPr="00876F4F">
        <w:rPr>
          <w:lang w:val="en-US"/>
        </w:rPr>
        <w:t>In collaboration with PI Furusawa</w:t>
      </w:r>
      <w:r>
        <w:rPr>
          <w:lang w:val="en-US"/>
        </w:rPr>
        <w:t>,</w:t>
      </w:r>
      <w:r w:rsidRPr="00876F4F">
        <w:rPr>
          <w:lang w:val="en-US"/>
        </w:rPr>
        <w:t xml:space="preserve"> they demonstrated the teleportation of coherent superposition states, also known as Kitten states (</w:t>
      </w:r>
      <w:r w:rsidRPr="00791668">
        <w:rPr>
          <w:iCs/>
        </w:rPr>
        <w:t>Lee et al., 2011</w:t>
      </w:r>
      <w:r w:rsidRPr="00785515">
        <w:rPr>
          <w:iCs/>
          <w:lang w:val="en-US"/>
        </w:rPr>
        <w:t>).</w:t>
      </w:r>
      <w:r w:rsidRPr="00876F4F">
        <w:rPr>
          <w:lang w:val="en-US"/>
        </w:rPr>
        <w:t xml:space="preserve"> </w:t>
      </w:r>
    </w:p>
    <w:p w14:paraId="5D3EE3E8" w14:textId="77777777" w:rsidR="002B32A0" w:rsidRDefault="002B32A0" w:rsidP="002B32A0">
      <w:pPr>
        <w:pStyle w:val="ListBullet"/>
      </w:pPr>
      <w:r w:rsidRPr="00E37FEA">
        <w:rPr>
          <w:b/>
          <w:bCs/>
        </w:rPr>
        <w:t xml:space="preserve">Noiseless linear amplification: </w:t>
      </w:r>
      <w:r>
        <w:t>N</w:t>
      </w:r>
      <w:r w:rsidRPr="00527A5B">
        <w:t>oiseless linear amplifier (NLA) was first</w:t>
      </w:r>
      <w:r>
        <w:t xml:space="preserve"> </w:t>
      </w:r>
      <w:r w:rsidRPr="00527A5B">
        <w:t>proposed in 200</w:t>
      </w:r>
      <w:r>
        <w:t>9</w:t>
      </w:r>
      <w:r w:rsidRPr="00527A5B">
        <w:t xml:space="preserve"> by </w:t>
      </w:r>
      <w:r>
        <w:t>Centre researchers</w:t>
      </w:r>
      <w:r w:rsidRPr="00527A5B">
        <w:t xml:space="preserve"> </w:t>
      </w:r>
      <w:r>
        <w:t xml:space="preserve">at UQ </w:t>
      </w:r>
      <w:r w:rsidRPr="00527A5B">
        <w:t>as a way to</w:t>
      </w:r>
      <w:r>
        <w:t xml:space="preserve"> </w:t>
      </w:r>
      <w:r w:rsidRPr="00527A5B">
        <w:t>probabilistically increase the signal</w:t>
      </w:r>
      <w:r>
        <w:t>-to-</w:t>
      </w:r>
      <w:r w:rsidRPr="00527A5B">
        <w:t>noise ratio</w:t>
      </w:r>
      <w:r>
        <w:t xml:space="preserve"> </w:t>
      </w:r>
      <w:r w:rsidRPr="00E37FEA">
        <w:t>of a quantum stat</w:t>
      </w:r>
      <w:r>
        <w:t>e.</w:t>
      </w:r>
      <w:r>
        <w:rPr>
          <w:rStyle w:val="FootnoteReference"/>
        </w:rPr>
        <w:footnoteReference w:id="95"/>
      </w:r>
      <w:r>
        <w:t xml:space="preserve"> A physical implementation of the NLA was experimentally demonstrated using quantum scissors and can be used to amplify qubits encoded in a photon's polarisation (Xiang et al., 2010). Since then, researchers have applied the NLA technology to demonstrate probabilistic cloning of information carrying coherent states (Haw et al., 2016) and to implement a high-fidelity squeezing gate (Zhao, 2020).</w:t>
      </w:r>
    </w:p>
    <w:p w14:paraId="50BA2142" w14:textId="77777777" w:rsidR="002B32A0" w:rsidRDefault="002B32A0" w:rsidP="002B32A0">
      <w:pPr>
        <w:pStyle w:val="ListBullet"/>
      </w:pPr>
      <w:r w:rsidRPr="00876F4F">
        <w:rPr>
          <w:b/>
          <w:bCs/>
        </w:rPr>
        <w:t>Integrated O</w:t>
      </w:r>
      <w:r w:rsidRPr="00FD241F">
        <w:rPr>
          <w:b/>
          <w:bCs/>
        </w:rPr>
        <w:t>ptical Chip</w:t>
      </w:r>
      <w:r>
        <w:t xml:space="preserve"> By</w:t>
      </w:r>
      <w:r w:rsidRPr="00101EE5">
        <w:t xml:space="preserve"> pioneer</w:t>
      </w:r>
      <w:r>
        <w:t>ing</w:t>
      </w:r>
      <w:r w:rsidRPr="00101EE5">
        <w:t xml:space="preserve"> both linear optics quantum computing as well as cluster-state and hybrid architectures, </w:t>
      </w:r>
      <w:r>
        <w:t xml:space="preserve">the optical quantum computing researchers are now </w:t>
      </w:r>
      <w:r w:rsidRPr="00101EE5">
        <w:t xml:space="preserve">creating </w:t>
      </w:r>
      <w:r>
        <w:t xml:space="preserve">new </w:t>
      </w:r>
      <w:r w:rsidRPr="00101EE5">
        <w:t xml:space="preserve">integrated </w:t>
      </w:r>
      <w:r>
        <w:t xml:space="preserve">photonics </w:t>
      </w:r>
      <w:r w:rsidRPr="00101EE5">
        <w:t>platforms that can link to secure communications systems.</w:t>
      </w:r>
      <w:r w:rsidRPr="00876F4F">
        <w:rPr>
          <w:bCs/>
          <w:lang w:val="en-US"/>
        </w:rPr>
        <w:t xml:space="preserve"> </w:t>
      </w:r>
      <w:r>
        <w:t>They have demonstrated</w:t>
      </w:r>
      <w:r w:rsidRPr="008C131E">
        <w:t xml:space="preserve"> </w:t>
      </w:r>
      <w:r>
        <w:t>a</w:t>
      </w:r>
      <w:r w:rsidRPr="008C131E">
        <w:t xml:space="preserve"> first quantum optical chip that can generate, manipulate and measure quantum light using continuous variable protocols</w:t>
      </w:r>
      <w:r>
        <w:t xml:space="preserve"> (Lenzini et al., 2018). </w:t>
      </w:r>
    </w:p>
    <w:p w14:paraId="0F9AC2FC" w14:textId="77777777" w:rsidR="002B32A0" w:rsidRDefault="002B32A0" w:rsidP="002B32A0">
      <w:pPr>
        <w:pStyle w:val="ListBullet"/>
      </w:pPr>
      <w:r w:rsidRPr="00117164">
        <w:rPr>
          <w:b/>
          <w:bCs/>
        </w:rPr>
        <w:t xml:space="preserve">Providing the world’s most popular and powerful online random number generator </w:t>
      </w:r>
      <w:r w:rsidRPr="00E0099F">
        <w:t>(Symul et al., 2011).</w:t>
      </w:r>
      <w:r>
        <w:t xml:space="preserve"> ANU Quantum Numbers (AQN) uses quantum technology to generate true random numbers at high speed and in real-time by measuring the quantum fluctuations of the vacuum. AQN is now available on AWS Marketplace. Random numbers are needed in IT, data science and modelling. Without random numbers, reliable forecasting and research simulation models are impossible. Artists also use them to help with removing human biases from their creative work. In computer gaming and smart contracts, true random numbers are also an indispensable resource. </w:t>
      </w:r>
    </w:p>
    <w:p w14:paraId="3F370780" w14:textId="77777777" w:rsidR="002B32A0" w:rsidRDefault="002B32A0" w:rsidP="002B32A0">
      <w:pPr>
        <w:pStyle w:val="ListBullet"/>
      </w:pPr>
      <w:r w:rsidRPr="00527A5B">
        <w:rPr>
          <w:b/>
          <w:bCs/>
        </w:rPr>
        <w:t>Demonstrating quantum teleportation can be used to avoid loss in communication channels</w:t>
      </w:r>
      <w:r>
        <w:t xml:space="preserve"> on the quantum level. CQC²T researchers use both continuous variable and discrete variable quantum systems as the building blocks of quantum repeater networks. By extending quantum optical technology CQC²T researchers have enabled the transmission, storage, processing, and detection of quantum information for long distance quantum communication for quantum encryption and distributed quantum computing. Following the demonstration of the integrated optical chip in 2018 (Lenzini et al., 2018), where they were able to generate non-classical states of light, manipulate them in a reconfigurable way and then detect them, they were able to use teleportation to address the issues around inherent loss that occurs in communication channels (for </w:t>
      </w:r>
      <w:r>
        <w:lastRenderedPageBreak/>
        <w:t>example, internet or phone) and discover a mechanism to reduce that loss. This finding is an important step towards implementing the “quantum internet,” which will bring unprecedented capabilities not accessible with today’s web. This study was the first to demonstrate an error reduction method that improved the performance of a channel (Slussarenko et al., 2022). In collaboration with the Australian Space Agency, Defence Science and Technology Group, the German Aerospace Center, CQC</w:t>
      </w:r>
      <w:r w:rsidRPr="00527A5B">
        <w:rPr>
          <w:vertAlign w:val="superscript"/>
        </w:rPr>
        <w:t>2</w:t>
      </w:r>
      <w:r>
        <w:t>T is now developing quantum components that are able to operate in space environment (Vogl et al., 2019).</w:t>
      </w:r>
    </w:p>
    <w:p w14:paraId="3D279E0E" w14:textId="77777777" w:rsidR="002B32A0" w:rsidRDefault="002B32A0" w:rsidP="002B32A0">
      <w:pPr>
        <w:pStyle w:val="BodyText"/>
      </w:pPr>
      <w:r>
        <w:t>Other key outputs, including publications and patents, are summarised below:</w:t>
      </w:r>
    </w:p>
    <w:p w14:paraId="33E74FC9" w14:textId="77777777" w:rsidR="002B32A0" w:rsidRDefault="002B32A0" w:rsidP="00EB5E0E">
      <w:pPr>
        <w:pStyle w:val="Heading3"/>
      </w:pPr>
      <w:r>
        <w:t>Publications and media releases</w:t>
      </w:r>
    </w:p>
    <w:p w14:paraId="4BEC9D8C" w14:textId="77777777" w:rsidR="002B32A0" w:rsidRDefault="002B32A0" w:rsidP="002B32A0">
      <w:pPr>
        <w:pStyle w:val="BodyText"/>
      </w:pPr>
      <w:r>
        <w:t>The</w:t>
      </w:r>
      <w:r w:rsidRPr="00027810">
        <w:t xml:space="preserve"> Centre has published more than </w:t>
      </w:r>
      <w:r>
        <w:t xml:space="preserve">2,203 papers, including more than 200 </w:t>
      </w:r>
      <w:r w:rsidRPr="00B765DF">
        <w:t>in the high impact factor (IF) Science and the Nature suite of journa</w:t>
      </w:r>
      <w:r w:rsidRPr="001C282B">
        <w:t>ls</w:t>
      </w:r>
      <w:r w:rsidRPr="00027810">
        <w:t>, corresponding to more than one high-impact journal every month</w:t>
      </w:r>
      <w:r>
        <w:t xml:space="preserve"> for the past 12 years</w:t>
      </w:r>
      <w:r w:rsidRPr="00027810">
        <w:t xml:space="preserve">. </w:t>
      </w:r>
    </w:p>
    <w:p w14:paraId="4F64E14B" w14:textId="77777777" w:rsidR="002B32A0" w:rsidRPr="00027810" w:rsidRDefault="002B32A0" w:rsidP="002B32A0">
      <w:pPr>
        <w:pStyle w:val="BodyText"/>
      </w:pPr>
      <w:r w:rsidRPr="008A45CE">
        <w:t>The Centre publications from 2011 onwards have been cited 19,927 times</w:t>
      </w:r>
      <w:r>
        <w:t>,</w:t>
      </w:r>
      <w:r w:rsidRPr="008A45CE">
        <w:t xml:space="preserve"> with 45 papers cited over 100 times. </w:t>
      </w:r>
    </w:p>
    <w:p w14:paraId="6C23E77D" w14:textId="77777777" w:rsidR="002B32A0" w:rsidRDefault="002B32A0" w:rsidP="002B32A0">
      <w:pPr>
        <w:pStyle w:val="BodyText"/>
      </w:pPr>
      <w:r>
        <w:t xml:space="preserve">Examples of recent and/or important articles are: </w:t>
      </w:r>
    </w:p>
    <w:p w14:paraId="3874A02B" w14:textId="77777777" w:rsidR="002B32A0" w:rsidRDefault="002B32A0" w:rsidP="002B32A0">
      <w:pPr>
        <w:pStyle w:val="ListBullet"/>
      </w:pPr>
      <w:r>
        <w:t xml:space="preserve">Afach, S., et al. (2021). </w:t>
      </w:r>
      <w:r w:rsidRPr="00623090">
        <w:t>Search for topological defect dark matter with a global network of optical magnetometers</w:t>
      </w:r>
      <w:r>
        <w:t xml:space="preserve">. </w:t>
      </w:r>
      <w:r w:rsidRPr="008C6EF4">
        <w:rPr>
          <w:b/>
          <w:bCs/>
        </w:rPr>
        <w:t>Nature Physics</w:t>
      </w:r>
      <w:r w:rsidRPr="001B133B">
        <w:t xml:space="preserve"> 17, 1396</w:t>
      </w:r>
      <w:r>
        <w:t>.</w:t>
      </w:r>
    </w:p>
    <w:p w14:paraId="6D3171E7" w14:textId="77777777" w:rsidR="002B32A0" w:rsidRDefault="002B32A0" w:rsidP="002B32A0">
      <w:pPr>
        <w:pStyle w:val="ListBullet"/>
      </w:pPr>
      <w:r w:rsidRPr="00AD166F">
        <w:t>Asavanant</w:t>
      </w:r>
      <w:r>
        <w:t xml:space="preserve">, W., </w:t>
      </w:r>
      <w:r w:rsidRPr="00AD166F">
        <w:t>et al.</w:t>
      </w:r>
      <w:r>
        <w:t xml:space="preserve"> (2019). </w:t>
      </w:r>
      <w:r w:rsidRPr="00623090">
        <w:t>Generation of time-domain-multiplexed two-dimensional cluster state</w:t>
      </w:r>
      <w:r>
        <w:t>.</w:t>
      </w:r>
      <w:r w:rsidRPr="00AD166F">
        <w:t xml:space="preserve"> </w:t>
      </w:r>
      <w:r w:rsidRPr="008C6EF4">
        <w:rPr>
          <w:b/>
          <w:bCs/>
        </w:rPr>
        <w:t>Science</w:t>
      </w:r>
      <w:r w:rsidRPr="00AD166F">
        <w:t xml:space="preserve"> 366, 373</w:t>
      </w:r>
      <w:r>
        <w:t>.</w:t>
      </w:r>
    </w:p>
    <w:p w14:paraId="1CEB946B" w14:textId="77777777" w:rsidR="002B32A0" w:rsidRDefault="002B32A0" w:rsidP="002B32A0">
      <w:pPr>
        <w:pStyle w:val="ListBullet"/>
      </w:pPr>
      <w:r>
        <w:t xml:space="preserve">Broome, M., et al. (2013). </w:t>
      </w:r>
      <w:r w:rsidRPr="009B6DB9">
        <w:t xml:space="preserve">Photonic Boson Sampling in a Tunable </w:t>
      </w:r>
      <w:r w:rsidRPr="009B6DB9">
        <w:rPr>
          <w:b/>
          <w:bCs/>
        </w:rPr>
        <w:t xml:space="preserve">Circuit. </w:t>
      </w:r>
      <w:r w:rsidRPr="008C6EF4">
        <w:rPr>
          <w:b/>
          <w:bCs/>
        </w:rPr>
        <w:t>Science</w:t>
      </w:r>
      <w:r>
        <w:t>, Vol 339, Issue 6121, pp. 794-7</w:t>
      </w:r>
    </w:p>
    <w:p w14:paraId="14A99D1F" w14:textId="77777777" w:rsidR="002B32A0" w:rsidRDefault="002B32A0" w:rsidP="002B32A0">
      <w:pPr>
        <w:pStyle w:val="ListBullet"/>
      </w:pPr>
      <w:r w:rsidRPr="001318FD">
        <w:t>Chrzanowski</w:t>
      </w:r>
      <w:r>
        <w:t xml:space="preserve">, H. M., et al. (2014). </w:t>
      </w:r>
      <w:r w:rsidRPr="00623090">
        <w:t>Measurement-based noiseless linear amplification for quantum communication</w:t>
      </w:r>
      <w:r>
        <w:t xml:space="preserve">. </w:t>
      </w:r>
      <w:r w:rsidRPr="00E703DF">
        <w:rPr>
          <w:b/>
          <w:bCs/>
        </w:rPr>
        <w:t>Nature Photonics</w:t>
      </w:r>
      <w:r>
        <w:t xml:space="preserve"> 8, 333.</w:t>
      </w:r>
    </w:p>
    <w:p w14:paraId="49FD7658" w14:textId="77777777" w:rsidR="002B32A0" w:rsidRDefault="002B32A0" w:rsidP="002B32A0">
      <w:pPr>
        <w:pStyle w:val="ListBullet"/>
      </w:pPr>
      <w:r>
        <w:t xml:space="preserve">Dehollain, J., et al. (2016). </w:t>
      </w:r>
      <w:r w:rsidRPr="00623090">
        <w:rPr>
          <w:i/>
          <w:iCs/>
        </w:rPr>
        <w:t>Bell’s inequality violation with spins in silicon</w:t>
      </w:r>
      <w:r>
        <w:t xml:space="preserve">. </w:t>
      </w:r>
      <w:r w:rsidRPr="00E703DF">
        <w:rPr>
          <w:b/>
          <w:bCs/>
        </w:rPr>
        <w:t>Nature Nanotechnology</w:t>
      </w:r>
      <w:r>
        <w:t xml:space="preserve"> 11, 242–246 (cover article).</w:t>
      </w:r>
    </w:p>
    <w:p w14:paraId="1BB1DDC5" w14:textId="77777777" w:rsidR="002B32A0" w:rsidRDefault="002B32A0" w:rsidP="002B32A0">
      <w:pPr>
        <w:pStyle w:val="ListBullet"/>
      </w:pPr>
      <w:r>
        <w:t xml:space="preserve">Fuechsle, M., et al. (2012). </w:t>
      </w:r>
      <w:r w:rsidRPr="00623090">
        <w:rPr>
          <w:i/>
          <w:iCs/>
        </w:rPr>
        <w:t>A single atom transisto</w:t>
      </w:r>
      <w:r>
        <w:rPr>
          <w:i/>
          <w:iCs/>
        </w:rPr>
        <w:t>r</w:t>
      </w:r>
      <w:r>
        <w:t xml:space="preserve">. </w:t>
      </w:r>
      <w:r w:rsidRPr="00E703DF">
        <w:rPr>
          <w:b/>
          <w:bCs/>
        </w:rPr>
        <w:t>Nature Nanotechnology</w:t>
      </w:r>
      <w:r>
        <w:t xml:space="preserve"> 7, 242.</w:t>
      </w:r>
    </w:p>
    <w:p w14:paraId="11959334" w14:textId="77777777" w:rsidR="002B32A0" w:rsidRDefault="002B32A0" w:rsidP="002B32A0">
      <w:pPr>
        <w:pStyle w:val="ListBullet"/>
      </w:pPr>
      <w:r>
        <w:t xml:space="preserve">Haw, J.Y., et al. (2016). </w:t>
      </w:r>
      <w:r w:rsidRPr="00623090">
        <w:t>Surpassing the no-cloning limit with a heralded hybrid linear amplifier for coherent states</w:t>
      </w:r>
      <w:r>
        <w:t xml:space="preserve">. </w:t>
      </w:r>
      <w:r w:rsidRPr="00E703DF">
        <w:rPr>
          <w:b/>
          <w:bCs/>
        </w:rPr>
        <w:t>Nature Communications</w:t>
      </w:r>
      <w:r>
        <w:t xml:space="preserve"> 7, 13222.</w:t>
      </w:r>
    </w:p>
    <w:p w14:paraId="323CF40E" w14:textId="77777777" w:rsidR="002B32A0" w:rsidRDefault="002B32A0" w:rsidP="002B32A0">
      <w:pPr>
        <w:pStyle w:val="ListBullet"/>
      </w:pPr>
      <w:r>
        <w:t xml:space="preserve">He, Y., Gorman, S.K., et al. (2019). </w:t>
      </w:r>
      <w:r w:rsidRPr="00623090">
        <w:t>A fast (</w:t>
      </w:r>
      <w:r w:rsidRPr="00623090">
        <w:rPr>
          <w:rFonts w:ascii="Cambria Math" w:hAnsi="Cambria Math" w:cs="Cambria Math"/>
        </w:rPr>
        <w:t>∼</w:t>
      </w:r>
      <w:r w:rsidRPr="00623090">
        <w:t>ns) two-qubit gate between phosphorus donor electrons in silicon</w:t>
      </w:r>
      <w:r>
        <w:t xml:space="preserve">. </w:t>
      </w:r>
      <w:r w:rsidRPr="00E703DF">
        <w:rPr>
          <w:b/>
          <w:bCs/>
        </w:rPr>
        <w:t>Nature</w:t>
      </w:r>
      <w:r>
        <w:t xml:space="preserve"> 571, 371 (cover article).</w:t>
      </w:r>
    </w:p>
    <w:p w14:paraId="676B7F78" w14:textId="77777777" w:rsidR="002B32A0" w:rsidRDefault="002B32A0" w:rsidP="002B32A0">
      <w:pPr>
        <w:pStyle w:val="ListBullet"/>
      </w:pPr>
      <w:r>
        <w:t xml:space="preserve">Hill, C., et al. (2015). </w:t>
      </w:r>
      <w:r w:rsidRPr="00623090">
        <w:rPr>
          <w:i/>
          <w:iCs/>
        </w:rPr>
        <w:t>A surface code quantum computer in silicon</w:t>
      </w:r>
      <w:r>
        <w:t xml:space="preserve">. </w:t>
      </w:r>
      <w:r w:rsidRPr="00E703DF">
        <w:rPr>
          <w:b/>
          <w:bCs/>
        </w:rPr>
        <w:t>Science Advances</w:t>
      </w:r>
      <w:r>
        <w:t xml:space="preserve"> 1, e1500707. </w:t>
      </w:r>
    </w:p>
    <w:p w14:paraId="22061C40" w14:textId="77777777" w:rsidR="002B32A0" w:rsidRDefault="002B32A0" w:rsidP="002B32A0">
      <w:pPr>
        <w:pStyle w:val="ListBullet"/>
      </w:pPr>
      <w:r>
        <w:t xml:space="preserve">Hosseinidehaj, N., et al. (2021). </w:t>
      </w:r>
      <w:r w:rsidRPr="00623090">
        <w:t>Composable finite-size effects in free-space continuous-variable quantum-key distribution</w:t>
      </w:r>
      <w:r w:rsidRPr="00902119">
        <w:t xml:space="preserve">. </w:t>
      </w:r>
      <w:r>
        <w:t xml:space="preserve">Systems </w:t>
      </w:r>
      <w:r w:rsidRPr="00E703DF">
        <w:rPr>
          <w:b/>
          <w:bCs/>
        </w:rPr>
        <w:t>Physical Review A</w:t>
      </w:r>
      <w:r>
        <w:t xml:space="preserve"> 103, 012605</w:t>
      </w:r>
    </w:p>
    <w:p w14:paraId="5F768E2D" w14:textId="77777777" w:rsidR="002B32A0" w:rsidRDefault="002B32A0" w:rsidP="002B32A0">
      <w:pPr>
        <w:pStyle w:val="ListBullet"/>
      </w:pPr>
      <w:r>
        <w:t xml:space="preserve">Huang, W., et al. (2019). </w:t>
      </w:r>
      <w:r w:rsidRPr="00623090">
        <w:t>Fidelity benchmarks for two-qubit gates in silicon</w:t>
      </w:r>
      <w:r>
        <w:t xml:space="preserve">. </w:t>
      </w:r>
      <w:r w:rsidRPr="00E703DF">
        <w:rPr>
          <w:b/>
          <w:bCs/>
        </w:rPr>
        <w:t>Nature</w:t>
      </w:r>
      <w:r>
        <w:t xml:space="preserve"> 569, 532.</w:t>
      </w:r>
    </w:p>
    <w:p w14:paraId="623946C3" w14:textId="77777777" w:rsidR="002B32A0" w:rsidRDefault="002B32A0" w:rsidP="002B32A0">
      <w:pPr>
        <w:pStyle w:val="ListBullet"/>
      </w:pPr>
      <w:r>
        <w:t>Jeong, H., et al. (2014),</w:t>
      </w:r>
      <w:r w:rsidRPr="003E6934">
        <w:t xml:space="preserve"> </w:t>
      </w:r>
      <w:r w:rsidRPr="00623090">
        <w:rPr>
          <w:i/>
          <w:iCs/>
        </w:rPr>
        <w:t>Generation of hybrid entanglement of light</w:t>
      </w:r>
      <w:r>
        <w:t xml:space="preserve">. </w:t>
      </w:r>
      <w:r w:rsidRPr="00E703DF">
        <w:rPr>
          <w:b/>
          <w:bCs/>
        </w:rPr>
        <w:t>Nature Photonics</w:t>
      </w:r>
      <w:r w:rsidRPr="004C4501">
        <w:t xml:space="preserve"> </w:t>
      </w:r>
      <w:r w:rsidRPr="00876F4F">
        <w:rPr>
          <w:lang w:val="en-GB"/>
        </w:rPr>
        <w:t>8, 564</w:t>
      </w:r>
      <w:r>
        <w:t>.</w:t>
      </w:r>
    </w:p>
    <w:p w14:paraId="4A5C8EB1" w14:textId="77777777" w:rsidR="002B32A0" w:rsidRDefault="002B32A0" w:rsidP="002B32A0">
      <w:pPr>
        <w:pStyle w:val="ListBullet"/>
      </w:pPr>
      <w:r>
        <w:t xml:space="preserve">Jiang, G.Y., et al. (2010). </w:t>
      </w:r>
      <w:r w:rsidRPr="00623090">
        <w:t>Heralded noiseless linear amplification and distillation of entanglement</w:t>
      </w:r>
      <w:r>
        <w:t xml:space="preserve">. </w:t>
      </w:r>
      <w:r w:rsidRPr="00E703DF">
        <w:rPr>
          <w:b/>
          <w:bCs/>
        </w:rPr>
        <w:t>Nature Photonics</w:t>
      </w:r>
      <w:r>
        <w:t xml:space="preserve"> 4, 316. </w:t>
      </w:r>
    </w:p>
    <w:p w14:paraId="5BDAECB3" w14:textId="77777777" w:rsidR="002B32A0" w:rsidRDefault="002B32A0" w:rsidP="002B32A0">
      <w:pPr>
        <w:pStyle w:val="ListBullet"/>
      </w:pPr>
      <w:r w:rsidRPr="00EF0169">
        <w:t>Keith</w:t>
      </w:r>
      <w:r>
        <w:rPr>
          <w:lang w:eastAsia="en-AU"/>
        </w:rPr>
        <w:t xml:space="preserve">, </w:t>
      </w:r>
      <w:r w:rsidRPr="00EF0169">
        <w:t>D.</w:t>
      </w:r>
      <w:r>
        <w:t xml:space="preserve">, </w:t>
      </w:r>
      <w:r>
        <w:rPr>
          <w:lang w:eastAsia="en-AU"/>
        </w:rPr>
        <w:t>et al. (2019).</w:t>
      </w:r>
      <w:r>
        <w:t xml:space="preserve"> </w:t>
      </w:r>
      <w:r w:rsidRPr="00623090">
        <w:t>Microsecond Spin Qubit Readout with a Strong-Response Single Electron Transistor</w:t>
      </w:r>
      <w:r>
        <w:t>.</w:t>
      </w:r>
      <w:r w:rsidRPr="00EF0169">
        <w:t xml:space="preserve"> </w:t>
      </w:r>
      <w:r w:rsidRPr="00E703DF">
        <w:rPr>
          <w:b/>
          <w:bCs/>
        </w:rPr>
        <w:t>Physical Review X</w:t>
      </w:r>
      <w:r w:rsidRPr="00EF0169">
        <w:t xml:space="preserve"> 9, 041003</w:t>
      </w:r>
      <w:r>
        <w:t>.</w:t>
      </w:r>
    </w:p>
    <w:p w14:paraId="78B7650B" w14:textId="77777777" w:rsidR="002B32A0" w:rsidRDefault="002B32A0" w:rsidP="002B32A0">
      <w:pPr>
        <w:pStyle w:val="ListBullet"/>
      </w:pPr>
      <w:r w:rsidRPr="00EF0169">
        <w:t>Keith</w:t>
      </w:r>
      <w:r>
        <w:t>, D.,</w:t>
      </w:r>
      <w:r w:rsidRPr="00EF0169">
        <w:rPr>
          <w:lang w:eastAsia="en-AU"/>
        </w:rPr>
        <w:t xml:space="preserve"> </w:t>
      </w:r>
      <w:r>
        <w:rPr>
          <w:lang w:eastAsia="en-AU"/>
        </w:rPr>
        <w:t>et al. (2022)</w:t>
      </w:r>
      <w:r>
        <w:t xml:space="preserve">. </w:t>
      </w:r>
      <w:r w:rsidRPr="00623090">
        <w:t>Ramped initialisation and measurement of semiconductor spin qubits</w:t>
      </w:r>
      <w:r>
        <w:t>.</w:t>
      </w:r>
      <w:r w:rsidRPr="00EF0169">
        <w:t xml:space="preserve"> </w:t>
      </w:r>
      <w:r w:rsidRPr="00E703DF">
        <w:rPr>
          <w:b/>
          <w:bCs/>
        </w:rPr>
        <w:t>Science Advances</w:t>
      </w:r>
      <w:r w:rsidRPr="00EF0169">
        <w:t xml:space="preserve"> 8</w:t>
      </w:r>
      <w:r>
        <w:t>.</w:t>
      </w:r>
    </w:p>
    <w:p w14:paraId="2EAC44EB" w14:textId="77777777" w:rsidR="002B32A0" w:rsidRDefault="002B32A0" w:rsidP="002B32A0">
      <w:pPr>
        <w:pStyle w:val="ListBullet"/>
      </w:pPr>
      <w:r w:rsidRPr="009315E3">
        <w:rPr>
          <w:lang w:eastAsia="en-AU"/>
        </w:rPr>
        <w:lastRenderedPageBreak/>
        <w:t>Kiczynski</w:t>
      </w:r>
      <w:r>
        <w:rPr>
          <w:lang w:eastAsia="en-AU"/>
        </w:rPr>
        <w:t>, M., et al. (2022).</w:t>
      </w:r>
      <w:r w:rsidRPr="009315E3">
        <w:rPr>
          <w:lang w:eastAsia="en-AU"/>
        </w:rPr>
        <w:t xml:space="preserve"> </w:t>
      </w:r>
      <w:r w:rsidRPr="004B2804">
        <w:rPr>
          <w:i/>
          <w:iCs/>
          <w:lang w:eastAsia="en-AU"/>
        </w:rPr>
        <w:t>Experimental realisation of the single particle Su-Schrieffer-Heeger model in phosphorus doped silicon quantum dots</w:t>
      </w:r>
      <w:r>
        <w:rPr>
          <w:lang w:eastAsia="en-AU"/>
        </w:rPr>
        <w:t>.</w:t>
      </w:r>
      <w:r w:rsidRPr="009315E3">
        <w:rPr>
          <w:i/>
          <w:iCs/>
          <w:lang w:eastAsia="en-AU"/>
        </w:rPr>
        <w:t xml:space="preserve"> </w:t>
      </w:r>
      <w:r w:rsidRPr="00E703DF">
        <w:rPr>
          <w:b/>
          <w:bCs/>
          <w:lang w:eastAsia="en-AU"/>
        </w:rPr>
        <w:t>Nature</w:t>
      </w:r>
      <w:r w:rsidRPr="008A45CE">
        <w:rPr>
          <w:lang w:eastAsia="en-AU"/>
        </w:rPr>
        <w:t xml:space="preserve"> 606, 694</w:t>
      </w:r>
      <w:r>
        <w:rPr>
          <w:lang w:eastAsia="en-AU"/>
        </w:rPr>
        <w:t xml:space="preserve">. </w:t>
      </w:r>
    </w:p>
    <w:p w14:paraId="21DCB0D5" w14:textId="77777777" w:rsidR="002B32A0" w:rsidRDefault="002B32A0" w:rsidP="002B32A0">
      <w:pPr>
        <w:pStyle w:val="ListBullet"/>
      </w:pPr>
      <w:r>
        <w:t xml:space="preserve">Koch, M., et al. (2019). </w:t>
      </w:r>
      <w:r w:rsidRPr="00623090">
        <w:t>Spin read-out in atomic qubits in an all-epitaxial three-dimensional transistor</w:t>
      </w:r>
      <w:r>
        <w:t xml:space="preserve">. </w:t>
      </w:r>
      <w:r w:rsidRPr="00E703DF">
        <w:rPr>
          <w:b/>
          <w:bCs/>
        </w:rPr>
        <w:t>Nature Nanotechnology</w:t>
      </w:r>
      <w:r>
        <w:t xml:space="preserve"> 14, 137 (cover article).</w:t>
      </w:r>
    </w:p>
    <w:p w14:paraId="2A789D78" w14:textId="77777777" w:rsidR="002B32A0" w:rsidRDefault="002B32A0" w:rsidP="002B32A0">
      <w:pPr>
        <w:pStyle w:val="ListBullet"/>
      </w:pPr>
      <w:r>
        <w:t xml:space="preserve">Kocsis, S., et al. (2013). </w:t>
      </w:r>
      <w:r w:rsidRPr="00623090">
        <w:t>Heralded noiseless amplification of a photon polarization qubit</w:t>
      </w:r>
      <w:r>
        <w:t xml:space="preserve">. </w:t>
      </w:r>
      <w:r w:rsidRPr="00E703DF">
        <w:rPr>
          <w:b/>
          <w:bCs/>
        </w:rPr>
        <w:t>Nature Physics</w:t>
      </w:r>
      <w:r>
        <w:t xml:space="preserve"> 9, 23. </w:t>
      </w:r>
    </w:p>
    <w:p w14:paraId="703DC002" w14:textId="77777777" w:rsidR="002B32A0" w:rsidRDefault="002B32A0" w:rsidP="002B32A0">
      <w:pPr>
        <w:pStyle w:val="ListBullet"/>
      </w:pPr>
      <w:r w:rsidRPr="00F90EE4">
        <w:t>Kranz</w:t>
      </w:r>
      <w:r>
        <w:t xml:space="preserve">, L., </w:t>
      </w:r>
      <w:r w:rsidRPr="00F90EE4">
        <w:t>et al.</w:t>
      </w:r>
      <w:r>
        <w:t xml:space="preserve"> (2020). </w:t>
      </w:r>
      <w:r w:rsidRPr="00623090">
        <w:t>Exploiting a Single-Crystal Environment to Minimize the Charge Noise on Qubits in Silicon</w:t>
      </w:r>
      <w:r>
        <w:t>.</w:t>
      </w:r>
      <w:r w:rsidRPr="00F90EE4">
        <w:t xml:space="preserve"> </w:t>
      </w:r>
      <w:r w:rsidRPr="00E703DF">
        <w:rPr>
          <w:b/>
          <w:bCs/>
        </w:rPr>
        <w:t>Advanced Materials</w:t>
      </w:r>
      <w:r w:rsidRPr="00F90EE4">
        <w:t xml:space="preserve"> 32, 2003361 (cover article).</w:t>
      </w:r>
    </w:p>
    <w:p w14:paraId="0BFC0E82" w14:textId="77777777" w:rsidR="002B32A0" w:rsidRDefault="002B32A0" w:rsidP="002B32A0">
      <w:pPr>
        <w:pStyle w:val="ListBullet"/>
      </w:pPr>
      <w:r>
        <w:t xml:space="preserve">Lanyon, B. P., et al. (2010). </w:t>
      </w:r>
      <w:r w:rsidRPr="00623090">
        <w:rPr>
          <w:i/>
          <w:iCs/>
        </w:rPr>
        <w:t>Towards quantum chemistry on a quantum computer</w:t>
      </w:r>
      <w:r>
        <w:t xml:space="preserve">. </w:t>
      </w:r>
      <w:r w:rsidRPr="00E703DF">
        <w:rPr>
          <w:b/>
          <w:bCs/>
        </w:rPr>
        <w:t>Nature Chemistry</w:t>
      </w:r>
      <w:r>
        <w:t xml:space="preserve"> 2, 106.</w:t>
      </w:r>
    </w:p>
    <w:p w14:paraId="5FC5356A" w14:textId="77777777" w:rsidR="002B32A0" w:rsidRDefault="002B32A0" w:rsidP="002B32A0">
      <w:pPr>
        <w:pStyle w:val="ListBullet"/>
      </w:pPr>
      <w:r>
        <w:t xml:space="preserve">Lee, N., et al. (2011). </w:t>
      </w:r>
      <w:r w:rsidRPr="00791668">
        <w:t>Teleportation of Nonclassical Wave Packets of Light</w:t>
      </w:r>
      <w:r>
        <w:t xml:space="preserve">. </w:t>
      </w:r>
      <w:r w:rsidRPr="00E703DF">
        <w:rPr>
          <w:b/>
          <w:bCs/>
        </w:rPr>
        <w:t>Science</w:t>
      </w:r>
      <w:r w:rsidRPr="00765EBC">
        <w:t xml:space="preserve"> 332, 330</w:t>
      </w:r>
      <w:r>
        <w:t>.</w:t>
      </w:r>
    </w:p>
    <w:p w14:paraId="2B9F1972" w14:textId="77777777" w:rsidR="002B32A0" w:rsidRDefault="002B32A0" w:rsidP="002B32A0">
      <w:pPr>
        <w:pStyle w:val="ListBullet"/>
      </w:pPr>
      <w:r>
        <w:t xml:space="preserve">Lenzini, F., et al. (2018). </w:t>
      </w:r>
      <w:r w:rsidRPr="00623090">
        <w:t>Integrated photonic platform for quantum information with continuous variables</w:t>
      </w:r>
      <w:r>
        <w:t xml:space="preserve">. </w:t>
      </w:r>
      <w:r w:rsidRPr="00E703DF">
        <w:rPr>
          <w:b/>
          <w:bCs/>
        </w:rPr>
        <w:t>Science Advances</w:t>
      </w:r>
      <w:r>
        <w:t xml:space="preserve"> 4, No. 12.</w:t>
      </w:r>
    </w:p>
    <w:p w14:paraId="11A00083" w14:textId="77777777" w:rsidR="002B32A0" w:rsidRDefault="002B32A0" w:rsidP="002B32A0">
      <w:pPr>
        <w:pStyle w:val="ListBullet"/>
      </w:pPr>
      <w:r w:rsidRPr="003C00B5">
        <w:t>Mądzik</w:t>
      </w:r>
      <w:r>
        <w:t xml:space="preserve">, M.T., et al. (2022). </w:t>
      </w:r>
      <w:r w:rsidRPr="00623090">
        <w:t>Precision tomography of a three-qubit donor quantum processor in silicon</w:t>
      </w:r>
      <w:r>
        <w:t>,</w:t>
      </w:r>
      <w:r w:rsidRPr="003C00B5">
        <w:t xml:space="preserve"> </w:t>
      </w:r>
      <w:r w:rsidRPr="00E703DF">
        <w:rPr>
          <w:b/>
          <w:bCs/>
        </w:rPr>
        <w:t>Nature</w:t>
      </w:r>
      <w:r w:rsidRPr="00C94EB2">
        <w:t xml:space="preserve"> </w:t>
      </w:r>
      <w:r w:rsidRPr="00623090">
        <w:t>601</w:t>
      </w:r>
      <w:r w:rsidRPr="00C94EB2">
        <w:t>, 348–353</w:t>
      </w:r>
    </w:p>
    <w:p w14:paraId="424049C0" w14:textId="77777777" w:rsidR="002B32A0" w:rsidRDefault="002B32A0" w:rsidP="002B32A0">
      <w:pPr>
        <w:pStyle w:val="ListBullet"/>
      </w:pPr>
      <w:r>
        <w:t xml:space="preserve">Marrero C.O., et al. (2021). </w:t>
      </w:r>
      <w:r w:rsidRPr="00623090">
        <w:rPr>
          <w:i/>
          <w:iCs/>
        </w:rPr>
        <w:t>Entanglement Induced Barren Plateaus</w:t>
      </w:r>
      <w:r>
        <w:rPr>
          <w:i/>
          <w:iCs/>
        </w:rPr>
        <w:t>.</w:t>
      </w:r>
      <w:r>
        <w:t xml:space="preserve"> </w:t>
      </w:r>
      <w:r w:rsidRPr="00E703DF">
        <w:rPr>
          <w:b/>
          <w:bCs/>
        </w:rPr>
        <w:t>PRX Quantum</w:t>
      </w:r>
      <w:r>
        <w:t xml:space="preserve"> 2, 40316.</w:t>
      </w:r>
    </w:p>
    <w:p w14:paraId="375A3260" w14:textId="77777777" w:rsidR="002B32A0" w:rsidRDefault="002B32A0" w:rsidP="002B32A0">
      <w:pPr>
        <w:pStyle w:val="ListBullet"/>
      </w:pPr>
      <w:r>
        <w:t xml:space="preserve">Muhonen, J., et al. (2014). </w:t>
      </w:r>
      <w:r w:rsidRPr="00623090">
        <w:rPr>
          <w:i/>
          <w:iCs/>
        </w:rPr>
        <w:t>Storing quantum information for 30 seconds in a nanoelectronic device</w:t>
      </w:r>
      <w:r>
        <w:t xml:space="preserve">. </w:t>
      </w:r>
      <w:r w:rsidRPr="00E703DF">
        <w:rPr>
          <w:b/>
          <w:bCs/>
        </w:rPr>
        <w:t xml:space="preserve">Nature Nanotechnology </w:t>
      </w:r>
      <w:r>
        <w:t>9, 986–991 (cover article).</w:t>
      </w:r>
    </w:p>
    <w:p w14:paraId="1A4B6EBC" w14:textId="77777777" w:rsidR="002B32A0" w:rsidRDefault="002B32A0" w:rsidP="002B32A0">
      <w:pPr>
        <w:pStyle w:val="ListBullet"/>
      </w:pPr>
      <w:r w:rsidRPr="003E6934">
        <w:t>Patel, R.B.</w:t>
      </w:r>
      <w:r>
        <w:t xml:space="preserve">, </w:t>
      </w:r>
      <w:r w:rsidRPr="003E6934">
        <w:t>et al. (2016)</w:t>
      </w:r>
      <w:r>
        <w:t xml:space="preserve">. </w:t>
      </w:r>
      <w:r w:rsidRPr="00623090">
        <w:rPr>
          <w:i/>
          <w:iCs/>
        </w:rPr>
        <w:t>A quantum fredkin gate</w:t>
      </w:r>
      <w:r>
        <w:t xml:space="preserve">. </w:t>
      </w:r>
      <w:r w:rsidRPr="00E703DF">
        <w:rPr>
          <w:b/>
          <w:bCs/>
        </w:rPr>
        <w:t>Science Advances</w:t>
      </w:r>
      <w:r w:rsidRPr="003E6934">
        <w:t xml:space="preserve">, 2(3). </w:t>
      </w:r>
    </w:p>
    <w:p w14:paraId="5AE3DE50" w14:textId="77777777" w:rsidR="002B32A0" w:rsidRDefault="002B32A0" w:rsidP="002B32A0">
      <w:pPr>
        <w:pStyle w:val="ListBullet"/>
      </w:pPr>
      <w:r>
        <w:t xml:space="preserve">Pla, J.J., et al. (2012), </w:t>
      </w:r>
      <w:r w:rsidRPr="00623090">
        <w:rPr>
          <w:i/>
          <w:iCs/>
        </w:rPr>
        <w:t>A single-atom electron spin qubit in silicon</w:t>
      </w:r>
      <w:r>
        <w:t xml:space="preserve">. </w:t>
      </w:r>
      <w:r w:rsidRPr="00E703DF">
        <w:rPr>
          <w:b/>
          <w:bCs/>
        </w:rPr>
        <w:t>Nature</w:t>
      </w:r>
      <w:r>
        <w:t xml:space="preserve"> 489, 541.</w:t>
      </w:r>
    </w:p>
    <w:p w14:paraId="72D48FDB" w14:textId="77777777" w:rsidR="002B32A0" w:rsidRDefault="002B32A0" w:rsidP="002B32A0">
      <w:pPr>
        <w:pStyle w:val="ListBullet"/>
      </w:pPr>
      <w:r>
        <w:t xml:space="preserve">Pla, J.J., et al. (2013). </w:t>
      </w:r>
      <w:r w:rsidRPr="00791668">
        <w:t>High-fidelity readout and control of a nuclear spin qubit in silicon</w:t>
      </w:r>
      <w:r>
        <w:t xml:space="preserve">. </w:t>
      </w:r>
      <w:r w:rsidRPr="00E703DF">
        <w:rPr>
          <w:b/>
          <w:bCs/>
        </w:rPr>
        <w:t>Nature</w:t>
      </w:r>
      <w:r>
        <w:t xml:space="preserve"> 496, 334.</w:t>
      </w:r>
      <w:r w:rsidRPr="00C95662">
        <w:t xml:space="preserve"> </w:t>
      </w:r>
    </w:p>
    <w:p w14:paraId="5F9FBADE" w14:textId="77777777" w:rsidR="002B32A0" w:rsidRDefault="002B32A0" w:rsidP="002B32A0">
      <w:pPr>
        <w:pStyle w:val="ListBullet"/>
      </w:pPr>
      <w:r w:rsidRPr="004D5571">
        <w:t>Slussarenko</w:t>
      </w:r>
      <w:r>
        <w:t xml:space="preserve">, S., et al. (2022). </w:t>
      </w:r>
      <w:r w:rsidRPr="00623090">
        <w:t>Quantum channel correction outperforming direct transmission</w:t>
      </w:r>
      <w:r>
        <w:t xml:space="preserve">. </w:t>
      </w:r>
      <w:r w:rsidRPr="00E703DF">
        <w:rPr>
          <w:b/>
          <w:bCs/>
        </w:rPr>
        <w:t>Nature Communications</w:t>
      </w:r>
      <w:r w:rsidRPr="00902119">
        <w:t xml:space="preserve"> </w:t>
      </w:r>
      <w:r w:rsidRPr="00623090">
        <w:t>13</w:t>
      </w:r>
      <w:r w:rsidRPr="004D5571">
        <w:t>, 1832</w:t>
      </w:r>
      <w:r>
        <w:t>.</w:t>
      </w:r>
    </w:p>
    <w:p w14:paraId="0DD0CFA9" w14:textId="77777777" w:rsidR="002B32A0" w:rsidRDefault="002B32A0" w:rsidP="002B32A0">
      <w:pPr>
        <w:pStyle w:val="ListBullet"/>
      </w:pPr>
      <w:r>
        <w:t xml:space="preserve">Symul, T., et al. (2011). </w:t>
      </w:r>
      <w:r w:rsidRPr="00623090">
        <w:t>Real time demonstration of high bitrate quantum random number generation with coherent laser light</w:t>
      </w:r>
      <w:r>
        <w:t xml:space="preserve">. </w:t>
      </w:r>
      <w:r w:rsidRPr="00E703DF">
        <w:rPr>
          <w:b/>
          <w:bCs/>
        </w:rPr>
        <w:t>Appl. Phys. Letters</w:t>
      </w:r>
      <w:r w:rsidRPr="005A1FD2">
        <w:t xml:space="preserve"> 98, 231103</w:t>
      </w:r>
      <w:r>
        <w:t>.</w:t>
      </w:r>
    </w:p>
    <w:p w14:paraId="1EBB4749" w14:textId="77777777" w:rsidR="002B32A0" w:rsidRDefault="002B32A0" w:rsidP="002B32A0">
      <w:pPr>
        <w:pStyle w:val="ListBullet"/>
      </w:pPr>
      <w:r>
        <w:t xml:space="preserve">Vahapoglu, JE., et al. (2021). </w:t>
      </w:r>
      <w:r w:rsidRPr="00623090">
        <w:t>Single-electron spin resonance in a nanoelectronic device using a global field</w:t>
      </w:r>
      <w:r>
        <w:t xml:space="preserve">. </w:t>
      </w:r>
      <w:r w:rsidRPr="00E703DF">
        <w:rPr>
          <w:b/>
          <w:bCs/>
        </w:rPr>
        <w:t>Science Advances</w:t>
      </w:r>
      <w:r>
        <w:t xml:space="preserve"> 7</w:t>
      </w:r>
    </w:p>
    <w:p w14:paraId="11AA7A8A" w14:textId="77777777" w:rsidR="002B32A0" w:rsidRDefault="002B32A0" w:rsidP="002B32A0">
      <w:pPr>
        <w:pStyle w:val="ListBullet"/>
      </w:pPr>
      <w:r>
        <w:t xml:space="preserve">Veldhorst, M., et al. (2014). </w:t>
      </w:r>
      <w:r w:rsidRPr="00623090">
        <w:t>A gate-addressable quantum dot qubit with fault-tolerant gate fidelity</w:t>
      </w:r>
      <w:r>
        <w:t xml:space="preserve">, </w:t>
      </w:r>
      <w:r w:rsidRPr="00E703DF">
        <w:rPr>
          <w:b/>
          <w:bCs/>
        </w:rPr>
        <w:t>Nature Nanotechnology</w:t>
      </w:r>
      <w:r>
        <w:t xml:space="preserve"> 9, 981.</w:t>
      </w:r>
    </w:p>
    <w:p w14:paraId="542BAA64" w14:textId="77777777" w:rsidR="002B32A0" w:rsidRDefault="002B32A0" w:rsidP="002B32A0">
      <w:pPr>
        <w:pStyle w:val="ListBullet"/>
      </w:pPr>
      <w:r>
        <w:t xml:space="preserve">Veldhorst, M., et al. (2015). </w:t>
      </w:r>
      <w:r w:rsidRPr="00623090">
        <w:rPr>
          <w:i/>
          <w:iCs/>
        </w:rPr>
        <w:t>A two-qubit logic gate in silicon</w:t>
      </w:r>
      <w:r>
        <w:t xml:space="preserve">, </w:t>
      </w:r>
      <w:r w:rsidRPr="00E703DF">
        <w:rPr>
          <w:b/>
          <w:bCs/>
        </w:rPr>
        <w:t>Nature</w:t>
      </w:r>
      <w:r>
        <w:t xml:space="preserve"> 526, 410.</w:t>
      </w:r>
    </w:p>
    <w:p w14:paraId="2A34A941" w14:textId="77777777" w:rsidR="002B32A0" w:rsidRDefault="002B32A0" w:rsidP="002B32A0">
      <w:pPr>
        <w:pStyle w:val="ListBullet"/>
      </w:pPr>
      <w:r>
        <w:t xml:space="preserve">Vogl, T., et al. (2019). </w:t>
      </w:r>
      <w:r w:rsidRPr="00623090">
        <w:t>Radiation tolerance of two-dimensional material-based devices for space applications</w:t>
      </w:r>
      <w:r>
        <w:t xml:space="preserve">. </w:t>
      </w:r>
      <w:r w:rsidRPr="00E703DF">
        <w:rPr>
          <w:b/>
          <w:bCs/>
        </w:rPr>
        <w:t>Nature Communications</w:t>
      </w:r>
      <w:r>
        <w:t xml:space="preserve"> 10, 1202.</w:t>
      </w:r>
    </w:p>
    <w:p w14:paraId="414DDDCF" w14:textId="77777777" w:rsidR="002B32A0" w:rsidRDefault="002B32A0" w:rsidP="002B32A0">
      <w:pPr>
        <w:pStyle w:val="ListBullet"/>
      </w:pPr>
      <w:r w:rsidRPr="00135E36">
        <w:t>Weber</w:t>
      </w:r>
      <w:r>
        <w:t xml:space="preserve">, </w:t>
      </w:r>
      <w:r w:rsidRPr="00135E36">
        <w:t>B.</w:t>
      </w:r>
      <w:r>
        <w:t>,</w:t>
      </w:r>
      <w:r w:rsidRPr="00135E36">
        <w:t xml:space="preserve"> et al.</w:t>
      </w:r>
      <w:r>
        <w:t xml:space="preserve"> (2012). </w:t>
      </w:r>
      <w:r w:rsidRPr="00623090">
        <w:rPr>
          <w:i/>
          <w:iCs/>
        </w:rPr>
        <w:t>Ohms Law survives to the atomic-scale</w:t>
      </w:r>
      <w:r>
        <w:t>.</w:t>
      </w:r>
      <w:r w:rsidRPr="00135E36">
        <w:t xml:space="preserve"> </w:t>
      </w:r>
      <w:r w:rsidRPr="00E703DF">
        <w:rPr>
          <w:b/>
          <w:bCs/>
        </w:rPr>
        <w:t>Science</w:t>
      </w:r>
      <w:r w:rsidRPr="00135E36">
        <w:t xml:space="preserve"> 335, 6064</w:t>
      </w:r>
      <w:r>
        <w:t>.</w:t>
      </w:r>
    </w:p>
    <w:p w14:paraId="634314B4" w14:textId="77777777" w:rsidR="002B32A0" w:rsidRDefault="002B32A0" w:rsidP="002B32A0">
      <w:pPr>
        <w:pStyle w:val="ListBullet"/>
      </w:pPr>
      <w:r>
        <w:t xml:space="preserve">White, D., et al. (2020). </w:t>
      </w:r>
      <w:r w:rsidRPr="00623090">
        <w:rPr>
          <w:i/>
          <w:iCs/>
        </w:rPr>
        <w:t>Atomically-thin quantum dots integrated with lithium niobate photonic chips</w:t>
      </w:r>
      <w:r>
        <w:t xml:space="preserve">. </w:t>
      </w:r>
      <w:r w:rsidRPr="00E703DF">
        <w:rPr>
          <w:b/>
          <w:bCs/>
        </w:rPr>
        <w:t>Optical Materials Express</w:t>
      </w:r>
      <w:r>
        <w:t xml:space="preserve"> 9 (2), 441-448 (2020 front cover of Laser and Photonics Review)</w:t>
      </w:r>
    </w:p>
    <w:p w14:paraId="1F7E3AAC" w14:textId="77777777" w:rsidR="002B32A0" w:rsidRDefault="002B32A0" w:rsidP="002B32A0">
      <w:pPr>
        <w:pStyle w:val="ListBullet"/>
      </w:pPr>
      <w:r>
        <w:t xml:space="preserve">Yang, C.H., et al. (2019). </w:t>
      </w:r>
      <w:r w:rsidRPr="00623090">
        <w:t>Silicon qubit fidelities approaching incoherent noise limits via pulse engineering</w:t>
      </w:r>
      <w:r>
        <w:t xml:space="preserve">. </w:t>
      </w:r>
      <w:r w:rsidRPr="00E703DF">
        <w:rPr>
          <w:b/>
          <w:bCs/>
        </w:rPr>
        <w:t>Nature Electronics</w:t>
      </w:r>
      <w:r>
        <w:t xml:space="preserve"> 2, 151–158 (cover article).</w:t>
      </w:r>
    </w:p>
    <w:p w14:paraId="489DA6EF" w14:textId="77777777" w:rsidR="002B32A0" w:rsidRDefault="002B32A0" w:rsidP="002B32A0">
      <w:pPr>
        <w:pStyle w:val="ListBullet"/>
      </w:pPr>
      <w:r>
        <w:t xml:space="preserve">Yang, C.H., et al. (2020). </w:t>
      </w:r>
      <w:r w:rsidRPr="00791668">
        <w:t>Operation of a silicon quantum processor unit cell above one kelvin</w:t>
      </w:r>
      <w:r>
        <w:t xml:space="preserve">. </w:t>
      </w:r>
      <w:r w:rsidRPr="00E703DF">
        <w:rPr>
          <w:b/>
          <w:bCs/>
        </w:rPr>
        <w:t>Nature</w:t>
      </w:r>
      <w:r>
        <w:t xml:space="preserve"> 580, 350</w:t>
      </w:r>
    </w:p>
    <w:p w14:paraId="6319FF7B" w14:textId="77777777" w:rsidR="002B32A0" w:rsidRDefault="002B32A0" w:rsidP="002B32A0">
      <w:pPr>
        <w:pStyle w:val="ListBullet"/>
      </w:pPr>
      <w:r>
        <w:t xml:space="preserve">Yokohama, S., et al. (2013). </w:t>
      </w:r>
      <w:r w:rsidRPr="00791668">
        <w:t>Ultra-large-scale continuous-variable cluster states multiplexed in the time domain</w:t>
      </w:r>
      <w:r>
        <w:t>.</w:t>
      </w:r>
      <w:r w:rsidRPr="003E6934">
        <w:t xml:space="preserve"> </w:t>
      </w:r>
      <w:r w:rsidRPr="00E703DF">
        <w:rPr>
          <w:b/>
          <w:bCs/>
        </w:rPr>
        <w:t>Nature Photonics</w:t>
      </w:r>
      <w:r w:rsidRPr="003E6934">
        <w:t xml:space="preserve"> volume 7, pages</w:t>
      </w:r>
      <w:r>
        <w:t xml:space="preserve"> </w:t>
      </w:r>
      <w:r w:rsidRPr="003E6934">
        <w:t>982–986</w:t>
      </w:r>
    </w:p>
    <w:p w14:paraId="776AF7A8" w14:textId="77777777" w:rsidR="002B32A0" w:rsidRDefault="002B32A0" w:rsidP="002B32A0">
      <w:pPr>
        <w:pStyle w:val="ListBullet"/>
      </w:pPr>
      <w:r>
        <w:lastRenderedPageBreak/>
        <w:t xml:space="preserve">Zhao, J., et al. (2020) </w:t>
      </w:r>
      <w:r w:rsidRPr="00791668">
        <w:rPr>
          <w:i/>
          <w:iCs/>
        </w:rPr>
        <w:t>A high-fidelity heralded quantum squeezing gate</w:t>
      </w:r>
      <w:r>
        <w:t xml:space="preserve">. </w:t>
      </w:r>
      <w:r w:rsidRPr="00E703DF">
        <w:rPr>
          <w:b/>
          <w:bCs/>
        </w:rPr>
        <w:t>Nature Photonics</w:t>
      </w:r>
      <w:r>
        <w:t xml:space="preserve"> 14, 306.</w:t>
      </w:r>
    </w:p>
    <w:p w14:paraId="5DABF066" w14:textId="77777777" w:rsidR="002B32A0" w:rsidRDefault="002B32A0" w:rsidP="002B32A0">
      <w:pPr>
        <w:pStyle w:val="ListBullet"/>
      </w:pPr>
      <w:r>
        <w:t xml:space="preserve">Zhou, X.Q., et al. (2013). </w:t>
      </w:r>
      <w:r w:rsidRPr="00791668">
        <w:t>Calculating unknown eigenvalues with a quantum algorithm</w:t>
      </w:r>
      <w:r>
        <w:t xml:space="preserve">. </w:t>
      </w:r>
      <w:r w:rsidRPr="00E703DF">
        <w:rPr>
          <w:b/>
          <w:bCs/>
        </w:rPr>
        <w:t>Nature Photonics</w:t>
      </w:r>
      <w:r>
        <w:t xml:space="preserve"> 7, 223.</w:t>
      </w:r>
    </w:p>
    <w:p w14:paraId="28326960" w14:textId="77777777" w:rsidR="002B32A0" w:rsidRDefault="002B32A0" w:rsidP="002B32A0">
      <w:pPr>
        <w:pStyle w:val="ListBullet"/>
      </w:pPr>
      <w:r w:rsidRPr="00A766F0">
        <w:rPr>
          <w:lang w:val="en"/>
        </w:rPr>
        <w:t xml:space="preserve">Zwanenberg, F.A., et al. (2013). </w:t>
      </w:r>
      <w:r w:rsidRPr="00A766F0">
        <w:rPr>
          <w:i/>
          <w:lang w:val="en"/>
        </w:rPr>
        <w:t>Silicon Quantum Electronics</w:t>
      </w:r>
      <w:r w:rsidRPr="00A766F0">
        <w:rPr>
          <w:lang w:val="en"/>
        </w:rPr>
        <w:t xml:space="preserve">. </w:t>
      </w:r>
      <w:r w:rsidRPr="00E703DF">
        <w:rPr>
          <w:b/>
        </w:rPr>
        <w:t>Reviews of Modern Physics</w:t>
      </w:r>
      <w:r w:rsidRPr="00A766F0">
        <w:rPr>
          <w:bCs/>
        </w:rPr>
        <w:t xml:space="preserve"> 85, 961.</w:t>
      </w:r>
    </w:p>
    <w:p w14:paraId="31014611" w14:textId="77777777" w:rsidR="002B32A0" w:rsidRDefault="002B32A0" w:rsidP="00EB5E0E">
      <w:pPr>
        <w:pStyle w:val="Heading3"/>
      </w:pPr>
      <w:r>
        <w:t>Major conference papers/presentations</w:t>
      </w:r>
    </w:p>
    <w:p w14:paraId="18E9CAE0" w14:textId="77777777" w:rsidR="002B32A0" w:rsidRDefault="002B32A0" w:rsidP="002B32A0">
      <w:pPr>
        <w:pStyle w:val="BodyText"/>
      </w:pPr>
      <w:r>
        <w:t>Centre researchers are highly sought-after speakers and contributors to international conferences with over 1300 invited, plenary and keynote talks at international conferences since 2000. This includes meetings such as the Nobel symposium, American Physical Society March meeting,</w:t>
      </w:r>
      <w:r w:rsidRPr="004B2804">
        <w:t xml:space="preserve"> Institute of Electrical and Electronics Engineers</w:t>
      </w:r>
      <w:r>
        <w:t xml:space="preserve"> (IEEE) meetings, </w:t>
      </w:r>
      <w:r w:rsidRPr="00E4495F">
        <w:t>International Electron Devices Meeting (IEDM)</w:t>
      </w:r>
      <w:r>
        <w:t xml:space="preserve">, </w:t>
      </w:r>
      <w:r w:rsidRPr="00E4495F">
        <w:t>the world's preeminent forum for reporting technological breakthroughs in the areas of semiconductor and</w:t>
      </w:r>
      <w:r>
        <w:t xml:space="preserve"> </w:t>
      </w:r>
      <w:r w:rsidRPr="00E4495F">
        <w:t>electronic device technology</w:t>
      </w:r>
      <w:r>
        <w:t xml:space="preserve">, Optical Society of America, </w:t>
      </w:r>
      <w:r w:rsidRPr="008D6BC9">
        <w:t>International Conference on the Physics of Semiconductors</w:t>
      </w:r>
      <w:r>
        <w:t xml:space="preserve">, Silicon Quantum Electronics Workshops and many others. Australian quantum researchers are well-known and respected globally. </w:t>
      </w:r>
    </w:p>
    <w:p w14:paraId="5C18BEE7" w14:textId="77777777" w:rsidR="002B32A0" w:rsidRDefault="002B32A0" w:rsidP="00EB5E0E">
      <w:pPr>
        <w:pStyle w:val="Heading4"/>
      </w:pPr>
      <w:r>
        <w:t>Models or tools</w:t>
      </w:r>
    </w:p>
    <w:p w14:paraId="3C60815B" w14:textId="77777777" w:rsidR="002B32A0" w:rsidRDefault="002B32A0" w:rsidP="002B32A0">
      <w:pPr>
        <w:pStyle w:val="ListBullet"/>
      </w:pPr>
      <w:r w:rsidRPr="00527A5B">
        <w:rPr>
          <w:b/>
          <w:bCs/>
        </w:rPr>
        <w:t>Benchmarking qubit read-out fidelity</w:t>
      </w:r>
      <w:r>
        <w:t xml:space="preserve"> – SQC and CQC²T have partnered to provide an on-line benchmarking tool for qubit read-out. This tool allows researchers to correctly determine qubit read-out fidelity and know how to optimise it so that different systems can be compared directly.</w:t>
      </w:r>
      <w:r>
        <w:rPr>
          <w:rStyle w:val="FootnoteReference"/>
        </w:rPr>
        <w:footnoteReference w:id="96"/>
      </w:r>
    </w:p>
    <w:p w14:paraId="5D4F46F0" w14:textId="040905FE" w:rsidR="002B32A0" w:rsidRPr="008204EA" w:rsidRDefault="002B32A0" w:rsidP="002B32A0">
      <w:pPr>
        <w:pStyle w:val="ListBullet"/>
        <w:rPr>
          <w:rFonts w:eastAsia="Times New Roman" w:cs="Calibri"/>
        </w:rPr>
      </w:pPr>
      <w:r w:rsidRPr="00527A5B">
        <w:rPr>
          <w:b/>
          <w:bCs/>
        </w:rPr>
        <w:t>Quantum Random number generator</w:t>
      </w:r>
      <w:r w:rsidRPr="00527A5B">
        <w:t xml:space="preserve"> –</w:t>
      </w:r>
      <w:r w:rsidRPr="00C21C30">
        <w:rPr>
          <w:b/>
          <w:bCs/>
        </w:rPr>
        <w:t xml:space="preserve"> </w:t>
      </w:r>
      <w:r w:rsidRPr="00527A5B">
        <w:t>The ANU node has developed and demonstrated a real time, 2</w:t>
      </w:r>
      <w:r>
        <w:t xml:space="preserve"> </w:t>
      </w:r>
      <w:r w:rsidRPr="00527A5B">
        <w:t>Gbps random number generation scheme</w:t>
      </w:r>
      <w:r>
        <w:rPr>
          <w:rStyle w:val="FootnoteReference"/>
        </w:rPr>
        <w:footnoteReference w:id="97"/>
      </w:r>
      <w:r w:rsidRPr="00527A5B">
        <w:t xml:space="preserve"> that has been</w:t>
      </w:r>
      <w:r>
        <w:t xml:space="preserve"> </w:t>
      </w:r>
      <w:r w:rsidRPr="00527A5B">
        <w:t xml:space="preserve">verified using standard randomness tests. </w:t>
      </w:r>
      <w:r>
        <w:rPr>
          <w:rFonts w:eastAsia="Times New Roman"/>
        </w:rPr>
        <w:t>A stream of quantum random numbers is freely available on an open-access web-site (</w:t>
      </w:r>
      <w:hyperlink r:id="rId155" w:history="1">
        <w:r>
          <w:rPr>
            <w:rStyle w:val="Hyperlink"/>
            <w:rFonts w:eastAsia="Times New Roman"/>
            <w:color w:val="0563C1"/>
          </w:rPr>
          <w:t>http://qrng.anu.edu.au</w:t>
        </w:r>
      </w:hyperlink>
      <w:r>
        <w:rPr>
          <w:rFonts w:eastAsia="Times New Roman"/>
        </w:rPr>
        <w:t>), having attracted over 2.5 billion hits with more than 3 million independent visitors, who are able to verify the quality of our random numbers and use them for their own experiments.</w:t>
      </w:r>
      <w:r>
        <w:rPr>
          <w:rFonts w:eastAsia="Times New Roman" w:cs="Calibri"/>
        </w:rPr>
        <w:t xml:space="preserve"> </w:t>
      </w:r>
      <w:r w:rsidRPr="008204EA">
        <w:rPr>
          <w:rFonts w:eastAsia="Times New Roman"/>
        </w:rPr>
        <w:t>The ANU quantum random number</w:t>
      </w:r>
      <w:r>
        <w:rPr>
          <w:rFonts w:eastAsia="Times New Roman"/>
        </w:rPr>
        <w:t xml:space="preserve"> generator is</w:t>
      </w:r>
      <w:r w:rsidRPr="008204EA">
        <w:rPr>
          <w:rFonts w:eastAsia="Times New Roman"/>
        </w:rPr>
        <w:t xml:space="preserve"> also developed into an on-demand ICT tool on Amazon Web Service Marketplace for computer scientists and developers who require dedicated high-speed access to entropy sources</w:t>
      </w:r>
      <w:r>
        <w:rPr>
          <w:rFonts w:eastAsia="Times New Roman"/>
        </w:rPr>
        <w:t>.</w:t>
      </w:r>
      <w:r>
        <w:rPr>
          <w:rStyle w:val="FootnoteReference"/>
          <w:rFonts w:eastAsia="Times New Roman"/>
        </w:rPr>
        <w:footnoteReference w:id="98"/>
      </w:r>
    </w:p>
    <w:p w14:paraId="45615EF2" w14:textId="77777777" w:rsidR="002B32A0" w:rsidRDefault="002B32A0" w:rsidP="00EB5E0E">
      <w:pPr>
        <w:pStyle w:val="Heading3"/>
      </w:pPr>
      <w:r>
        <w:t>Patents</w:t>
      </w:r>
    </w:p>
    <w:p w14:paraId="43844A1F" w14:textId="77777777" w:rsidR="002B32A0" w:rsidRDefault="002B32A0" w:rsidP="002B32A0">
      <w:pPr>
        <w:pStyle w:val="BodyText"/>
      </w:pPr>
      <w:r w:rsidRPr="000C549B">
        <w:t>CQC</w:t>
      </w:r>
      <w:r w:rsidRPr="000C549B">
        <w:rPr>
          <w:vertAlign w:val="superscript"/>
        </w:rPr>
        <w:t>2</w:t>
      </w:r>
      <w:r w:rsidRPr="000C549B">
        <w:t xml:space="preserve">T’s vision </w:t>
      </w:r>
      <w:r>
        <w:t>was</w:t>
      </w:r>
      <w:r w:rsidRPr="000C549B">
        <w:t xml:space="preserve"> </w:t>
      </w:r>
      <w:r>
        <w:t>to lead the world in discovering and developing quantum information technologies and</w:t>
      </w:r>
      <w:r w:rsidRPr="000C549B">
        <w:t xml:space="preserve"> ensure long-term economic and strategic benefit</w:t>
      </w:r>
      <w:r>
        <w:t>s</w:t>
      </w:r>
      <w:r w:rsidRPr="000C549B">
        <w:t xml:space="preserve"> for Australia. With this in mind, the Centre </w:t>
      </w:r>
      <w:r>
        <w:t>has implemented strong policies for IP protection and commercialisation from the outset. The success of this approach was demonstrated when i</w:t>
      </w:r>
      <w:r w:rsidRPr="000C549B">
        <w:t>n 2017, a public-private consortium (whose members included the Australian Government, C</w:t>
      </w:r>
      <w:r>
        <w:t>ommonwealth Bank of Australia</w:t>
      </w:r>
      <w:r w:rsidRPr="000C549B">
        <w:t>, Telstra, UNSW, and the NSW Government) invested $83</w:t>
      </w:r>
      <w:r>
        <w:t> million</w:t>
      </w:r>
      <w:r w:rsidRPr="000C549B">
        <w:t xml:space="preserve"> into </w:t>
      </w:r>
      <w:r>
        <w:t>the</w:t>
      </w:r>
      <w:r w:rsidRPr="000C549B">
        <w:t xml:space="preserve"> company</w:t>
      </w:r>
      <w:r>
        <w:t>, Silicon Quantum Computing (SQC)</w:t>
      </w:r>
      <w:r w:rsidRPr="000C549B">
        <w:t xml:space="preserve"> tasked with developing the Centre’s intellectual property in silicon-based quantum computing in a commercial context. This company has</w:t>
      </w:r>
      <w:r>
        <w:t xml:space="preserve"> since</w:t>
      </w:r>
      <w:r w:rsidRPr="000C549B">
        <w:t xml:space="preserve"> thrived, attracting John Martinis (former head of Google’s quantum computing initiative) </w:t>
      </w:r>
      <w:r w:rsidRPr="000C549B">
        <w:lastRenderedPageBreak/>
        <w:t xml:space="preserve">to Australia in 2020 and achieving a series of </w:t>
      </w:r>
      <w:r>
        <w:t xml:space="preserve">world-leading </w:t>
      </w:r>
      <w:r w:rsidRPr="000C549B">
        <w:t xml:space="preserve">developmental milestones that complement the fundamental discovery work that has continued in </w:t>
      </w:r>
      <w:r w:rsidRPr="00BB2F77">
        <w:t>CQC</w:t>
      </w:r>
      <w:r w:rsidRPr="00BB2F77">
        <w:rPr>
          <w:vertAlign w:val="superscript"/>
        </w:rPr>
        <w:t>2</w:t>
      </w:r>
      <w:r w:rsidRPr="00BB2F77">
        <w:t xml:space="preserve">T. Intellectual property developed by the team at UNSW </w:t>
      </w:r>
      <w:r>
        <w:t xml:space="preserve">is </w:t>
      </w:r>
      <w:r w:rsidRPr="00BB2F77">
        <w:t>continu</w:t>
      </w:r>
      <w:r>
        <w:t>ing</w:t>
      </w:r>
      <w:r w:rsidRPr="00BB2F77">
        <w:t xml:space="preserve"> to be patented and licenced to SQC to provide a vehicle for the kind of development work that cannot be sustained within an ARC-funded university research program. </w:t>
      </w:r>
      <w:r>
        <w:t>In 2022 Silicon Quantum Computing spun out a second quantum computing hardware company based on Si-MOS quantum dot technology, Diraq to pursue this technology commercially.</w:t>
      </w:r>
    </w:p>
    <w:p w14:paraId="451C69CB" w14:textId="77777777" w:rsidR="002B32A0" w:rsidRDefault="002B32A0" w:rsidP="002B32A0">
      <w:pPr>
        <w:pStyle w:val="BodyText"/>
      </w:pPr>
      <w:r w:rsidRPr="00163C44">
        <w:t xml:space="preserve">More broadly, across all nodes, the </w:t>
      </w:r>
      <w:r>
        <w:t>C</w:t>
      </w:r>
      <w:r w:rsidRPr="00163C44">
        <w:t xml:space="preserve">entre </w:t>
      </w:r>
      <w:r>
        <w:t>actively protects its intellectual propert</w:t>
      </w:r>
      <w:r w:rsidRPr="00163C44">
        <w:t>y</w:t>
      </w:r>
      <w:r>
        <w:t>. Seven provisional patents are</w:t>
      </w:r>
      <w:r w:rsidRPr="00163C44">
        <w:t xml:space="preserve"> supported from Centre work at UM, RMIT, G</w:t>
      </w:r>
      <w:r>
        <w:t>riffith University</w:t>
      </w:r>
      <w:r w:rsidRPr="00163C44">
        <w:t xml:space="preserve">, UTS and ANU. </w:t>
      </w:r>
      <w:r>
        <w:t>In addition to QuintessenceLabs, which was established in 2017, the</w:t>
      </w:r>
      <w:r w:rsidRPr="00163C44">
        <w:t xml:space="preserve"> ANU node of the Centre has also recently spun out </w:t>
      </w:r>
      <w:r>
        <w:rPr>
          <w:spacing w:val="2"/>
          <w:shd w:val="clear" w:color="auto" w:fill="FFFFFF"/>
        </w:rPr>
        <w:t>a company, Aqacia, that uses state-of-the-art artificial intelligence to provide solutions to complex problems for key quantum technology industries.</w:t>
      </w:r>
    </w:p>
    <w:p w14:paraId="6E13651D" w14:textId="77777777" w:rsidR="002B32A0" w:rsidRDefault="002B32A0" w:rsidP="002B32A0">
      <w:pPr>
        <w:pStyle w:val="BodyText"/>
      </w:pPr>
      <w:r>
        <w:t xml:space="preserve">There have been over 100 granted patents </w:t>
      </w:r>
      <w:r w:rsidRPr="00F90EE4">
        <w:t>over 43 patent families</w:t>
      </w:r>
      <w:r>
        <w:t xml:space="preserve"> in the centre-related portfolio with an additional 50 patents pending or at the PCT phase. The Centre’s IP includes</w:t>
      </w:r>
      <w:r w:rsidRPr="00753295">
        <w:t xml:space="preserve"> </w:t>
      </w:r>
      <w:r>
        <w:t xml:space="preserve">techniques for developing </w:t>
      </w:r>
      <w:r w:rsidRPr="00753295">
        <w:t>globally unique technologies to manufacture qubits at the atomic-scale</w:t>
      </w:r>
      <w:r>
        <w:t>,</w:t>
      </w:r>
      <w:r w:rsidRPr="00753295">
        <w:t xml:space="preserve"> to </w:t>
      </w:r>
      <w:r>
        <w:t>operate</w:t>
      </w:r>
      <w:r w:rsidRPr="00753295">
        <w:t xml:space="preserve"> </w:t>
      </w:r>
      <w:r>
        <w:t>high quality 2</w:t>
      </w:r>
      <w:r w:rsidRPr="00753295">
        <w:t>-qubit gate</w:t>
      </w:r>
      <w:r>
        <w:t>s</w:t>
      </w:r>
      <w:r w:rsidRPr="00753295">
        <w:t xml:space="preserve"> in silicon</w:t>
      </w:r>
      <w:r>
        <w:t xml:space="preserve"> </w:t>
      </w:r>
      <w:r w:rsidRPr="00753295">
        <w:t>and highest fidelity qubits in the solid state.</w:t>
      </w:r>
      <w:r>
        <w:t xml:space="preserve"> </w:t>
      </w:r>
    </w:p>
    <w:p w14:paraId="791AF79A" w14:textId="77777777" w:rsidR="002B32A0" w:rsidRDefault="002B32A0" w:rsidP="002B32A0">
      <w:pPr>
        <w:pStyle w:val="BodyText"/>
      </w:pPr>
      <w:r>
        <w:t>Examples include:</w:t>
      </w:r>
    </w:p>
    <w:p w14:paraId="1A99C8B5" w14:textId="77777777" w:rsidR="002B32A0" w:rsidRPr="00704563" w:rsidRDefault="002B32A0" w:rsidP="002B32A0">
      <w:pPr>
        <w:pStyle w:val="ListBullet"/>
        <w:rPr>
          <w:b/>
          <w:bCs/>
          <w:i/>
          <w:iCs/>
        </w:rPr>
      </w:pPr>
      <w:r w:rsidRPr="00527A5B">
        <w:rPr>
          <w:i/>
          <w:iCs/>
        </w:rPr>
        <w:t>Nanoscale and Atomic-scale Device Fabrication Method</w:t>
      </w:r>
      <w:r w:rsidRPr="00704563">
        <w:rPr>
          <w:i/>
          <w:iCs/>
        </w:rPr>
        <w:t xml:space="preserve"> (2004)</w:t>
      </w:r>
      <w:r>
        <w:rPr>
          <w:i/>
          <w:iCs/>
        </w:rPr>
        <w:t>.</w:t>
      </w:r>
      <w:r w:rsidRPr="00704563">
        <w:rPr>
          <w:rStyle w:val="FootnoteReference"/>
          <w:b/>
          <w:bCs/>
          <w:i/>
          <w:iCs/>
        </w:rPr>
        <w:footnoteReference w:id="99"/>
      </w:r>
    </w:p>
    <w:p w14:paraId="18B581AD" w14:textId="77777777" w:rsidR="002B32A0" w:rsidRPr="00704563" w:rsidRDefault="002B32A0" w:rsidP="002B32A0">
      <w:pPr>
        <w:pStyle w:val="ListBullet"/>
        <w:rPr>
          <w:b/>
          <w:bCs/>
          <w:i/>
          <w:iCs/>
        </w:rPr>
      </w:pPr>
      <w:r w:rsidRPr="00704563">
        <w:rPr>
          <w:i/>
          <w:iCs/>
        </w:rPr>
        <w:t>Implanted counted dopant ions (2005)</w:t>
      </w:r>
      <w:r>
        <w:rPr>
          <w:i/>
          <w:iCs/>
        </w:rPr>
        <w:t>.</w:t>
      </w:r>
      <w:r w:rsidRPr="00704563">
        <w:rPr>
          <w:rStyle w:val="FootnoteReference"/>
          <w:i/>
          <w:iCs/>
        </w:rPr>
        <w:footnoteReference w:id="100"/>
      </w:r>
    </w:p>
    <w:p w14:paraId="063C8CFD" w14:textId="77777777" w:rsidR="002B32A0" w:rsidRPr="00704563" w:rsidRDefault="002B32A0" w:rsidP="002B32A0">
      <w:pPr>
        <w:pStyle w:val="ListBullet"/>
        <w:rPr>
          <w:i/>
          <w:iCs/>
        </w:rPr>
      </w:pPr>
      <w:r w:rsidRPr="00704563">
        <w:rPr>
          <w:i/>
          <w:iCs/>
        </w:rPr>
        <w:t>Method for fabricating atomic-scale multi-terminal devices (2008)</w:t>
      </w:r>
      <w:r>
        <w:rPr>
          <w:i/>
          <w:iCs/>
        </w:rPr>
        <w:t>.</w:t>
      </w:r>
      <w:r w:rsidRPr="00704563">
        <w:rPr>
          <w:rStyle w:val="FootnoteReference"/>
          <w:rFonts w:ascii="Scto Grotesk A Regular" w:hAnsi="Scto Grotesk A Regular"/>
          <w:i/>
          <w:iCs/>
        </w:rPr>
        <w:footnoteReference w:id="101"/>
      </w:r>
    </w:p>
    <w:p w14:paraId="5BF96FCB" w14:textId="77777777" w:rsidR="002B32A0" w:rsidRPr="00527A5B" w:rsidRDefault="002B32A0" w:rsidP="002B32A0">
      <w:pPr>
        <w:pStyle w:val="ListBullet"/>
        <w:rPr>
          <w:b/>
          <w:bCs/>
          <w:i/>
          <w:iCs/>
        </w:rPr>
      </w:pPr>
      <w:r w:rsidRPr="00704563">
        <w:rPr>
          <w:i/>
          <w:iCs/>
        </w:rPr>
        <w:t>2D surface code UQC architecture without interconnects (2015)</w:t>
      </w:r>
      <w:r>
        <w:rPr>
          <w:i/>
          <w:iCs/>
        </w:rPr>
        <w:t>.</w:t>
      </w:r>
      <w:r w:rsidRPr="00704563">
        <w:rPr>
          <w:rStyle w:val="FootnoteReference"/>
          <w:i/>
          <w:iCs/>
        </w:rPr>
        <w:footnoteReference w:id="102"/>
      </w:r>
    </w:p>
    <w:p w14:paraId="0B42AD32" w14:textId="77777777" w:rsidR="002B32A0" w:rsidRPr="00527A5B" w:rsidRDefault="002B32A0" w:rsidP="002B32A0">
      <w:pPr>
        <w:pStyle w:val="ListBullet"/>
        <w:rPr>
          <w:rFonts w:eastAsia="Times New Roman" w:cs="Times New Roman"/>
          <w:i/>
          <w:iCs/>
        </w:rPr>
      </w:pPr>
      <w:r w:rsidRPr="00704563">
        <w:rPr>
          <w:i/>
          <w:iCs/>
        </w:rPr>
        <w:t>A method for selective incorporation of dopant atoms in a semiconductive surface</w:t>
      </w:r>
      <w:r w:rsidRPr="00704563">
        <w:rPr>
          <w:bCs/>
          <w:i/>
          <w:iCs/>
        </w:rPr>
        <w:t xml:space="preserve"> (2015)</w:t>
      </w:r>
      <w:r>
        <w:rPr>
          <w:bCs/>
          <w:i/>
          <w:iCs/>
        </w:rPr>
        <w:t>.</w:t>
      </w:r>
      <w:r w:rsidRPr="00704563">
        <w:rPr>
          <w:rStyle w:val="FootnoteReference"/>
          <w:rFonts w:asciiTheme="minorHAnsi" w:hAnsiTheme="minorHAnsi"/>
          <w:bCs/>
          <w:i/>
          <w:iCs/>
        </w:rPr>
        <w:footnoteReference w:id="103"/>
      </w:r>
    </w:p>
    <w:p w14:paraId="17FB009A" w14:textId="77777777" w:rsidR="002B32A0" w:rsidRPr="00704563" w:rsidRDefault="002B32A0" w:rsidP="002B32A0">
      <w:pPr>
        <w:pStyle w:val="ListBullet"/>
        <w:rPr>
          <w:i/>
          <w:iCs/>
        </w:rPr>
      </w:pPr>
      <w:r w:rsidRPr="00704563">
        <w:rPr>
          <w:i/>
          <w:iCs/>
        </w:rPr>
        <w:t>Systems and methods for initialising and measuring qubits (2021)</w:t>
      </w:r>
      <w:r>
        <w:rPr>
          <w:i/>
          <w:iCs/>
        </w:rPr>
        <w:t>.</w:t>
      </w:r>
      <w:r w:rsidRPr="00704563">
        <w:rPr>
          <w:rStyle w:val="FootnoteReference"/>
          <w:i/>
          <w:iCs/>
        </w:rPr>
        <w:footnoteReference w:id="104"/>
      </w:r>
    </w:p>
    <w:p w14:paraId="1352D895" w14:textId="77777777" w:rsidR="002B32A0" w:rsidRDefault="002B32A0" w:rsidP="00EB5E0E">
      <w:pPr>
        <w:pStyle w:val="Heading3"/>
      </w:pPr>
      <w:r>
        <w:t>Awards and recognition</w:t>
      </w:r>
    </w:p>
    <w:p w14:paraId="6C4B8E4A" w14:textId="77777777" w:rsidR="002B32A0" w:rsidRDefault="002B32A0" w:rsidP="002B32A0">
      <w:pPr>
        <w:pStyle w:val="BodyText"/>
      </w:pPr>
      <w:r>
        <w:t>Many of the Chief investigators have achieved significant recognition. Over the past decade, these have included:</w:t>
      </w:r>
    </w:p>
    <w:p w14:paraId="299E95A2" w14:textId="77777777" w:rsidR="002B32A0" w:rsidRPr="00527A5B" w:rsidRDefault="002B32A0" w:rsidP="002B32A0">
      <w:pPr>
        <w:pStyle w:val="ListBullet"/>
      </w:pPr>
      <w:r w:rsidRPr="00527A5B">
        <w:rPr>
          <w:b/>
          <w:bCs/>
        </w:rPr>
        <w:t>2021:</w:t>
      </w:r>
      <w:r w:rsidRPr="00527A5B">
        <w:t xml:space="preserve"> Director Prof Michelle Simmons was awarded the Bakerian Medal and Lecture, Royal Society of London and was Chair of the Division of Quantum Information </w:t>
      </w:r>
      <w:r>
        <w:t xml:space="preserve">for the </w:t>
      </w:r>
      <w:r w:rsidRPr="00527A5B">
        <w:t>American Physical Society; Prof Sven Rogge</w:t>
      </w:r>
      <w:r>
        <w:t xml:space="preserve"> was the</w:t>
      </w:r>
      <w:r w:rsidRPr="00527A5B">
        <w:t xml:space="preserve"> President of the Australian Institute of Physics</w:t>
      </w:r>
      <w:r>
        <w:t>.</w:t>
      </w:r>
    </w:p>
    <w:p w14:paraId="43DF3F4B" w14:textId="77777777" w:rsidR="002B32A0" w:rsidRDefault="002B32A0" w:rsidP="002B32A0">
      <w:pPr>
        <w:pStyle w:val="ListBullet"/>
      </w:pPr>
      <w:r w:rsidRPr="00527A5B">
        <w:rPr>
          <w:b/>
          <w:bCs/>
        </w:rPr>
        <w:t>2020:</w:t>
      </w:r>
      <w:r w:rsidRPr="00527A5B">
        <w:t xml:space="preserve"> Professor Ping Koy Lam, </w:t>
      </w:r>
      <w:r>
        <w:t xml:space="preserve">became a </w:t>
      </w:r>
      <w:r w:rsidRPr="00527A5B">
        <w:t xml:space="preserve">Fellow of the Australian Academy of Science and Prof Elanor Huntington, </w:t>
      </w:r>
      <w:r>
        <w:t xml:space="preserve">became a </w:t>
      </w:r>
      <w:r w:rsidRPr="00527A5B">
        <w:t xml:space="preserve">Fellow of the Australian Academy of Technology and Engineering (ATSE). </w:t>
      </w:r>
    </w:p>
    <w:p w14:paraId="668BF91C" w14:textId="77777777" w:rsidR="002B32A0" w:rsidRPr="00527A5B" w:rsidRDefault="002B32A0" w:rsidP="002B32A0">
      <w:pPr>
        <w:pStyle w:val="ListBullet"/>
      </w:pPr>
      <w:r w:rsidRPr="00527A5B">
        <w:rPr>
          <w:b/>
          <w:bCs/>
        </w:rPr>
        <w:t>2019</w:t>
      </w:r>
      <w:r w:rsidRPr="00527A5B">
        <w:t xml:space="preserve">: Director Prof Michelle Simmons </w:t>
      </w:r>
      <w:r>
        <w:t xml:space="preserve">was </w:t>
      </w:r>
      <w:r w:rsidRPr="00527A5B">
        <w:t>awarded an Officer of the Order of Australia; Prof</w:t>
      </w:r>
      <w:r>
        <w:t> </w:t>
      </w:r>
      <w:r w:rsidRPr="00527A5B">
        <w:t>Andrew Dzurak</w:t>
      </w:r>
      <w:r>
        <w:t xml:space="preserve"> was</w:t>
      </w:r>
      <w:r w:rsidRPr="00527A5B">
        <w:t xml:space="preserve"> awarded </w:t>
      </w:r>
      <w:r>
        <w:t>an</w:t>
      </w:r>
      <w:r w:rsidRPr="00527A5B">
        <w:t xml:space="preserve"> ARC Laureate Fellowship; Prof Elanor Huntington</w:t>
      </w:r>
      <w:r>
        <w:t xml:space="preserve"> </w:t>
      </w:r>
      <w:r>
        <w:lastRenderedPageBreak/>
        <w:t xml:space="preserve">was a </w:t>
      </w:r>
      <w:r w:rsidRPr="00527A5B">
        <w:t>Finalist</w:t>
      </w:r>
      <w:r>
        <w:t xml:space="preserve"> of the </w:t>
      </w:r>
      <w:r w:rsidRPr="00527A5B">
        <w:t xml:space="preserve">CSIRO Eureka Prize, Leadership in Innovation and Science and </w:t>
      </w:r>
      <w:r>
        <w:t xml:space="preserve">the </w:t>
      </w:r>
      <w:r w:rsidRPr="00527A5B">
        <w:t>Telstra Business Women of the Year, Academia</w:t>
      </w:r>
      <w:r>
        <w:t xml:space="preserve">. </w:t>
      </w:r>
      <w:r w:rsidRPr="00527A5B">
        <w:t>Dr Alberto Peruzzo</w:t>
      </w:r>
      <w:r>
        <w:t xml:space="preserve"> won a</w:t>
      </w:r>
      <w:r w:rsidRPr="00527A5B">
        <w:t xml:space="preserve"> Google Faculty Research Award </w:t>
      </w:r>
    </w:p>
    <w:p w14:paraId="22E09159" w14:textId="77777777" w:rsidR="002B32A0" w:rsidRDefault="002B32A0" w:rsidP="002B32A0">
      <w:pPr>
        <w:pStyle w:val="ListBullet"/>
      </w:pPr>
      <w:r w:rsidRPr="00527A5B">
        <w:rPr>
          <w:b/>
          <w:bCs/>
        </w:rPr>
        <w:t>2018:</w:t>
      </w:r>
      <w:r w:rsidRPr="00527A5B">
        <w:t xml:space="preserve"> Director Prof Michelle Simmons </w:t>
      </w:r>
      <w:r>
        <w:t xml:space="preserve">was </w:t>
      </w:r>
      <w:r w:rsidRPr="00527A5B">
        <w:t>made 2018 Australian of the Year and elected a Fellow of the Royal Society of London; Prof Lloyd Hollenberg</w:t>
      </w:r>
      <w:r>
        <w:t xml:space="preserve"> was elected</w:t>
      </w:r>
      <w:r w:rsidRPr="00527A5B">
        <w:t xml:space="preserve"> to the Australian Academy of Science; Prof Geoff Pryde</w:t>
      </w:r>
      <w:r>
        <w:t xml:space="preserve"> was e</w:t>
      </w:r>
      <w:r w:rsidRPr="00527A5B">
        <w:t xml:space="preserve">lected </w:t>
      </w:r>
      <w:r>
        <w:t xml:space="preserve">a </w:t>
      </w:r>
      <w:r w:rsidRPr="00527A5B">
        <w:t>Fellow of the Optical Society</w:t>
      </w:r>
      <w:r>
        <w:t xml:space="preserve"> America</w:t>
      </w:r>
      <w:r w:rsidRPr="00527A5B">
        <w:t>; Assoc</w:t>
      </w:r>
      <w:r>
        <w:t>iate</w:t>
      </w:r>
      <w:r w:rsidRPr="00527A5B">
        <w:t xml:space="preserve"> Professor Mirko Lobino</w:t>
      </w:r>
      <w:r>
        <w:t xml:space="preserve"> was awarded an</w:t>
      </w:r>
      <w:r w:rsidRPr="00527A5B">
        <w:t xml:space="preserve"> ARC Future Fellow</w:t>
      </w:r>
      <w:r>
        <w:t xml:space="preserve"> and </w:t>
      </w:r>
      <w:r w:rsidRPr="00527A5B">
        <w:t xml:space="preserve">Dr Rose Ahelfeldt, </w:t>
      </w:r>
      <w:r>
        <w:t xml:space="preserve">was named </w:t>
      </w:r>
      <w:r w:rsidRPr="00527A5B">
        <w:t xml:space="preserve">ACT Scientist of the Year. </w:t>
      </w:r>
    </w:p>
    <w:p w14:paraId="1C34C592" w14:textId="77777777" w:rsidR="002B32A0" w:rsidRPr="00527A5B" w:rsidRDefault="002B32A0" w:rsidP="002B32A0">
      <w:pPr>
        <w:pStyle w:val="ListBullet"/>
      </w:pPr>
      <w:r w:rsidRPr="00527A5B">
        <w:rPr>
          <w:b/>
          <w:bCs/>
        </w:rPr>
        <w:t>2017</w:t>
      </w:r>
      <w:r w:rsidRPr="00527A5B">
        <w:t xml:space="preserve">: Director Prof Michelle Simmons </w:t>
      </w:r>
      <w:r>
        <w:t xml:space="preserve">was </w:t>
      </w:r>
      <w:r w:rsidRPr="00527A5B">
        <w:t>awarded the L’Oréal-UNESCO Laureate in Physical Sciences and the George R. Stibitz Computing Pioneering Award by</w:t>
      </w:r>
      <w:r>
        <w:t xml:space="preserve"> t</w:t>
      </w:r>
      <w:r w:rsidRPr="00527A5B">
        <w:t xml:space="preserve">he American Computer Museum; Professor Andrea Morello </w:t>
      </w:r>
      <w:r>
        <w:t xml:space="preserve">was made a </w:t>
      </w:r>
      <w:r w:rsidRPr="00527A5B">
        <w:t>Fellow of the Royal Society of NSW</w:t>
      </w:r>
      <w:r>
        <w:t xml:space="preserve"> and </w:t>
      </w:r>
      <w:r w:rsidRPr="00527A5B">
        <w:t xml:space="preserve">Pollock Memorial Lectureship Winner; Dr Arne Laucht, UNSW </w:t>
      </w:r>
      <w:r>
        <w:t xml:space="preserve">was made a </w:t>
      </w:r>
      <w:r w:rsidRPr="00527A5B">
        <w:t>Scientia Fellow; Professor Elanor Huntington</w:t>
      </w:r>
      <w:r>
        <w:t xml:space="preserve"> was made an Ho</w:t>
      </w:r>
      <w:r w:rsidRPr="00527A5B">
        <w:t>norary Fellow of Engineers Australia; Professor Tim Ralph</w:t>
      </w:r>
      <w:r>
        <w:t xml:space="preserve"> was made a </w:t>
      </w:r>
      <w:r w:rsidRPr="00527A5B">
        <w:t>Fellow of the Australian Academy of Science; Professor Howard Wiseman</w:t>
      </w:r>
      <w:r>
        <w:t xml:space="preserve"> a </w:t>
      </w:r>
      <w:r w:rsidRPr="00527A5B">
        <w:t>Fellow of the Optical Society</w:t>
      </w:r>
      <w:r>
        <w:t xml:space="preserve"> and </w:t>
      </w:r>
      <w:r w:rsidRPr="00527A5B">
        <w:t>Dr Alberto Peruzzo</w:t>
      </w:r>
      <w:r>
        <w:t xml:space="preserve"> was awarded a </w:t>
      </w:r>
      <w:r w:rsidRPr="00527A5B">
        <w:t>Gold Medal for the 2017 Humies Awards at the Gecco Conference.</w:t>
      </w:r>
    </w:p>
    <w:p w14:paraId="2F8C3B65" w14:textId="77777777" w:rsidR="002B32A0" w:rsidRPr="00527A5B" w:rsidRDefault="002B32A0" w:rsidP="002B32A0">
      <w:pPr>
        <w:pStyle w:val="ListBullet"/>
      </w:pPr>
      <w:r w:rsidRPr="00527A5B">
        <w:rPr>
          <w:b/>
          <w:bCs/>
        </w:rPr>
        <w:t>2016</w:t>
      </w:r>
      <w:r w:rsidRPr="00527A5B">
        <w:t>:</w:t>
      </w:r>
      <w:r w:rsidRPr="004274BD">
        <w:t xml:space="preserve"> </w:t>
      </w:r>
      <w:r w:rsidRPr="00527A5B">
        <w:t xml:space="preserve">Prof Michelle Simmons </w:t>
      </w:r>
      <w:r>
        <w:t>was awarded the</w:t>
      </w:r>
      <w:r w:rsidRPr="00527A5B">
        <w:t xml:space="preserve"> Feynman Prize in Nanotechnology</w:t>
      </w:r>
      <w:r w:rsidRPr="009D5D49">
        <w:t xml:space="preserve"> </w:t>
      </w:r>
      <w:r>
        <w:t>from the F</w:t>
      </w:r>
      <w:r w:rsidRPr="00527A5B">
        <w:t xml:space="preserve">oresight Institute Awards, </w:t>
      </w:r>
      <w:r w:rsidRPr="004274BD">
        <w:t xml:space="preserve">Prof Lloyd Hollenberg </w:t>
      </w:r>
      <w:r>
        <w:t>was awarded the</w:t>
      </w:r>
      <w:r w:rsidRPr="00527A5B">
        <w:t xml:space="preserve"> </w:t>
      </w:r>
      <w:r w:rsidRPr="004274BD">
        <w:t xml:space="preserve">Royal Society of Victoria Medal for Excellence in Scientific Research, </w:t>
      </w:r>
      <w:r w:rsidRPr="00527A5B">
        <w:t xml:space="preserve">Prof Andrea Morello </w:t>
      </w:r>
      <w:r>
        <w:t xml:space="preserve">was </w:t>
      </w:r>
      <w:r w:rsidRPr="00527A5B">
        <w:t>elected a Fellow of the American Physical Society</w:t>
      </w:r>
      <w:r>
        <w:t xml:space="preserve"> and made the i</w:t>
      </w:r>
      <w:r w:rsidRPr="00527A5B">
        <w:t xml:space="preserve">naugural recipient of the Rolf Landauer and Charles H. Bennett Award, Prof Sven Rogge </w:t>
      </w:r>
      <w:r>
        <w:t xml:space="preserve">was </w:t>
      </w:r>
      <w:r w:rsidRPr="00527A5B">
        <w:t>elected a Fellow of the American Physical Society</w:t>
      </w:r>
      <w:r>
        <w:t xml:space="preserve"> and </w:t>
      </w:r>
      <w:r w:rsidRPr="00527A5B">
        <w:t xml:space="preserve">Prof Howard Wiseman </w:t>
      </w:r>
      <w:r>
        <w:t xml:space="preserve">was </w:t>
      </w:r>
      <w:r w:rsidRPr="00527A5B">
        <w:t>elected a Fellow of the Optical Society (OSA)</w:t>
      </w:r>
      <w:r>
        <w:t>.</w:t>
      </w:r>
    </w:p>
    <w:p w14:paraId="31CF64DD" w14:textId="77777777" w:rsidR="002B32A0" w:rsidRPr="00527A5B" w:rsidRDefault="002B32A0" w:rsidP="002B32A0">
      <w:pPr>
        <w:pStyle w:val="ListBullet"/>
      </w:pPr>
      <w:r w:rsidRPr="00527A5B">
        <w:rPr>
          <w:b/>
          <w:bCs/>
        </w:rPr>
        <w:t>2015:</w:t>
      </w:r>
      <w:r w:rsidRPr="00527A5B">
        <w:t xml:space="preserve"> Prof Michelle Simmons </w:t>
      </w:r>
      <w:r>
        <w:t>was a</w:t>
      </w:r>
      <w:r w:rsidRPr="00527A5B">
        <w:t>warded the Thomas Ranken Lyle Medal</w:t>
      </w:r>
      <w:r>
        <w:t xml:space="preserve"> from the Australian Academy of Science,</w:t>
      </w:r>
      <w:r w:rsidRPr="00527A5B">
        <w:t xml:space="preserve"> the CSIRO Eureka Prize for</w:t>
      </w:r>
      <w:r>
        <w:t xml:space="preserve"> </w:t>
      </w:r>
      <w:r w:rsidRPr="00527A5B">
        <w:t>Leadership in Science and the Royal Society of New South Wales Walter Burfitt Prize</w:t>
      </w:r>
      <w:r>
        <w:t>.</w:t>
      </w:r>
    </w:p>
    <w:p w14:paraId="7C5D3D96" w14:textId="77777777" w:rsidR="002B32A0" w:rsidRPr="00527A5B" w:rsidRDefault="002B32A0" w:rsidP="002B32A0">
      <w:pPr>
        <w:pStyle w:val="ListBullet"/>
      </w:pPr>
      <w:r w:rsidRPr="00527A5B">
        <w:rPr>
          <w:b/>
          <w:bCs/>
        </w:rPr>
        <w:t>2014:</w:t>
      </w:r>
      <w:r w:rsidRPr="00527A5B">
        <w:t xml:space="preserve"> Prof Michelle Simmons </w:t>
      </w:r>
      <w:r>
        <w:t xml:space="preserve">was </w:t>
      </w:r>
      <w:r w:rsidRPr="00527A5B">
        <w:t>elected member of the American Academy of Arts and Sciences.</w:t>
      </w:r>
      <w:r>
        <w:t xml:space="preserve"> </w:t>
      </w:r>
      <w:r w:rsidRPr="00527A5B">
        <w:t xml:space="preserve">A/Prof Andrea Morello </w:t>
      </w:r>
      <w:r>
        <w:t xml:space="preserve">was </w:t>
      </w:r>
      <w:r w:rsidRPr="00527A5B">
        <w:t>awarded the David Syme Research Prize; Professor Elanor Huntington</w:t>
      </w:r>
      <w:r>
        <w:t xml:space="preserve"> became the </w:t>
      </w:r>
      <w:r w:rsidRPr="00527A5B">
        <w:t>Dean of ANU College of Engineering and Computer Science</w:t>
      </w:r>
      <w:r>
        <w:t xml:space="preserve"> and </w:t>
      </w:r>
      <w:r w:rsidRPr="00527A5B">
        <w:t>Professor Geoff Pryde awarded the</w:t>
      </w:r>
      <w:r>
        <w:t xml:space="preserve"> </w:t>
      </w:r>
      <w:r w:rsidRPr="00527A5B">
        <w:t xml:space="preserve">Pawsey Medal </w:t>
      </w:r>
      <w:r>
        <w:t>from</w:t>
      </w:r>
      <w:r w:rsidRPr="00527A5B">
        <w:t xml:space="preserve"> the Australian Academy of Science</w:t>
      </w:r>
      <w:r>
        <w:t>.</w:t>
      </w:r>
    </w:p>
    <w:p w14:paraId="20109263" w14:textId="77777777" w:rsidR="002B32A0" w:rsidRPr="00527A5B" w:rsidRDefault="002B32A0" w:rsidP="002B32A0">
      <w:pPr>
        <w:pStyle w:val="ListBullet"/>
      </w:pPr>
      <w:r w:rsidRPr="00527A5B">
        <w:rPr>
          <w:b/>
          <w:bCs/>
        </w:rPr>
        <w:t>2013:</w:t>
      </w:r>
      <w:r w:rsidRPr="00527A5B">
        <w:t xml:space="preserve"> Director Prof Michelle Simmons </w:t>
      </w:r>
      <w:r>
        <w:t>and</w:t>
      </w:r>
      <w:r w:rsidRPr="00527A5B">
        <w:t xml:space="preserve"> Deputy Director Prof Lloyd Hollenberg </w:t>
      </w:r>
      <w:r>
        <w:t xml:space="preserve">were </w:t>
      </w:r>
      <w:r w:rsidRPr="00527A5B">
        <w:t>awarded ARC Laureate</w:t>
      </w:r>
      <w:r>
        <w:t xml:space="preserve"> </w:t>
      </w:r>
      <w:r w:rsidRPr="00527A5B">
        <w:t>Fellowships;</w:t>
      </w:r>
      <w:r>
        <w:t xml:space="preserve"> </w:t>
      </w:r>
      <w:r w:rsidRPr="00527A5B">
        <w:t xml:space="preserve">A/Prof Andrea Morello </w:t>
      </w:r>
      <w:r>
        <w:t xml:space="preserve">was </w:t>
      </w:r>
      <w:r w:rsidRPr="00527A5B">
        <w:t>awarded the PM’s Malcolm McIntosh Prize for Physical Scienc</w:t>
      </w:r>
      <w:r>
        <w:t>e</w:t>
      </w:r>
      <w:r w:rsidRPr="00527A5B">
        <w:t>s</w:t>
      </w:r>
      <w:r>
        <w:t xml:space="preserve">; </w:t>
      </w:r>
      <w:r w:rsidRPr="00527A5B">
        <w:t xml:space="preserve">Prof Lloyd Hollenberg </w:t>
      </w:r>
      <w:r>
        <w:t xml:space="preserve">was </w:t>
      </w:r>
      <w:r w:rsidRPr="00527A5B">
        <w:t>awarded the Victoria Prize for Science; the AIP Boas Medal</w:t>
      </w:r>
      <w:r>
        <w:t xml:space="preserve"> </w:t>
      </w:r>
      <w:r w:rsidRPr="00527A5B">
        <w:t xml:space="preserve">and the Eureka Prize for Excellence in Interdisciplinary Research; Prof David Jamieson </w:t>
      </w:r>
      <w:r>
        <w:t xml:space="preserve">was </w:t>
      </w:r>
      <w:r w:rsidRPr="00527A5B">
        <w:t>awarded</w:t>
      </w:r>
      <w:r>
        <w:t xml:space="preserve"> </w:t>
      </w:r>
      <w:r w:rsidRPr="00527A5B">
        <w:t xml:space="preserve">the AIP Outstanding Service to Physics Award; Professor Andrew White </w:t>
      </w:r>
      <w:r>
        <w:t xml:space="preserve">was </w:t>
      </w:r>
      <w:r w:rsidRPr="00527A5B">
        <w:t>awarded a Fellowship of</w:t>
      </w:r>
      <w:r>
        <w:t xml:space="preserve"> </w:t>
      </w:r>
      <w:r w:rsidRPr="00527A5B">
        <w:t>the Australian Academy of Science</w:t>
      </w:r>
      <w:r>
        <w:t xml:space="preserve"> and </w:t>
      </w:r>
      <w:r w:rsidRPr="00527A5B">
        <w:t>Dr Ben Buchler appointed to Associate Professor.</w:t>
      </w:r>
    </w:p>
    <w:p w14:paraId="36CCB336" w14:textId="77777777" w:rsidR="002B32A0" w:rsidRPr="00527A5B" w:rsidRDefault="002B32A0" w:rsidP="002B32A0">
      <w:pPr>
        <w:pStyle w:val="ListBullet"/>
      </w:pPr>
      <w:r w:rsidRPr="00527A5B">
        <w:rPr>
          <w:b/>
          <w:bCs/>
        </w:rPr>
        <w:t>2012:</w:t>
      </w:r>
      <w:r w:rsidRPr="00527A5B">
        <w:t xml:space="preserve"> Prof Andrew Dzurak </w:t>
      </w:r>
      <w:r>
        <w:t xml:space="preserve">was </w:t>
      </w:r>
      <w:r w:rsidRPr="00527A5B">
        <w:t>awarded NSW Science and Engineering Award for Excellence in</w:t>
      </w:r>
      <w:r>
        <w:t xml:space="preserve"> </w:t>
      </w:r>
      <w:r w:rsidRPr="00527A5B">
        <w:t xml:space="preserve">Engineering and Information and Communications Technology; Prof Michelle Simmons </w:t>
      </w:r>
      <w:r>
        <w:t xml:space="preserve">was </w:t>
      </w:r>
      <w:r w:rsidRPr="00527A5B">
        <w:t>elected as</w:t>
      </w:r>
      <w:r>
        <w:t xml:space="preserve"> a </w:t>
      </w:r>
      <w:r w:rsidRPr="00527A5B">
        <w:t xml:space="preserve">Fellow to the UK Institute of Physics; Dr Andrea Morello </w:t>
      </w:r>
      <w:r>
        <w:t xml:space="preserve">was </w:t>
      </w:r>
      <w:r w:rsidRPr="00527A5B">
        <w:t>appointed to Associate Professor.</w:t>
      </w:r>
    </w:p>
    <w:p w14:paraId="6603F0E3" w14:textId="77777777" w:rsidR="002B32A0" w:rsidRPr="004274BD" w:rsidRDefault="002B32A0" w:rsidP="002B32A0">
      <w:pPr>
        <w:pStyle w:val="ListBullet"/>
      </w:pPr>
      <w:r w:rsidRPr="00527A5B">
        <w:rPr>
          <w:b/>
          <w:bCs/>
        </w:rPr>
        <w:t>2011:</w:t>
      </w:r>
      <w:r w:rsidRPr="00527A5B">
        <w:t xml:space="preserve"> Prof Michelle Simmons </w:t>
      </w:r>
      <w:r>
        <w:t xml:space="preserve">was </w:t>
      </w:r>
      <w:r w:rsidRPr="00527A5B">
        <w:t xml:space="preserve">awarded NSW Scientist of the Year; Prof Andrew Dzurak </w:t>
      </w:r>
      <w:r>
        <w:t>and</w:t>
      </w:r>
      <w:r w:rsidRPr="00527A5B">
        <w:t xml:space="preserve"> Dr</w:t>
      </w:r>
      <w:r>
        <w:t xml:space="preserve"> </w:t>
      </w:r>
      <w:r w:rsidRPr="00527A5B">
        <w:t>Andrea Morello Eureka Prize for Scientific Research; Prof Sven Rogge and Associate Professors</w:t>
      </w:r>
      <w:r>
        <w:t xml:space="preserve"> </w:t>
      </w:r>
      <w:r w:rsidRPr="00527A5B">
        <w:t xml:space="preserve">Geoff Pryde awarded ARC Future Fellowships; Professor Howard Wiseman </w:t>
      </w:r>
      <w:r>
        <w:t xml:space="preserve">was </w:t>
      </w:r>
      <w:r w:rsidRPr="00527A5B">
        <w:t>elected a Fellow of the APS.</w:t>
      </w:r>
    </w:p>
    <w:p w14:paraId="403D1F3D" w14:textId="77777777" w:rsidR="002B32A0" w:rsidRDefault="002B32A0" w:rsidP="00EB5E0E">
      <w:pPr>
        <w:pStyle w:val="Heading3"/>
      </w:pPr>
      <w:r>
        <w:lastRenderedPageBreak/>
        <w:t>Innovation / commercialisation</w:t>
      </w:r>
    </w:p>
    <w:p w14:paraId="03E43AC9" w14:textId="77777777" w:rsidR="002B32A0" w:rsidRDefault="002B32A0" w:rsidP="002B32A0">
      <w:pPr>
        <w:spacing w:before="113" w:after="60"/>
        <w:rPr>
          <w:rFonts w:asciiTheme="minorHAnsi" w:hAnsiTheme="minorHAnsi"/>
        </w:rPr>
      </w:pPr>
      <w:r w:rsidRPr="00527A5B">
        <w:rPr>
          <w:rFonts w:asciiTheme="minorHAnsi" w:hAnsiTheme="minorHAnsi"/>
        </w:rPr>
        <w:t>The ongoing success of CQC</w:t>
      </w:r>
      <w:r w:rsidRPr="00527A5B">
        <w:rPr>
          <w:rFonts w:asciiTheme="minorHAnsi" w:hAnsiTheme="minorHAnsi"/>
          <w:vertAlign w:val="superscript"/>
        </w:rPr>
        <w:t>2</w:t>
      </w:r>
      <w:r w:rsidRPr="00527A5B">
        <w:rPr>
          <w:rFonts w:asciiTheme="minorHAnsi" w:hAnsiTheme="minorHAnsi"/>
        </w:rPr>
        <w:t xml:space="preserve">T has led to the development of </w:t>
      </w:r>
      <w:r>
        <w:rPr>
          <w:rFonts w:asciiTheme="minorHAnsi" w:hAnsiTheme="minorHAnsi"/>
        </w:rPr>
        <w:t>4</w:t>
      </w:r>
      <w:r w:rsidRPr="00527A5B">
        <w:rPr>
          <w:rFonts w:asciiTheme="minorHAnsi" w:hAnsiTheme="minorHAnsi"/>
        </w:rPr>
        <w:t xml:space="preserve"> Australian quantum information companies</w:t>
      </w:r>
      <w:r>
        <w:rPr>
          <w:rFonts w:asciiTheme="minorHAnsi" w:hAnsiTheme="minorHAnsi"/>
        </w:rPr>
        <w:t>:</w:t>
      </w:r>
    </w:p>
    <w:p w14:paraId="65AFD967" w14:textId="77777777" w:rsidR="002B32A0" w:rsidRDefault="002B32A0" w:rsidP="002B32A0">
      <w:pPr>
        <w:pStyle w:val="ListParagraph"/>
        <w:numPr>
          <w:ilvl w:val="0"/>
          <w:numId w:val="65"/>
        </w:numPr>
        <w:spacing w:before="113" w:after="60"/>
        <w:rPr>
          <w:rFonts w:asciiTheme="minorHAnsi" w:hAnsiTheme="minorHAnsi"/>
        </w:rPr>
      </w:pPr>
      <w:r w:rsidRPr="00527A5B">
        <w:rPr>
          <w:rFonts w:asciiTheme="minorHAnsi" w:hAnsiTheme="minorHAnsi"/>
          <w:b/>
          <w:bCs/>
        </w:rPr>
        <w:t>QuintessenceLabs</w:t>
      </w:r>
      <w:r w:rsidRPr="00527A5B">
        <w:rPr>
          <w:rFonts w:asciiTheme="minorHAnsi" w:hAnsiTheme="minorHAnsi"/>
        </w:rPr>
        <w:t xml:space="preserve"> for secure communication systems was launched in 2007</w:t>
      </w:r>
      <w:r>
        <w:rPr>
          <w:rFonts w:asciiTheme="minorHAnsi" w:hAnsiTheme="minorHAnsi"/>
        </w:rPr>
        <w:t xml:space="preserve"> and </w:t>
      </w:r>
      <w:r w:rsidRPr="00527A5B">
        <w:rPr>
          <w:rFonts w:asciiTheme="minorHAnsi" w:hAnsiTheme="minorHAnsi"/>
        </w:rPr>
        <w:t xml:space="preserve">produces encryption key and policy management products that conform to the Key Management Interoperability Protocol (KMIP), as well as a hardware quantum random number generator, development of a quantum key distribution (QKD) system, and other encryption solutions that include automatic key zeroization. The company is exporting these information security products to companies in Australia and the USA. Some of its commercial partners include PKWare, NetDocuments, VMware, Penten and Westpac. </w:t>
      </w:r>
    </w:p>
    <w:p w14:paraId="263440F3" w14:textId="77777777" w:rsidR="002B32A0" w:rsidRPr="00EC4DA8" w:rsidRDefault="002B32A0" w:rsidP="002B32A0">
      <w:pPr>
        <w:pStyle w:val="ListParagraph"/>
        <w:numPr>
          <w:ilvl w:val="0"/>
          <w:numId w:val="65"/>
        </w:numPr>
        <w:spacing w:before="113" w:after="60"/>
        <w:rPr>
          <w:rFonts w:asciiTheme="minorHAnsi" w:hAnsiTheme="minorHAnsi"/>
        </w:rPr>
      </w:pPr>
      <w:r w:rsidRPr="00EC4DA8">
        <w:rPr>
          <w:rFonts w:asciiTheme="minorHAnsi" w:hAnsiTheme="minorHAnsi"/>
          <w:b/>
          <w:bCs/>
        </w:rPr>
        <w:t>Silicon Quantum Computing (SQC):</w:t>
      </w:r>
      <w:r w:rsidRPr="00EC4DA8">
        <w:rPr>
          <w:rFonts w:asciiTheme="minorHAnsi" w:hAnsiTheme="minorHAnsi"/>
        </w:rPr>
        <w:t xml:space="preserve"> Australia’s first quantum computing company, which focuses on atom-based quantum computing in silicon, was launched in 2017</w:t>
      </w:r>
      <w:r w:rsidRPr="006D4B86">
        <w:rPr>
          <w:rFonts w:asciiTheme="minorHAnsi" w:hAnsiTheme="minorHAnsi"/>
          <w:shd w:val="clear" w:color="auto" w:fill="FFFFFF"/>
        </w:rPr>
        <w:t>.</w:t>
      </w:r>
      <w:r w:rsidRPr="006D4B86">
        <w:rPr>
          <w:rStyle w:val="FootnoteReference"/>
          <w:rFonts w:asciiTheme="minorHAnsi" w:hAnsiTheme="minorHAnsi"/>
          <w:shd w:val="clear" w:color="auto" w:fill="FFFFFF"/>
        </w:rPr>
        <w:footnoteReference w:id="105"/>
      </w:r>
      <w:r w:rsidRPr="006D4B86">
        <w:rPr>
          <w:rFonts w:asciiTheme="minorHAnsi" w:hAnsiTheme="minorHAnsi"/>
          <w:shd w:val="clear" w:color="auto" w:fill="FFFFFF"/>
        </w:rPr>
        <w:t xml:space="preserve"> SQC is a unique corporate-Government-University start-up established with $83.7</w:t>
      </w:r>
      <w:r>
        <w:rPr>
          <w:rFonts w:asciiTheme="minorHAnsi" w:hAnsiTheme="minorHAnsi"/>
          <w:shd w:val="clear" w:color="auto" w:fill="FFFFFF"/>
        </w:rPr>
        <w:t xml:space="preserve"> </w:t>
      </w:r>
      <w:r w:rsidRPr="00CA70DF">
        <w:t>m</w:t>
      </w:r>
      <w:r>
        <w:t>illion</w:t>
      </w:r>
      <w:r w:rsidRPr="006D4B86">
        <w:rPr>
          <w:rFonts w:asciiTheme="minorHAnsi" w:hAnsiTheme="minorHAnsi"/>
          <w:shd w:val="clear" w:color="auto" w:fill="FFFFFF"/>
        </w:rPr>
        <w:t xml:space="preserve"> in funding from the Commonwealth Government, the Commonwealth Bank, Telstra, UNSW Sydney and the State Government of NSW. SQC is spearheading the manufacture of processors in silicon at the atomic-scale and is a global leader in the race to manufacture the world’s first commercial quantum computer. Since May 2017, SQC has assembled a world-class team of approximately 50 quantum scientists, engineers, and technicians along with specialist equipment and a globally unique atom-scale manufacturing foundry at UNSW to realise a quantum computer here in Australia. In addition to its core technology, SQC is developing a ‘full stack’ quantum processor to ensure it can deliver a useful and manufacturable quantum computer.</w:t>
      </w:r>
    </w:p>
    <w:p w14:paraId="3DAC7FC5" w14:textId="77777777" w:rsidR="002B32A0" w:rsidRPr="00EC4DA8" w:rsidRDefault="002B32A0" w:rsidP="002B32A0">
      <w:pPr>
        <w:pStyle w:val="ListParagraph"/>
        <w:numPr>
          <w:ilvl w:val="0"/>
          <w:numId w:val="65"/>
        </w:numPr>
        <w:spacing w:before="113" w:after="60"/>
        <w:rPr>
          <w:rFonts w:asciiTheme="minorHAnsi" w:hAnsiTheme="minorHAnsi"/>
        </w:rPr>
      </w:pPr>
      <w:r w:rsidRPr="006D4B86">
        <w:rPr>
          <w:rFonts w:asciiTheme="minorHAnsi" w:hAnsiTheme="minorHAnsi"/>
          <w:b/>
          <w:bCs/>
          <w:shd w:val="clear" w:color="auto" w:fill="FFFFFF"/>
        </w:rPr>
        <w:t xml:space="preserve">Diraq: </w:t>
      </w:r>
      <w:r w:rsidRPr="006D4B86">
        <w:rPr>
          <w:rFonts w:asciiTheme="minorHAnsi" w:hAnsiTheme="minorHAnsi"/>
          <w:shd w:val="clear" w:color="auto" w:fill="FFFFFF"/>
        </w:rPr>
        <w:t xml:space="preserve">In 2022, Silicon Quantum Computing spun out Diraq, another silicon-based quantum computing company that focusses solely on silicon quantum dot qubits. Originally developed as read-out transistors for atom-based qubits, Diraq's quantum dot technology is compatible with existing Complementary metal–oxide–semiconductor (CMOS) processes where they aim to partner with international foundries. </w:t>
      </w:r>
    </w:p>
    <w:p w14:paraId="1DAE8C13" w14:textId="77777777" w:rsidR="002B32A0" w:rsidRDefault="002B32A0" w:rsidP="002B32A0">
      <w:pPr>
        <w:pStyle w:val="ListParagraph"/>
        <w:numPr>
          <w:ilvl w:val="0"/>
          <w:numId w:val="65"/>
        </w:numPr>
        <w:spacing w:before="113" w:after="60"/>
        <w:rPr>
          <w:rFonts w:asciiTheme="minorHAnsi" w:hAnsiTheme="minorHAnsi"/>
        </w:rPr>
      </w:pPr>
      <w:r w:rsidRPr="00527A5B">
        <w:rPr>
          <w:rFonts w:asciiTheme="minorHAnsi" w:hAnsiTheme="minorHAnsi"/>
          <w:b/>
          <w:bCs/>
        </w:rPr>
        <w:t>Aqacia</w:t>
      </w:r>
      <w:r>
        <w:rPr>
          <w:rFonts w:asciiTheme="minorHAnsi" w:hAnsiTheme="minorHAnsi"/>
        </w:rPr>
        <w:t xml:space="preserve">: </w:t>
      </w:r>
      <w:r w:rsidRPr="00527A5B">
        <w:rPr>
          <w:rFonts w:asciiTheme="minorHAnsi" w:hAnsiTheme="minorHAnsi"/>
        </w:rPr>
        <w:t>The ANU node of the Centre has also recently spun out a company, Aqacia</w:t>
      </w:r>
      <w:r>
        <w:rPr>
          <w:rFonts w:asciiTheme="minorHAnsi" w:hAnsiTheme="minorHAnsi"/>
        </w:rPr>
        <w:t>,</w:t>
      </w:r>
      <w:r w:rsidRPr="00527A5B">
        <w:rPr>
          <w:rFonts w:asciiTheme="minorHAnsi" w:hAnsiTheme="minorHAnsi"/>
        </w:rPr>
        <w:t xml:space="preserve"> that uses the state-of-the-art artificial intelligence work to provide solutions to complex problems for key quantum technology industries.</w:t>
      </w:r>
      <w:r w:rsidRPr="00DC4BE9">
        <w:rPr>
          <w:rFonts w:asciiTheme="minorHAnsi" w:hAnsiTheme="minorHAnsi"/>
        </w:rPr>
        <w:t xml:space="preserve"> Aqacia </w:t>
      </w:r>
      <w:r>
        <w:rPr>
          <w:rFonts w:asciiTheme="minorHAnsi" w:hAnsiTheme="minorHAnsi"/>
        </w:rPr>
        <w:t xml:space="preserve">uses </w:t>
      </w:r>
      <w:r w:rsidRPr="00DC4BE9">
        <w:rPr>
          <w:rFonts w:asciiTheme="minorHAnsi" w:hAnsiTheme="minorHAnsi"/>
        </w:rPr>
        <w:t xml:space="preserve">neural network based technology </w:t>
      </w:r>
      <w:r>
        <w:rPr>
          <w:rFonts w:asciiTheme="minorHAnsi" w:hAnsiTheme="minorHAnsi"/>
        </w:rPr>
        <w:t>to</w:t>
      </w:r>
      <w:r w:rsidRPr="00DC4BE9">
        <w:rPr>
          <w:rFonts w:asciiTheme="minorHAnsi" w:hAnsiTheme="minorHAnsi"/>
        </w:rPr>
        <w:t xml:space="preserve"> simultaneously optimis</w:t>
      </w:r>
      <w:r>
        <w:rPr>
          <w:rFonts w:asciiTheme="minorHAnsi" w:hAnsiTheme="minorHAnsi"/>
        </w:rPr>
        <w:t>e</w:t>
      </w:r>
      <w:r w:rsidRPr="00DC4BE9">
        <w:rPr>
          <w:rFonts w:asciiTheme="minorHAnsi" w:hAnsiTheme="minorHAnsi"/>
        </w:rPr>
        <w:t xml:space="preserve"> up to thousands of parameters in complex processes.</w:t>
      </w:r>
      <w:r w:rsidRPr="00527A5B">
        <w:rPr>
          <w:rStyle w:val="FootnoteReference"/>
          <w:rFonts w:asciiTheme="minorHAnsi" w:hAnsiTheme="minorHAnsi"/>
          <w:color w:val="282828"/>
          <w:shd w:val="clear" w:color="auto" w:fill="FFFFFF"/>
        </w:rPr>
        <w:footnoteReference w:id="106"/>
      </w:r>
    </w:p>
    <w:p w14:paraId="4C4070C5" w14:textId="77777777" w:rsidR="002B32A0" w:rsidRDefault="002B32A0" w:rsidP="00EB5E0E">
      <w:pPr>
        <w:pStyle w:val="Heading2"/>
      </w:pPr>
      <w:bookmarkStart w:id="260" w:name="_Ref131078522"/>
      <w:bookmarkStart w:id="261" w:name="_Ref131087385"/>
      <w:bookmarkStart w:id="262" w:name="_Ref131087388"/>
      <w:bookmarkStart w:id="263" w:name="_Toc131174639"/>
      <w:bookmarkStart w:id="264" w:name="_Toc132970670"/>
      <w:bookmarkStart w:id="265" w:name="_Toc135323709"/>
      <w:r w:rsidRPr="00B03BA4">
        <w:t>Outcomes</w:t>
      </w:r>
      <w:bookmarkEnd w:id="260"/>
      <w:bookmarkEnd w:id="261"/>
      <w:bookmarkEnd w:id="262"/>
      <w:bookmarkEnd w:id="263"/>
      <w:bookmarkEnd w:id="264"/>
      <w:bookmarkEnd w:id="265"/>
      <w:r w:rsidRPr="00B03BA4">
        <w:t xml:space="preserve"> </w:t>
      </w:r>
    </w:p>
    <w:p w14:paraId="5F33146D" w14:textId="77777777" w:rsidR="002B32A0" w:rsidRDefault="002B32A0" w:rsidP="002B32A0">
      <w:r>
        <w:t>Quantum information is a transformational technology that will create the next information revolution, delivering quantum hardware for ultra-fast computing, secure communications and precise quantum sensing. Many new start-up companies are emerging in quantum information technology presenting extraordinary opportunities in areas such as transformational computing power, cyber-security, and cryptography. CQC</w:t>
      </w:r>
      <w:r w:rsidRPr="00B71C22">
        <w:rPr>
          <w:vertAlign w:val="superscript"/>
        </w:rPr>
        <w:t>2</w:t>
      </w:r>
      <w:r>
        <w:t>T’s vision is not only to lead the world in the discovery and development of these technologies, but also to ensure that there is a long-term economic and strategic benefit for Australia.</w:t>
      </w:r>
      <w:r>
        <w:rPr>
          <w:rStyle w:val="FootnoteReference"/>
        </w:rPr>
        <w:footnoteReference w:id="107"/>
      </w:r>
      <w:r>
        <w:t xml:space="preserve"> CQC</w:t>
      </w:r>
      <w:r w:rsidRPr="00B71C22">
        <w:rPr>
          <w:vertAlign w:val="superscript"/>
        </w:rPr>
        <w:t>2</w:t>
      </w:r>
      <w:r>
        <w:t xml:space="preserve">T researchers are working at the forefront of quantum information technology and innovation, which are expected to significantly impact the global economy. </w:t>
      </w:r>
      <w:r>
        <w:rPr>
          <w:lang w:eastAsia="ja-JP"/>
        </w:rPr>
        <w:t xml:space="preserve">According to </w:t>
      </w:r>
      <w:r w:rsidRPr="001321E1">
        <w:rPr>
          <w:lang w:eastAsia="ja-JP"/>
        </w:rPr>
        <w:t>UNSW President and Vice-Chancellor Professor Ian Jacobs</w:t>
      </w:r>
      <w:r>
        <w:rPr>
          <w:lang w:eastAsia="ja-JP"/>
        </w:rPr>
        <w:t xml:space="preserve">, </w:t>
      </w:r>
      <w:r>
        <w:t>“quantum computing not only has the potential to completely revolutionise the way many of us will work but could create jobs and even new industries we haven’t even imagined yet”.</w:t>
      </w:r>
      <w:r>
        <w:rPr>
          <w:rStyle w:val="FootnoteReference"/>
        </w:rPr>
        <w:footnoteReference w:id="108"/>
      </w:r>
      <w:r>
        <w:t xml:space="preserve"> </w:t>
      </w:r>
    </w:p>
    <w:p w14:paraId="45A371CA" w14:textId="77777777" w:rsidR="002B32A0" w:rsidRDefault="002B32A0" w:rsidP="002B32A0">
      <w:pPr>
        <w:spacing w:before="113" w:after="60"/>
      </w:pPr>
      <w:r>
        <w:t xml:space="preserve">A number of businesses are beginning to explore the potential applications of quantum computers to their future operations. Examples of the private businesses that have invested in Silicon Quantum Computing (SQC) and its relationship with </w:t>
      </w:r>
      <w:r w:rsidRPr="00F6403C">
        <w:t>CQC</w:t>
      </w:r>
      <w:r w:rsidRPr="002D2BF7">
        <w:rPr>
          <w:vertAlign w:val="superscript"/>
        </w:rPr>
        <w:t>2</w:t>
      </w:r>
      <w:r w:rsidRPr="00F6403C">
        <w:t>T</w:t>
      </w:r>
      <w:r>
        <w:t xml:space="preserve"> include:</w:t>
      </w:r>
    </w:p>
    <w:p w14:paraId="2A512435" w14:textId="77777777" w:rsidR="002B32A0" w:rsidRDefault="002B32A0" w:rsidP="002B32A0">
      <w:pPr>
        <w:pStyle w:val="ListBullet"/>
      </w:pPr>
      <w:r>
        <w:rPr>
          <w:b/>
          <w:bCs/>
        </w:rPr>
        <w:t xml:space="preserve">Commonwealth Bank of Australia: </w:t>
      </w:r>
      <w:r>
        <w:t>the university – industry partnership between the Commonwealth Bank of Australia and the Simmons team at CQC</w:t>
      </w:r>
      <w:r w:rsidRPr="002D2BF7">
        <w:rPr>
          <w:vertAlign w:val="superscript"/>
        </w:rPr>
        <w:t>2</w:t>
      </w:r>
      <w:r>
        <w:t xml:space="preserve">T started in 2013 with a collaborative research agreement. This has since grown into Commonwealth Bank of </w:t>
      </w:r>
      <w:r>
        <w:lastRenderedPageBreak/>
        <w:t xml:space="preserve">Australia becoming a shareholder in SQC. Ultimately the Commonwealth Bank of Australia is interested in ensuring value from quantum computing applications in the Finance sector and capturing the opportunity for Australia to become a quantum technology-enabled economy. </w:t>
      </w:r>
    </w:p>
    <w:p w14:paraId="05E6C638" w14:textId="77777777" w:rsidR="002B32A0" w:rsidRDefault="002B32A0" w:rsidP="002B32A0">
      <w:pPr>
        <w:pStyle w:val="ListBullet"/>
      </w:pPr>
      <w:r>
        <w:rPr>
          <w:b/>
          <w:bCs/>
        </w:rPr>
        <w:t>Telstra</w:t>
      </w:r>
      <w:r>
        <w:t>: Telstra,</w:t>
      </w:r>
      <w:r w:rsidRPr="00734750">
        <w:t xml:space="preserve"> Australia’s</w:t>
      </w:r>
      <w:r>
        <w:t xml:space="preserve"> </w:t>
      </w:r>
      <w:r w:rsidRPr="00734750">
        <w:t>largest telecommunications industry,</w:t>
      </w:r>
      <w:r>
        <w:rPr>
          <w:b/>
          <w:bCs/>
        </w:rPr>
        <w:t xml:space="preserve"> </w:t>
      </w:r>
      <w:r>
        <w:t>recognises that innovation arising from research in quantum computing is likely to be disruptive for the telecommunications industry. Following the success of the CBA partnership, SQC also partnered with Telstra with the aim of using quantum computing to solve complex optimisation problems. Telstra remains enthusiastically committed to the development of the globally leading atom-scale silicon hardware technology developed in SQC/CQC</w:t>
      </w:r>
      <w:r w:rsidRPr="002D2BF7">
        <w:rPr>
          <w:vertAlign w:val="superscript"/>
        </w:rPr>
        <w:t>2</w:t>
      </w:r>
      <w:r>
        <w:t xml:space="preserve">T. </w:t>
      </w:r>
    </w:p>
    <w:p w14:paraId="014F1855" w14:textId="77777777" w:rsidR="002B32A0" w:rsidRDefault="002B32A0" w:rsidP="002B32A0">
      <w:pPr>
        <w:pStyle w:val="ListBullet"/>
      </w:pPr>
      <w:r>
        <w:rPr>
          <w:b/>
          <w:bCs/>
        </w:rPr>
        <w:t xml:space="preserve">Zyvex Corporation: </w:t>
      </w:r>
      <w:r>
        <w:t>Zyvex Labs is a Texas-based nanotechnology company and has been a long-term partner of CQC</w:t>
      </w:r>
      <w:r w:rsidRPr="002D2BF7">
        <w:rPr>
          <w:vertAlign w:val="superscript"/>
        </w:rPr>
        <w:t>2</w:t>
      </w:r>
      <w:r>
        <w:t>T</w:t>
      </w:r>
      <w:r w:rsidDel="00F237F3">
        <w:t xml:space="preserve"> </w:t>
      </w:r>
      <w:r>
        <w:t>since its inception at the start of 2011. Zyvex Labs is working with SQC and CQC</w:t>
      </w:r>
      <w:r w:rsidRPr="002D2BF7">
        <w:rPr>
          <w:vertAlign w:val="superscript"/>
        </w:rPr>
        <w:t>2</w:t>
      </w:r>
      <w:r>
        <w:t>T to develop a fully automated Scanning Tunnelling Microscope based hydrogen depassivation lithography tool for faster, more reliable atomic-scale lithography. This co-development project ensures the long-term scalability of the technology being developed by the Australian team.</w:t>
      </w:r>
    </w:p>
    <w:p w14:paraId="52651B04" w14:textId="77777777" w:rsidR="002B32A0" w:rsidRDefault="002B32A0" w:rsidP="002B32A0">
      <w:pPr>
        <w:pStyle w:val="ListBullet"/>
      </w:pPr>
      <w:r>
        <w:rPr>
          <w:b/>
          <w:bCs/>
        </w:rPr>
        <w:t xml:space="preserve">Silex Systems: </w:t>
      </w:r>
      <w:r w:rsidRPr="00527A5B">
        <w:t>Silex Systems Limited</w:t>
      </w:r>
      <w:r w:rsidRPr="00791668">
        <w:t xml:space="preserve"> i</w:t>
      </w:r>
      <w:r w:rsidRPr="000A6216">
        <w:t>s</w:t>
      </w:r>
      <w:r w:rsidRPr="00527A5B">
        <w:t xml:space="preserve"> an Australian technology company focused on the commercialisation of innovative </w:t>
      </w:r>
      <w:r w:rsidRPr="000A6216">
        <w:t xml:space="preserve">Separation of Isotopes by Laser Excitation </w:t>
      </w:r>
      <w:r>
        <w:t>(</w:t>
      </w:r>
      <w:r w:rsidRPr="00527A5B">
        <w:t>SILEX</w:t>
      </w:r>
      <w:r>
        <w:t>)</w:t>
      </w:r>
      <w:r w:rsidRPr="00527A5B">
        <w:t xml:space="preserve"> technology for application to</w:t>
      </w:r>
      <w:r>
        <w:t xml:space="preserve"> zero spin, isotopically pure s</w:t>
      </w:r>
      <w:r w:rsidRPr="00527A5B">
        <w:t>ilicon quantum computing</w:t>
      </w:r>
      <w:r>
        <w:t>. SQC and its partnership with CQC</w:t>
      </w:r>
      <w:r w:rsidRPr="00B765DF">
        <w:rPr>
          <w:vertAlign w:val="superscript"/>
        </w:rPr>
        <w:t>2</w:t>
      </w:r>
      <w:r>
        <w:t xml:space="preserve">T have formed a joint development agreement with Silex on a CRC-P grant to deliver high purity isotopically pure </w:t>
      </w:r>
      <w:r w:rsidRPr="00FD241F">
        <w:rPr>
          <w:vertAlign w:val="superscript"/>
        </w:rPr>
        <w:t>28</w:t>
      </w:r>
      <w:r>
        <w:t xml:space="preserve">Si, a key feedstock material globally for silicon quantum computing. </w:t>
      </w:r>
    </w:p>
    <w:p w14:paraId="0BCA53C1" w14:textId="77777777" w:rsidR="002B32A0" w:rsidRDefault="002B32A0" w:rsidP="002B32A0">
      <w:pPr>
        <w:pStyle w:val="ListBullet"/>
        <w:numPr>
          <w:ilvl w:val="0"/>
          <w:numId w:val="0"/>
        </w:numPr>
        <w:rPr>
          <w:rFonts w:cs="Calibri"/>
        </w:rPr>
      </w:pPr>
      <w:r>
        <w:t>The CQC</w:t>
      </w:r>
      <w:r>
        <w:rPr>
          <w:vertAlign w:val="superscript"/>
        </w:rPr>
        <w:t>2</w:t>
      </w:r>
      <w:r>
        <w:t>T has been widely recognised around the world for its extraordinary contribution to the field of quantum computing and communications.</w:t>
      </w:r>
    </w:p>
    <w:p w14:paraId="6BFBD63F" w14:textId="77777777" w:rsidR="002B32A0" w:rsidRDefault="002B32A0" w:rsidP="002B32A0">
      <w:r>
        <w:t>Professor Sankar Das Sarma, Distinguished University Professor and Director of the Condensed Matter Theory Center at the University of Maryland</w:t>
      </w:r>
      <w:r w:rsidRPr="00F14838">
        <w:t xml:space="preserve">, </w:t>
      </w:r>
      <w:r w:rsidRPr="007F3DC9">
        <w:t>and the US’s most highly cited condensed matter theorist,</w:t>
      </w:r>
      <w:r>
        <w:t xml:space="preserve"> was previously Chair of the CQC</w:t>
      </w:r>
      <w:r>
        <w:rPr>
          <w:vertAlign w:val="superscript"/>
        </w:rPr>
        <w:t>2</w:t>
      </w:r>
      <w:r>
        <w:t>T International Scientific Advisory board. He provided a statement, noting that:</w:t>
      </w:r>
    </w:p>
    <w:p w14:paraId="37572580" w14:textId="77777777" w:rsidR="002B32A0" w:rsidRDefault="002B32A0" w:rsidP="002B32A0">
      <w:pPr>
        <w:pStyle w:val="Quote"/>
      </w:pPr>
      <w:r>
        <w:t>The [CQC</w:t>
      </w:r>
      <w:r>
        <w:rPr>
          <w:vertAlign w:val="superscript"/>
        </w:rPr>
        <w:t>2</w:t>
      </w:r>
      <w:r>
        <w:t>T] is an example of excellence, a leader in quantum computing research on solid state systems, particularly silicon-based quantum computing efforts. It is quite unique as its approach is 'bottom up' using scanning tunnelling microscope and atomic force microscope techniques, rather than top down using lithography as in all other silicon-based quantum computing efforts worldwide.</w:t>
      </w:r>
    </w:p>
    <w:p w14:paraId="254667A8" w14:textId="77777777" w:rsidR="002B32A0" w:rsidRDefault="002B32A0" w:rsidP="002B32A0">
      <w:pPr>
        <w:pStyle w:val="Quote"/>
      </w:pPr>
      <w:r>
        <w:t>CQC</w:t>
      </w:r>
      <w:r>
        <w:rPr>
          <w:vertAlign w:val="superscript"/>
        </w:rPr>
        <w:t>2</w:t>
      </w:r>
      <w:r>
        <w:t>T has excellent leadership and is well-placed to make breakthroughs […] Overall, CQC</w:t>
      </w:r>
      <w:r>
        <w:rPr>
          <w:vertAlign w:val="superscript"/>
        </w:rPr>
        <w:t>2</w:t>
      </w:r>
      <w:r>
        <w:t>T has contributed a great deal to silicon quantum technologies over the years, and I am delighted that I played a crucial role in getting it started and helping it achieve excellence and maturity.</w:t>
      </w:r>
    </w:p>
    <w:p w14:paraId="19036ECD" w14:textId="77777777" w:rsidR="002B32A0" w:rsidRDefault="002B32A0" w:rsidP="002B32A0">
      <w:pPr>
        <w:rPr>
          <w:highlight w:val="yellow"/>
        </w:rPr>
      </w:pPr>
      <w:r>
        <w:t>Professor Klaus Ensslin, Director of Swiss Centre for Research in Quantum Science and Technology and Professor of Solid-State Physics at ETH – Zurich is the current Chair of the CQC</w:t>
      </w:r>
      <w:r>
        <w:rPr>
          <w:vertAlign w:val="superscript"/>
        </w:rPr>
        <w:t>2</w:t>
      </w:r>
      <w:r>
        <w:t xml:space="preserve">T International Scientific Advisory board. He stated: </w:t>
      </w:r>
    </w:p>
    <w:p w14:paraId="33BE6EFD" w14:textId="77777777" w:rsidR="002B32A0" w:rsidRPr="007F3DC9" w:rsidRDefault="002B32A0" w:rsidP="002B32A0">
      <w:pPr>
        <w:pStyle w:val="Quote"/>
        <w:rPr>
          <w:rFonts w:ascii="Calibri" w:hAnsi="Calibri"/>
        </w:rPr>
      </w:pPr>
      <w:r w:rsidRPr="007F3DC9">
        <w:t>The CQC</w:t>
      </w:r>
      <w:r w:rsidRPr="007F3DC9">
        <w:rPr>
          <w:vertAlign w:val="superscript"/>
        </w:rPr>
        <w:t>2</w:t>
      </w:r>
      <w:r w:rsidRPr="007F3DC9">
        <w:t xml:space="preserve">T Centre at UNSW consists of excellent scientists that cover a broad area within quantum science. The </w:t>
      </w:r>
      <w:r>
        <w:t>C</w:t>
      </w:r>
      <w:r w:rsidRPr="007F3DC9">
        <w:t>enter presently focuses on 3 directions, namely 1. Quantum computing with Si-spin</w:t>
      </w:r>
      <w:r>
        <w:t xml:space="preserve"> </w:t>
      </w:r>
      <w:r w:rsidRPr="007F3DC9">
        <w:t xml:space="preserve">qubits, 2. Optical quantum computing and 3. Quantum communication. This combination makes the </w:t>
      </w:r>
      <w:r>
        <w:t>C</w:t>
      </w:r>
      <w:r w:rsidRPr="007F3DC9">
        <w:t xml:space="preserve">enter unique worldwide. Other </w:t>
      </w:r>
      <w:r>
        <w:t>C</w:t>
      </w:r>
      <w:r w:rsidRPr="007F3DC9">
        <w:t>enters mostly focus on one of these topics or have a narrower focus in general. In addition, CQC</w:t>
      </w:r>
      <w:r w:rsidRPr="007F3DC9">
        <w:rPr>
          <w:vertAlign w:val="superscript"/>
        </w:rPr>
        <w:t>2</w:t>
      </w:r>
      <w:r w:rsidRPr="007F3DC9">
        <w:t>T has a critical number of researchers in all of these 3 subfields. Senior researchers collaborate across different universities and groups. These collaborations are essential and they demonstrate that CQC</w:t>
      </w:r>
      <w:r w:rsidRPr="007F3DC9">
        <w:rPr>
          <w:vertAlign w:val="superscript"/>
        </w:rPr>
        <w:t>2</w:t>
      </w:r>
      <w:r w:rsidRPr="007F3DC9">
        <w:t xml:space="preserve">T is more than an assembly of individual </w:t>
      </w:r>
      <w:r w:rsidRPr="007F3DC9">
        <w:lastRenderedPageBreak/>
        <w:t>excellent researchers.</w:t>
      </w:r>
      <w:r>
        <w:t xml:space="preserve"> </w:t>
      </w:r>
      <w:r w:rsidRPr="007F3DC9">
        <w:t>Australia truly has a marvellous research endeavour on Quantum Computation and Communication Technology that has been going on since 2000.</w:t>
      </w:r>
    </w:p>
    <w:p w14:paraId="2BB4A273" w14:textId="77777777" w:rsidR="002B32A0" w:rsidRDefault="002B32A0" w:rsidP="002B32A0">
      <w:pPr>
        <w:pStyle w:val="ListBullet"/>
        <w:numPr>
          <w:ilvl w:val="0"/>
          <w:numId w:val="0"/>
        </w:numPr>
      </w:pPr>
      <w:r>
        <w:t>Professor Michelle Simmons, Director of the CQC</w:t>
      </w:r>
      <w:r>
        <w:rPr>
          <w:vertAlign w:val="superscript"/>
        </w:rPr>
        <w:t>2</w:t>
      </w:r>
      <w:r>
        <w:t>T, noted during consultations that she came to Australia specifically for the ARC grants program:</w:t>
      </w:r>
    </w:p>
    <w:p w14:paraId="4BC8D4A4" w14:textId="77777777" w:rsidR="002B32A0" w:rsidRDefault="002B32A0" w:rsidP="002B32A0">
      <w:pPr>
        <w:pStyle w:val="Quote"/>
        <w:rPr>
          <w:color w:val="auto"/>
        </w:rPr>
      </w:pPr>
      <w:r>
        <w:t xml:space="preserve">I </w:t>
      </w:r>
      <w:r>
        <w:rPr>
          <w:color w:val="auto"/>
        </w:rPr>
        <w:t xml:space="preserve">specifically </w:t>
      </w:r>
      <w:r>
        <w:t xml:space="preserve">moved to Australia because of </w:t>
      </w:r>
      <w:r>
        <w:rPr>
          <w:color w:val="auto"/>
        </w:rPr>
        <w:t>two of the main</w:t>
      </w:r>
      <w:r>
        <w:t xml:space="preserve"> </w:t>
      </w:r>
      <w:r>
        <w:rPr>
          <w:color w:val="auto"/>
        </w:rPr>
        <w:t>funding programs offered at that time by the ARC, the ARC QEII Research Fellowship and the ARC Special Research Centre scheme. These competitive programs allowed younger researchers to take on leadership roles at an early age and develop large, collaborative and ambitious research projects. The combination was unbeatable. I now see other nations try to replicate the ARC Centres of Excellence, but Australia stands out in this space and should be very proud and grateful of the opportunities this has provided and delivered for the nation.</w:t>
      </w:r>
    </w:p>
    <w:p w14:paraId="729280A0" w14:textId="77777777" w:rsidR="002B32A0" w:rsidRDefault="002B32A0" w:rsidP="002B32A0">
      <w:pPr>
        <w:pStyle w:val="ListBullet"/>
        <w:numPr>
          <w:ilvl w:val="0"/>
          <w:numId w:val="0"/>
        </w:numPr>
      </w:pPr>
      <w:r>
        <w:t>This not only demonstrates the significant impact that the CQC</w:t>
      </w:r>
      <w:r>
        <w:rPr>
          <w:vertAlign w:val="superscript"/>
        </w:rPr>
        <w:t>2</w:t>
      </w:r>
      <w:r>
        <w:t>T research has had globally, but also that ARC has succeeded in attracting and supporting world-class research in Australia.</w:t>
      </w:r>
    </w:p>
    <w:p w14:paraId="795D6D49" w14:textId="77777777" w:rsidR="002B32A0" w:rsidRDefault="002B32A0" w:rsidP="00EB5E0E">
      <w:pPr>
        <w:pStyle w:val="Heading3"/>
      </w:pPr>
      <w:r>
        <w:t>Alignment with government strategic priorities</w:t>
      </w:r>
    </w:p>
    <w:p w14:paraId="103690C5" w14:textId="77777777" w:rsidR="002B32A0" w:rsidRPr="003750C6" w:rsidRDefault="002B32A0" w:rsidP="002B32A0">
      <w:pPr>
        <w:rPr>
          <w:b/>
          <w:bCs/>
          <w:lang w:eastAsia="ja-JP"/>
        </w:rPr>
      </w:pPr>
      <w:r w:rsidRPr="00EB741A">
        <w:rPr>
          <w:lang w:eastAsia="ja-JP"/>
        </w:rPr>
        <w:t xml:space="preserve">Quantum computing aligns with several of the </w:t>
      </w:r>
      <w:r>
        <w:rPr>
          <w:szCs w:val="24"/>
        </w:rPr>
        <w:t xml:space="preserve">National </w:t>
      </w:r>
      <w:r>
        <w:rPr>
          <w:lang w:eastAsia="ja-JP"/>
        </w:rPr>
        <w:t>Science and Research Priorities,</w:t>
      </w:r>
      <w:r w:rsidRPr="00EB741A">
        <w:rPr>
          <w:lang w:eastAsia="ja-JP"/>
        </w:rPr>
        <w:t xml:space="preserve"> including</w:t>
      </w:r>
      <w:r>
        <w:rPr>
          <w:lang w:eastAsia="ja-JP"/>
        </w:rPr>
        <w:t xml:space="preserve"> </w:t>
      </w:r>
      <w:r w:rsidRPr="003750C6">
        <w:rPr>
          <w:lang w:eastAsia="ja-JP"/>
        </w:rPr>
        <w:t>transport cybersecurity; energy; resources; advanced manufacturing; environmental change, and health. This is</w:t>
      </w:r>
      <w:r>
        <w:rPr>
          <w:lang w:eastAsia="ja-JP"/>
        </w:rPr>
        <w:t xml:space="preserve"> because quantum computing has the potential to dramatically improve existing processes in these fields. For example, q</w:t>
      </w:r>
      <w:r w:rsidRPr="003750C6">
        <w:rPr>
          <w:lang w:eastAsia="ja-JP"/>
        </w:rPr>
        <w:t xml:space="preserve">uantum </w:t>
      </w:r>
      <w:r>
        <w:rPr>
          <w:lang w:eastAsia="ja-JP"/>
        </w:rPr>
        <w:t>simulations and quantum computing</w:t>
      </w:r>
      <w:r w:rsidRPr="003750C6">
        <w:rPr>
          <w:lang w:eastAsia="ja-JP"/>
        </w:rPr>
        <w:t xml:space="preserve"> could enable faster and more accurate civil engineering projects, allowing us to save time on infrastructure activities like roadworks</w:t>
      </w:r>
      <w:r>
        <w:rPr>
          <w:lang w:eastAsia="ja-JP"/>
        </w:rPr>
        <w:t>, thus improving the transportation sector</w:t>
      </w:r>
      <w:r w:rsidRPr="003750C6">
        <w:rPr>
          <w:lang w:eastAsia="ja-JP"/>
        </w:rPr>
        <w:t>.</w:t>
      </w:r>
      <w:r>
        <w:rPr>
          <w:rStyle w:val="FootnoteReference"/>
          <w:lang w:eastAsia="ja-JP"/>
        </w:rPr>
        <w:footnoteReference w:id="109"/>
      </w:r>
    </w:p>
    <w:p w14:paraId="185C83CD" w14:textId="77777777" w:rsidR="002B32A0" w:rsidRDefault="002B32A0" w:rsidP="002B32A0">
      <w:pPr>
        <w:rPr>
          <w:lang w:eastAsia="ja-JP"/>
        </w:rPr>
      </w:pPr>
      <w:r>
        <w:rPr>
          <w:lang w:eastAsia="ja-JP"/>
        </w:rPr>
        <w:t>Given the significant potential of quantum technology in Australia, the</w:t>
      </w:r>
      <w:r w:rsidRPr="00EB741A">
        <w:rPr>
          <w:lang w:eastAsia="ja-JP"/>
        </w:rPr>
        <w:t xml:space="preserve"> </w:t>
      </w:r>
      <w:r>
        <w:rPr>
          <w:lang w:eastAsia="ja-JP"/>
        </w:rPr>
        <w:t>G</w:t>
      </w:r>
      <w:r w:rsidRPr="00EB741A">
        <w:rPr>
          <w:lang w:eastAsia="ja-JP"/>
        </w:rPr>
        <w:t xml:space="preserve">overnment has invested heavily in </w:t>
      </w:r>
      <w:r>
        <w:rPr>
          <w:lang w:eastAsia="ja-JP"/>
        </w:rPr>
        <w:t>this space. Several government and non-government bodies and initiatives have been established to advance Australia’s quantum capability.</w:t>
      </w:r>
    </w:p>
    <w:p w14:paraId="303905B9" w14:textId="77777777" w:rsidR="002B32A0" w:rsidRDefault="002B32A0" w:rsidP="002B32A0">
      <w:r w:rsidRPr="00B71C22">
        <w:t xml:space="preserve">The National Quantum Strategy </w:t>
      </w:r>
      <w:r>
        <w:t>outlines</w:t>
      </w:r>
      <w:r w:rsidRPr="00B71C22">
        <w:t xml:space="preserve"> Australia’s vision for the quantum industry.</w:t>
      </w:r>
      <w:r>
        <w:rPr>
          <w:rStyle w:val="FootnoteReference"/>
        </w:rPr>
        <w:footnoteReference w:id="110"/>
      </w:r>
      <w:r w:rsidRPr="00B71C22">
        <w:t xml:space="preserve"> Australia’s Chief Scientist Dr Cathy Foley </w:t>
      </w:r>
      <w:r>
        <w:t>is guiding the</w:t>
      </w:r>
      <w:r w:rsidRPr="00B71C22">
        <w:t xml:space="preserve"> strategy with other experts</w:t>
      </w:r>
      <w:r>
        <w:t xml:space="preserve"> from the </w:t>
      </w:r>
      <w:r w:rsidRPr="00603978">
        <w:rPr>
          <w:lang w:eastAsia="ja-JP"/>
        </w:rPr>
        <w:t>Quantum Advisory Committee</w:t>
      </w:r>
      <w:r>
        <w:rPr>
          <w:lang w:eastAsia="ja-JP"/>
        </w:rPr>
        <w:t xml:space="preserve">, which was established by the </w:t>
      </w:r>
      <w:r w:rsidRPr="00603978">
        <w:rPr>
          <w:lang w:eastAsia="ja-JP"/>
        </w:rPr>
        <w:t>Department of Industry, Science and Resources</w:t>
      </w:r>
      <w:r>
        <w:rPr>
          <w:lang w:eastAsia="ja-JP"/>
        </w:rPr>
        <w:t xml:space="preserve"> in September 2022</w:t>
      </w:r>
      <w:r w:rsidRPr="00B71C22">
        <w:t>.</w:t>
      </w:r>
      <w:r>
        <w:rPr>
          <w:rStyle w:val="FootnoteReference"/>
          <w:lang w:eastAsia="ja-JP"/>
        </w:rPr>
        <w:footnoteReference w:id="111"/>
      </w:r>
    </w:p>
    <w:p w14:paraId="169D512B" w14:textId="77777777" w:rsidR="002B32A0" w:rsidRPr="00EB741A" w:rsidRDefault="002B32A0" w:rsidP="002B32A0">
      <w:pPr>
        <w:rPr>
          <w:lang w:eastAsia="ja-JP"/>
        </w:rPr>
      </w:pPr>
      <w:r>
        <w:rPr>
          <w:lang w:eastAsia="ja-JP"/>
        </w:rPr>
        <w:t xml:space="preserve">An example of a quantum computing initiative at the state government level is the NSW Government’s </w:t>
      </w:r>
      <w:r w:rsidRPr="00AD3E64">
        <w:rPr>
          <w:lang w:eastAsia="ja-JP"/>
        </w:rPr>
        <w:t>Quantum Computing Commercialisation Fund</w:t>
      </w:r>
      <w:r>
        <w:rPr>
          <w:lang w:eastAsia="ja-JP"/>
        </w:rPr>
        <w:t xml:space="preserve">. The 2022 program provided grants </w:t>
      </w:r>
      <w:r w:rsidRPr="00AD3E64">
        <w:rPr>
          <w:lang w:eastAsia="ja-JP"/>
        </w:rPr>
        <w:t>of between $200,000 to $4</w:t>
      </w:r>
      <w:r>
        <w:rPr>
          <w:lang w:eastAsia="ja-JP"/>
        </w:rPr>
        <w:t> million</w:t>
      </w:r>
      <w:r w:rsidRPr="00AD3E64">
        <w:rPr>
          <w:lang w:eastAsia="ja-JP"/>
        </w:rPr>
        <w:t xml:space="preserve"> for projects that progress quantum computing hardware and/or software towards commercialisation within NSW.</w:t>
      </w:r>
    </w:p>
    <w:p w14:paraId="2C3F929F" w14:textId="77777777" w:rsidR="002B32A0" w:rsidRDefault="002B32A0" w:rsidP="002B32A0">
      <w:r>
        <w:rPr>
          <w:lang w:eastAsia="ja-JP"/>
        </w:rPr>
        <w:t xml:space="preserve">Other initiatives have also been established to collaborate with and provide advice to government. The </w:t>
      </w:r>
      <w:r>
        <w:t xml:space="preserve">Sydney Quantum Academy is driving collaboration between academia, industry, and government to explore the opportunities of Australia’s quantum economy. </w:t>
      </w:r>
      <w:r>
        <w:rPr>
          <w:lang w:eastAsia="ja-JP"/>
        </w:rPr>
        <w:t xml:space="preserve">Tech Council’s </w:t>
      </w:r>
      <w:r w:rsidRPr="00AD3E64">
        <w:rPr>
          <w:lang w:eastAsia="ja-JP"/>
        </w:rPr>
        <w:t xml:space="preserve">Australian Quantum Alliance </w:t>
      </w:r>
      <w:r>
        <w:rPr>
          <w:lang w:eastAsia="ja-JP"/>
        </w:rPr>
        <w:t xml:space="preserve">is an industry collaboration with members including Silicon Quantum Computing, Quintessence Labs, Quantum Brilliance, Diraq, Google and Microsoft, which provides advice to </w:t>
      </w:r>
      <w:r w:rsidRPr="00AD3E64">
        <w:rPr>
          <w:lang w:eastAsia="ja-JP"/>
        </w:rPr>
        <w:t xml:space="preserve">decision-makers and the public </w:t>
      </w:r>
      <w:r>
        <w:rPr>
          <w:lang w:eastAsia="ja-JP"/>
        </w:rPr>
        <w:t>on the adoption of quantum technology.</w:t>
      </w:r>
      <w:r>
        <w:rPr>
          <w:rStyle w:val="FootnoteReference"/>
          <w:lang w:eastAsia="ja-JP"/>
        </w:rPr>
        <w:footnoteReference w:id="112"/>
      </w:r>
    </w:p>
    <w:p w14:paraId="1DE8B9DA" w14:textId="77777777" w:rsidR="002B32A0" w:rsidRDefault="002B32A0" w:rsidP="00EB5E0E">
      <w:pPr>
        <w:pStyle w:val="Heading2"/>
      </w:pPr>
      <w:bookmarkStart w:id="266" w:name="_Toc131174640"/>
      <w:bookmarkStart w:id="267" w:name="_Toc132970671"/>
      <w:bookmarkStart w:id="268" w:name="_Toc135323710"/>
      <w:r>
        <w:lastRenderedPageBreak/>
        <w:t>Impacts</w:t>
      </w:r>
      <w:bookmarkEnd w:id="266"/>
      <w:bookmarkEnd w:id="267"/>
      <w:bookmarkEnd w:id="268"/>
    </w:p>
    <w:p w14:paraId="042E9CBE" w14:textId="77777777" w:rsidR="002B32A0" w:rsidRDefault="002B32A0" w:rsidP="00EB5E0E">
      <w:pPr>
        <w:pStyle w:val="Heading3"/>
      </w:pPr>
      <w:r>
        <w:t xml:space="preserve">Economic impacts </w:t>
      </w:r>
    </w:p>
    <w:p w14:paraId="0B3FCF83" w14:textId="77777777" w:rsidR="002B32A0" w:rsidRDefault="002B32A0" w:rsidP="002B32A0">
      <w:pPr>
        <w:pStyle w:val="BodyText"/>
      </w:pPr>
      <w:r>
        <w:t>Quantum computing technology is likely to have significant global economic impacts. McKinsey</w:t>
      </w:r>
      <w:r>
        <w:rPr>
          <w:rStyle w:val="FootnoteReference"/>
        </w:rPr>
        <w:footnoteReference w:id="113"/>
      </w:r>
      <w:r>
        <w:t xml:space="preserve"> has examined 4 industry use cases and estimated global impacts of quantum computing to be $US300-700 billion by 2035. The 4 industries expected to realise these early benefits are pharmaceuticals, chemicals, automotive and finance.</w:t>
      </w:r>
      <w:r>
        <w:rPr>
          <w:rStyle w:val="FootnoteReference"/>
        </w:rPr>
        <w:footnoteReference w:id="114"/>
      </w:r>
    </w:p>
    <w:p w14:paraId="2A0887B1" w14:textId="77777777" w:rsidR="002B32A0" w:rsidRDefault="002B32A0" w:rsidP="002B32A0">
      <w:pPr>
        <w:pStyle w:val="BodyText"/>
      </w:pPr>
      <w:r>
        <w:t>In Australia, CSIRO has estimated that in 2040 Quantum technology will contribute $4.6 billion with over 16,000 jobs to the Australian economy.</w:t>
      </w:r>
      <w:r>
        <w:rPr>
          <w:rStyle w:val="FootnoteReference"/>
        </w:rPr>
        <w:footnoteReference w:id="115"/>
      </w:r>
      <w:r>
        <w:t xml:space="preserve"> Of these figures:</w:t>
      </w:r>
    </w:p>
    <w:p w14:paraId="244A667F" w14:textId="77777777" w:rsidR="002B32A0" w:rsidRDefault="002B32A0" w:rsidP="002B32A0">
      <w:pPr>
        <w:pStyle w:val="ListBullet"/>
      </w:pPr>
      <w:r>
        <w:t>Quantum computing will contribute $2.8 billion and 10,300 jobs.</w:t>
      </w:r>
    </w:p>
    <w:p w14:paraId="554ADDC4" w14:textId="77777777" w:rsidR="002B32A0" w:rsidRDefault="002B32A0" w:rsidP="002B32A0">
      <w:pPr>
        <w:pStyle w:val="ListBullet"/>
      </w:pPr>
      <w:r>
        <w:t>Quantum communications will contribute $0.9 billion and 2300 jobs.</w:t>
      </w:r>
    </w:p>
    <w:p w14:paraId="342A9AEB" w14:textId="77777777" w:rsidR="002B32A0" w:rsidRDefault="002B32A0" w:rsidP="002B32A0">
      <w:pPr>
        <w:pStyle w:val="ListBullet"/>
      </w:pPr>
      <w:r>
        <w:t>Quantum sensing and measurement will contribute $0.9 billion and 3500 jobs.</w:t>
      </w:r>
    </w:p>
    <w:p w14:paraId="618606BB" w14:textId="77777777" w:rsidR="002B32A0" w:rsidRDefault="002B32A0" w:rsidP="002B32A0">
      <w:pPr>
        <w:pStyle w:val="BodyText"/>
      </w:pPr>
      <w:r>
        <w:t>This analysis is based on the expected use of Quantum technology in healthcare and medicine, natural resources, defence and financial services. The CSIRO roadmap notes that global quantum industry is maturing rapidly as nations invest in technology advancement.</w:t>
      </w:r>
    </w:p>
    <w:p w14:paraId="6DBD1A35" w14:textId="77777777" w:rsidR="002B32A0" w:rsidRDefault="002B32A0" w:rsidP="002B32A0">
      <w:pPr>
        <w:pStyle w:val="Heading4"/>
      </w:pPr>
      <w:r>
        <w:t>Cost benefit analysis</w:t>
      </w:r>
    </w:p>
    <w:p w14:paraId="0AA36123" w14:textId="77777777" w:rsidR="002B32A0" w:rsidRPr="00362B25" w:rsidRDefault="002B32A0" w:rsidP="002B32A0">
      <w:r>
        <w:t>The cost-benefit analysis (CBA) undertaken for this case study estimates the value of the ARC-funded research to the Australian economy and does not consider impacts on the global economy.</w:t>
      </w:r>
    </w:p>
    <w:p w14:paraId="38D23530" w14:textId="77777777" w:rsidR="002B32A0" w:rsidRDefault="002B32A0" w:rsidP="002B32A0">
      <w:pPr>
        <w:pStyle w:val="Heading4"/>
      </w:pPr>
      <w:r>
        <w:t>Counterfactual</w:t>
      </w:r>
    </w:p>
    <w:p w14:paraId="734F3220" w14:textId="77777777" w:rsidR="002B32A0" w:rsidRDefault="002B32A0" w:rsidP="002B32A0">
      <w:r>
        <w:t xml:space="preserve">The CQC²T remains a hugely ambitious undertaking, which continues to put Australia at the forefront of quantum physics globally. Given its position as an industry leader, it is well-established that without the success of the Centre, Quantum computing technology in Australia would not be as advanced as it is today. </w:t>
      </w:r>
    </w:p>
    <w:p w14:paraId="4042DE9A" w14:textId="77777777" w:rsidR="002B32A0" w:rsidRPr="00A07F2F" w:rsidRDefault="002B32A0" w:rsidP="002B32A0">
      <w:r w:rsidRPr="00A07F2F">
        <w:t>Indeed, in their 2020 Annual report the Centre stated that:</w:t>
      </w:r>
    </w:p>
    <w:p w14:paraId="60627FDA" w14:textId="77777777" w:rsidR="002B32A0" w:rsidRDefault="002B32A0" w:rsidP="002B32A0">
      <w:pPr>
        <w:pStyle w:val="Quote"/>
      </w:pPr>
      <w:r>
        <w:t>“The realisation of a single atom transistor, where a single phosphorus atom has been used as the smallest functional element of the device, achieving a technological milestone ten years ahead of industry predictions”</w:t>
      </w:r>
    </w:p>
    <w:p w14:paraId="3DCFBA18" w14:textId="77777777" w:rsidR="002B32A0" w:rsidRDefault="002B32A0" w:rsidP="002B32A0">
      <w:r>
        <w:t>Therefore, we will assume that under the reference case (present day scenario) Australia’s quantum capability is 10 years ahead compared to the counterfactual scenario (scenario with no ARC funding).</w:t>
      </w:r>
    </w:p>
    <w:p w14:paraId="6522F3C6" w14:textId="77777777" w:rsidR="002B32A0" w:rsidRDefault="002B32A0" w:rsidP="002B32A0">
      <w:pPr>
        <w:pStyle w:val="Heading4"/>
      </w:pPr>
      <w:r>
        <w:t>Attribution</w:t>
      </w:r>
    </w:p>
    <w:p w14:paraId="08EED098" w14:textId="77777777" w:rsidR="002B32A0" w:rsidRDefault="002B32A0" w:rsidP="002B32A0">
      <w:pPr>
        <w:pStyle w:val="BodyText"/>
      </w:pPr>
      <w:r>
        <w:t>Attribution describes the percentage of benefits that can be reasonably attributed to the ARC, due to their role in the funding of the research.</w:t>
      </w:r>
    </w:p>
    <w:p w14:paraId="4CC50CA4" w14:textId="77777777" w:rsidR="002B32A0" w:rsidRDefault="002B32A0" w:rsidP="002B32A0">
      <w:pPr>
        <w:pStyle w:val="BodyText"/>
      </w:pPr>
      <w:r w:rsidRPr="00C253F9">
        <w:lastRenderedPageBreak/>
        <w:t xml:space="preserve">The attribution of this CBA is twofold. </w:t>
      </w:r>
      <w:r>
        <w:t>First, t</w:t>
      </w:r>
      <w:r w:rsidRPr="00C253F9">
        <w:t>he overall attribution of Australia’s quantum opportunity to CQC</w:t>
      </w:r>
      <w:r w:rsidRPr="00527A5B">
        <w:rPr>
          <w:vertAlign w:val="superscript"/>
        </w:rPr>
        <w:t>2</w:t>
      </w:r>
      <w:r w:rsidRPr="00C253F9">
        <w:t>T estimated as</w:t>
      </w:r>
      <w:r>
        <w:t>:</w:t>
      </w:r>
    </w:p>
    <w:p w14:paraId="3E82DCF9" w14:textId="77777777" w:rsidR="002B32A0" w:rsidRDefault="002B32A0" w:rsidP="002B32A0">
      <w:pPr>
        <w:pStyle w:val="ListBullet"/>
      </w:pPr>
      <w:r>
        <w:t>75% for quantum computing.</w:t>
      </w:r>
    </w:p>
    <w:p w14:paraId="3D641DCA" w14:textId="77777777" w:rsidR="002B32A0" w:rsidRDefault="002B32A0" w:rsidP="002B32A0">
      <w:pPr>
        <w:pStyle w:val="ListBullet"/>
      </w:pPr>
      <w:r>
        <w:t>70% for quantum communications.</w:t>
      </w:r>
    </w:p>
    <w:p w14:paraId="44D7A659" w14:textId="77777777" w:rsidR="002B32A0" w:rsidRDefault="002B32A0" w:rsidP="002B32A0">
      <w:pPr>
        <w:pStyle w:val="ListBullet"/>
      </w:pPr>
      <w:r>
        <w:t>5% for quantum sensing and measurement.</w:t>
      </w:r>
    </w:p>
    <w:p w14:paraId="2015879D" w14:textId="77777777" w:rsidR="002B32A0" w:rsidRDefault="002B32A0" w:rsidP="00EB5E0E">
      <w:pPr>
        <w:pStyle w:val="ListBullet"/>
      </w:pPr>
      <w:r w:rsidRPr="00EE5C7B">
        <w:t>These estimates are based on the CQC</w:t>
      </w:r>
      <w:r w:rsidRPr="00EE5C7B">
        <w:rPr>
          <w:vertAlign w:val="superscript"/>
        </w:rPr>
        <w:t>2</w:t>
      </w:r>
      <w:r w:rsidRPr="00EE5C7B">
        <w:t xml:space="preserve">T being </w:t>
      </w:r>
      <w:r w:rsidRPr="00791668">
        <w:t>the leading focussed research effort in quantum computing and communications in the country.</w:t>
      </w:r>
      <w:r w:rsidRPr="00791668">
        <w:rPr>
          <w:rStyle w:val="FootnoteReference"/>
        </w:rPr>
        <w:footnoteReference w:id="116"/>
      </w:r>
      <w:r w:rsidRPr="00791668">
        <w:t xml:space="preserve"> </w:t>
      </w:r>
      <w:r w:rsidRPr="00EE5C7B">
        <w:t>The</w:t>
      </w:r>
      <w:r>
        <w:t xml:space="preserve"> assumptions for quantum computing and communications have been tested below.</w:t>
      </w:r>
    </w:p>
    <w:p w14:paraId="75005F5C" w14:textId="77777777" w:rsidR="002B32A0" w:rsidRDefault="002B32A0" w:rsidP="002B32A0">
      <w:pPr>
        <w:pStyle w:val="BodyText"/>
        <w:rPr>
          <w:highlight w:val="yellow"/>
        </w:rPr>
      </w:pPr>
      <w:r>
        <w:t>Then, the benefits attributed to the</w:t>
      </w:r>
      <w:r w:rsidRPr="00EE5C7B">
        <w:t xml:space="preserve"> CQC</w:t>
      </w:r>
      <w:r w:rsidRPr="00EE5C7B">
        <w:rPr>
          <w:vertAlign w:val="superscript"/>
        </w:rPr>
        <w:t>2</w:t>
      </w:r>
      <w:r w:rsidRPr="00EE5C7B">
        <w:t>T</w:t>
      </w:r>
      <w:r>
        <w:t xml:space="preserve"> are adjusted for attribution to the ARC. B</w:t>
      </w:r>
      <w:r w:rsidRPr="00C253F9">
        <w:t xml:space="preserve">ased on the proportion of ARC funding compared to other Centre funding, an attribution of the Centre’s benefits to ARC has been set to </w:t>
      </w:r>
      <w:r>
        <w:t xml:space="preserve">31%. </w:t>
      </w:r>
      <w:r w:rsidRPr="00C253F9">
        <w:t>This assumption has also been tested below.</w:t>
      </w:r>
    </w:p>
    <w:p w14:paraId="2A5737A5" w14:textId="77777777" w:rsidR="002B32A0" w:rsidRDefault="002B32A0" w:rsidP="002B32A0">
      <w:pPr>
        <w:pStyle w:val="Heading4"/>
      </w:pPr>
      <w:r>
        <w:t>Methodology and key assumptions</w:t>
      </w:r>
    </w:p>
    <w:p w14:paraId="6EFE8C15" w14:textId="13FEFF2D" w:rsidR="002B32A0" w:rsidRDefault="002B32A0" w:rsidP="002B32A0">
      <w:pPr>
        <w:pStyle w:val="BodyText"/>
      </w:pPr>
      <w:r w:rsidRPr="001439F5">
        <w:t xml:space="preserve">The </w:t>
      </w:r>
      <w:r>
        <w:t>CBA estimates</w:t>
      </w:r>
      <w:r w:rsidRPr="00594FA1">
        <w:t xml:space="preserve"> the </w:t>
      </w:r>
      <w:r>
        <w:t>identified</w:t>
      </w:r>
      <w:r w:rsidRPr="00594FA1">
        <w:t xml:space="preserve"> costs and benefits relating to </w:t>
      </w:r>
      <w:r>
        <w:t>the potential quantum market in Australia.</w:t>
      </w:r>
      <w:r w:rsidRPr="00594FA1">
        <w:t xml:space="preserve"> The CBA compares the total costs of </w:t>
      </w:r>
      <w:r>
        <w:t>the research funding (see Section </w:t>
      </w:r>
      <w:r w:rsidRPr="00F87D0E">
        <w:fldChar w:fldCharType="begin"/>
      </w:r>
      <w:r w:rsidRPr="00F87D0E">
        <w:instrText xml:space="preserve"> REF _Ref131087745 \n \h  \* MERGEFORMAT </w:instrText>
      </w:r>
      <w:r w:rsidRPr="00F87D0E">
        <w:fldChar w:fldCharType="separate"/>
      </w:r>
      <w:r w:rsidR="000B0AC7">
        <w:t>7.4</w:t>
      </w:r>
      <w:r w:rsidRPr="00F87D0E">
        <w:fldChar w:fldCharType="end"/>
      </w:r>
      <w:r>
        <w:t xml:space="preserve">) </w:t>
      </w:r>
      <w:r w:rsidRPr="00594FA1">
        <w:t xml:space="preserve">to the </w:t>
      </w:r>
      <w:r>
        <w:t>estimated opportunity in quantum computing; quantum sensing and measurement; and quantum communications that can be attributed to the ARC-funded research. The estimated benefits of Australia’s quantum opportunity are based on modelling undertaken by CSIRO in 2022.</w:t>
      </w:r>
      <w:r>
        <w:rPr>
          <w:rStyle w:val="FootnoteReference"/>
        </w:rPr>
        <w:footnoteReference w:id="117"/>
      </w:r>
    </w:p>
    <w:p w14:paraId="3650E4FC" w14:textId="77777777" w:rsidR="002B32A0" w:rsidRPr="00664325" w:rsidRDefault="002B32A0" w:rsidP="002B32A0">
      <w:pPr>
        <w:pStyle w:val="BodyText"/>
      </w:pPr>
      <w:r>
        <w:t>The following assumptions underpin the CBA:</w:t>
      </w:r>
    </w:p>
    <w:p w14:paraId="586D6BFD" w14:textId="77777777" w:rsidR="002B32A0" w:rsidRDefault="002B32A0" w:rsidP="002B32A0">
      <w:pPr>
        <w:pStyle w:val="ListBullet"/>
      </w:pPr>
      <w:r>
        <w:t>A discount rate of 7% was used in the central case. A discount rate of 3% was used as a lower-bound sensitivity and a discount rate of 10% was used as an upper-bound sensitivity.</w:t>
      </w:r>
    </w:p>
    <w:p w14:paraId="78D4BDF2" w14:textId="77777777" w:rsidR="002B32A0" w:rsidRDefault="002B32A0" w:rsidP="002B32A0">
      <w:pPr>
        <w:pStyle w:val="ListBullet"/>
      </w:pPr>
      <w:r>
        <w:t>Australia’s quantum opportunity and variable growth rates in computing, sensing and measurement and communications are in-line with the figures proposed by the CSIRO in their 2022 report.</w:t>
      </w:r>
    </w:p>
    <w:p w14:paraId="1487E27B" w14:textId="77777777" w:rsidR="002B32A0" w:rsidRDefault="002B32A0" w:rsidP="002B32A0">
      <w:pPr>
        <w:pStyle w:val="ListBullet"/>
      </w:pPr>
      <w:r>
        <w:t>The</w:t>
      </w:r>
      <w:r w:rsidRPr="0050774E">
        <w:t xml:space="preserve"> counterfactual scenario is that Australian quantum capability is 10 years ahead due to the </w:t>
      </w:r>
      <w:r>
        <w:t>ARC-funded research</w:t>
      </w:r>
      <w:r w:rsidRPr="0050774E">
        <w:t>. Thus, benefits begin to fall from 203</w:t>
      </w:r>
      <w:r>
        <w:t>2</w:t>
      </w:r>
      <w:r w:rsidRPr="0050774E">
        <w:t xml:space="preserve"> (when benefits </w:t>
      </w:r>
      <w:r>
        <w:t>would have likely occurred even in the absence of ARC funding).</w:t>
      </w:r>
    </w:p>
    <w:p w14:paraId="3C083C03" w14:textId="77777777" w:rsidR="002B32A0" w:rsidRDefault="002B32A0" w:rsidP="002B32A0">
      <w:pPr>
        <w:pStyle w:val="ListBullet"/>
      </w:pPr>
      <w:r>
        <w:t xml:space="preserve">The analysis period is from 2003 (from the start of ARC funding) to 2037 (a 35-year analysis period, inclusive of starting year). This is consistent across the CBAs for the case studies in the ARC report. </w:t>
      </w:r>
    </w:p>
    <w:p w14:paraId="22F302D4" w14:textId="77777777" w:rsidR="002B32A0" w:rsidRDefault="002B32A0" w:rsidP="002B32A0">
      <w:pPr>
        <w:pStyle w:val="Heading4"/>
      </w:pPr>
      <w:r>
        <w:t>Costs</w:t>
      </w:r>
    </w:p>
    <w:p w14:paraId="5FC03A48" w14:textId="0B140D79" w:rsidR="002B32A0" w:rsidRPr="00407A3A" w:rsidRDefault="002B32A0" w:rsidP="002B32A0">
      <w:pPr>
        <w:pStyle w:val="BodyText"/>
      </w:pPr>
      <w:r>
        <w:t>Th</w:t>
      </w:r>
      <w:r w:rsidRPr="00594FA1">
        <w:t xml:space="preserve">e </w:t>
      </w:r>
      <w:r>
        <w:t xml:space="preserve">nominal </w:t>
      </w:r>
      <w:r w:rsidRPr="00594FA1">
        <w:t xml:space="preserve">costs </w:t>
      </w:r>
      <w:r>
        <w:t>included in the CBA are the cash and in-kind contribution of the ARC, academic, and non-academic partners (</w:t>
      </w:r>
      <w:r w:rsidRPr="006653F3">
        <w:t xml:space="preserve">see </w:t>
      </w:r>
      <w:r>
        <w:t>Section </w:t>
      </w:r>
      <w:r w:rsidRPr="00F87D0E">
        <w:fldChar w:fldCharType="begin"/>
      </w:r>
      <w:r w:rsidRPr="00F87D0E">
        <w:instrText xml:space="preserve"> REF _Ref127971740 \n \h  \* MERGEFORMAT </w:instrText>
      </w:r>
      <w:r w:rsidRPr="00F87D0E">
        <w:fldChar w:fldCharType="separate"/>
      </w:r>
      <w:r w:rsidR="000B0AC7" w:rsidRPr="000B0AC7">
        <w:rPr>
          <w:lang w:val="en-US"/>
        </w:rPr>
        <w:t>8.4</w:t>
      </w:r>
      <w:r w:rsidRPr="00F87D0E">
        <w:fldChar w:fldCharType="end"/>
      </w:r>
      <w:r>
        <w:t xml:space="preserve">). These nominal costs are adjusted for inflation using the Consumer Price Index by year, which produces the real costs (costs in 2022 dollars). </w:t>
      </w:r>
    </w:p>
    <w:p w14:paraId="6C88CFFE" w14:textId="77777777" w:rsidR="002B32A0" w:rsidRDefault="002B32A0" w:rsidP="002B32A0">
      <w:pPr>
        <w:pStyle w:val="Heading4"/>
      </w:pPr>
      <w:r>
        <w:lastRenderedPageBreak/>
        <w:t>Benefits</w:t>
      </w:r>
    </w:p>
    <w:p w14:paraId="57A03C6E" w14:textId="77777777" w:rsidR="002B32A0" w:rsidRDefault="002B32A0" w:rsidP="002B32A0">
      <w:pPr>
        <w:pStyle w:val="BodyText"/>
      </w:pPr>
      <w:r>
        <w:t>The benefits are the estimated opportunity in quantum computing; quantum sensing and measurement; and quantum communications that can be attributed to the ARC-funded research.</w:t>
      </w:r>
    </w:p>
    <w:p w14:paraId="393B3D39" w14:textId="77777777" w:rsidR="002B32A0" w:rsidRDefault="002B32A0" w:rsidP="002B32A0">
      <w:pPr>
        <w:pStyle w:val="BodyText"/>
      </w:pPr>
      <w:r>
        <w:t>The nominal benefits by year are calculated by taking the estimated benefits in each of the above quantum fields, adjusting for attribution to CQC</w:t>
      </w:r>
      <w:r w:rsidRPr="00527A5B">
        <w:rPr>
          <w:vertAlign w:val="superscript"/>
        </w:rPr>
        <w:t>2</w:t>
      </w:r>
      <w:r>
        <w:t>T, and adjusting that figure for the attribution to the ARC-funded research:</w:t>
      </w:r>
    </w:p>
    <w:p w14:paraId="30A897D0" w14:textId="77777777" w:rsidR="002B32A0" w:rsidRPr="00FA4388" w:rsidRDefault="002B32A0" w:rsidP="002B32A0">
      <w:pPr>
        <w:pStyle w:val="BodyText"/>
        <w:rPr>
          <w:rFonts w:eastAsiaTheme="minorEastAsia"/>
        </w:rPr>
      </w:pPr>
      <m:oMathPara>
        <m:oMath>
          <m:r>
            <w:rPr>
              <w:rFonts w:ascii="Cambria Math" w:hAnsi="Cambria Math"/>
            </w:rPr>
            <m:t xml:space="preserve">Australian quantum opportunity </m:t>
          </m:r>
          <m:d>
            <m:dPr>
              <m:ctrlPr>
                <w:rPr>
                  <w:rFonts w:ascii="Cambria Math" w:hAnsi="Cambria Math"/>
                  <w:i/>
                </w:rPr>
              </m:ctrlPr>
            </m:dPr>
            <m:e>
              <m:r>
                <w:rPr>
                  <w:rFonts w:ascii="Cambria Math" w:hAnsi="Cambria Math"/>
                </w:rPr>
                <m:t>$</m:t>
              </m:r>
            </m:e>
          </m:d>
          <m:r>
            <w:rPr>
              <w:rFonts w:ascii="Cambria Math" w:hAnsi="Cambria Math"/>
            </w:rPr>
            <m:t>×attribution to CQ</m:t>
          </m:r>
          <m:sSup>
            <m:sSupPr>
              <m:ctrlPr>
                <w:rPr>
                  <w:rFonts w:ascii="Cambria Math" w:hAnsi="Cambria Math"/>
                  <w:i/>
                </w:rPr>
              </m:ctrlPr>
            </m:sSupPr>
            <m:e>
              <m:r>
                <w:rPr>
                  <w:rFonts w:ascii="Cambria Math" w:hAnsi="Cambria Math"/>
                </w:rPr>
                <m:t>C</m:t>
              </m:r>
            </m:e>
            <m:sup>
              <m:r>
                <w:rPr>
                  <w:rFonts w:ascii="Cambria Math" w:hAnsi="Cambria Math"/>
                </w:rPr>
                <m:t>2</m:t>
              </m:r>
            </m:sup>
          </m:sSup>
          <m:r>
            <w:rPr>
              <w:rFonts w:ascii="Cambria Math" w:hAnsi="Cambria Math"/>
            </w:rPr>
            <m:t xml:space="preserve">T </m:t>
          </m:r>
          <m:d>
            <m:dPr>
              <m:ctrlPr>
                <w:rPr>
                  <w:rFonts w:ascii="Cambria Math" w:hAnsi="Cambria Math"/>
                  <w:i/>
                </w:rPr>
              </m:ctrlPr>
            </m:dPr>
            <m:e>
              <m:r>
                <w:rPr>
                  <w:rFonts w:ascii="Cambria Math" w:hAnsi="Cambria Math"/>
                </w:rPr>
                <m:t>%</m:t>
              </m:r>
            </m:e>
          </m:d>
          <m:r>
            <w:rPr>
              <w:rFonts w:ascii="Cambria Math" w:hAnsi="Cambria Math"/>
            </w:rPr>
            <m:t>×attribution to ARC funded research</m:t>
          </m:r>
          <m:d>
            <m:dPr>
              <m:ctrlPr>
                <w:rPr>
                  <w:rFonts w:ascii="Cambria Math" w:hAnsi="Cambria Math"/>
                  <w:i/>
                </w:rPr>
              </m:ctrlPr>
            </m:dPr>
            <m:e>
              <m:r>
                <w:rPr>
                  <w:rFonts w:ascii="Cambria Math" w:hAnsi="Cambria Math"/>
                </w:rPr>
                <m:t>%</m:t>
              </m:r>
            </m:e>
          </m:d>
          <m:r>
            <w:rPr>
              <w:rFonts w:ascii="Cambria Math" w:hAnsi="Cambria Math"/>
            </w:rPr>
            <m:t>=Nominal benefit ($)</m:t>
          </m:r>
          <m:r>
            <w:rPr>
              <w:rStyle w:val="FootnoteReference"/>
              <w:rFonts w:ascii="Cambria Math" w:hAnsi="Cambria Math"/>
              <w:i/>
            </w:rPr>
            <w:footnoteReference w:id="118"/>
          </m:r>
        </m:oMath>
      </m:oMathPara>
    </w:p>
    <w:p w14:paraId="4ED4D3D0" w14:textId="77777777" w:rsidR="002B32A0" w:rsidRDefault="002B32A0" w:rsidP="002B32A0">
      <w:pPr>
        <w:pStyle w:val="BodyText"/>
      </w:pPr>
      <w:r>
        <w:t xml:space="preserve">These nominal benefits are adjusted for inflation using the Consumer Price Index by year, which produces the real benefits (benefits in 2022 dollars). </w:t>
      </w:r>
    </w:p>
    <w:p w14:paraId="55CEB6D1" w14:textId="77777777" w:rsidR="002B32A0" w:rsidRDefault="002B32A0" w:rsidP="002B32A0">
      <w:pPr>
        <w:pStyle w:val="Heading4"/>
      </w:pPr>
      <w:r>
        <w:t>Calculation of NPV and benefit-cost ratio</w:t>
      </w:r>
    </w:p>
    <w:p w14:paraId="76484B1C" w14:textId="142F5902" w:rsidR="002B32A0" w:rsidRDefault="002B32A0" w:rsidP="002B32A0">
      <w:pPr>
        <w:pStyle w:val="BodyText"/>
      </w:pPr>
      <w:r w:rsidRPr="00BF7582">
        <w:t xml:space="preserve">The estimated benefits and costs are provided in </w:t>
      </w:r>
      <w:r w:rsidRPr="00F87D0E">
        <w:fldChar w:fldCharType="begin"/>
      </w:r>
      <w:r w:rsidRPr="00F87D0E">
        <w:instrText xml:space="preserve"> REF _Ref131087808 \h  \* MERGEFORMAT </w:instrText>
      </w:r>
      <w:r w:rsidRPr="00F87D0E">
        <w:fldChar w:fldCharType="separate"/>
      </w:r>
      <w:r w:rsidR="000B0AC7" w:rsidRPr="000B0AC7">
        <w:t>Table 7.2</w:t>
      </w:r>
      <w:r w:rsidRPr="00F87D0E">
        <w:fldChar w:fldCharType="end"/>
      </w:r>
      <w:r>
        <w:t xml:space="preserve"> </w:t>
      </w:r>
      <w:r w:rsidRPr="00BF7582">
        <w:t xml:space="preserve">for discount </w:t>
      </w:r>
      <w:r w:rsidRPr="008A729C">
        <w:t xml:space="preserve">rates of </w:t>
      </w:r>
      <w:r>
        <w:t>3</w:t>
      </w:r>
      <w:r w:rsidRPr="008A729C">
        <w:t>, 7 and 10</w:t>
      </w:r>
      <w:r>
        <w:t>%</w:t>
      </w:r>
    </w:p>
    <w:p w14:paraId="4E76738C" w14:textId="77777777" w:rsidR="002B32A0" w:rsidRDefault="002B32A0" w:rsidP="002B32A0">
      <w:pPr>
        <w:pStyle w:val="BodyText"/>
      </w:pPr>
      <w:r w:rsidRPr="008A729C">
        <w:t xml:space="preserve">The benefit-cost ratio (BCR), obtained by dividing the present value </w:t>
      </w:r>
      <w:r>
        <w:t xml:space="preserve">of </w:t>
      </w:r>
      <w:r w:rsidRPr="008A729C">
        <w:t xml:space="preserve">benefits by the present value of costs using a </w:t>
      </w:r>
      <w:r>
        <w:t xml:space="preserve">7% real </w:t>
      </w:r>
      <w:r w:rsidRPr="008A729C">
        <w:t xml:space="preserve">discount rate is </w:t>
      </w:r>
      <w:r>
        <w:t>above one</w:t>
      </w:r>
      <w:r w:rsidRPr="008A729C">
        <w:t xml:space="preserve"> at a value of </w:t>
      </w:r>
      <w:r>
        <w:t>6.53</w:t>
      </w:r>
      <w:r w:rsidRPr="008A729C">
        <w:t>. The present value of costs is $</w:t>
      </w:r>
      <w:r>
        <w:t>637.7 million</w:t>
      </w:r>
      <w:r w:rsidRPr="008A729C">
        <w:t xml:space="preserve">, the benefits are estimated at </w:t>
      </w:r>
      <w:r>
        <w:t>$4,164.7 million</w:t>
      </w:r>
      <w:r w:rsidRPr="008A729C">
        <w:t xml:space="preserve">, resulting in a </w:t>
      </w:r>
      <w:r>
        <w:t>NPV</w:t>
      </w:r>
      <w:r w:rsidRPr="008A729C">
        <w:t xml:space="preserve"> of </w:t>
      </w:r>
      <w:r>
        <w:t>$3,527.0 million</w:t>
      </w:r>
      <w:r w:rsidRPr="008A729C">
        <w:t>.</w:t>
      </w:r>
    </w:p>
    <w:p w14:paraId="313B9DCC" w14:textId="40B4D5C2" w:rsidR="002B32A0" w:rsidRDefault="002B32A0" w:rsidP="000B0AC7">
      <w:pPr>
        <w:pStyle w:val="Caption"/>
        <w:ind w:left="1220" w:hanging="1308"/>
      </w:pPr>
      <w:bookmarkStart w:id="269" w:name="_Ref131087808"/>
      <w:r w:rsidRPr="006D4B86">
        <w:rPr>
          <w:rStyle w:val="CaptionLabel"/>
        </w:rPr>
        <w:t>Table </w:t>
      </w:r>
      <w:r w:rsidRPr="006D4B86">
        <w:rPr>
          <w:rStyle w:val="CaptionLabel"/>
        </w:rPr>
        <w:fldChar w:fldCharType="begin"/>
      </w:r>
      <w:r w:rsidRPr="006D4B86">
        <w:rPr>
          <w:rStyle w:val="CaptionLabel"/>
        </w:rPr>
        <w:instrText xml:space="preserve"> STYLEREF 1 \S \* MERGEFORMAT </w:instrText>
      </w:r>
      <w:r w:rsidRPr="006D4B86">
        <w:rPr>
          <w:rStyle w:val="CaptionLabel"/>
        </w:rPr>
        <w:fldChar w:fldCharType="separate"/>
      </w:r>
      <w:r w:rsidR="000B0AC7">
        <w:rPr>
          <w:rStyle w:val="CaptionLabel"/>
          <w:noProof/>
        </w:rPr>
        <w:t>7</w:t>
      </w:r>
      <w:r w:rsidRPr="006D4B86">
        <w:rPr>
          <w:rStyle w:val="CaptionLabel"/>
        </w:rPr>
        <w:fldChar w:fldCharType="end"/>
      </w:r>
      <w:r w:rsidRPr="006D4B86">
        <w:rPr>
          <w:rStyle w:val="CaptionLabel"/>
        </w:rPr>
        <w:t>.</w:t>
      </w:r>
      <w:r w:rsidRPr="006D4B86">
        <w:rPr>
          <w:rStyle w:val="CaptionLabel"/>
        </w:rPr>
        <w:fldChar w:fldCharType="begin"/>
      </w:r>
      <w:r w:rsidRPr="006D4B86">
        <w:rPr>
          <w:rStyle w:val="CaptionLabel"/>
        </w:rPr>
        <w:instrText xml:space="preserve"> SEQ Table \* ARABIC \S 1 \* MERGEFORMAT </w:instrText>
      </w:r>
      <w:r w:rsidRPr="006D4B86">
        <w:rPr>
          <w:rStyle w:val="CaptionLabel"/>
        </w:rPr>
        <w:fldChar w:fldCharType="separate"/>
      </w:r>
      <w:r w:rsidR="000B0AC7">
        <w:rPr>
          <w:rStyle w:val="CaptionLabel"/>
          <w:noProof/>
        </w:rPr>
        <w:t>2</w:t>
      </w:r>
      <w:r w:rsidRPr="006D4B86">
        <w:rPr>
          <w:rStyle w:val="CaptionLabel"/>
        </w:rPr>
        <w:fldChar w:fldCharType="end"/>
      </w:r>
      <w:bookmarkEnd w:id="269"/>
      <w:r>
        <w:tab/>
        <w:t>Summary of benefits and costs (2022$)</w:t>
      </w:r>
    </w:p>
    <w:tbl>
      <w:tblPr>
        <w:tblStyle w:val="aacTableBasic"/>
        <w:tblW w:w="8024" w:type="dxa"/>
        <w:tblInd w:w="-88" w:type="dxa"/>
        <w:tblLayout w:type="fixed"/>
        <w:tblLook w:val="04A0" w:firstRow="1" w:lastRow="0" w:firstColumn="1" w:lastColumn="0" w:noHBand="0" w:noVBand="1"/>
        <w:tblCaption w:val="Table 7.2 "/>
        <w:tblDescription w:val="Summary of benefits and costs (2022$)"/>
      </w:tblPr>
      <w:tblGrid>
        <w:gridCol w:w="2922"/>
        <w:gridCol w:w="1585"/>
        <w:gridCol w:w="1757"/>
        <w:gridCol w:w="1760"/>
      </w:tblGrid>
      <w:tr w:rsidR="002B32A0" w:rsidRPr="00713F83" w14:paraId="69BBDF2C" w14:textId="77777777" w:rsidTr="000B0AC7">
        <w:trPr>
          <w:cnfStyle w:val="100000000000" w:firstRow="1" w:lastRow="0" w:firstColumn="0" w:lastColumn="0" w:oddVBand="0" w:evenVBand="0" w:oddHBand="0" w:evenHBand="0" w:firstRowFirstColumn="0" w:firstRowLastColumn="0" w:lastRowFirstColumn="0" w:lastRowLastColumn="0"/>
          <w:trHeight w:val="318"/>
        </w:trPr>
        <w:tc>
          <w:tcPr>
            <w:tcW w:w="2922" w:type="dxa"/>
            <w:tcBorders>
              <w:top w:val="nil"/>
            </w:tcBorders>
            <w:shd w:val="solid" w:color="140034" w:fill="140034"/>
            <w:tcMar>
              <w:left w:w="80" w:type="dxa"/>
            </w:tcMar>
          </w:tcPr>
          <w:p w14:paraId="57217014" w14:textId="77777777" w:rsidR="002B32A0" w:rsidRPr="00713F83" w:rsidRDefault="002B32A0" w:rsidP="006258ED">
            <w:pPr>
              <w:pStyle w:val="Tablecolumnheadings"/>
            </w:pPr>
          </w:p>
        </w:tc>
        <w:tc>
          <w:tcPr>
            <w:tcW w:w="1585" w:type="dxa"/>
            <w:tcBorders>
              <w:top w:val="nil"/>
            </w:tcBorders>
            <w:shd w:val="solid" w:color="140034" w:fill="140034"/>
          </w:tcPr>
          <w:p w14:paraId="38D5885B" w14:textId="77777777" w:rsidR="002B32A0" w:rsidRPr="00104FC2" w:rsidRDefault="002B32A0" w:rsidP="006258ED">
            <w:pPr>
              <w:pStyle w:val="Tablecolumnheadings"/>
              <w:jc w:val="center"/>
            </w:pPr>
            <w:r>
              <w:t>Discount rate 3%</w:t>
            </w:r>
          </w:p>
        </w:tc>
        <w:tc>
          <w:tcPr>
            <w:tcW w:w="1757" w:type="dxa"/>
            <w:tcBorders>
              <w:top w:val="nil"/>
            </w:tcBorders>
            <w:shd w:val="solid" w:color="140034" w:fill="140034"/>
          </w:tcPr>
          <w:p w14:paraId="72DCE3C5" w14:textId="77777777" w:rsidR="002B32A0" w:rsidRPr="00104FC2" w:rsidRDefault="002B32A0" w:rsidP="006258ED">
            <w:pPr>
              <w:pStyle w:val="Tablecolumnheadings"/>
              <w:jc w:val="center"/>
            </w:pPr>
            <w:r>
              <w:t>Discount rate 7%</w:t>
            </w:r>
          </w:p>
        </w:tc>
        <w:tc>
          <w:tcPr>
            <w:tcW w:w="1760" w:type="dxa"/>
            <w:tcBorders>
              <w:top w:val="nil"/>
            </w:tcBorders>
            <w:shd w:val="solid" w:color="140034" w:fill="140034"/>
          </w:tcPr>
          <w:p w14:paraId="1F1AFF2B" w14:textId="77777777" w:rsidR="002B32A0" w:rsidRPr="00104FC2" w:rsidRDefault="002B32A0" w:rsidP="006258ED">
            <w:pPr>
              <w:pStyle w:val="Tablecolumnheadings"/>
              <w:jc w:val="center"/>
            </w:pPr>
            <w:r>
              <w:t>Discount rate 10%</w:t>
            </w:r>
          </w:p>
        </w:tc>
      </w:tr>
      <w:tr w:rsidR="002B32A0" w:rsidRPr="00713F83" w14:paraId="1C2D0F56" w14:textId="77777777" w:rsidTr="000B0AC7">
        <w:trPr>
          <w:trHeight w:val="299"/>
        </w:trPr>
        <w:tc>
          <w:tcPr>
            <w:tcW w:w="2922" w:type="dxa"/>
            <w:tcMar>
              <w:left w:w="80" w:type="dxa"/>
            </w:tcMar>
          </w:tcPr>
          <w:p w14:paraId="676D90EB" w14:textId="77777777" w:rsidR="002B32A0" w:rsidRPr="00713F83" w:rsidRDefault="002B32A0" w:rsidP="006258ED">
            <w:pPr>
              <w:pStyle w:val="Tableunitsrow"/>
              <w:rPr>
                <w:b/>
                <w:bCs/>
              </w:rPr>
            </w:pPr>
            <w:r>
              <w:rPr>
                <w:b/>
                <w:bCs/>
              </w:rPr>
              <w:t>Present value c</w:t>
            </w:r>
            <w:r w:rsidRPr="00713F83">
              <w:rPr>
                <w:b/>
                <w:bCs/>
              </w:rPr>
              <w:t>osts</w:t>
            </w:r>
          </w:p>
        </w:tc>
        <w:tc>
          <w:tcPr>
            <w:tcW w:w="1585" w:type="dxa"/>
          </w:tcPr>
          <w:p w14:paraId="715D83D3" w14:textId="77777777" w:rsidR="002B32A0" w:rsidRPr="0050076D" w:rsidRDefault="002B32A0" w:rsidP="006258ED">
            <w:pPr>
              <w:pStyle w:val="Tableunitsrow"/>
              <w:rPr>
                <w:highlight w:val="yellow"/>
              </w:rPr>
            </w:pPr>
          </w:p>
        </w:tc>
        <w:tc>
          <w:tcPr>
            <w:tcW w:w="1757" w:type="dxa"/>
          </w:tcPr>
          <w:p w14:paraId="2B972A8B" w14:textId="77777777" w:rsidR="002B32A0" w:rsidRPr="0050076D" w:rsidRDefault="002B32A0" w:rsidP="006258ED">
            <w:pPr>
              <w:pStyle w:val="Tableunitsrow"/>
              <w:rPr>
                <w:highlight w:val="yellow"/>
              </w:rPr>
            </w:pPr>
          </w:p>
        </w:tc>
        <w:tc>
          <w:tcPr>
            <w:tcW w:w="1760" w:type="dxa"/>
          </w:tcPr>
          <w:p w14:paraId="6147D7C2" w14:textId="77777777" w:rsidR="002B32A0" w:rsidRPr="0050076D" w:rsidRDefault="002B32A0" w:rsidP="006258ED">
            <w:pPr>
              <w:pStyle w:val="Tableunitsrow"/>
              <w:rPr>
                <w:highlight w:val="yellow"/>
              </w:rPr>
            </w:pPr>
          </w:p>
        </w:tc>
      </w:tr>
      <w:tr w:rsidR="002B32A0" w:rsidRPr="00713F83" w14:paraId="51372DFB" w14:textId="77777777" w:rsidTr="000B0AC7">
        <w:trPr>
          <w:trHeight w:val="299"/>
        </w:trPr>
        <w:tc>
          <w:tcPr>
            <w:tcW w:w="2922" w:type="dxa"/>
            <w:tcMar>
              <w:left w:w="80" w:type="dxa"/>
            </w:tcMar>
          </w:tcPr>
          <w:p w14:paraId="07B21243" w14:textId="77777777" w:rsidR="002B32A0" w:rsidRPr="00713F83" w:rsidRDefault="002B32A0" w:rsidP="006258ED">
            <w:pPr>
              <w:pStyle w:val="Tabletext"/>
            </w:pPr>
            <w:r>
              <w:t>ARC-funded research costs</w:t>
            </w:r>
          </w:p>
        </w:tc>
        <w:tc>
          <w:tcPr>
            <w:tcW w:w="1585" w:type="dxa"/>
          </w:tcPr>
          <w:p w14:paraId="55735AC5" w14:textId="77777777" w:rsidR="002B32A0" w:rsidRPr="0050076D" w:rsidRDefault="002B32A0" w:rsidP="006258ED">
            <w:pPr>
              <w:pStyle w:val="Tabletext"/>
              <w:jc w:val="center"/>
              <w:rPr>
                <w:highlight w:val="yellow"/>
              </w:rPr>
            </w:pPr>
            <w:r w:rsidRPr="003B5DB8">
              <w:t>$458,340,720</w:t>
            </w:r>
          </w:p>
        </w:tc>
        <w:tc>
          <w:tcPr>
            <w:tcW w:w="1757" w:type="dxa"/>
          </w:tcPr>
          <w:p w14:paraId="456E2DE1" w14:textId="77777777" w:rsidR="002B32A0" w:rsidRPr="0050076D" w:rsidRDefault="002B32A0" w:rsidP="006258ED">
            <w:pPr>
              <w:pStyle w:val="Tabletext"/>
              <w:jc w:val="center"/>
              <w:rPr>
                <w:highlight w:val="yellow"/>
              </w:rPr>
            </w:pPr>
            <w:r w:rsidRPr="003B5DB8">
              <w:t>$637,737,772</w:t>
            </w:r>
          </w:p>
        </w:tc>
        <w:tc>
          <w:tcPr>
            <w:tcW w:w="1760" w:type="dxa"/>
          </w:tcPr>
          <w:p w14:paraId="2EE2E350" w14:textId="77777777" w:rsidR="002B32A0" w:rsidRPr="0050076D" w:rsidRDefault="002B32A0" w:rsidP="006258ED">
            <w:pPr>
              <w:pStyle w:val="Tabletext"/>
              <w:jc w:val="center"/>
              <w:rPr>
                <w:highlight w:val="yellow"/>
              </w:rPr>
            </w:pPr>
            <w:r w:rsidRPr="003B5DB8">
              <w:t>$839,084,252</w:t>
            </w:r>
          </w:p>
        </w:tc>
      </w:tr>
      <w:tr w:rsidR="002B32A0" w:rsidRPr="00713F83" w14:paraId="4A9B61B7" w14:textId="77777777" w:rsidTr="000B0AC7">
        <w:trPr>
          <w:trHeight w:val="299"/>
        </w:trPr>
        <w:tc>
          <w:tcPr>
            <w:tcW w:w="2922" w:type="dxa"/>
            <w:tcMar>
              <w:left w:w="80" w:type="dxa"/>
            </w:tcMar>
          </w:tcPr>
          <w:p w14:paraId="4CEBDFAF" w14:textId="77777777" w:rsidR="002B32A0" w:rsidRPr="00713F83" w:rsidRDefault="002B32A0" w:rsidP="006258ED">
            <w:pPr>
              <w:pStyle w:val="Tableunitsrow"/>
              <w:rPr>
                <w:b/>
                <w:bCs/>
              </w:rPr>
            </w:pPr>
            <w:r>
              <w:rPr>
                <w:b/>
                <w:bCs/>
              </w:rPr>
              <w:t>Present value b</w:t>
            </w:r>
            <w:r w:rsidRPr="00713F83">
              <w:rPr>
                <w:b/>
                <w:bCs/>
              </w:rPr>
              <w:t>enefits</w:t>
            </w:r>
          </w:p>
        </w:tc>
        <w:tc>
          <w:tcPr>
            <w:tcW w:w="1585" w:type="dxa"/>
          </w:tcPr>
          <w:p w14:paraId="0FF10CD3" w14:textId="77777777" w:rsidR="002B32A0" w:rsidRPr="0050076D" w:rsidRDefault="002B32A0" w:rsidP="006258ED">
            <w:pPr>
              <w:pStyle w:val="Tableunitsrow"/>
              <w:jc w:val="center"/>
              <w:rPr>
                <w:highlight w:val="yellow"/>
              </w:rPr>
            </w:pPr>
          </w:p>
        </w:tc>
        <w:tc>
          <w:tcPr>
            <w:tcW w:w="1757" w:type="dxa"/>
          </w:tcPr>
          <w:p w14:paraId="2D85C2BC" w14:textId="77777777" w:rsidR="002B32A0" w:rsidRPr="0050076D" w:rsidRDefault="002B32A0" w:rsidP="006258ED">
            <w:pPr>
              <w:pStyle w:val="Tableunitsrow"/>
              <w:jc w:val="center"/>
              <w:rPr>
                <w:highlight w:val="yellow"/>
              </w:rPr>
            </w:pPr>
          </w:p>
        </w:tc>
        <w:tc>
          <w:tcPr>
            <w:tcW w:w="1760" w:type="dxa"/>
          </w:tcPr>
          <w:p w14:paraId="7F8C7618" w14:textId="77777777" w:rsidR="002B32A0" w:rsidRPr="0050076D" w:rsidRDefault="002B32A0" w:rsidP="006258ED">
            <w:pPr>
              <w:pStyle w:val="Tableunitsrow"/>
              <w:jc w:val="center"/>
              <w:rPr>
                <w:highlight w:val="yellow"/>
              </w:rPr>
            </w:pPr>
          </w:p>
        </w:tc>
      </w:tr>
      <w:tr w:rsidR="002B32A0" w:rsidRPr="00713F83" w14:paraId="51FA66F7" w14:textId="77777777" w:rsidTr="000B0AC7">
        <w:trPr>
          <w:trHeight w:val="299"/>
        </w:trPr>
        <w:tc>
          <w:tcPr>
            <w:tcW w:w="2922" w:type="dxa"/>
            <w:tcMar>
              <w:left w:w="80" w:type="dxa"/>
            </w:tcMar>
          </w:tcPr>
          <w:p w14:paraId="46009201" w14:textId="77777777" w:rsidR="002B32A0" w:rsidRPr="00713F83" w:rsidRDefault="002B32A0" w:rsidP="006258ED">
            <w:pPr>
              <w:pStyle w:val="Tabletext"/>
            </w:pPr>
            <w:r>
              <w:t xml:space="preserve">Benefit from quantum computing opportunity in Australia </w:t>
            </w:r>
          </w:p>
        </w:tc>
        <w:tc>
          <w:tcPr>
            <w:tcW w:w="1585" w:type="dxa"/>
          </w:tcPr>
          <w:p w14:paraId="1EEE191E" w14:textId="77777777" w:rsidR="002B32A0" w:rsidRPr="0050076D" w:rsidRDefault="002B32A0" w:rsidP="006258ED">
            <w:pPr>
              <w:pStyle w:val="Tabletext"/>
              <w:jc w:val="center"/>
              <w:rPr>
                <w:highlight w:val="yellow"/>
              </w:rPr>
            </w:pPr>
            <w:r w:rsidRPr="00CB069D">
              <w:t>$2,972,096,087</w:t>
            </w:r>
          </w:p>
        </w:tc>
        <w:tc>
          <w:tcPr>
            <w:tcW w:w="1757" w:type="dxa"/>
          </w:tcPr>
          <w:p w14:paraId="2F4644D4" w14:textId="77777777" w:rsidR="002B32A0" w:rsidRPr="0050076D" w:rsidRDefault="002B32A0" w:rsidP="006258ED">
            <w:pPr>
              <w:pStyle w:val="Tabletext"/>
              <w:jc w:val="center"/>
              <w:rPr>
                <w:highlight w:val="yellow"/>
              </w:rPr>
            </w:pPr>
            <w:r w:rsidRPr="00393A88">
              <w:t>$2,184,194,052</w:t>
            </w:r>
          </w:p>
        </w:tc>
        <w:tc>
          <w:tcPr>
            <w:tcW w:w="1760" w:type="dxa"/>
          </w:tcPr>
          <w:p w14:paraId="35CB43F2" w14:textId="77777777" w:rsidR="002B32A0" w:rsidRPr="0050076D" w:rsidRDefault="002B32A0" w:rsidP="006258ED">
            <w:pPr>
              <w:pStyle w:val="Tabletext"/>
              <w:jc w:val="center"/>
              <w:rPr>
                <w:highlight w:val="yellow"/>
              </w:rPr>
            </w:pPr>
            <w:r w:rsidRPr="007D0F01">
              <w:t>$1,775,941,530</w:t>
            </w:r>
          </w:p>
        </w:tc>
      </w:tr>
      <w:tr w:rsidR="002B32A0" w:rsidRPr="00713F83" w14:paraId="02A5B0E6" w14:textId="77777777" w:rsidTr="000B0AC7">
        <w:trPr>
          <w:trHeight w:val="299"/>
        </w:trPr>
        <w:tc>
          <w:tcPr>
            <w:tcW w:w="2922" w:type="dxa"/>
            <w:tcMar>
              <w:left w:w="80" w:type="dxa"/>
            </w:tcMar>
          </w:tcPr>
          <w:p w14:paraId="0E4CF996" w14:textId="77777777" w:rsidR="002B32A0" w:rsidRDefault="002B32A0" w:rsidP="006258ED">
            <w:pPr>
              <w:pStyle w:val="Tabletext"/>
            </w:pPr>
            <w:r>
              <w:t>Benefit from quantum</w:t>
            </w:r>
            <w:r w:rsidRPr="00500EAC">
              <w:t xml:space="preserve"> sensing and measurement </w:t>
            </w:r>
            <w:r>
              <w:t>in Australia</w:t>
            </w:r>
          </w:p>
        </w:tc>
        <w:tc>
          <w:tcPr>
            <w:tcW w:w="1585" w:type="dxa"/>
          </w:tcPr>
          <w:p w14:paraId="3A0F9987" w14:textId="77777777" w:rsidR="002B32A0" w:rsidRPr="00A020D8" w:rsidRDefault="002B32A0" w:rsidP="006258ED">
            <w:pPr>
              <w:pStyle w:val="Tabletext"/>
              <w:jc w:val="center"/>
            </w:pPr>
            <w:r w:rsidRPr="00CB069D">
              <w:t>$61,223,822</w:t>
            </w:r>
          </w:p>
        </w:tc>
        <w:tc>
          <w:tcPr>
            <w:tcW w:w="1757" w:type="dxa"/>
          </w:tcPr>
          <w:p w14:paraId="0381A611" w14:textId="77777777" w:rsidR="002B32A0" w:rsidRPr="00A020D8" w:rsidRDefault="002B32A0" w:rsidP="006258ED">
            <w:pPr>
              <w:pStyle w:val="Tabletext"/>
              <w:jc w:val="center"/>
            </w:pPr>
            <w:r w:rsidRPr="00393A88">
              <w:t>$45,756,605</w:t>
            </w:r>
          </w:p>
        </w:tc>
        <w:tc>
          <w:tcPr>
            <w:tcW w:w="1760" w:type="dxa"/>
          </w:tcPr>
          <w:p w14:paraId="1FCC7B5F" w14:textId="77777777" w:rsidR="002B32A0" w:rsidRPr="00A020D8" w:rsidRDefault="002B32A0" w:rsidP="006258ED">
            <w:pPr>
              <w:pStyle w:val="Tabletext"/>
              <w:jc w:val="center"/>
            </w:pPr>
            <w:r w:rsidRPr="007D0F01">
              <w:t>$37,683,012</w:t>
            </w:r>
          </w:p>
        </w:tc>
      </w:tr>
      <w:tr w:rsidR="002B32A0" w:rsidRPr="00713F83" w14:paraId="1451644E" w14:textId="77777777" w:rsidTr="000B0AC7">
        <w:trPr>
          <w:trHeight w:val="299"/>
        </w:trPr>
        <w:tc>
          <w:tcPr>
            <w:tcW w:w="2922" w:type="dxa"/>
            <w:tcMar>
              <w:left w:w="80" w:type="dxa"/>
            </w:tcMar>
          </w:tcPr>
          <w:p w14:paraId="298022AD" w14:textId="77777777" w:rsidR="002B32A0" w:rsidRDefault="002B32A0" w:rsidP="006258ED">
            <w:pPr>
              <w:pStyle w:val="Tabletext"/>
            </w:pPr>
            <w:r>
              <w:t>Benefit from quantum</w:t>
            </w:r>
            <w:r w:rsidRPr="00500EAC">
              <w:t xml:space="preserve"> communications </w:t>
            </w:r>
            <w:r>
              <w:t>in Australia</w:t>
            </w:r>
          </w:p>
        </w:tc>
        <w:tc>
          <w:tcPr>
            <w:tcW w:w="1585" w:type="dxa"/>
          </w:tcPr>
          <w:p w14:paraId="33BF0664" w14:textId="77777777" w:rsidR="002B32A0" w:rsidRPr="00B22BBA" w:rsidRDefault="002B32A0" w:rsidP="006258ED">
            <w:pPr>
              <w:pStyle w:val="Tabletext"/>
              <w:jc w:val="center"/>
            </w:pPr>
            <w:r w:rsidRPr="00CB069D">
              <w:t>$886,442,581</w:t>
            </w:r>
          </w:p>
        </w:tc>
        <w:tc>
          <w:tcPr>
            <w:tcW w:w="1757" w:type="dxa"/>
          </w:tcPr>
          <w:p w14:paraId="4264F602" w14:textId="77777777" w:rsidR="002B32A0" w:rsidRPr="00A020D8" w:rsidRDefault="002B32A0" w:rsidP="006258ED">
            <w:pPr>
              <w:pStyle w:val="Tabletext"/>
              <w:jc w:val="center"/>
            </w:pPr>
            <w:r w:rsidRPr="00393A88">
              <w:t>$639,090,945</w:t>
            </w:r>
          </w:p>
        </w:tc>
        <w:tc>
          <w:tcPr>
            <w:tcW w:w="1760" w:type="dxa"/>
          </w:tcPr>
          <w:p w14:paraId="363E6FBD" w14:textId="77777777" w:rsidR="002B32A0" w:rsidRPr="00A020D8" w:rsidRDefault="002B32A0" w:rsidP="006258ED">
            <w:pPr>
              <w:pStyle w:val="Tabletext"/>
              <w:jc w:val="center"/>
            </w:pPr>
            <w:r w:rsidRPr="007D0F01">
              <w:t>$512,353,984</w:t>
            </w:r>
          </w:p>
        </w:tc>
      </w:tr>
      <w:tr w:rsidR="002B32A0" w:rsidRPr="00713F83" w14:paraId="06701F78" w14:textId="77777777" w:rsidTr="000B0AC7">
        <w:trPr>
          <w:trHeight w:val="299"/>
        </w:trPr>
        <w:tc>
          <w:tcPr>
            <w:tcW w:w="2922" w:type="dxa"/>
            <w:tcMar>
              <w:left w:w="80" w:type="dxa"/>
            </w:tcMar>
          </w:tcPr>
          <w:p w14:paraId="1181B21F" w14:textId="77777777" w:rsidR="002B32A0" w:rsidRPr="006D4B86" w:rsidRDefault="002B32A0" w:rsidP="006258ED">
            <w:pPr>
              <w:pStyle w:val="Tabletext"/>
              <w:rPr>
                <w:b/>
                <w:bCs/>
                <w:i/>
                <w:iCs/>
              </w:rPr>
            </w:pPr>
            <w:r w:rsidRPr="006D4B86">
              <w:rPr>
                <w:b/>
                <w:bCs/>
                <w:i/>
                <w:iCs/>
              </w:rPr>
              <w:t xml:space="preserve">Total PV </w:t>
            </w:r>
            <w:r>
              <w:rPr>
                <w:b/>
                <w:bCs/>
                <w:i/>
                <w:iCs/>
              </w:rPr>
              <w:t>benefits</w:t>
            </w:r>
          </w:p>
        </w:tc>
        <w:tc>
          <w:tcPr>
            <w:tcW w:w="1585" w:type="dxa"/>
          </w:tcPr>
          <w:p w14:paraId="379B0210" w14:textId="77777777" w:rsidR="002B32A0" w:rsidRPr="006D4B86" w:rsidRDefault="002B32A0" w:rsidP="006258ED">
            <w:pPr>
              <w:pStyle w:val="Tabletext"/>
              <w:jc w:val="center"/>
              <w:rPr>
                <w:b/>
                <w:bCs/>
              </w:rPr>
            </w:pPr>
            <w:r w:rsidRPr="00CB069D">
              <w:t>$3,919,762,490</w:t>
            </w:r>
          </w:p>
        </w:tc>
        <w:tc>
          <w:tcPr>
            <w:tcW w:w="1757" w:type="dxa"/>
          </w:tcPr>
          <w:p w14:paraId="50AAFF7F" w14:textId="77777777" w:rsidR="002B32A0" w:rsidRPr="006D4B86" w:rsidRDefault="002B32A0" w:rsidP="006258ED">
            <w:pPr>
              <w:pStyle w:val="Tabletext"/>
              <w:jc w:val="center"/>
              <w:rPr>
                <w:b/>
                <w:bCs/>
              </w:rPr>
            </w:pPr>
            <w:r w:rsidRPr="00393A88">
              <w:t>$2,869,041,601</w:t>
            </w:r>
          </w:p>
        </w:tc>
        <w:tc>
          <w:tcPr>
            <w:tcW w:w="1760" w:type="dxa"/>
          </w:tcPr>
          <w:p w14:paraId="4B188341" w14:textId="77777777" w:rsidR="002B32A0" w:rsidRPr="006D4B86" w:rsidRDefault="002B32A0" w:rsidP="006258ED">
            <w:pPr>
              <w:pStyle w:val="Tabletext"/>
              <w:jc w:val="center"/>
              <w:rPr>
                <w:b/>
                <w:bCs/>
              </w:rPr>
            </w:pPr>
            <w:r w:rsidRPr="007D0F01">
              <w:t>$2,325,978,527</w:t>
            </w:r>
          </w:p>
        </w:tc>
      </w:tr>
      <w:tr w:rsidR="002B32A0" w:rsidRPr="00713F83" w14:paraId="2C47E11C" w14:textId="77777777" w:rsidTr="000B0AC7">
        <w:trPr>
          <w:trHeight w:val="281"/>
        </w:trPr>
        <w:tc>
          <w:tcPr>
            <w:tcW w:w="2922" w:type="dxa"/>
            <w:tcMar>
              <w:left w:w="80" w:type="dxa"/>
            </w:tcMar>
          </w:tcPr>
          <w:p w14:paraId="167403AE" w14:textId="77777777" w:rsidR="002B32A0" w:rsidRPr="00713F83" w:rsidRDefault="002B32A0" w:rsidP="006258ED">
            <w:pPr>
              <w:pStyle w:val="Tableunitsrow"/>
              <w:rPr>
                <w:b/>
                <w:bCs/>
              </w:rPr>
            </w:pPr>
            <w:r w:rsidRPr="00713F83">
              <w:rPr>
                <w:b/>
                <w:bCs/>
              </w:rPr>
              <w:t>Results</w:t>
            </w:r>
          </w:p>
        </w:tc>
        <w:tc>
          <w:tcPr>
            <w:tcW w:w="1585" w:type="dxa"/>
          </w:tcPr>
          <w:p w14:paraId="7BBDEFD1" w14:textId="77777777" w:rsidR="002B32A0" w:rsidRPr="0050076D" w:rsidRDefault="002B32A0" w:rsidP="006258ED">
            <w:pPr>
              <w:pStyle w:val="Tableunitsrow"/>
              <w:jc w:val="center"/>
              <w:rPr>
                <w:highlight w:val="yellow"/>
              </w:rPr>
            </w:pPr>
          </w:p>
        </w:tc>
        <w:tc>
          <w:tcPr>
            <w:tcW w:w="1757" w:type="dxa"/>
          </w:tcPr>
          <w:p w14:paraId="40A61B50" w14:textId="77777777" w:rsidR="002B32A0" w:rsidRPr="0050076D" w:rsidRDefault="002B32A0" w:rsidP="006258ED">
            <w:pPr>
              <w:pStyle w:val="Tableunitsrow"/>
              <w:jc w:val="center"/>
              <w:rPr>
                <w:highlight w:val="yellow"/>
              </w:rPr>
            </w:pPr>
          </w:p>
        </w:tc>
        <w:tc>
          <w:tcPr>
            <w:tcW w:w="1760" w:type="dxa"/>
          </w:tcPr>
          <w:p w14:paraId="3F72A59A" w14:textId="77777777" w:rsidR="002B32A0" w:rsidRPr="0050076D" w:rsidRDefault="002B32A0" w:rsidP="006258ED">
            <w:pPr>
              <w:pStyle w:val="Tableunitsrow"/>
              <w:jc w:val="center"/>
              <w:rPr>
                <w:highlight w:val="yellow"/>
              </w:rPr>
            </w:pPr>
          </w:p>
        </w:tc>
      </w:tr>
      <w:tr w:rsidR="002B32A0" w:rsidRPr="00713F83" w14:paraId="5D80EB2F" w14:textId="77777777" w:rsidTr="000B0AC7">
        <w:trPr>
          <w:trHeight w:val="299"/>
        </w:trPr>
        <w:tc>
          <w:tcPr>
            <w:tcW w:w="2922" w:type="dxa"/>
            <w:tcMar>
              <w:left w:w="80" w:type="dxa"/>
            </w:tcMar>
          </w:tcPr>
          <w:p w14:paraId="5C93B2AE" w14:textId="77777777" w:rsidR="002B32A0" w:rsidRPr="00713F83" w:rsidRDefault="002B32A0" w:rsidP="006258ED">
            <w:pPr>
              <w:pStyle w:val="Tabletext"/>
            </w:pPr>
            <w:r>
              <w:rPr>
                <w:b/>
                <w:bCs/>
              </w:rPr>
              <w:t>NPV</w:t>
            </w:r>
          </w:p>
        </w:tc>
        <w:tc>
          <w:tcPr>
            <w:tcW w:w="1585" w:type="dxa"/>
          </w:tcPr>
          <w:p w14:paraId="293AB04D" w14:textId="77777777" w:rsidR="002B32A0" w:rsidRPr="009A0216" w:rsidRDefault="002B32A0" w:rsidP="006258ED">
            <w:pPr>
              <w:pStyle w:val="Tabletext"/>
              <w:jc w:val="center"/>
              <w:rPr>
                <w:b/>
                <w:bCs/>
                <w:highlight w:val="yellow"/>
              </w:rPr>
            </w:pPr>
            <w:r w:rsidRPr="006D4B86">
              <w:rPr>
                <w:b/>
                <w:bCs/>
              </w:rPr>
              <w:t>$3,461,421,770</w:t>
            </w:r>
          </w:p>
        </w:tc>
        <w:tc>
          <w:tcPr>
            <w:tcW w:w="1757" w:type="dxa"/>
          </w:tcPr>
          <w:p w14:paraId="4B8A53D0" w14:textId="77777777" w:rsidR="002B32A0" w:rsidRPr="009A0216" w:rsidRDefault="002B32A0" w:rsidP="006258ED">
            <w:pPr>
              <w:pStyle w:val="Tabletext"/>
              <w:jc w:val="center"/>
              <w:rPr>
                <w:b/>
                <w:bCs/>
                <w:highlight w:val="yellow"/>
              </w:rPr>
            </w:pPr>
            <w:r w:rsidRPr="006D4B86">
              <w:rPr>
                <w:b/>
                <w:bCs/>
              </w:rPr>
              <w:t>$2,231,303,830</w:t>
            </w:r>
          </w:p>
        </w:tc>
        <w:tc>
          <w:tcPr>
            <w:tcW w:w="1760" w:type="dxa"/>
          </w:tcPr>
          <w:p w14:paraId="14BE243D" w14:textId="77777777" w:rsidR="002B32A0" w:rsidRPr="009A0216" w:rsidRDefault="002B32A0" w:rsidP="006258ED">
            <w:pPr>
              <w:pStyle w:val="Tabletext"/>
              <w:jc w:val="center"/>
              <w:rPr>
                <w:b/>
                <w:bCs/>
                <w:highlight w:val="yellow"/>
              </w:rPr>
            </w:pPr>
            <w:r w:rsidRPr="006D4B86">
              <w:rPr>
                <w:b/>
                <w:bCs/>
              </w:rPr>
              <w:t>$1,486,894,275</w:t>
            </w:r>
          </w:p>
        </w:tc>
      </w:tr>
      <w:tr w:rsidR="002B32A0" w:rsidRPr="00713F83" w14:paraId="74263D77" w14:textId="77777777" w:rsidTr="000B0AC7">
        <w:trPr>
          <w:trHeight w:val="299"/>
        </w:trPr>
        <w:tc>
          <w:tcPr>
            <w:tcW w:w="2922" w:type="dxa"/>
            <w:tcMar>
              <w:left w:w="80" w:type="dxa"/>
            </w:tcMar>
          </w:tcPr>
          <w:p w14:paraId="35CB5EAA" w14:textId="77777777" w:rsidR="002B32A0" w:rsidRPr="00713F83" w:rsidRDefault="002B32A0" w:rsidP="006258ED">
            <w:pPr>
              <w:pStyle w:val="Tabletext"/>
            </w:pPr>
            <w:r>
              <w:rPr>
                <w:b/>
                <w:bCs/>
              </w:rPr>
              <w:t>BCR</w:t>
            </w:r>
          </w:p>
        </w:tc>
        <w:tc>
          <w:tcPr>
            <w:tcW w:w="1585" w:type="dxa"/>
          </w:tcPr>
          <w:p w14:paraId="55FB6B82" w14:textId="77777777" w:rsidR="002B32A0" w:rsidRPr="009A0216" w:rsidRDefault="002B32A0" w:rsidP="006258ED">
            <w:pPr>
              <w:pStyle w:val="Tabletext"/>
              <w:jc w:val="center"/>
              <w:rPr>
                <w:b/>
                <w:bCs/>
                <w:highlight w:val="yellow"/>
              </w:rPr>
            </w:pPr>
            <w:r w:rsidRPr="006D4B86">
              <w:rPr>
                <w:b/>
                <w:bCs/>
              </w:rPr>
              <w:t>8.55</w:t>
            </w:r>
          </w:p>
        </w:tc>
        <w:tc>
          <w:tcPr>
            <w:tcW w:w="1757" w:type="dxa"/>
          </w:tcPr>
          <w:p w14:paraId="29584C92" w14:textId="77777777" w:rsidR="002B32A0" w:rsidRPr="009A0216" w:rsidRDefault="002B32A0" w:rsidP="006258ED">
            <w:pPr>
              <w:pStyle w:val="Tabletext"/>
              <w:jc w:val="center"/>
              <w:rPr>
                <w:b/>
                <w:bCs/>
                <w:highlight w:val="yellow"/>
              </w:rPr>
            </w:pPr>
            <w:r w:rsidRPr="006D4B86">
              <w:rPr>
                <w:b/>
                <w:bCs/>
              </w:rPr>
              <w:t>4.50</w:t>
            </w:r>
          </w:p>
        </w:tc>
        <w:tc>
          <w:tcPr>
            <w:tcW w:w="1760" w:type="dxa"/>
          </w:tcPr>
          <w:p w14:paraId="3B7E378F" w14:textId="77777777" w:rsidR="002B32A0" w:rsidRPr="009A0216" w:rsidRDefault="002B32A0" w:rsidP="006258ED">
            <w:pPr>
              <w:pStyle w:val="Tabletext"/>
              <w:jc w:val="center"/>
              <w:rPr>
                <w:b/>
                <w:bCs/>
                <w:highlight w:val="yellow"/>
              </w:rPr>
            </w:pPr>
            <w:r w:rsidRPr="006D4B86">
              <w:rPr>
                <w:b/>
                <w:bCs/>
              </w:rPr>
              <w:t>2.77</w:t>
            </w:r>
          </w:p>
        </w:tc>
      </w:tr>
      <w:tr w:rsidR="002B32A0" w:rsidRPr="00713F83" w14:paraId="1970FB19" w14:textId="77777777" w:rsidTr="000B0AC7">
        <w:trPr>
          <w:trHeight w:val="468"/>
        </w:trPr>
        <w:tc>
          <w:tcPr>
            <w:tcW w:w="8024" w:type="dxa"/>
            <w:gridSpan w:val="4"/>
            <w:tcMar>
              <w:left w:w="80" w:type="dxa"/>
            </w:tcMar>
          </w:tcPr>
          <w:p w14:paraId="7A10FA3C" w14:textId="77777777" w:rsidR="002B32A0" w:rsidRDefault="002B32A0" w:rsidP="006258ED">
            <w:pPr>
              <w:pStyle w:val="Source"/>
            </w:pPr>
            <w:r w:rsidRPr="00713F83">
              <w:t>Source: ACIL Allen</w:t>
            </w:r>
          </w:p>
          <w:p w14:paraId="785CC14F" w14:textId="77777777" w:rsidR="002B32A0" w:rsidRPr="00713F83" w:rsidRDefault="002B32A0" w:rsidP="006258ED">
            <w:pPr>
              <w:pStyle w:val="Source"/>
            </w:pPr>
            <w:r>
              <w:t>Note: All discount rates are real (i.e. discount rates are applied to real costs and benefits)</w:t>
            </w:r>
          </w:p>
        </w:tc>
      </w:tr>
    </w:tbl>
    <w:p w14:paraId="19D24522" w14:textId="77777777" w:rsidR="000B0AC7" w:rsidRPr="005246FB" w:rsidRDefault="000B0AC7" w:rsidP="000B0AC7">
      <w:pPr>
        <w:pStyle w:val="spacer"/>
        <w:ind w:left="-87"/>
        <w:rPr>
          <w:highlight w:val="yellow"/>
        </w:rPr>
      </w:pPr>
    </w:p>
    <w:p w14:paraId="7907543F" w14:textId="697C9401" w:rsidR="002B32A0" w:rsidRDefault="002B32A0" w:rsidP="007D2DAA">
      <w:pPr>
        <w:pStyle w:val="BodyText"/>
      </w:pPr>
      <w:r w:rsidRPr="00713F83">
        <w:t xml:space="preserve">The </w:t>
      </w:r>
      <w:r>
        <w:t xml:space="preserve">present value of </w:t>
      </w:r>
      <w:r w:rsidRPr="00713F83">
        <w:t xml:space="preserve">benefits and costs of the </w:t>
      </w:r>
      <w:r>
        <w:t>ARC-funded research</w:t>
      </w:r>
      <w:r w:rsidRPr="00713F83">
        <w:t xml:space="preserve"> </w:t>
      </w:r>
      <w:r>
        <w:t xml:space="preserve">by year </w:t>
      </w:r>
      <w:r w:rsidRPr="00713F83">
        <w:t xml:space="preserve">are </w:t>
      </w:r>
      <w:r>
        <w:t>shown</w:t>
      </w:r>
      <w:r w:rsidRPr="00713F83">
        <w:t xml:space="preserve"> in</w:t>
      </w:r>
      <w:r>
        <w:t xml:space="preserve"> </w:t>
      </w:r>
      <w:r w:rsidRPr="00F87D0E">
        <w:fldChar w:fldCharType="begin"/>
      </w:r>
      <w:r w:rsidRPr="00F87D0E">
        <w:instrText xml:space="preserve"> REF _Ref131087863 \h  \* MERGEFORMAT </w:instrText>
      </w:r>
      <w:r w:rsidRPr="00F87D0E">
        <w:fldChar w:fldCharType="separate"/>
      </w:r>
      <w:r w:rsidR="000B0AC7" w:rsidRPr="000B0AC7">
        <w:t>Figure 7.3</w:t>
      </w:r>
      <w:r w:rsidRPr="00F87D0E">
        <w:fldChar w:fldCharType="end"/>
      </w:r>
      <w:r>
        <w:t xml:space="preserve">. The figure shows that the inputs of the Centre occur between 2003 and 2025. </w:t>
      </w:r>
      <w:r>
        <w:lastRenderedPageBreak/>
        <w:t xml:space="preserve">Benefits begin to flow from 2022 (as per CSIRO modelling of growth in Australia’s quantum sector), and flow to the end of the analysis period in 2037. Benefits begin to fall in 2032, noting that this is when benefits are likely to start flowing under the counterfactual case. </w:t>
      </w:r>
    </w:p>
    <w:p w14:paraId="122B7204" w14:textId="21BF485E" w:rsidR="000B0AC7" w:rsidRDefault="000B0AC7" w:rsidP="000B0AC7">
      <w:pPr>
        <w:pStyle w:val="Caption"/>
        <w:ind w:left="-535" w:hanging="1308"/>
      </w:pPr>
      <w:bookmarkStart w:id="270" w:name="_Ref131087863"/>
      <w:r w:rsidRPr="006D4B86">
        <w:rPr>
          <w:rStyle w:val="CaptionLabel"/>
        </w:rPr>
        <w:t>Figure </w:t>
      </w:r>
      <w:r w:rsidRPr="006D4B86">
        <w:rPr>
          <w:rStyle w:val="CaptionLabel"/>
        </w:rPr>
        <w:fldChar w:fldCharType="begin"/>
      </w:r>
      <w:r w:rsidRPr="006D4B86">
        <w:rPr>
          <w:rStyle w:val="CaptionLabel"/>
        </w:rPr>
        <w:instrText xml:space="preserve"> STYLEREF 1 \S \* MERGEFORMAT </w:instrText>
      </w:r>
      <w:r w:rsidRPr="006D4B86">
        <w:rPr>
          <w:rStyle w:val="CaptionLabel"/>
        </w:rPr>
        <w:fldChar w:fldCharType="separate"/>
      </w:r>
      <w:r>
        <w:rPr>
          <w:rStyle w:val="CaptionLabel"/>
          <w:noProof/>
        </w:rPr>
        <w:t>7</w:t>
      </w:r>
      <w:r w:rsidRPr="006D4B86">
        <w:rPr>
          <w:rStyle w:val="CaptionLabel"/>
        </w:rPr>
        <w:fldChar w:fldCharType="end"/>
      </w:r>
      <w:r w:rsidRPr="006D4B86">
        <w:rPr>
          <w:rStyle w:val="CaptionLabel"/>
        </w:rPr>
        <w:t>.</w:t>
      </w:r>
      <w:r w:rsidRPr="006D4B86">
        <w:rPr>
          <w:rStyle w:val="CaptionLabel"/>
        </w:rPr>
        <w:fldChar w:fldCharType="begin"/>
      </w:r>
      <w:r w:rsidRPr="006D4B86">
        <w:rPr>
          <w:rStyle w:val="CaptionLabel"/>
        </w:rPr>
        <w:instrText xml:space="preserve"> SEQ Figure \* ARABIC \S 1 \* MERGEFORMAT </w:instrText>
      </w:r>
      <w:r w:rsidRPr="006D4B86">
        <w:rPr>
          <w:rStyle w:val="CaptionLabel"/>
        </w:rPr>
        <w:fldChar w:fldCharType="separate"/>
      </w:r>
      <w:r>
        <w:rPr>
          <w:rStyle w:val="CaptionLabel"/>
          <w:noProof/>
        </w:rPr>
        <w:t>3</w:t>
      </w:r>
      <w:r w:rsidRPr="006D4B86">
        <w:rPr>
          <w:rStyle w:val="CaptionLabel"/>
        </w:rPr>
        <w:fldChar w:fldCharType="end"/>
      </w:r>
      <w:bookmarkEnd w:id="270"/>
      <w:r>
        <w:tab/>
      </w:r>
      <w:r w:rsidRPr="00244D90">
        <w:t>Present value costs and benefits by year (7% DR)</w:t>
      </w:r>
    </w:p>
    <w:tbl>
      <w:tblPr>
        <w:tblStyle w:val="aacTableFigure-Wide"/>
        <w:tblW w:w="6161" w:type="pct"/>
        <w:tblBorders>
          <w:top w:val="single" w:sz="4" w:space="0" w:color="000000"/>
          <w:bottom w:val="single" w:sz="4" w:space="0" w:color="000000"/>
        </w:tblBorders>
        <w:tblLook w:val="04A0" w:firstRow="1" w:lastRow="0" w:firstColumn="1" w:lastColumn="0" w:noHBand="0" w:noVBand="1"/>
      </w:tblPr>
      <w:tblGrid>
        <w:gridCol w:w="9779"/>
      </w:tblGrid>
      <w:tr w:rsidR="002B32A0" w14:paraId="7E9FE1FF" w14:textId="77777777" w:rsidTr="000B0AC7">
        <w:tc>
          <w:tcPr>
            <w:tcW w:w="5000" w:type="pct"/>
            <w:shd w:val="clear" w:color="auto" w:fill="auto"/>
          </w:tcPr>
          <w:p w14:paraId="5C5D33FA" w14:textId="27C1ABD7" w:rsidR="002B32A0" w:rsidRDefault="002B32A0" w:rsidP="006258ED">
            <w:pPr>
              <w:spacing w:before="0" w:after="0" w:line="240" w:lineRule="auto"/>
            </w:pPr>
            <w:r>
              <w:rPr>
                <w:noProof/>
              </w:rPr>
              <w:drawing>
                <wp:inline distT="0" distB="0" distL="0" distR="0" wp14:anchorId="0B7A5FD4" wp14:editId="15862ABD">
                  <wp:extent cx="6017260" cy="3035935"/>
                  <wp:effectExtent l="0" t="0" r="2540" b="0"/>
                  <wp:docPr id="121" name="Picture 121" descr="Present value costs and benefits by year (7% DR), see description in text abov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descr="Present value costs and benefits by year (7% DR), see description in text above figure."/>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6017260" cy="3035935"/>
                          </a:xfrm>
                          <a:prstGeom prst="rect">
                            <a:avLst/>
                          </a:prstGeom>
                          <a:noFill/>
                        </pic:spPr>
                      </pic:pic>
                    </a:graphicData>
                  </a:graphic>
                </wp:inline>
              </w:drawing>
            </w:r>
          </w:p>
        </w:tc>
      </w:tr>
    </w:tbl>
    <w:p w14:paraId="3E614DB3" w14:textId="77777777" w:rsidR="000B0AC7" w:rsidRDefault="000B0AC7" w:rsidP="000B0AC7">
      <w:pPr>
        <w:pStyle w:val="Source"/>
        <w:ind w:left="-535" w:hanging="1308"/>
      </w:pPr>
      <w:r>
        <w:t>Source: ACIL Allen</w:t>
      </w:r>
    </w:p>
    <w:p w14:paraId="35EEAD0F" w14:textId="77777777" w:rsidR="000B0AC7" w:rsidRDefault="000B0AC7" w:rsidP="006258ED">
      <w:pPr>
        <w:pStyle w:val="spacer"/>
      </w:pPr>
    </w:p>
    <w:p w14:paraId="7EB4C98C" w14:textId="77777777" w:rsidR="002B32A0" w:rsidRDefault="002B32A0" w:rsidP="002B32A0">
      <w:pPr>
        <w:pStyle w:val="Heading4"/>
      </w:pPr>
      <w:r>
        <w:t>Sensitivity testing</w:t>
      </w:r>
    </w:p>
    <w:p w14:paraId="78A4FD10" w14:textId="653442BE" w:rsidR="002B32A0" w:rsidRDefault="002B32A0" w:rsidP="002B32A0">
      <w:pPr>
        <w:pStyle w:val="BodyText"/>
      </w:pPr>
      <w:r>
        <w:t>Sensitivity testing at the 3% and 10% real discount rates</w:t>
      </w:r>
      <w:r>
        <w:rPr>
          <w:rStyle w:val="FootnoteReference"/>
        </w:rPr>
        <w:footnoteReference w:id="119"/>
      </w:r>
      <w:r>
        <w:t xml:space="preserve"> was conducted for this analysis (see </w:t>
      </w:r>
      <w:r w:rsidRPr="00F87D0E">
        <w:fldChar w:fldCharType="begin"/>
      </w:r>
      <w:r w:rsidRPr="00F87D0E">
        <w:instrText xml:space="preserve"> REF _Ref131087808 \h  \* MERGEFORMAT </w:instrText>
      </w:r>
      <w:r w:rsidRPr="00F87D0E">
        <w:fldChar w:fldCharType="separate"/>
      </w:r>
      <w:r w:rsidR="000B0AC7" w:rsidRPr="000B0AC7">
        <w:t>Table 7.2</w:t>
      </w:r>
      <w:r w:rsidRPr="00F87D0E">
        <w:fldChar w:fldCharType="end"/>
      </w:r>
      <w:r>
        <w:t xml:space="preserve"> above). Sensitivity testing at these 3 rates shows that although the magnitude of the NPV changes at these 3 rates, the NPV remains positive even at a high discount rate of 10%. </w:t>
      </w:r>
    </w:p>
    <w:p w14:paraId="6C8D3CBB" w14:textId="273DA1D6" w:rsidR="002B32A0" w:rsidRDefault="002B32A0" w:rsidP="002B32A0">
      <w:r>
        <w:t>Sensitivity testing was also conducted for the attribution of CQC</w:t>
      </w:r>
      <w:r w:rsidRPr="00527A5B">
        <w:rPr>
          <w:vertAlign w:val="superscript"/>
        </w:rPr>
        <w:t>2</w:t>
      </w:r>
      <w:r>
        <w:t xml:space="preserve">T benefits to the ARC-funded research. The central case was an attribution of 31% based on the proportion of ARC’s funding as opposed to other funding partners. The Cost Benefit Analysis results were tested with a lower bound attribution of 10% attribution (approximately 20% below the central case) and an upper bound attribution of 100% (approximately 20% above the central case). The results in </w:t>
      </w:r>
      <w:r w:rsidRPr="00F87D0E">
        <w:fldChar w:fldCharType="begin"/>
      </w:r>
      <w:r w:rsidRPr="00F87D0E">
        <w:instrText xml:space="preserve"> REF _Ref131087948 \h  \* MERGEFORMAT </w:instrText>
      </w:r>
      <w:r w:rsidRPr="00F87D0E">
        <w:fldChar w:fldCharType="separate"/>
      </w:r>
      <w:r w:rsidR="000B0AC7" w:rsidRPr="000B0AC7">
        <w:t>Table 7.3</w:t>
      </w:r>
      <w:r w:rsidRPr="00F87D0E">
        <w:fldChar w:fldCharType="end"/>
      </w:r>
      <w:r>
        <w:t xml:space="preserve"> show that the Net Present Value would fall </w:t>
      </w:r>
      <w:r w:rsidRPr="007863F1">
        <w:t xml:space="preserve">from </w:t>
      </w:r>
      <w:r w:rsidRPr="00935DD4">
        <w:t>$</w:t>
      </w:r>
      <w:r>
        <w:t xml:space="preserve">2.2 billion </w:t>
      </w:r>
      <w:r w:rsidRPr="007863F1">
        <w:t xml:space="preserve">to </w:t>
      </w:r>
      <w:r w:rsidRPr="00935DD4">
        <w:t>$</w:t>
      </w:r>
      <w:r>
        <w:t xml:space="preserve">287.8 million, and the BCR would fall from 4.50 to 1.45 if the attribution fell to 10%. Whereas the NPV </w:t>
      </w:r>
      <w:r w:rsidRPr="007863F1">
        <w:t>would</w:t>
      </w:r>
      <w:r>
        <w:t xml:space="preserve"> rise</w:t>
      </w:r>
      <w:r w:rsidRPr="007863F1">
        <w:t xml:space="preserve"> </w:t>
      </w:r>
      <w:r>
        <w:t xml:space="preserve">to $3.9 billion, </w:t>
      </w:r>
      <w:r w:rsidRPr="007863F1">
        <w:t xml:space="preserve">and the BCR would </w:t>
      </w:r>
      <w:r>
        <w:t>rise</w:t>
      </w:r>
      <w:r w:rsidRPr="007863F1">
        <w:t xml:space="preserve"> to </w:t>
      </w:r>
      <w:r>
        <w:t xml:space="preserve">7.26 </w:t>
      </w:r>
      <w:r w:rsidRPr="007863F1">
        <w:t xml:space="preserve">if the </w:t>
      </w:r>
      <w:r>
        <w:t>attribution</w:t>
      </w:r>
      <w:r w:rsidRPr="007863F1">
        <w:t xml:space="preserve"> </w:t>
      </w:r>
      <w:r>
        <w:t>increased</w:t>
      </w:r>
      <w:r w:rsidRPr="007863F1">
        <w:t xml:space="preserve"> </w:t>
      </w:r>
      <w:r>
        <w:t>to 50%</w:t>
      </w:r>
      <w:r w:rsidRPr="007863F1">
        <w:t xml:space="preserve">. </w:t>
      </w:r>
      <w:r>
        <w:t xml:space="preserve">The </w:t>
      </w:r>
      <w:r w:rsidRPr="000C65B6">
        <w:t xml:space="preserve">estimated </w:t>
      </w:r>
      <w:r>
        <w:t xml:space="preserve">NPV </w:t>
      </w:r>
      <w:r w:rsidRPr="000C65B6">
        <w:t xml:space="preserve">of this </w:t>
      </w:r>
      <w:r>
        <w:t>research to the ARC remains above one even when the attribution to the ARC was significantly reduced. If the attribution was set to 100% (this effectively removes attribution to ARC and shows the quantum opportunity in Australia that can be attributed to the CQC</w:t>
      </w:r>
      <w:r w:rsidRPr="00527A5B">
        <w:rPr>
          <w:vertAlign w:val="superscript"/>
        </w:rPr>
        <w:t>2</w:t>
      </w:r>
      <w:r>
        <w:t>T), the costs would be $637.7 million, the benefits would be $9.3 billion, resulting in an NPV of $8.6 billion and a BCR of 14.51.</w:t>
      </w:r>
    </w:p>
    <w:p w14:paraId="015FBDC2" w14:textId="7D54B1A3" w:rsidR="002B32A0" w:rsidRDefault="002B32A0" w:rsidP="000B0AC7">
      <w:pPr>
        <w:pStyle w:val="Caption"/>
        <w:ind w:left="1246" w:hanging="1308"/>
        <w:rPr>
          <w:bCs/>
        </w:rPr>
      </w:pPr>
      <w:bookmarkStart w:id="271" w:name="_Ref131087948"/>
      <w:r w:rsidRPr="006D4B86">
        <w:rPr>
          <w:rStyle w:val="CaptionLabel"/>
        </w:rPr>
        <w:lastRenderedPageBreak/>
        <w:t>Table </w:t>
      </w:r>
      <w:r w:rsidRPr="006D4B86">
        <w:rPr>
          <w:rStyle w:val="CaptionLabel"/>
        </w:rPr>
        <w:fldChar w:fldCharType="begin"/>
      </w:r>
      <w:r w:rsidRPr="006D4B86">
        <w:rPr>
          <w:rStyle w:val="CaptionLabel"/>
        </w:rPr>
        <w:instrText xml:space="preserve"> STYLEREF 1 \S \* MERGEFORMAT </w:instrText>
      </w:r>
      <w:r w:rsidRPr="006D4B86">
        <w:rPr>
          <w:rStyle w:val="CaptionLabel"/>
        </w:rPr>
        <w:fldChar w:fldCharType="separate"/>
      </w:r>
      <w:r w:rsidR="000B0AC7">
        <w:rPr>
          <w:rStyle w:val="CaptionLabel"/>
          <w:noProof/>
        </w:rPr>
        <w:t>7</w:t>
      </w:r>
      <w:r w:rsidRPr="006D4B86">
        <w:rPr>
          <w:rStyle w:val="CaptionLabel"/>
        </w:rPr>
        <w:fldChar w:fldCharType="end"/>
      </w:r>
      <w:r w:rsidRPr="006D4B86">
        <w:rPr>
          <w:rStyle w:val="CaptionLabel"/>
        </w:rPr>
        <w:t>.</w:t>
      </w:r>
      <w:r w:rsidRPr="006D4B86">
        <w:rPr>
          <w:rStyle w:val="CaptionLabel"/>
        </w:rPr>
        <w:fldChar w:fldCharType="begin"/>
      </w:r>
      <w:r w:rsidRPr="006D4B86">
        <w:rPr>
          <w:rStyle w:val="CaptionLabel"/>
        </w:rPr>
        <w:instrText xml:space="preserve"> SEQ Table \* ARABIC \S 1 \* MERGEFORMAT </w:instrText>
      </w:r>
      <w:r w:rsidRPr="006D4B86">
        <w:rPr>
          <w:rStyle w:val="CaptionLabel"/>
        </w:rPr>
        <w:fldChar w:fldCharType="separate"/>
      </w:r>
      <w:r w:rsidR="000B0AC7">
        <w:rPr>
          <w:rStyle w:val="CaptionLabel"/>
          <w:noProof/>
        </w:rPr>
        <w:t>3</w:t>
      </w:r>
      <w:r w:rsidRPr="006D4B86">
        <w:rPr>
          <w:rStyle w:val="CaptionLabel"/>
        </w:rPr>
        <w:fldChar w:fldCharType="end"/>
      </w:r>
      <w:bookmarkEnd w:id="271"/>
      <w:r>
        <w:tab/>
      </w:r>
      <w:r w:rsidRPr="0029419F">
        <w:rPr>
          <w:rStyle w:val="CaptionLabel"/>
          <w:b w:val="0"/>
        </w:rPr>
        <w:t xml:space="preserve">Sensitivity testing </w:t>
      </w:r>
      <w:r>
        <w:rPr>
          <w:rStyle w:val="CaptionLabel"/>
          <w:b w:val="0"/>
        </w:rPr>
        <w:t>attribution of CQC</w:t>
      </w:r>
      <w:r w:rsidRPr="00527A5B">
        <w:rPr>
          <w:rStyle w:val="CaptionLabel"/>
          <w:b w:val="0"/>
          <w:vertAlign w:val="superscript"/>
        </w:rPr>
        <w:t>2</w:t>
      </w:r>
      <w:r>
        <w:rPr>
          <w:rStyle w:val="CaptionLabel"/>
          <w:b w:val="0"/>
        </w:rPr>
        <w:t>T benefits to ARC-funded research</w:t>
      </w:r>
      <w:r w:rsidRPr="0029419F">
        <w:rPr>
          <w:rStyle w:val="CaptionLabel"/>
          <w:b w:val="0"/>
        </w:rPr>
        <w:t xml:space="preserve"> </w:t>
      </w:r>
      <w:r>
        <w:rPr>
          <w:rStyle w:val="CaptionLabel"/>
          <w:b w:val="0"/>
        </w:rPr>
        <w:t>(7% discount rate)</w:t>
      </w:r>
    </w:p>
    <w:tbl>
      <w:tblPr>
        <w:tblStyle w:val="aacTableBasic"/>
        <w:tblW w:w="7998" w:type="dxa"/>
        <w:tblInd w:w="-62" w:type="dxa"/>
        <w:tblLayout w:type="fixed"/>
        <w:tblLook w:val="04A0" w:firstRow="1" w:lastRow="0" w:firstColumn="1" w:lastColumn="0" w:noHBand="0" w:noVBand="1"/>
        <w:tblCaption w:val="Table 7.3 "/>
        <w:tblDescription w:val="Sensitivity testing attribution of CQC2T benefits to ARC-funded research (7% discount rate)"/>
      </w:tblPr>
      <w:tblGrid>
        <w:gridCol w:w="1079"/>
        <w:gridCol w:w="2306"/>
        <w:gridCol w:w="2306"/>
        <w:gridCol w:w="2307"/>
      </w:tblGrid>
      <w:tr w:rsidR="002B32A0" w14:paraId="3A41FD50" w14:textId="77777777" w:rsidTr="000B0AC7">
        <w:trPr>
          <w:cnfStyle w:val="100000000000" w:firstRow="1" w:lastRow="0" w:firstColumn="0" w:lastColumn="0" w:oddVBand="0" w:evenVBand="0" w:oddHBand="0" w:evenHBand="0" w:firstRowFirstColumn="0" w:firstRowLastColumn="0" w:lastRowFirstColumn="0" w:lastRowLastColumn="0"/>
          <w:trHeight w:val="296"/>
        </w:trPr>
        <w:tc>
          <w:tcPr>
            <w:tcW w:w="1079" w:type="dxa"/>
            <w:tcBorders>
              <w:top w:val="nil"/>
            </w:tcBorders>
            <w:shd w:val="solid" w:color="140034" w:fill="140034"/>
            <w:noWrap/>
          </w:tcPr>
          <w:p w14:paraId="50FF7DA3" w14:textId="77777777" w:rsidR="002B32A0" w:rsidRDefault="002B32A0" w:rsidP="006258ED">
            <w:pPr>
              <w:pStyle w:val="Tablecolumnheadings"/>
              <w:keepLines/>
              <w:rPr>
                <w:lang w:eastAsia="ja-JP"/>
              </w:rPr>
            </w:pPr>
          </w:p>
        </w:tc>
        <w:tc>
          <w:tcPr>
            <w:tcW w:w="2306" w:type="dxa"/>
            <w:tcBorders>
              <w:top w:val="nil"/>
            </w:tcBorders>
            <w:shd w:val="solid" w:color="140034" w:fill="140034"/>
            <w:noWrap/>
            <w:hideMark/>
          </w:tcPr>
          <w:p w14:paraId="7483BEF6" w14:textId="77777777" w:rsidR="002B32A0" w:rsidRDefault="002B32A0" w:rsidP="006258ED">
            <w:pPr>
              <w:pStyle w:val="Tablecolumnheadings"/>
              <w:keepLines/>
              <w:jc w:val="center"/>
              <w:rPr>
                <w:rFonts w:ascii="Calibri" w:hAnsi="Calibri" w:cs="Calibri"/>
                <w:color w:val="000000"/>
                <w:lang w:eastAsia="ja-JP"/>
              </w:rPr>
            </w:pPr>
            <w:r>
              <w:t>10% attribution to ARC</w:t>
            </w:r>
          </w:p>
        </w:tc>
        <w:tc>
          <w:tcPr>
            <w:tcW w:w="2306" w:type="dxa"/>
            <w:tcBorders>
              <w:top w:val="nil"/>
            </w:tcBorders>
            <w:shd w:val="solid" w:color="140034" w:fill="140034"/>
            <w:noWrap/>
            <w:hideMark/>
          </w:tcPr>
          <w:p w14:paraId="7D41EC7C" w14:textId="77777777" w:rsidR="002B32A0" w:rsidRDefault="002B32A0" w:rsidP="006258ED">
            <w:pPr>
              <w:pStyle w:val="Tablecolumnheadings"/>
              <w:keepLines/>
              <w:jc w:val="center"/>
              <w:rPr>
                <w:rFonts w:ascii="Calibri" w:hAnsi="Calibri" w:cs="Calibri"/>
                <w:color w:val="000000"/>
                <w:lang w:eastAsia="ja-JP"/>
              </w:rPr>
            </w:pPr>
            <w:r>
              <w:t>31% attribution to ARC</w:t>
            </w:r>
          </w:p>
        </w:tc>
        <w:tc>
          <w:tcPr>
            <w:tcW w:w="2307" w:type="dxa"/>
            <w:tcBorders>
              <w:top w:val="nil"/>
            </w:tcBorders>
            <w:shd w:val="solid" w:color="140034" w:fill="140034"/>
            <w:noWrap/>
            <w:hideMark/>
          </w:tcPr>
          <w:p w14:paraId="651A3A78" w14:textId="77777777" w:rsidR="002B32A0" w:rsidRDefault="002B32A0" w:rsidP="006258ED">
            <w:pPr>
              <w:pStyle w:val="Tablecolumnheadings"/>
              <w:keepLines/>
              <w:jc w:val="center"/>
              <w:rPr>
                <w:rFonts w:ascii="Calibri" w:hAnsi="Calibri" w:cs="Calibri"/>
                <w:color w:val="000000"/>
                <w:lang w:eastAsia="ja-JP"/>
              </w:rPr>
            </w:pPr>
            <w:r>
              <w:t>50% attribution to ARC</w:t>
            </w:r>
          </w:p>
        </w:tc>
      </w:tr>
      <w:tr w:rsidR="002B32A0" w14:paraId="436B0B72" w14:textId="77777777" w:rsidTr="000B0AC7">
        <w:trPr>
          <w:trHeight w:val="278"/>
        </w:trPr>
        <w:tc>
          <w:tcPr>
            <w:tcW w:w="1079" w:type="dxa"/>
            <w:noWrap/>
            <w:hideMark/>
          </w:tcPr>
          <w:p w14:paraId="109FB93C" w14:textId="77777777" w:rsidR="002B32A0" w:rsidRDefault="002B32A0" w:rsidP="006258ED">
            <w:pPr>
              <w:pStyle w:val="Tabletext"/>
              <w:keepNext/>
              <w:keepLines/>
              <w:rPr>
                <w:szCs w:val="20"/>
              </w:rPr>
            </w:pPr>
            <w:r>
              <w:rPr>
                <w:szCs w:val="20"/>
              </w:rPr>
              <w:t>Costs</w:t>
            </w:r>
          </w:p>
        </w:tc>
        <w:tc>
          <w:tcPr>
            <w:tcW w:w="2306" w:type="dxa"/>
            <w:noWrap/>
            <w:hideMark/>
          </w:tcPr>
          <w:p w14:paraId="5A91FE19" w14:textId="77777777" w:rsidR="002B32A0" w:rsidRDefault="002B32A0" w:rsidP="006258ED">
            <w:pPr>
              <w:pStyle w:val="Tabletext"/>
              <w:keepNext/>
              <w:keepLines/>
              <w:jc w:val="center"/>
              <w:rPr>
                <w:szCs w:val="20"/>
              </w:rPr>
            </w:pPr>
            <w:r w:rsidRPr="00F570CC">
              <w:t>$637,737,772</w:t>
            </w:r>
          </w:p>
        </w:tc>
        <w:tc>
          <w:tcPr>
            <w:tcW w:w="2306" w:type="dxa"/>
            <w:noWrap/>
            <w:hideMark/>
          </w:tcPr>
          <w:p w14:paraId="2DCDF3FA" w14:textId="77777777" w:rsidR="002B32A0" w:rsidRDefault="002B32A0" w:rsidP="006258ED">
            <w:pPr>
              <w:pStyle w:val="Tabletext"/>
              <w:keepNext/>
              <w:keepLines/>
              <w:jc w:val="center"/>
              <w:rPr>
                <w:szCs w:val="20"/>
              </w:rPr>
            </w:pPr>
            <w:r w:rsidRPr="00D37AB7">
              <w:t>$637,737,772</w:t>
            </w:r>
          </w:p>
        </w:tc>
        <w:tc>
          <w:tcPr>
            <w:tcW w:w="2307" w:type="dxa"/>
            <w:noWrap/>
            <w:hideMark/>
          </w:tcPr>
          <w:p w14:paraId="51159111" w14:textId="77777777" w:rsidR="002B32A0" w:rsidRDefault="002B32A0" w:rsidP="006258ED">
            <w:pPr>
              <w:pStyle w:val="Tabletext"/>
              <w:keepNext/>
              <w:keepLines/>
              <w:jc w:val="center"/>
              <w:rPr>
                <w:szCs w:val="20"/>
              </w:rPr>
            </w:pPr>
            <w:r w:rsidRPr="00360611">
              <w:t>$637,737,772</w:t>
            </w:r>
          </w:p>
        </w:tc>
      </w:tr>
      <w:tr w:rsidR="002B32A0" w14:paraId="49D31A28" w14:textId="77777777" w:rsidTr="000B0AC7">
        <w:trPr>
          <w:trHeight w:val="278"/>
        </w:trPr>
        <w:tc>
          <w:tcPr>
            <w:tcW w:w="1079" w:type="dxa"/>
            <w:noWrap/>
            <w:hideMark/>
          </w:tcPr>
          <w:p w14:paraId="7CA2FF2F" w14:textId="77777777" w:rsidR="002B32A0" w:rsidRDefault="002B32A0" w:rsidP="006258ED">
            <w:pPr>
              <w:pStyle w:val="Tabletext"/>
              <w:keepNext/>
              <w:keepLines/>
              <w:rPr>
                <w:szCs w:val="20"/>
              </w:rPr>
            </w:pPr>
            <w:r>
              <w:rPr>
                <w:szCs w:val="20"/>
              </w:rPr>
              <w:t>Benefits</w:t>
            </w:r>
          </w:p>
        </w:tc>
        <w:tc>
          <w:tcPr>
            <w:tcW w:w="2306" w:type="dxa"/>
            <w:noWrap/>
            <w:hideMark/>
          </w:tcPr>
          <w:p w14:paraId="1424A80F" w14:textId="77777777" w:rsidR="002B32A0" w:rsidRDefault="002B32A0" w:rsidP="006258ED">
            <w:pPr>
              <w:pStyle w:val="Tabletext"/>
              <w:keepNext/>
              <w:keepLines/>
              <w:jc w:val="center"/>
              <w:rPr>
                <w:szCs w:val="20"/>
              </w:rPr>
            </w:pPr>
            <w:r w:rsidRPr="00F570CC">
              <w:t>$925,497,291</w:t>
            </w:r>
          </w:p>
        </w:tc>
        <w:tc>
          <w:tcPr>
            <w:tcW w:w="2306" w:type="dxa"/>
            <w:noWrap/>
            <w:hideMark/>
          </w:tcPr>
          <w:p w14:paraId="5D501633" w14:textId="77777777" w:rsidR="002B32A0" w:rsidRDefault="002B32A0" w:rsidP="006258ED">
            <w:pPr>
              <w:pStyle w:val="Tabletext"/>
              <w:keepNext/>
              <w:keepLines/>
              <w:jc w:val="center"/>
              <w:rPr>
                <w:szCs w:val="20"/>
              </w:rPr>
            </w:pPr>
            <w:r w:rsidRPr="00D37AB7">
              <w:t>$2,869,041,601</w:t>
            </w:r>
          </w:p>
        </w:tc>
        <w:tc>
          <w:tcPr>
            <w:tcW w:w="2307" w:type="dxa"/>
            <w:noWrap/>
            <w:hideMark/>
          </w:tcPr>
          <w:p w14:paraId="647078B1" w14:textId="77777777" w:rsidR="002B32A0" w:rsidRDefault="002B32A0" w:rsidP="006258ED">
            <w:pPr>
              <w:pStyle w:val="Tabletext"/>
              <w:keepNext/>
              <w:keepLines/>
              <w:jc w:val="center"/>
              <w:rPr>
                <w:szCs w:val="20"/>
              </w:rPr>
            </w:pPr>
            <w:r w:rsidRPr="00360611">
              <w:t>$4,627,486,454</w:t>
            </w:r>
          </w:p>
        </w:tc>
      </w:tr>
      <w:tr w:rsidR="002B32A0" w14:paraId="55BE8599" w14:textId="77777777" w:rsidTr="000B0AC7">
        <w:trPr>
          <w:trHeight w:val="262"/>
        </w:trPr>
        <w:tc>
          <w:tcPr>
            <w:tcW w:w="1079" w:type="dxa"/>
            <w:noWrap/>
            <w:hideMark/>
          </w:tcPr>
          <w:p w14:paraId="429F5409" w14:textId="77777777" w:rsidR="002B32A0" w:rsidRDefault="002B32A0" w:rsidP="006258ED">
            <w:pPr>
              <w:pStyle w:val="Tabletext"/>
              <w:keepNext/>
              <w:keepLines/>
              <w:rPr>
                <w:b/>
                <w:bCs/>
                <w:szCs w:val="20"/>
              </w:rPr>
            </w:pPr>
            <w:r>
              <w:rPr>
                <w:b/>
                <w:bCs/>
                <w:szCs w:val="20"/>
              </w:rPr>
              <w:t>Net impact</w:t>
            </w:r>
          </w:p>
        </w:tc>
        <w:tc>
          <w:tcPr>
            <w:tcW w:w="2306" w:type="dxa"/>
            <w:noWrap/>
            <w:hideMark/>
          </w:tcPr>
          <w:p w14:paraId="7567BF7F" w14:textId="77777777" w:rsidR="002B32A0" w:rsidRPr="00D91CBD" w:rsidRDefault="002B32A0" w:rsidP="006258ED">
            <w:pPr>
              <w:pStyle w:val="Tabletext"/>
              <w:keepNext/>
              <w:keepLines/>
              <w:jc w:val="center"/>
              <w:rPr>
                <w:b/>
                <w:bCs/>
                <w:szCs w:val="20"/>
              </w:rPr>
            </w:pPr>
            <w:r w:rsidRPr="006D4B86">
              <w:rPr>
                <w:b/>
                <w:bCs/>
              </w:rPr>
              <w:t>$287,759,519</w:t>
            </w:r>
          </w:p>
        </w:tc>
        <w:tc>
          <w:tcPr>
            <w:tcW w:w="2306" w:type="dxa"/>
            <w:noWrap/>
            <w:hideMark/>
          </w:tcPr>
          <w:p w14:paraId="282A705C" w14:textId="77777777" w:rsidR="002B32A0" w:rsidRPr="00D91CBD" w:rsidRDefault="002B32A0" w:rsidP="006258ED">
            <w:pPr>
              <w:pStyle w:val="Tabletext"/>
              <w:keepNext/>
              <w:keepLines/>
              <w:jc w:val="center"/>
              <w:rPr>
                <w:b/>
                <w:bCs/>
                <w:szCs w:val="20"/>
              </w:rPr>
            </w:pPr>
            <w:r w:rsidRPr="006D4B86">
              <w:rPr>
                <w:b/>
                <w:bCs/>
              </w:rPr>
              <w:t>$2,231,303,830</w:t>
            </w:r>
          </w:p>
        </w:tc>
        <w:tc>
          <w:tcPr>
            <w:tcW w:w="2307" w:type="dxa"/>
            <w:noWrap/>
            <w:hideMark/>
          </w:tcPr>
          <w:p w14:paraId="7F2551C2" w14:textId="77777777" w:rsidR="002B32A0" w:rsidRPr="00D91CBD" w:rsidRDefault="002B32A0" w:rsidP="006258ED">
            <w:pPr>
              <w:pStyle w:val="Tabletext"/>
              <w:keepNext/>
              <w:keepLines/>
              <w:jc w:val="center"/>
              <w:rPr>
                <w:b/>
                <w:bCs/>
                <w:szCs w:val="20"/>
              </w:rPr>
            </w:pPr>
            <w:r w:rsidRPr="006D4B86">
              <w:rPr>
                <w:b/>
                <w:bCs/>
              </w:rPr>
              <w:t>$3,989,748,682</w:t>
            </w:r>
          </w:p>
        </w:tc>
      </w:tr>
      <w:tr w:rsidR="002B32A0" w14:paraId="7F93254E" w14:textId="77777777" w:rsidTr="000B0AC7">
        <w:trPr>
          <w:trHeight w:val="278"/>
        </w:trPr>
        <w:tc>
          <w:tcPr>
            <w:tcW w:w="1079" w:type="dxa"/>
            <w:noWrap/>
            <w:hideMark/>
          </w:tcPr>
          <w:p w14:paraId="09181DD2" w14:textId="77777777" w:rsidR="002B32A0" w:rsidRDefault="002B32A0" w:rsidP="006258ED">
            <w:pPr>
              <w:pStyle w:val="Tabletext"/>
              <w:keepNext/>
              <w:keepLines/>
              <w:rPr>
                <w:b/>
                <w:bCs/>
                <w:szCs w:val="20"/>
              </w:rPr>
            </w:pPr>
            <w:r>
              <w:rPr>
                <w:b/>
                <w:bCs/>
                <w:szCs w:val="20"/>
              </w:rPr>
              <w:t>BCR</w:t>
            </w:r>
          </w:p>
        </w:tc>
        <w:tc>
          <w:tcPr>
            <w:tcW w:w="2306" w:type="dxa"/>
            <w:noWrap/>
            <w:hideMark/>
          </w:tcPr>
          <w:p w14:paraId="7D3CAF97" w14:textId="77777777" w:rsidR="002B32A0" w:rsidRPr="00D91CBD" w:rsidRDefault="002B32A0" w:rsidP="006258ED">
            <w:pPr>
              <w:pStyle w:val="Tabletext"/>
              <w:keepNext/>
              <w:keepLines/>
              <w:jc w:val="center"/>
              <w:rPr>
                <w:b/>
                <w:bCs/>
                <w:szCs w:val="20"/>
              </w:rPr>
            </w:pPr>
            <w:r w:rsidRPr="006D4B86">
              <w:rPr>
                <w:b/>
                <w:bCs/>
              </w:rPr>
              <w:t>1.45</w:t>
            </w:r>
          </w:p>
        </w:tc>
        <w:tc>
          <w:tcPr>
            <w:tcW w:w="2306" w:type="dxa"/>
            <w:noWrap/>
            <w:hideMark/>
          </w:tcPr>
          <w:p w14:paraId="1C293DCD" w14:textId="77777777" w:rsidR="002B32A0" w:rsidRPr="00D91CBD" w:rsidRDefault="002B32A0" w:rsidP="006258ED">
            <w:pPr>
              <w:pStyle w:val="Tabletext"/>
              <w:keepNext/>
              <w:keepLines/>
              <w:jc w:val="center"/>
              <w:rPr>
                <w:b/>
                <w:bCs/>
                <w:szCs w:val="20"/>
              </w:rPr>
            </w:pPr>
            <w:r w:rsidRPr="006D4B86">
              <w:rPr>
                <w:b/>
                <w:bCs/>
              </w:rPr>
              <w:t>4.50</w:t>
            </w:r>
          </w:p>
        </w:tc>
        <w:tc>
          <w:tcPr>
            <w:tcW w:w="2307" w:type="dxa"/>
            <w:noWrap/>
            <w:hideMark/>
          </w:tcPr>
          <w:p w14:paraId="7534A461" w14:textId="77777777" w:rsidR="002B32A0" w:rsidRPr="00D91CBD" w:rsidRDefault="002B32A0" w:rsidP="006258ED">
            <w:pPr>
              <w:pStyle w:val="Tabletext"/>
              <w:keepNext/>
              <w:keepLines/>
              <w:jc w:val="center"/>
              <w:rPr>
                <w:b/>
                <w:bCs/>
                <w:szCs w:val="20"/>
              </w:rPr>
            </w:pPr>
            <w:r w:rsidRPr="006D4B86">
              <w:rPr>
                <w:b/>
                <w:bCs/>
              </w:rPr>
              <w:t>7.26</w:t>
            </w:r>
          </w:p>
        </w:tc>
      </w:tr>
      <w:tr w:rsidR="002B32A0" w14:paraId="6B38F3FF" w14:textId="77777777" w:rsidTr="000B0AC7">
        <w:trPr>
          <w:trHeight w:hRule="exact" w:val="149"/>
        </w:trPr>
        <w:tc>
          <w:tcPr>
            <w:tcW w:w="1079" w:type="dxa"/>
            <w:noWrap/>
          </w:tcPr>
          <w:p w14:paraId="4B0B1C25" w14:textId="77777777" w:rsidR="002B32A0" w:rsidRDefault="002B32A0" w:rsidP="006258ED">
            <w:pPr>
              <w:pStyle w:val="spacer"/>
              <w:spacing w:line="256" w:lineRule="auto"/>
              <w:rPr>
                <w:lang w:eastAsia="ja-JP"/>
              </w:rPr>
            </w:pPr>
          </w:p>
        </w:tc>
        <w:tc>
          <w:tcPr>
            <w:tcW w:w="2306" w:type="dxa"/>
            <w:noWrap/>
          </w:tcPr>
          <w:p w14:paraId="04438632" w14:textId="77777777" w:rsidR="002B32A0" w:rsidRDefault="002B32A0" w:rsidP="006258ED">
            <w:pPr>
              <w:pStyle w:val="spacer"/>
              <w:spacing w:line="256" w:lineRule="auto"/>
              <w:rPr>
                <w:lang w:eastAsia="ja-JP"/>
              </w:rPr>
            </w:pPr>
          </w:p>
        </w:tc>
        <w:tc>
          <w:tcPr>
            <w:tcW w:w="2306" w:type="dxa"/>
            <w:noWrap/>
          </w:tcPr>
          <w:p w14:paraId="2D7FDBF8" w14:textId="77777777" w:rsidR="002B32A0" w:rsidRDefault="002B32A0" w:rsidP="006258ED">
            <w:pPr>
              <w:pStyle w:val="spacer"/>
              <w:spacing w:line="256" w:lineRule="auto"/>
              <w:rPr>
                <w:lang w:eastAsia="ja-JP"/>
              </w:rPr>
            </w:pPr>
          </w:p>
        </w:tc>
        <w:tc>
          <w:tcPr>
            <w:tcW w:w="2307" w:type="dxa"/>
            <w:noWrap/>
          </w:tcPr>
          <w:p w14:paraId="1D268E97" w14:textId="77777777" w:rsidR="002B32A0" w:rsidRDefault="002B32A0" w:rsidP="006258ED">
            <w:pPr>
              <w:pStyle w:val="spacer"/>
              <w:spacing w:line="256" w:lineRule="auto"/>
              <w:rPr>
                <w:lang w:eastAsia="ja-JP"/>
              </w:rPr>
            </w:pPr>
          </w:p>
        </w:tc>
      </w:tr>
    </w:tbl>
    <w:p w14:paraId="02F55FDF" w14:textId="77777777" w:rsidR="002B32A0" w:rsidRDefault="002B32A0" w:rsidP="002B32A0">
      <w:r>
        <w:t>Sensitivity testing was also conducted for the attribution of Australia’s quantum opportunity in computing and communications to the CQC</w:t>
      </w:r>
      <w:r w:rsidRPr="00527A5B">
        <w:rPr>
          <w:vertAlign w:val="superscript"/>
        </w:rPr>
        <w:t>2</w:t>
      </w:r>
      <w:r>
        <w:t>T. The researcher requested that quantum computing and quantum communications be separated for this sensitivity analysis.</w:t>
      </w:r>
      <w:r>
        <w:rPr>
          <w:rStyle w:val="FootnoteReference"/>
        </w:rPr>
        <w:footnoteReference w:id="120"/>
      </w:r>
      <w:r>
        <w:t xml:space="preserve"> To do this, an assumption was made that 72% of all costs could be attributed to quantum computing, and 28% of all costs could be attributed to quantum communications, based on the financial information held by the researcher. Quantum sensing and measurement research costs could not be disaggregated from the quantum computing and quantum communications costs.</w:t>
      </w:r>
    </w:p>
    <w:p w14:paraId="1A6BA696" w14:textId="04603543" w:rsidR="002B32A0" w:rsidRDefault="002B32A0" w:rsidP="002B32A0">
      <w:r>
        <w:t>For quantum computing, the central case was an attribution of 75% to the CQC</w:t>
      </w:r>
      <w:r w:rsidRPr="00527A5B">
        <w:rPr>
          <w:vertAlign w:val="superscript"/>
        </w:rPr>
        <w:t>2</w:t>
      </w:r>
      <w:r>
        <w:t>T. The Cost Benefit Analysis results were tested with a lower bound attribution of 50% (significantly lower than the central case) and an upper bound attribution of 100% (if all benefits were attributed to the CQC</w:t>
      </w:r>
      <w:r w:rsidRPr="00527A5B">
        <w:rPr>
          <w:vertAlign w:val="superscript"/>
        </w:rPr>
        <w:t>2</w:t>
      </w:r>
      <w:r>
        <w:t xml:space="preserve">T). The results in </w:t>
      </w:r>
      <w:r w:rsidRPr="00F87D0E">
        <w:fldChar w:fldCharType="begin"/>
      </w:r>
      <w:r w:rsidRPr="00F87D0E">
        <w:instrText xml:space="preserve"> REF _Ref131087996 \h  \* MERGEFORMAT </w:instrText>
      </w:r>
      <w:r w:rsidRPr="00F87D0E">
        <w:fldChar w:fldCharType="separate"/>
      </w:r>
      <w:r w:rsidR="000B0AC7" w:rsidRPr="000B0AC7">
        <w:t>Table 7.4</w:t>
      </w:r>
      <w:r w:rsidRPr="00F87D0E">
        <w:fldChar w:fldCharType="end"/>
      </w:r>
      <w:r>
        <w:t xml:space="preserve"> show that the Net Present Value would fall </w:t>
      </w:r>
      <w:r w:rsidRPr="007863F1">
        <w:t xml:space="preserve">from </w:t>
      </w:r>
      <w:r w:rsidRPr="00935DD4">
        <w:t>$</w:t>
      </w:r>
      <w:r>
        <w:t xml:space="preserve">1.7 billion </w:t>
      </w:r>
      <w:r w:rsidRPr="007863F1">
        <w:t xml:space="preserve">to </w:t>
      </w:r>
      <w:r w:rsidRPr="00935DD4">
        <w:t>$</w:t>
      </w:r>
      <w:r>
        <w:t xml:space="preserve">996.9 million and the BCR would fall from 4.76 to 3.17 if the attribution fell to 50%. Whereas the </w:t>
      </w:r>
      <w:r w:rsidRPr="007863F1">
        <w:t>Net Present Value would</w:t>
      </w:r>
      <w:r>
        <w:t xml:space="preserve"> rise</w:t>
      </w:r>
      <w:r w:rsidRPr="007863F1">
        <w:t xml:space="preserve"> </w:t>
      </w:r>
      <w:r>
        <w:t xml:space="preserve">to $2.5 billion </w:t>
      </w:r>
      <w:r w:rsidRPr="007863F1">
        <w:t xml:space="preserve">and the BCR would </w:t>
      </w:r>
      <w:r>
        <w:t>rise</w:t>
      </w:r>
      <w:r w:rsidRPr="007863F1">
        <w:t xml:space="preserve"> to </w:t>
      </w:r>
      <w:r>
        <w:t xml:space="preserve">6.34 </w:t>
      </w:r>
      <w:r w:rsidRPr="007863F1">
        <w:t xml:space="preserve">if the </w:t>
      </w:r>
      <w:r>
        <w:t>attribution</w:t>
      </w:r>
      <w:r w:rsidRPr="007863F1">
        <w:t xml:space="preserve"> </w:t>
      </w:r>
      <w:r>
        <w:t>increased</w:t>
      </w:r>
      <w:r w:rsidRPr="007863F1">
        <w:t xml:space="preserve"> </w:t>
      </w:r>
      <w:r>
        <w:t>to 100%</w:t>
      </w:r>
      <w:r w:rsidRPr="007863F1">
        <w:t xml:space="preserve">. </w:t>
      </w:r>
      <w:r>
        <w:t>This shows that the NPV remains significant even at the lower bound test of 50%</w:t>
      </w:r>
      <w:r w:rsidRPr="00935DD4">
        <w:t xml:space="preserve"> attribution </w:t>
      </w:r>
      <w:r>
        <w:t xml:space="preserve">of quantum computing benefits </w:t>
      </w:r>
      <w:r w:rsidRPr="00935DD4">
        <w:t>to CQC</w:t>
      </w:r>
      <w:r w:rsidRPr="00527A5B">
        <w:rPr>
          <w:vertAlign w:val="superscript"/>
        </w:rPr>
        <w:t>2</w:t>
      </w:r>
      <w:r w:rsidRPr="00935DD4">
        <w:t>T</w:t>
      </w:r>
      <w:r>
        <w:t>.</w:t>
      </w:r>
    </w:p>
    <w:p w14:paraId="2EE2814B" w14:textId="3016230F" w:rsidR="002B32A0" w:rsidRDefault="002B32A0" w:rsidP="000B0AC7">
      <w:pPr>
        <w:pStyle w:val="Caption"/>
        <w:ind w:left="1211" w:hanging="1308"/>
        <w:rPr>
          <w:bCs/>
        </w:rPr>
      </w:pPr>
      <w:bookmarkStart w:id="272" w:name="_Ref131087996"/>
      <w:r w:rsidRPr="006D4B86">
        <w:rPr>
          <w:rStyle w:val="CaptionLabel"/>
        </w:rPr>
        <w:t>Table </w:t>
      </w:r>
      <w:r w:rsidRPr="006D4B86">
        <w:rPr>
          <w:rStyle w:val="CaptionLabel"/>
        </w:rPr>
        <w:fldChar w:fldCharType="begin"/>
      </w:r>
      <w:r w:rsidRPr="006D4B86">
        <w:rPr>
          <w:rStyle w:val="CaptionLabel"/>
        </w:rPr>
        <w:instrText xml:space="preserve"> STYLEREF 1 \S \* MERGEFORMAT </w:instrText>
      </w:r>
      <w:r w:rsidRPr="006D4B86">
        <w:rPr>
          <w:rStyle w:val="CaptionLabel"/>
        </w:rPr>
        <w:fldChar w:fldCharType="separate"/>
      </w:r>
      <w:r w:rsidR="000B0AC7">
        <w:rPr>
          <w:rStyle w:val="CaptionLabel"/>
          <w:noProof/>
        </w:rPr>
        <w:t>7</w:t>
      </w:r>
      <w:r w:rsidRPr="006D4B86">
        <w:rPr>
          <w:rStyle w:val="CaptionLabel"/>
        </w:rPr>
        <w:fldChar w:fldCharType="end"/>
      </w:r>
      <w:r w:rsidRPr="006D4B86">
        <w:rPr>
          <w:rStyle w:val="CaptionLabel"/>
        </w:rPr>
        <w:t>.</w:t>
      </w:r>
      <w:r w:rsidRPr="006D4B86">
        <w:rPr>
          <w:rStyle w:val="CaptionLabel"/>
        </w:rPr>
        <w:fldChar w:fldCharType="begin"/>
      </w:r>
      <w:r w:rsidRPr="006D4B86">
        <w:rPr>
          <w:rStyle w:val="CaptionLabel"/>
        </w:rPr>
        <w:instrText xml:space="preserve"> SEQ Table \* ARABIC \S 1 \* MERGEFORMAT </w:instrText>
      </w:r>
      <w:r w:rsidRPr="006D4B86">
        <w:rPr>
          <w:rStyle w:val="CaptionLabel"/>
        </w:rPr>
        <w:fldChar w:fldCharType="separate"/>
      </w:r>
      <w:r w:rsidR="000B0AC7">
        <w:rPr>
          <w:rStyle w:val="CaptionLabel"/>
          <w:noProof/>
        </w:rPr>
        <w:t>4</w:t>
      </w:r>
      <w:r w:rsidRPr="006D4B86">
        <w:rPr>
          <w:rStyle w:val="CaptionLabel"/>
        </w:rPr>
        <w:fldChar w:fldCharType="end"/>
      </w:r>
      <w:bookmarkEnd w:id="272"/>
      <w:r>
        <w:tab/>
      </w:r>
      <w:r w:rsidRPr="0029419F">
        <w:rPr>
          <w:rStyle w:val="CaptionLabel"/>
          <w:b w:val="0"/>
        </w:rPr>
        <w:t xml:space="preserve">Sensitivity testing </w:t>
      </w:r>
      <w:r>
        <w:rPr>
          <w:rStyle w:val="CaptionLabel"/>
          <w:b w:val="0"/>
        </w:rPr>
        <w:t>attribution of Australian Quantum computing opportunity to CQC</w:t>
      </w:r>
      <w:r w:rsidRPr="00527A5B">
        <w:rPr>
          <w:rStyle w:val="CaptionLabel"/>
          <w:b w:val="0"/>
          <w:vertAlign w:val="superscript"/>
        </w:rPr>
        <w:t>2</w:t>
      </w:r>
      <w:r>
        <w:rPr>
          <w:rStyle w:val="CaptionLabel"/>
          <w:b w:val="0"/>
        </w:rPr>
        <w:t>T, using only quantum computing costs and benefits (7% discount rate)</w:t>
      </w:r>
    </w:p>
    <w:tbl>
      <w:tblPr>
        <w:tblStyle w:val="aacTableBasic"/>
        <w:tblW w:w="8033" w:type="dxa"/>
        <w:tblInd w:w="-97" w:type="dxa"/>
        <w:tblLayout w:type="fixed"/>
        <w:tblLook w:val="04A0" w:firstRow="1" w:lastRow="0" w:firstColumn="1" w:lastColumn="0" w:noHBand="0" w:noVBand="1"/>
        <w:tblCaption w:val="Table 7.4 "/>
        <w:tblDescription w:val="Sensitivity testing attribution of Australian Quantum computing opportunity to CQC2T, using only quantum computing costs and benefits (7% discount rate)"/>
      </w:tblPr>
      <w:tblGrid>
        <w:gridCol w:w="1078"/>
        <w:gridCol w:w="2318"/>
        <w:gridCol w:w="2318"/>
        <w:gridCol w:w="2319"/>
      </w:tblGrid>
      <w:tr w:rsidR="002B32A0" w14:paraId="360145B6" w14:textId="77777777" w:rsidTr="000B0AC7">
        <w:trPr>
          <w:cnfStyle w:val="100000000000" w:firstRow="1" w:lastRow="0" w:firstColumn="0" w:lastColumn="0" w:oddVBand="0" w:evenVBand="0" w:oddHBand="0" w:evenHBand="0" w:firstRowFirstColumn="0" w:firstRowLastColumn="0" w:lastRowFirstColumn="0" w:lastRowLastColumn="0"/>
          <w:trHeight w:val="20"/>
        </w:trPr>
        <w:tc>
          <w:tcPr>
            <w:tcW w:w="1078" w:type="dxa"/>
            <w:tcBorders>
              <w:top w:val="nil"/>
            </w:tcBorders>
            <w:shd w:val="solid" w:color="140034" w:fill="140034"/>
            <w:noWrap/>
          </w:tcPr>
          <w:p w14:paraId="4286D896" w14:textId="77777777" w:rsidR="002B32A0" w:rsidRDefault="002B32A0" w:rsidP="006258ED">
            <w:pPr>
              <w:pStyle w:val="Tablecolumnheadings"/>
              <w:rPr>
                <w:lang w:eastAsia="ja-JP"/>
              </w:rPr>
            </w:pPr>
          </w:p>
        </w:tc>
        <w:tc>
          <w:tcPr>
            <w:tcW w:w="2318" w:type="dxa"/>
            <w:tcBorders>
              <w:top w:val="nil"/>
            </w:tcBorders>
            <w:shd w:val="solid" w:color="140034" w:fill="140034"/>
            <w:noWrap/>
            <w:hideMark/>
          </w:tcPr>
          <w:p w14:paraId="4A2FD120" w14:textId="77777777" w:rsidR="002B32A0" w:rsidRDefault="002B32A0" w:rsidP="006258ED">
            <w:pPr>
              <w:pStyle w:val="Tablecolumnheadings"/>
              <w:jc w:val="center"/>
              <w:rPr>
                <w:rFonts w:ascii="Calibri" w:hAnsi="Calibri" w:cs="Calibri"/>
                <w:color w:val="000000"/>
                <w:lang w:eastAsia="ja-JP"/>
              </w:rPr>
            </w:pPr>
            <w:r>
              <w:t>50% attribution to CQC</w:t>
            </w:r>
            <w:r w:rsidRPr="00527A5B">
              <w:rPr>
                <w:vertAlign w:val="superscript"/>
              </w:rPr>
              <w:t>2</w:t>
            </w:r>
            <w:r>
              <w:t>T</w:t>
            </w:r>
          </w:p>
        </w:tc>
        <w:tc>
          <w:tcPr>
            <w:tcW w:w="2318" w:type="dxa"/>
            <w:tcBorders>
              <w:top w:val="nil"/>
            </w:tcBorders>
            <w:shd w:val="solid" w:color="140034" w:fill="140034"/>
            <w:noWrap/>
            <w:hideMark/>
          </w:tcPr>
          <w:p w14:paraId="59E1AE3C" w14:textId="003B285A" w:rsidR="002B32A0" w:rsidRDefault="002B32A0" w:rsidP="00CB0B0A">
            <w:pPr>
              <w:pStyle w:val="Tablecolumnheadings"/>
              <w:jc w:val="center"/>
              <w:rPr>
                <w:rFonts w:ascii="Calibri" w:hAnsi="Calibri" w:cs="Calibri"/>
                <w:color w:val="000000"/>
                <w:lang w:eastAsia="ja-JP"/>
              </w:rPr>
            </w:pPr>
            <w:r>
              <w:t>75% attribution</w:t>
            </w:r>
            <w:r w:rsidR="00CB0B0A">
              <w:t xml:space="preserve"> </w:t>
            </w:r>
            <w:r>
              <w:t>to CQC</w:t>
            </w:r>
            <w:r w:rsidRPr="00527A5B">
              <w:rPr>
                <w:vertAlign w:val="superscript"/>
              </w:rPr>
              <w:t>2</w:t>
            </w:r>
            <w:r>
              <w:t>T</w:t>
            </w:r>
          </w:p>
        </w:tc>
        <w:tc>
          <w:tcPr>
            <w:tcW w:w="2319" w:type="dxa"/>
            <w:tcBorders>
              <w:top w:val="nil"/>
            </w:tcBorders>
            <w:shd w:val="solid" w:color="140034" w:fill="140034"/>
            <w:noWrap/>
            <w:hideMark/>
          </w:tcPr>
          <w:p w14:paraId="41E62AB5" w14:textId="77777777" w:rsidR="002B32A0" w:rsidRDefault="002B32A0" w:rsidP="006258ED">
            <w:pPr>
              <w:pStyle w:val="Tablecolumnheadings"/>
              <w:jc w:val="center"/>
              <w:rPr>
                <w:rFonts w:ascii="Calibri" w:hAnsi="Calibri" w:cs="Calibri"/>
                <w:color w:val="000000"/>
                <w:lang w:eastAsia="ja-JP"/>
              </w:rPr>
            </w:pPr>
            <w:r>
              <w:t>100% attribution to CQC</w:t>
            </w:r>
            <w:r w:rsidRPr="00527A5B">
              <w:rPr>
                <w:vertAlign w:val="superscript"/>
              </w:rPr>
              <w:t>2</w:t>
            </w:r>
            <w:r>
              <w:t>T</w:t>
            </w:r>
          </w:p>
        </w:tc>
      </w:tr>
      <w:tr w:rsidR="002B32A0" w14:paraId="0B810919" w14:textId="77777777" w:rsidTr="000B0AC7">
        <w:trPr>
          <w:trHeight w:val="20"/>
        </w:trPr>
        <w:tc>
          <w:tcPr>
            <w:tcW w:w="1078" w:type="dxa"/>
            <w:noWrap/>
            <w:hideMark/>
          </w:tcPr>
          <w:p w14:paraId="69DC166E" w14:textId="77777777" w:rsidR="002B32A0" w:rsidRDefault="002B32A0" w:rsidP="006258ED">
            <w:pPr>
              <w:pStyle w:val="Tabletext"/>
              <w:keepNext/>
              <w:keepLines/>
              <w:rPr>
                <w:szCs w:val="20"/>
              </w:rPr>
            </w:pPr>
            <w:r>
              <w:rPr>
                <w:szCs w:val="20"/>
              </w:rPr>
              <w:t>Costs</w:t>
            </w:r>
          </w:p>
        </w:tc>
        <w:tc>
          <w:tcPr>
            <w:tcW w:w="2318" w:type="dxa"/>
            <w:noWrap/>
            <w:hideMark/>
          </w:tcPr>
          <w:p w14:paraId="3B556675" w14:textId="77777777" w:rsidR="002B32A0" w:rsidRDefault="002B32A0" w:rsidP="006258ED">
            <w:pPr>
              <w:pStyle w:val="Tabletext"/>
              <w:keepNext/>
              <w:keepLines/>
              <w:jc w:val="center"/>
              <w:rPr>
                <w:szCs w:val="20"/>
              </w:rPr>
            </w:pPr>
            <w:r w:rsidRPr="008E57A3">
              <w:t>$459,171,196</w:t>
            </w:r>
          </w:p>
        </w:tc>
        <w:tc>
          <w:tcPr>
            <w:tcW w:w="2318" w:type="dxa"/>
            <w:noWrap/>
            <w:hideMark/>
          </w:tcPr>
          <w:p w14:paraId="564870F1" w14:textId="77777777" w:rsidR="002B32A0" w:rsidRDefault="002B32A0" w:rsidP="006258ED">
            <w:pPr>
              <w:pStyle w:val="Tabletext"/>
              <w:keepNext/>
              <w:keepLines/>
              <w:jc w:val="center"/>
              <w:rPr>
                <w:szCs w:val="20"/>
              </w:rPr>
            </w:pPr>
            <w:r w:rsidRPr="005C6311">
              <w:t>$459,171,196</w:t>
            </w:r>
          </w:p>
        </w:tc>
        <w:tc>
          <w:tcPr>
            <w:tcW w:w="2319" w:type="dxa"/>
            <w:noWrap/>
            <w:hideMark/>
          </w:tcPr>
          <w:p w14:paraId="3421B09B" w14:textId="77777777" w:rsidR="002B32A0" w:rsidRDefault="002B32A0" w:rsidP="006258ED">
            <w:pPr>
              <w:pStyle w:val="Tabletext"/>
              <w:keepNext/>
              <w:keepLines/>
              <w:jc w:val="center"/>
              <w:rPr>
                <w:szCs w:val="20"/>
              </w:rPr>
            </w:pPr>
            <w:r w:rsidRPr="004F65EB">
              <w:t>$459,171,196</w:t>
            </w:r>
          </w:p>
        </w:tc>
      </w:tr>
      <w:tr w:rsidR="002B32A0" w14:paraId="53505DE6" w14:textId="77777777" w:rsidTr="000B0AC7">
        <w:trPr>
          <w:trHeight w:val="20"/>
        </w:trPr>
        <w:tc>
          <w:tcPr>
            <w:tcW w:w="1078" w:type="dxa"/>
            <w:noWrap/>
            <w:hideMark/>
          </w:tcPr>
          <w:p w14:paraId="7046AEF0" w14:textId="77777777" w:rsidR="002B32A0" w:rsidRDefault="002B32A0" w:rsidP="006258ED">
            <w:pPr>
              <w:pStyle w:val="Tabletext"/>
              <w:keepNext/>
              <w:keepLines/>
              <w:rPr>
                <w:szCs w:val="20"/>
              </w:rPr>
            </w:pPr>
            <w:r>
              <w:rPr>
                <w:szCs w:val="20"/>
              </w:rPr>
              <w:t>Benefits</w:t>
            </w:r>
          </w:p>
        </w:tc>
        <w:tc>
          <w:tcPr>
            <w:tcW w:w="2318" w:type="dxa"/>
            <w:noWrap/>
            <w:hideMark/>
          </w:tcPr>
          <w:p w14:paraId="62B2297E" w14:textId="77777777" w:rsidR="002B32A0" w:rsidRDefault="002B32A0" w:rsidP="006258ED">
            <w:pPr>
              <w:pStyle w:val="Tabletext"/>
              <w:keepNext/>
              <w:keepLines/>
              <w:jc w:val="center"/>
              <w:rPr>
                <w:szCs w:val="20"/>
              </w:rPr>
            </w:pPr>
            <w:r w:rsidRPr="008E57A3">
              <w:t>$1,456,129,368</w:t>
            </w:r>
          </w:p>
        </w:tc>
        <w:tc>
          <w:tcPr>
            <w:tcW w:w="2318" w:type="dxa"/>
            <w:noWrap/>
            <w:hideMark/>
          </w:tcPr>
          <w:p w14:paraId="67EEADCC" w14:textId="77777777" w:rsidR="002B32A0" w:rsidRDefault="002B32A0" w:rsidP="006258ED">
            <w:pPr>
              <w:pStyle w:val="Tabletext"/>
              <w:keepNext/>
              <w:keepLines/>
              <w:jc w:val="center"/>
              <w:rPr>
                <w:szCs w:val="20"/>
              </w:rPr>
            </w:pPr>
            <w:r w:rsidRPr="005C6311">
              <w:t>$2,184,194,052</w:t>
            </w:r>
          </w:p>
        </w:tc>
        <w:tc>
          <w:tcPr>
            <w:tcW w:w="2319" w:type="dxa"/>
            <w:noWrap/>
            <w:hideMark/>
          </w:tcPr>
          <w:p w14:paraId="4A8E61F2" w14:textId="77777777" w:rsidR="002B32A0" w:rsidRDefault="002B32A0" w:rsidP="006258ED">
            <w:pPr>
              <w:pStyle w:val="Tabletext"/>
              <w:keepNext/>
              <w:keepLines/>
              <w:jc w:val="center"/>
              <w:rPr>
                <w:szCs w:val="20"/>
              </w:rPr>
            </w:pPr>
            <w:r w:rsidRPr="004F65EB">
              <w:t>$2,912,258,736</w:t>
            </w:r>
          </w:p>
        </w:tc>
      </w:tr>
      <w:tr w:rsidR="002B32A0" w14:paraId="125AAFC1" w14:textId="77777777" w:rsidTr="000B0AC7">
        <w:trPr>
          <w:trHeight w:val="20"/>
        </w:trPr>
        <w:tc>
          <w:tcPr>
            <w:tcW w:w="1078" w:type="dxa"/>
            <w:noWrap/>
            <w:hideMark/>
          </w:tcPr>
          <w:p w14:paraId="4D2F2A5A" w14:textId="77777777" w:rsidR="002B32A0" w:rsidRDefault="002B32A0" w:rsidP="006258ED">
            <w:pPr>
              <w:pStyle w:val="Tabletext"/>
              <w:keepNext/>
              <w:keepLines/>
              <w:rPr>
                <w:b/>
                <w:bCs/>
                <w:szCs w:val="20"/>
              </w:rPr>
            </w:pPr>
            <w:r>
              <w:rPr>
                <w:b/>
                <w:bCs/>
                <w:szCs w:val="20"/>
              </w:rPr>
              <w:t>Net impact</w:t>
            </w:r>
          </w:p>
        </w:tc>
        <w:tc>
          <w:tcPr>
            <w:tcW w:w="2318" w:type="dxa"/>
            <w:noWrap/>
            <w:hideMark/>
          </w:tcPr>
          <w:p w14:paraId="2578AAD2" w14:textId="77777777" w:rsidR="002B32A0" w:rsidRPr="00936A6B" w:rsidRDefault="002B32A0" w:rsidP="006258ED">
            <w:pPr>
              <w:pStyle w:val="Tabletext"/>
              <w:keepNext/>
              <w:keepLines/>
              <w:jc w:val="center"/>
              <w:rPr>
                <w:b/>
                <w:bCs/>
                <w:szCs w:val="20"/>
              </w:rPr>
            </w:pPr>
            <w:r w:rsidRPr="006D4B86">
              <w:rPr>
                <w:b/>
                <w:bCs/>
              </w:rPr>
              <w:t>$996,958,172</w:t>
            </w:r>
          </w:p>
        </w:tc>
        <w:tc>
          <w:tcPr>
            <w:tcW w:w="2318" w:type="dxa"/>
            <w:noWrap/>
            <w:hideMark/>
          </w:tcPr>
          <w:p w14:paraId="213DF1E3" w14:textId="77777777" w:rsidR="002B32A0" w:rsidRPr="00936A6B" w:rsidRDefault="002B32A0" w:rsidP="006258ED">
            <w:pPr>
              <w:pStyle w:val="Tabletext"/>
              <w:keepNext/>
              <w:keepLines/>
              <w:jc w:val="center"/>
              <w:rPr>
                <w:b/>
                <w:bCs/>
                <w:szCs w:val="20"/>
              </w:rPr>
            </w:pPr>
            <w:r w:rsidRPr="006D4B86">
              <w:rPr>
                <w:b/>
                <w:bCs/>
              </w:rPr>
              <w:t>$1,725,022,856</w:t>
            </w:r>
          </w:p>
        </w:tc>
        <w:tc>
          <w:tcPr>
            <w:tcW w:w="2319" w:type="dxa"/>
            <w:noWrap/>
            <w:hideMark/>
          </w:tcPr>
          <w:p w14:paraId="607562C3" w14:textId="77777777" w:rsidR="002B32A0" w:rsidRPr="00936A6B" w:rsidRDefault="002B32A0" w:rsidP="006258ED">
            <w:pPr>
              <w:pStyle w:val="Tabletext"/>
              <w:keepNext/>
              <w:keepLines/>
              <w:jc w:val="center"/>
              <w:rPr>
                <w:b/>
                <w:bCs/>
                <w:szCs w:val="20"/>
              </w:rPr>
            </w:pPr>
            <w:r w:rsidRPr="006D4B86">
              <w:rPr>
                <w:b/>
                <w:bCs/>
              </w:rPr>
              <w:t>$2,453,087,540</w:t>
            </w:r>
          </w:p>
        </w:tc>
      </w:tr>
      <w:tr w:rsidR="002B32A0" w14:paraId="16C25142" w14:textId="77777777" w:rsidTr="000B0AC7">
        <w:trPr>
          <w:trHeight w:val="20"/>
        </w:trPr>
        <w:tc>
          <w:tcPr>
            <w:tcW w:w="1078" w:type="dxa"/>
            <w:noWrap/>
            <w:hideMark/>
          </w:tcPr>
          <w:p w14:paraId="3C153B95" w14:textId="77777777" w:rsidR="002B32A0" w:rsidRDefault="002B32A0" w:rsidP="006258ED">
            <w:pPr>
              <w:pStyle w:val="Tabletext"/>
              <w:keepNext/>
              <w:keepLines/>
              <w:rPr>
                <w:b/>
                <w:bCs/>
                <w:szCs w:val="20"/>
              </w:rPr>
            </w:pPr>
            <w:r>
              <w:rPr>
                <w:b/>
                <w:bCs/>
                <w:szCs w:val="20"/>
              </w:rPr>
              <w:t>BCR</w:t>
            </w:r>
          </w:p>
        </w:tc>
        <w:tc>
          <w:tcPr>
            <w:tcW w:w="2318" w:type="dxa"/>
            <w:noWrap/>
            <w:hideMark/>
          </w:tcPr>
          <w:p w14:paraId="159B8D03" w14:textId="77777777" w:rsidR="002B32A0" w:rsidRPr="00936A6B" w:rsidRDefault="002B32A0" w:rsidP="006258ED">
            <w:pPr>
              <w:pStyle w:val="Tabletext"/>
              <w:keepNext/>
              <w:keepLines/>
              <w:jc w:val="center"/>
              <w:rPr>
                <w:b/>
                <w:bCs/>
                <w:szCs w:val="20"/>
              </w:rPr>
            </w:pPr>
            <w:r w:rsidRPr="006D4B86">
              <w:rPr>
                <w:b/>
                <w:bCs/>
              </w:rPr>
              <w:t>3.17</w:t>
            </w:r>
          </w:p>
        </w:tc>
        <w:tc>
          <w:tcPr>
            <w:tcW w:w="2318" w:type="dxa"/>
            <w:noWrap/>
            <w:hideMark/>
          </w:tcPr>
          <w:p w14:paraId="0B7D6351" w14:textId="77777777" w:rsidR="002B32A0" w:rsidRPr="00936A6B" w:rsidRDefault="002B32A0" w:rsidP="006258ED">
            <w:pPr>
              <w:pStyle w:val="Tabletext"/>
              <w:keepNext/>
              <w:keepLines/>
              <w:jc w:val="center"/>
              <w:rPr>
                <w:b/>
                <w:bCs/>
                <w:szCs w:val="20"/>
              </w:rPr>
            </w:pPr>
            <w:r w:rsidRPr="006D4B86">
              <w:rPr>
                <w:b/>
                <w:bCs/>
              </w:rPr>
              <w:t>4.76</w:t>
            </w:r>
          </w:p>
        </w:tc>
        <w:tc>
          <w:tcPr>
            <w:tcW w:w="2319" w:type="dxa"/>
            <w:noWrap/>
            <w:hideMark/>
          </w:tcPr>
          <w:p w14:paraId="6457C8E1" w14:textId="77777777" w:rsidR="002B32A0" w:rsidRPr="00936A6B" w:rsidRDefault="002B32A0" w:rsidP="006258ED">
            <w:pPr>
              <w:pStyle w:val="Tabletext"/>
              <w:keepNext/>
              <w:keepLines/>
              <w:jc w:val="center"/>
              <w:rPr>
                <w:b/>
                <w:bCs/>
                <w:szCs w:val="20"/>
              </w:rPr>
            </w:pPr>
            <w:r w:rsidRPr="006D4B86">
              <w:rPr>
                <w:b/>
                <w:bCs/>
              </w:rPr>
              <w:t>6.34</w:t>
            </w:r>
          </w:p>
        </w:tc>
      </w:tr>
      <w:tr w:rsidR="002B32A0" w14:paraId="26468988" w14:textId="77777777" w:rsidTr="000B0AC7">
        <w:trPr>
          <w:trHeight w:val="20"/>
        </w:trPr>
        <w:tc>
          <w:tcPr>
            <w:tcW w:w="1078" w:type="dxa"/>
            <w:noWrap/>
          </w:tcPr>
          <w:p w14:paraId="37B40B92" w14:textId="77777777" w:rsidR="002B32A0" w:rsidRDefault="002B32A0" w:rsidP="006258ED">
            <w:pPr>
              <w:pStyle w:val="spacer"/>
              <w:spacing w:line="256" w:lineRule="auto"/>
              <w:rPr>
                <w:lang w:eastAsia="ja-JP"/>
              </w:rPr>
            </w:pPr>
          </w:p>
        </w:tc>
        <w:tc>
          <w:tcPr>
            <w:tcW w:w="2318" w:type="dxa"/>
            <w:noWrap/>
          </w:tcPr>
          <w:p w14:paraId="112CBB88" w14:textId="77777777" w:rsidR="002B32A0" w:rsidRDefault="002B32A0" w:rsidP="006258ED">
            <w:pPr>
              <w:pStyle w:val="spacer"/>
              <w:spacing w:line="256" w:lineRule="auto"/>
              <w:rPr>
                <w:lang w:eastAsia="ja-JP"/>
              </w:rPr>
            </w:pPr>
          </w:p>
        </w:tc>
        <w:tc>
          <w:tcPr>
            <w:tcW w:w="2318" w:type="dxa"/>
            <w:noWrap/>
          </w:tcPr>
          <w:p w14:paraId="7C22FB90" w14:textId="77777777" w:rsidR="002B32A0" w:rsidRDefault="002B32A0" w:rsidP="006258ED">
            <w:pPr>
              <w:pStyle w:val="spacer"/>
              <w:spacing w:line="256" w:lineRule="auto"/>
              <w:rPr>
                <w:lang w:eastAsia="ja-JP"/>
              </w:rPr>
            </w:pPr>
          </w:p>
        </w:tc>
        <w:tc>
          <w:tcPr>
            <w:tcW w:w="2319" w:type="dxa"/>
            <w:noWrap/>
          </w:tcPr>
          <w:p w14:paraId="6519B520" w14:textId="77777777" w:rsidR="002B32A0" w:rsidRDefault="002B32A0" w:rsidP="006258ED">
            <w:pPr>
              <w:pStyle w:val="spacer"/>
              <w:spacing w:line="256" w:lineRule="auto"/>
              <w:rPr>
                <w:lang w:eastAsia="ja-JP"/>
              </w:rPr>
            </w:pPr>
          </w:p>
        </w:tc>
      </w:tr>
    </w:tbl>
    <w:p w14:paraId="7B16F860" w14:textId="1382B6C5" w:rsidR="002B32A0" w:rsidRDefault="002B32A0" w:rsidP="00CB0B0A">
      <w:pPr>
        <w:spacing w:before="240"/>
      </w:pPr>
      <w:r>
        <w:t>For quantum communications, the central case was an attribution of 70% to the CQC</w:t>
      </w:r>
      <w:r w:rsidRPr="00527A5B">
        <w:rPr>
          <w:vertAlign w:val="superscript"/>
        </w:rPr>
        <w:t>2</w:t>
      </w:r>
      <w:r>
        <w:t>T. The Cost Benefit Analysis results were tested with a lower bound attribution of 50% (significantly lower than the central case) and an upper bound attribution of 100% (if all benefits were attributed to the CQC</w:t>
      </w:r>
      <w:r w:rsidRPr="00527A5B">
        <w:rPr>
          <w:vertAlign w:val="superscript"/>
        </w:rPr>
        <w:t>2</w:t>
      </w:r>
      <w:r>
        <w:t xml:space="preserve">T). The results in </w:t>
      </w:r>
      <w:r w:rsidRPr="00F87D0E">
        <w:fldChar w:fldCharType="begin"/>
      </w:r>
      <w:r w:rsidRPr="00F87D0E">
        <w:instrText xml:space="preserve"> REF _Ref131088046 \h  \* MERGEFORMAT </w:instrText>
      </w:r>
      <w:r w:rsidRPr="00F87D0E">
        <w:fldChar w:fldCharType="separate"/>
      </w:r>
      <w:r w:rsidR="000B0AC7" w:rsidRPr="000B0AC7">
        <w:t>Table 7.5</w:t>
      </w:r>
      <w:r w:rsidRPr="00F87D0E">
        <w:fldChar w:fldCharType="end"/>
      </w:r>
      <w:r>
        <w:t xml:space="preserve"> show that the Net Present Value would fall </w:t>
      </w:r>
      <w:r w:rsidRPr="007863F1">
        <w:t xml:space="preserve">from </w:t>
      </w:r>
      <w:r w:rsidRPr="00935DD4">
        <w:t>$</w:t>
      </w:r>
      <w:r>
        <w:t xml:space="preserve">460.5 million </w:t>
      </w:r>
      <w:r w:rsidRPr="007863F1">
        <w:t xml:space="preserve">to </w:t>
      </w:r>
      <w:r w:rsidRPr="00935DD4">
        <w:t>$</w:t>
      </w:r>
      <w:r>
        <w:t xml:space="preserve">277.9 million and the BCR would fall from 3.58 to 2.56 if the attribution fell to 50%. Whereas the </w:t>
      </w:r>
      <w:r w:rsidRPr="007863F1">
        <w:t>Net Present Value would</w:t>
      </w:r>
      <w:r>
        <w:t xml:space="preserve"> rise</w:t>
      </w:r>
      <w:r w:rsidRPr="007863F1">
        <w:t xml:space="preserve"> </w:t>
      </w:r>
      <w:r>
        <w:t xml:space="preserve">to $734.4 million </w:t>
      </w:r>
      <w:r w:rsidRPr="007863F1">
        <w:t xml:space="preserve">and the BCR would </w:t>
      </w:r>
      <w:r>
        <w:t>rise</w:t>
      </w:r>
      <w:r w:rsidRPr="007863F1">
        <w:t xml:space="preserve"> to </w:t>
      </w:r>
      <w:r>
        <w:t xml:space="preserve">5.11 </w:t>
      </w:r>
      <w:r w:rsidRPr="007863F1">
        <w:t xml:space="preserve">if the </w:t>
      </w:r>
      <w:r>
        <w:t>attribution</w:t>
      </w:r>
      <w:r w:rsidRPr="007863F1">
        <w:t xml:space="preserve"> </w:t>
      </w:r>
      <w:r>
        <w:t>increased</w:t>
      </w:r>
      <w:r w:rsidRPr="007863F1">
        <w:t xml:space="preserve"> </w:t>
      </w:r>
      <w:r>
        <w:t>to 100%</w:t>
      </w:r>
      <w:r w:rsidRPr="007863F1">
        <w:t xml:space="preserve">. </w:t>
      </w:r>
      <w:r>
        <w:t>This shows that the NPV remains significant even at the lower bound test of 50%</w:t>
      </w:r>
      <w:r w:rsidRPr="00935DD4">
        <w:t xml:space="preserve"> attribution </w:t>
      </w:r>
      <w:r>
        <w:t xml:space="preserve">of quantum communications benefits </w:t>
      </w:r>
      <w:r w:rsidRPr="00935DD4">
        <w:t>to CQC</w:t>
      </w:r>
      <w:r w:rsidRPr="00527A5B">
        <w:rPr>
          <w:vertAlign w:val="superscript"/>
        </w:rPr>
        <w:t>2</w:t>
      </w:r>
      <w:r w:rsidRPr="00935DD4">
        <w:t>T</w:t>
      </w:r>
      <w:r>
        <w:t>.</w:t>
      </w:r>
    </w:p>
    <w:p w14:paraId="3B437023" w14:textId="6232D3E9" w:rsidR="002B32A0" w:rsidRDefault="002B32A0" w:rsidP="000B0AC7">
      <w:pPr>
        <w:pStyle w:val="Caption"/>
        <w:ind w:left="1284" w:hanging="1308"/>
        <w:rPr>
          <w:bCs/>
        </w:rPr>
      </w:pPr>
      <w:bookmarkStart w:id="273" w:name="_Ref131088046"/>
      <w:bookmarkStart w:id="274" w:name="_Ref131088043"/>
      <w:r w:rsidRPr="006D4B86">
        <w:rPr>
          <w:rStyle w:val="CaptionLabel"/>
        </w:rPr>
        <w:t>Table </w:t>
      </w:r>
      <w:r w:rsidRPr="006D4B86">
        <w:rPr>
          <w:rStyle w:val="CaptionLabel"/>
        </w:rPr>
        <w:fldChar w:fldCharType="begin"/>
      </w:r>
      <w:r w:rsidRPr="006D4B86">
        <w:rPr>
          <w:rStyle w:val="CaptionLabel"/>
        </w:rPr>
        <w:instrText xml:space="preserve"> STYLEREF 1 \S \* MERGEFORMAT </w:instrText>
      </w:r>
      <w:r w:rsidRPr="006D4B86">
        <w:rPr>
          <w:rStyle w:val="CaptionLabel"/>
        </w:rPr>
        <w:fldChar w:fldCharType="separate"/>
      </w:r>
      <w:r w:rsidR="000B0AC7">
        <w:rPr>
          <w:rStyle w:val="CaptionLabel"/>
          <w:noProof/>
        </w:rPr>
        <w:t>7</w:t>
      </w:r>
      <w:r w:rsidRPr="006D4B86">
        <w:rPr>
          <w:rStyle w:val="CaptionLabel"/>
        </w:rPr>
        <w:fldChar w:fldCharType="end"/>
      </w:r>
      <w:r w:rsidRPr="006D4B86">
        <w:rPr>
          <w:rStyle w:val="CaptionLabel"/>
        </w:rPr>
        <w:t>.</w:t>
      </w:r>
      <w:r w:rsidRPr="006D4B86">
        <w:rPr>
          <w:rStyle w:val="CaptionLabel"/>
        </w:rPr>
        <w:fldChar w:fldCharType="begin"/>
      </w:r>
      <w:r w:rsidRPr="006D4B86">
        <w:rPr>
          <w:rStyle w:val="CaptionLabel"/>
        </w:rPr>
        <w:instrText xml:space="preserve"> SEQ Table \* ARABIC \S 1 \* MERGEFORMAT </w:instrText>
      </w:r>
      <w:r w:rsidRPr="006D4B86">
        <w:rPr>
          <w:rStyle w:val="CaptionLabel"/>
        </w:rPr>
        <w:fldChar w:fldCharType="separate"/>
      </w:r>
      <w:r w:rsidR="000B0AC7">
        <w:rPr>
          <w:rStyle w:val="CaptionLabel"/>
          <w:noProof/>
        </w:rPr>
        <w:t>5</w:t>
      </w:r>
      <w:r w:rsidRPr="006D4B86">
        <w:rPr>
          <w:rStyle w:val="CaptionLabel"/>
        </w:rPr>
        <w:fldChar w:fldCharType="end"/>
      </w:r>
      <w:bookmarkEnd w:id="273"/>
      <w:r>
        <w:tab/>
      </w:r>
      <w:r w:rsidRPr="0029419F">
        <w:rPr>
          <w:rStyle w:val="CaptionLabel"/>
          <w:b w:val="0"/>
        </w:rPr>
        <w:t xml:space="preserve">Sensitivity testing </w:t>
      </w:r>
      <w:r>
        <w:rPr>
          <w:rStyle w:val="CaptionLabel"/>
          <w:b w:val="0"/>
        </w:rPr>
        <w:t>attribution of Australian Quantum communications opportunity to CQC</w:t>
      </w:r>
      <w:r w:rsidRPr="00527A5B">
        <w:rPr>
          <w:rStyle w:val="CaptionLabel"/>
          <w:b w:val="0"/>
          <w:vertAlign w:val="superscript"/>
        </w:rPr>
        <w:t>2</w:t>
      </w:r>
      <w:r>
        <w:rPr>
          <w:rStyle w:val="CaptionLabel"/>
          <w:b w:val="0"/>
        </w:rPr>
        <w:t>T, using only quantum communications costs and benefits (7% discount rate)</w:t>
      </w:r>
      <w:bookmarkEnd w:id="274"/>
    </w:p>
    <w:tbl>
      <w:tblPr>
        <w:tblStyle w:val="aacTableBasic"/>
        <w:tblW w:w="7960" w:type="dxa"/>
        <w:tblInd w:w="-24" w:type="dxa"/>
        <w:tblLayout w:type="fixed"/>
        <w:tblLook w:val="04A0" w:firstRow="1" w:lastRow="0" w:firstColumn="1" w:lastColumn="0" w:noHBand="0" w:noVBand="1"/>
        <w:tblCaption w:val="Table 7.5"/>
        <w:tblDescription w:val="Sensitivity testing attribution of Australian Quantum communications opportunity to CQC2T, using only quantum communications costs and benefits (7% discount rate)"/>
      </w:tblPr>
      <w:tblGrid>
        <w:gridCol w:w="1081"/>
        <w:gridCol w:w="2293"/>
        <w:gridCol w:w="2293"/>
        <w:gridCol w:w="2293"/>
      </w:tblGrid>
      <w:tr w:rsidR="002B32A0" w14:paraId="411E458D" w14:textId="77777777" w:rsidTr="000B0AC7">
        <w:trPr>
          <w:cnfStyle w:val="100000000000" w:firstRow="1" w:lastRow="0" w:firstColumn="0" w:lastColumn="0" w:oddVBand="0" w:evenVBand="0" w:oddHBand="0" w:evenHBand="0" w:firstRowFirstColumn="0" w:firstRowLastColumn="0" w:lastRowFirstColumn="0" w:lastRowLastColumn="0"/>
          <w:trHeight w:val="95"/>
        </w:trPr>
        <w:tc>
          <w:tcPr>
            <w:tcW w:w="1081" w:type="dxa"/>
            <w:tcBorders>
              <w:top w:val="nil"/>
            </w:tcBorders>
            <w:shd w:val="solid" w:color="140034" w:fill="140034"/>
            <w:noWrap/>
          </w:tcPr>
          <w:p w14:paraId="2531D2E5" w14:textId="77777777" w:rsidR="002B32A0" w:rsidRDefault="002B32A0" w:rsidP="006258ED">
            <w:pPr>
              <w:pStyle w:val="Tablecolumnheadings"/>
              <w:keepLines/>
              <w:rPr>
                <w:lang w:eastAsia="ja-JP"/>
              </w:rPr>
            </w:pPr>
          </w:p>
        </w:tc>
        <w:tc>
          <w:tcPr>
            <w:tcW w:w="2293" w:type="dxa"/>
            <w:tcBorders>
              <w:top w:val="nil"/>
            </w:tcBorders>
            <w:shd w:val="solid" w:color="140034" w:fill="140034"/>
            <w:noWrap/>
            <w:hideMark/>
          </w:tcPr>
          <w:p w14:paraId="03746F6A" w14:textId="77777777" w:rsidR="002B32A0" w:rsidRDefault="002B32A0" w:rsidP="006258ED">
            <w:pPr>
              <w:pStyle w:val="Tablecolumnheadings"/>
              <w:keepLines/>
              <w:jc w:val="center"/>
              <w:rPr>
                <w:rFonts w:ascii="Calibri" w:hAnsi="Calibri" w:cs="Calibri"/>
                <w:color w:val="000000"/>
                <w:lang w:eastAsia="ja-JP"/>
              </w:rPr>
            </w:pPr>
            <w:r>
              <w:t>50% attribution to CQC</w:t>
            </w:r>
            <w:r w:rsidRPr="00527A5B">
              <w:rPr>
                <w:vertAlign w:val="superscript"/>
              </w:rPr>
              <w:t>2</w:t>
            </w:r>
            <w:r>
              <w:t>T</w:t>
            </w:r>
          </w:p>
        </w:tc>
        <w:tc>
          <w:tcPr>
            <w:tcW w:w="2293" w:type="dxa"/>
            <w:tcBorders>
              <w:top w:val="nil"/>
            </w:tcBorders>
            <w:shd w:val="solid" w:color="140034" w:fill="140034"/>
            <w:noWrap/>
            <w:hideMark/>
          </w:tcPr>
          <w:p w14:paraId="24E2EF48" w14:textId="77777777" w:rsidR="002B32A0" w:rsidRDefault="002B32A0" w:rsidP="006258ED">
            <w:pPr>
              <w:pStyle w:val="Tablecolumnheadings"/>
              <w:keepLines/>
              <w:jc w:val="center"/>
              <w:rPr>
                <w:rFonts w:ascii="Calibri" w:hAnsi="Calibri" w:cs="Calibri"/>
                <w:color w:val="000000"/>
                <w:lang w:eastAsia="ja-JP"/>
              </w:rPr>
            </w:pPr>
            <w:r>
              <w:t>70% attribution to CQC</w:t>
            </w:r>
            <w:r w:rsidRPr="00527A5B">
              <w:rPr>
                <w:vertAlign w:val="superscript"/>
              </w:rPr>
              <w:t>2</w:t>
            </w:r>
            <w:r>
              <w:t>T</w:t>
            </w:r>
          </w:p>
        </w:tc>
        <w:tc>
          <w:tcPr>
            <w:tcW w:w="2293" w:type="dxa"/>
            <w:tcBorders>
              <w:top w:val="nil"/>
            </w:tcBorders>
            <w:shd w:val="solid" w:color="140034" w:fill="140034"/>
            <w:noWrap/>
            <w:hideMark/>
          </w:tcPr>
          <w:p w14:paraId="3102525B" w14:textId="77777777" w:rsidR="002B32A0" w:rsidRDefault="002B32A0" w:rsidP="006258ED">
            <w:pPr>
              <w:pStyle w:val="Tablecolumnheadings"/>
              <w:keepLines/>
              <w:jc w:val="center"/>
              <w:rPr>
                <w:rFonts w:ascii="Calibri" w:hAnsi="Calibri" w:cs="Calibri"/>
                <w:color w:val="000000"/>
                <w:lang w:eastAsia="ja-JP"/>
              </w:rPr>
            </w:pPr>
            <w:r>
              <w:t>100% attribution to CQC</w:t>
            </w:r>
            <w:r w:rsidRPr="00527A5B">
              <w:rPr>
                <w:vertAlign w:val="superscript"/>
              </w:rPr>
              <w:t>2</w:t>
            </w:r>
            <w:r>
              <w:t>T</w:t>
            </w:r>
          </w:p>
        </w:tc>
      </w:tr>
      <w:tr w:rsidR="002B32A0" w14:paraId="619D8B5C" w14:textId="77777777" w:rsidTr="000B0AC7">
        <w:trPr>
          <w:trHeight w:val="268"/>
        </w:trPr>
        <w:tc>
          <w:tcPr>
            <w:tcW w:w="1081" w:type="dxa"/>
            <w:noWrap/>
            <w:hideMark/>
          </w:tcPr>
          <w:p w14:paraId="415EF98E" w14:textId="77777777" w:rsidR="002B32A0" w:rsidRDefault="002B32A0" w:rsidP="006258ED">
            <w:pPr>
              <w:pStyle w:val="Tabletext"/>
              <w:keepNext/>
              <w:keepLines/>
              <w:rPr>
                <w:szCs w:val="20"/>
              </w:rPr>
            </w:pPr>
            <w:r>
              <w:rPr>
                <w:szCs w:val="20"/>
              </w:rPr>
              <w:t>Costs</w:t>
            </w:r>
          </w:p>
        </w:tc>
        <w:tc>
          <w:tcPr>
            <w:tcW w:w="2293" w:type="dxa"/>
            <w:noWrap/>
            <w:hideMark/>
          </w:tcPr>
          <w:p w14:paraId="7398936D" w14:textId="77777777" w:rsidR="002B32A0" w:rsidRDefault="002B32A0" w:rsidP="006258ED">
            <w:pPr>
              <w:pStyle w:val="Tabletext"/>
              <w:keepNext/>
              <w:keepLines/>
              <w:jc w:val="center"/>
              <w:rPr>
                <w:szCs w:val="20"/>
              </w:rPr>
            </w:pPr>
            <w:r w:rsidRPr="00484937">
              <w:t>$178,566,576</w:t>
            </w:r>
          </w:p>
        </w:tc>
        <w:tc>
          <w:tcPr>
            <w:tcW w:w="2293" w:type="dxa"/>
            <w:noWrap/>
            <w:hideMark/>
          </w:tcPr>
          <w:p w14:paraId="3F5CAA71" w14:textId="77777777" w:rsidR="002B32A0" w:rsidRDefault="002B32A0" w:rsidP="006258ED">
            <w:pPr>
              <w:pStyle w:val="Tabletext"/>
              <w:keepNext/>
              <w:keepLines/>
              <w:jc w:val="center"/>
              <w:rPr>
                <w:szCs w:val="20"/>
              </w:rPr>
            </w:pPr>
            <w:r w:rsidRPr="00332053">
              <w:t>$178,566,576</w:t>
            </w:r>
          </w:p>
        </w:tc>
        <w:tc>
          <w:tcPr>
            <w:tcW w:w="2293" w:type="dxa"/>
            <w:noWrap/>
            <w:hideMark/>
          </w:tcPr>
          <w:p w14:paraId="610395FA" w14:textId="77777777" w:rsidR="002B32A0" w:rsidRDefault="002B32A0" w:rsidP="006258ED">
            <w:pPr>
              <w:pStyle w:val="Tabletext"/>
              <w:keepNext/>
              <w:keepLines/>
              <w:jc w:val="center"/>
              <w:rPr>
                <w:szCs w:val="20"/>
              </w:rPr>
            </w:pPr>
            <w:r w:rsidRPr="00C82E8C">
              <w:t>$178,566,576</w:t>
            </w:r>
          </w:p>
        </w:tc>
      </w:tr>
      <w:tr w:rsidR="002B32A0" w14:paraId="0677EF60" w14:textId="77777777" w:rsidTr="000B0AC7">
        <w:trPr>
          <w:trHeight w:val="268"/>
        </w:trPr>
        <w:tc>
          <w:tcPr>
            <w:tcW w:w="1081" w:type="dxa"/>
            <w:noWrap/>
            <w:hideMark/>
          </w:tcPr>
          <w:p w14:paraId="73F825B4" w14:textId="77777777" w:rsidR="002B32A0" w:rsidRDefault="002B32A0" w:rsidP="006258ED">
            <w:pPr>
              <w:pStyle w:val="Tabletext"/>
              <w:keepNext/>
              <w:keepLines/>
              <w:rPr>
                <w:szCs w:val="20"/>
              </w:rPr>
            </w:pPr>
            <w:r>
              <w:rPr>
                <w:szCs w:val="20"/>
              </w:rPr>
              <w:t>Benefits</w:t>
            </w:r>
          </w:p>
        </w:tc>
        <w:tc>
          <w:tcPr>
            <w:tcW w:w="2293" w:type="dxa"/>
            <w:noWrap/>
            <w:hideMark/>
          </w:tcPr>
          <w:p w14:paraId="11CB7011" w14:textId="77777777" w:rsidR="002B32A0" w:rsidRDefault="002B32A0" w:rsidP="006258ED">
            <w:pPr>
              <w:pStyle w:val="Tabletext"/>
              <w:keepNext/>
              <w:keepLines/>
              <w:jc w:val="center"/>
              <w:rPr>
                <w:szCs w:val="20"/>
              </w:rPr>
            </w:pPr>
            <w:r w:rsidRPr="00484937">
              <w:t>$456,493,532</w:t>
            </w:r>
          </w:p>
        </w:tc>
        <w:tc>
          <w:tcPr>
            <w:tcW w:w="2293" w:type="dxa"/>
            <w:noWrap/>
            <w:hideMark/>
          </w:tcPr>
          <w:p w14:paraId="4496F173" w14:textId="77777777" w:rsidR="002B32A0" w:rsidRDefault="002B32A0" w:rsidP="006258ED">
            <w:pPr>
              <w:pStyle w:val="Tabletext"/>
              <w:keepNext/>
              <w:keepLines/>
              <w:jc w:val="center"/>
              <w:rPr>
                <w:szCs w:val="20"/>
              </w:rPr>
            </w:pPr>
            <w:r w:rsidRPr="00332053">
              <w:t>$639,090,945</w:t>
            </w:r>
          </w:p>
        </w:tc>
        <w:tc>
          <w:tcPr>
            <w:tcW w:w="2293" w:type="dxa"/>
            <w:noWrap/>
            <w:hideMark/>
          </w:tcPr>
          <w:p w14:paraId="6DB9A83C" w14:textId="77777777" w:rsidR="002B32A0" w:rsidRDefault="002B32A0" w:rsidP="006258ED">
            <w:pPr>
              <w:pStyle w:val="Tabletext"/>
              <w:keepNext/>
              <w:keepLines/>
              <w:jc w:val="center"/>
              <w:rPr>
                <w:szCs w:val="20"/>
              </w:rPr>
            </w:pPr>
            <w:r w:rsidRPr="00C82E8C">
              <w:t>$912,987,064</w:t>
            </w:r>
          </w:p>
        </w:tc>
      </w:tr>
      <w:tr w:rsidR="002B32A0" w14:paraId="30DF6CA1" w14:textId="77777777" w:rsidTr="000B0AC7">
        <w:trPr>
          <w:trHeight w:val="252"/>
        </w:trPr>
        <w:tc>
          <w:tcPr>
            <w:tcW w:w="1081" w:type="dxa"/>
            <w:noWrap/>
            <w:hideMark/>
          </w:tcPr>
          <w:p w14:paraId="4226E6CE" w14:textId="77777777" w:rsidR="002B32A0" w:rsidRDefault="002B32A0" w:rsidP="006258ED">
            <w:pPr>
              <w:pStyle w:val="Tabletext"/>
              <w:keepNext/>
              <w:keepLines/>
              <w:rPr>
                <w:b/>
                <w:bCs/>
                <w:szCs w:val="20"/>
              </w:rPr>
            </w:pPr>
            <w:r>
              <w:rPr>
                <w:b/>
                <w:bCs/>
                <w:szCs w:val="20"/>
              </w:rPr>
              <w:t>Net impact</w:t>
            </w:r>
          </w:p>
        </w:tc>
        <w:tc>
          <w:tcPr>
            <w:tcW w:w="2293" w:type="dxa"/>
            <w:noWrap/>
            <w:hideMark/>
          </w:tcPr>
          <w:p w14:paraId="697137C3" w14:textId="77777777" w:rsidR="002B32A0" w:rsidRPr="004244B2" w:rsidRDefault="002B32A0" w:rsidP="006258ED">
            <w:pPr>
              <w:pStyle w:val="Tabletext"/>
              <w:keepNext/>
              <w:keepLines/>
              <w:jc w:val="center"/>
              <w:rPr>
                <w:b/>
                <w:bCs/>
                <w:szCs w:val="20"/>
              </w:rPr>
            </w:pPr>
            <w:r w:rsidRPr="006D4B86">
              <w:rPr>
                <w:b/>
                <w:bCs/>
              </w:rPr>
              <w:t>$277,926,956</w:t>
            </w:r>
          </w:p>
        </w:tc>
        <w:tc>
          <w:tcPr>
            <w:tcW w:w="2293" w:type="dxa"/>
            <w:noWrap/>
            <w:hideMark/>
          </w:tcPr>
          <w:p w14:paraId="37752642" w14:textId="77777777" w:rsidR="002B32A0" w:rsidRPr="004244B2" w:rsidRDefault="002B32A0" w:rsidP="006258ED">
            <w:pPr>
              <w:pStyle w:val="Tabletext"/>
              <w:keepNext/>
              <w:keepLines/>
              <w:jc w:val="center"/>
              <w:rPr>
                <w:b/>
                <w:bCs/>
                <w:szCs w:val="20"/>
              </w:rPr>
            </w:pPr>
            <w:r w:rsidRPr="006D4B86">
              <w:rPr>
                <w:b/>
                <w:bCs/>
              </w:rPr>
              <w:t>$460,524,369</w:t>
            </w:r>
          </w:p>
        </w:tc>
        <w:tc>
          <w:tcPr>
            <w:tcW w:w="2293" w:type="dxa"/>
            <w:noWrap/>
            <w:hideMark/>
          </w:tcPr>
          <w:p w14:paraId="24497377" w14:textId="77777777" w:rsidR="002B32A0" w:rsidRPr="004244B2" w:rsidRDefault="002B32A0" w:rsidP="006258ED">
            <w:pPr>
              <w:pStyle w:val="Tabletext"/>
              <w:keepNext/>
              <w:keepLines/>
              <w:jc w:val="center"/>
              <w:rPr>
                <w:b/>
                <w:bCs/>
                <w:szCs w:val="20"/>
              </w:rPr>
            </w:pPr>
            <w:r w:rsidRPr="006D4B86">
              <w:rPr>
                <w:b/>
                <w:bCs/>
              </w:rPr>
              <w:t>$734,420,488</w:t>
            </w:r>
          </w:p>
        </w:tc>
      </w:tr>
      <w:tr w:rsidR="002B32A0" w14:paraId="66D88D75" w14:textId="77777777" w:rsidTr="000B0AC7">
        <w:trPr>
          <w:trHeight w:val="268"/>
        </w:trPr>
        <w:tc>
          <w:tcPr>
            <w:tcW w:w="1081" w:type="dxa"/>
            <w:noWrap/>
            <w:hideMark/>
          </w:tcPr>
          <w:p w14:paraId="06573283" w14:textId="77777777" w:rsidR="002B32A0" w:rsidRDefault="002B32A0" w:rsidP="006258ED">
            <w:pPr>
              <w:pStyle w:val="Tabletext"/>
              <w:keepNext/>
              <w:keepLines/>
              <w:rPr>
                <w:b/>
                <w:bCs/>
                <w:szCs w:val="20"/>
              </w:rPr>
            </w:pPr>
            <w:r>
              <w:rPr>
                <w:b/>
                <w:bCs/>
                <w:szCs w:val="20"/>
              </w:rPr>
              <w:t>BCR</w:t>
            </w:r>
          </w:p>
        </w:tc>
        <w:tc>
          <w:tcPr>
            <w:tcW w:w="2293" w:type="dxa"/>
            <w:noWrap/>
            <w:hideMark/>
          </w:tcPr>
          <w:p w14:paraId="5A396CC8" w14:textId="77777777" w:rsidR="002B32A0" w:rsidRPr="004244B2" w:rsidRDefault="002B32A0" w:rsidP="006258ED">
            <w:pPr>
              <w:pStyle w:val="Tabletext"/>
              <w:keepNext/>
              <w:keepLines/>
              <w:jc w:val="center"/>
              <w:rPr>
                <w:b/>
                <w:bCs/>
                <w:szCs w:val="20"/>
              </w:rPr>
            </w:pPr>
            <w:r w:rsidRPr="006D4B86">
              <w:rPr>
                <w:b/>
                <w:bCs/>
              </w:rPr>
              <w:t>2.56</w:t>
            </w:r>
          </w:p>
        </w:tc>
        <w:tc>
          <w:tcPr>
            <w:tcW w:w="2293" w:type="dxa"/>
            <w:noWrap/>
            <w:hideMark/>
          </w:tcPr>
          <w:p w14:paraId="680F2067" w14:textId="77777777" w:rsidR="002B32A0" w:rsidRPr="004244B2" w:rsidRDefault="002B32A0" w:rsidP="006258ED">
            <w:pPr>
              <w:pStyle w:val="Tabletext"/>
              <w:keepNext/>
              <w:keepLines/>
              <w:jc w:val="center"/>
              <w:rPr>
                <w:b/>
                <w:bCs/>
                <w:szCs w:val="20"/>
              </w:rPr>
            </w:pPr>
            <w:r w:rsidRPr="006D4B86">
              <w:rPr>
                <w:b/>
                <w:bCs/>
              </w:rPr>
              <w:t>3.58</w:t>
            </w:r>
          </w:p>
        </w:tc>
        <w:tc>
          <w:tcPr>
            <w:tcW w:w="2293" w:type="dxa"/>
            <w:noWrap/>
            <w:hideMark/>
          </w:tcPr>
          <w:p w14:paraId="275AF0E7" w14:textId="77777777" w:rsidR="002B32A0" w:rsidRPr="004244B2" w:rsidRDefault="002B32A0" w:rsidP="006258ED">
            <w:pPr>
              <w:pStyle w:val="Tabletext"/>
              <w:keepNext/>
              <w:keepLines/>
              <w:jc w:val="center"/>
              <w:rPr>
                <w:b/>
                <w:bCs/>
                <w:szCs w:val="20"/>
              </w:rPr>
            </w:pPr>
            <w:r w:rsidRPr="006D4B86">
              <w:rPr>
                <w:b/>
                <w:bCs/>
              </w:rPr>
              <w:t>5.11</w:t>
            </w:r>
          </w:p>
        </w:tc>
      </w:tr>
      <w:tr w:rsidR="002B32A0" w14:paraId="32C7FF72" w14:textId="77777777" w:rsidTr="000B0AC7">
        <w:trPr>
          <w:trHeight w:hRule="exact" w:val="143"/>
        </w:trPr>
        <w:tc>
          <w:tcPr>
            <w:tcW w:w="1081" w:type="dxa"/>
            <w:noWrap/>
          </w:tcPr>
          <w:p w14:paraId="1CB79C8B" w14:textId="77777777" w:rsidR="002B32A0" w:rsidRDefault="002B32A0" w:rsidP="006258ED">
            <w:pPr>
              <w:pStyle w:val="spacer"/>
              <w:spacing w:line="256" w:lineRule="auto"/>
              <w:rPr>
                <w:lang w:eastAsia="ja-JP"/>
              </w:rPr>
            </w:pPr>
          </w:p>
        </w:tc>
        <w:tc>
          <w:tcPr>
            <w:tcW w:w="2293" w:type="dxa"/>
            <w:noWrap/>
          </w:tcPr>
          <w:p w14:paraId="4AFD4E92" w14:textId="77777777" w:rsidR="002B32A0" w:rsidRDefault="002B32A0" w:rsidP="006258ED">
            <w:pPr>
              <w:pStyle w:val="spacer"/>
              <w:spacing w:line="256" w:lineRule="auto"/>
              <w:rPr>
                <w:lang w:eastAsia="ja-JP"/>
              </w:rPr>
            </w:pPr>
          </w:p>
        </w:tc>
        <w:tc>
          <w:tcPr>
            <w:tcW w:w="2293" w:type="dxa"/>
            <w:noWrap/>
          </w:tcPr>
          <w:p w14:paraId="72BC1B37" w14:textId="77777777" w:rsidR="002B32A0" w:rsidRDefault="002B32A0" w:rsidP="006258ED">
            <w:pPr>
              <w:pStyle w:val="spacer"/>
              <w:spacing w:line="256" w:lineRule="auto"/>
              <w:rPr>
                <w:lang w:eastAsia="ja-JP"/>
              </w:rPr>
            </w:pPr>
          </w:p>
        </w:tc>
        <w:tc>
          <w:tcPr>
            <w:tcW w:w="2293" w:type="dxa"/>
            <w:noWrap/>
          </w:tcPr>
          <w:p w14:paraId="356D0790" w14:textId="77777777" w:rsidR="002B32A0" w:rsidRDefault="002B32A0" w:rsidP="006258ED">
            <w:pPr>
              <w:pStyle w:val="spacer"/>
              <w:spacing w:line="256" w:lineRule="auto"/>
              <w:rPr>
                <w:lang w:eastAsia="ja-JP"/>
              </w:rPr>
            </w:pPr>
          </w:p>
        </w:tc>
      </w:tr>
    </w:tbl>
    <w:p w14:paraId="3D9F93FA" w14:textId="77777777" w:rsidR="002B32A0" w:rsidRPr="00EF4832" w:rsidRDefault="002B32A0" w:rsidP="00CB0B0A">
      <w:pPr>
        <w:pStyle w:val="Heading3"/>
      </w:pPr>
      <w:r w:rsidRPr="00EF4832">
        <w:t xml:space="preserve">Social impacts </w:t>
      </w:r>
    </w:p>
    <w:p w14:paraId="2DFCB650" w14:textId="77777777" w:rsidR="002B32A0" w:rsidRDefault="002B32A0" w:rsidP="002B32A0">
      <w:pPr>
        <w:pStyle w:val="BodyText"/>
      </w:pPr>
      <w:r>
        <w:t>The successful commercialisation of quantum computing technologies can also enhance environmental and social outcomes such as energy savings from more efficient computation, better health outcomes through improved drug design using quantum simulation, more environmentally friendly chemicals development, and safer materials.</w:t>
      </w:r>
      <w:r>
        <w:rPr>
          <w:rStyle w:val="FootnoteReference"/>
        </w:rPr>
        <w:footnoteReference w:id="121"/>
      </w:r>
    </w:p>
    <w:p w14:paraId="52EAE265" w14:textId="77777777" w:rsidR="002B32A0" w:rsidRDefault="002B32A0" w:rsidP="002B32A0">
      <w:pPr>
        <w:pStyle w:val="Heading4"/>
      </w:pPr>
      <w:r>
        <w:t xml:space="preserve">Educational impacts </w:t>
      </w:r>
    </w:p>
    <w:p w14:paraId="17FC1389" w14:textId="77777777" w:rsidR="002B32A0" w:rsidRDefault="002B32A0" w:rsidP="002B32A0">
      <w:pPr>
        <w:pStyle w:val="BodyText"/>
      </w:pPr>
      <w:r>
        <w:t xml:space="preserve">Over the course of the Centre 275 PhD, 65 Master students and 229 Honours have graduated or worked with the Centre. Of these undergraduate students, many obtain a first-Class Honours degree or win the University Medal. Eight Centre PhD students have won the prestigious Australian Institute of Physics Bragg Medal for the best PhD in physics since 1995. </w:t>
      </w:r>
    </w:p>
    <w:p w14:paraId="3C863640" w14:textId="77777777" w:rsidR="002B32A0" w:rsidRPr="00912500" w:rsidRDefault="002B32A0" w:rsidP="002B32A0">
      <w:pPr>
        <w:pStyle w:val="BodyText"/>
      </w:pPr>
      <w:r>
        <w:t>In addition, each year, the Centre holds a tools-down full-day workshop dedicated to primary and high school students at UNSW, attracting approximately 200 students per year to tour the facilities and get to see the research in action. The Centre has a focus on increasing the number of girls and women in STEM, engaging with them from the primary level, through secondary and all the way through to our research leaders. The Centre also strongly believes in promoting the achievements of female researchers within CQC²T.</w:t>
      </w:r>
    </w:p>
    <w:p w14:paraId="03DC1A08" w14:textId="77777777" w:rsidR="002B32A0" w:rsidRDefault="002B32A0" w:rsidP="002B32A0">
      <w:pPr>
        <w:pStyle w:val="Heading4"/>
      </w:pPr>
      <w:r>
        <w:t>Employment impacts</w:t>
      </w:r>
    </w:p>
    <w:p w14:paraId="2DDF6426" w14:textId="77777777" w:rsidR="002B32A0" w:rsidRDefault="002B32A0" w:rsidP="002B32A0">
      <w:bookmarkStart w:id="275" w:name="_Hlk130384281"/>
      <w:r>
        <w:t xml:space="preserve">In 2000 the Centre employed 82 people and in 2023 this has grown to 238 people. </w:t>
      </w:r>
      <w:r w:rsidRPr="008F339D">
        <w:t xml:space="preserve">The total number of staff </w:t>
      </w:r>
      <w:r>
        <w:t>employed at</w:t>
      </w:r>
      <w:r w:rsidRPr="008F339D">
        <w:t xml:space="preserve"> the Centre since 2000</w:t>
      </w:r>
      <w:r>
        <w:t xml:space="preserve"> </w:t>
      </w:r>
      <w:r w:rsidRPr="008F339D">
        <w:t xml:space="preserve">is 951. Of these 569 were students, </w:t>
      </w:r>
      <w:r>
        <w:t>and 382 were university staff.</w:t>
      </w:r>
      <w:r>
        <w:rPr>
          <w:rStyle w:val="FootnoteReference"/>
        </w:rPr>
        <w:footnoteReference w:id="122"/>
      </w:r>
      <w:r>
        <w:t xml:space="preserve"> </w:t>
      </w:r>
    </w:p>
    <w:p w14:paraId="6E11C4F7" w14:textId="77777777" w:rsidR="002B32A0" w:rsidRDefault="002B32A0" w:rsidP="002B32A0">
      <w:r>
        <w:t xml:space="preserve">For 25 years the Centre has employed a yearly average of 180 full-time equivalent (FTE) staff. </w:t>
      </w:r>
      <w:r w:rsidRPr="009E00AE">
        <w:t xml:space="preserve">The current </w:t>
      </w:r>
      <w:r>
        <w:t>number of FTE staff in the Centre is</w:t>
      </w:r>
      <w:r w:rsidRPr="009E00AE">
        <w:t xml:space="preserve"> 238</w:t>
      </w:r>
      <w:r>
        <w:t>. Since 2017 the Centre has also spun out 4 companies that employ 122 people.</w:t>
      </w:r>
      <w:r>
        <w:rPr>
          <w:rStyle w:val="FootnoteReference"/>
        </w:rPr>
        <w:footnoteReference w:id="123"/>
      </w:r>
    </w:p>
    <w:bookmarkEnd w:id="275"/>
    <w:p w14:paraId="3ABE3CA7" w14:textId="77777777" w:rsidR="002B32A0" w:rsidRDefault="002B32A0" w:rsidP="00CB0B0A">
      <w:pPr>
        <w:pStyle w:val="Heading3"/>
      </w:pPr>
      <w:r>
        <w:t>Other impacts</w:t>
      </w:r>
    </w:p>
    <w:p w14:paraId="2F29B580" w14:textId="77777777" w:rsidR="002B32A0" w:rsidRDefault="002B32A0" w:rsidP="002B32A0">
      <w:pPr>
        <w:pStyle w:val="Heading4"/>
      </w:pPr>
      <w:r>
        <w:t>Research capability</w:t>
      </w:r>
    </w:p>
    <w:p w14:paraId="6E24B960" w14:textId="77777777" w:rsidR="002B32A0" w:rsidRDefault="002B32A0" w:rsidP="002B32A0">
      <w:pPr>
        <w:pStyle w:val="BodyText"/>
      </w:pPr>
      <w:r>
        <w:t>The CQC</w:t>
      </w:r>
      <w:r w:rsidRPr="007F3DC9">
        <w:rPr>
          <w:vertAlign w:val="superscript"/>
        </w:rPr>
        <w:t>2</w:t>
      </w:r>
      <w:r>
        <w:t>T has been a pioneer in quantum information technologies and the approaches to conducting large-scale deep technology quantum research in Australia. The Centre for Quantum Computing Technology was started in 2000 when researchers</w:t>
      </w:r>
      <w:r>
        <w:rPr>
          <w:rStyle w:val="FootnoteReference"/>
        </w:rPr>
        <w:footnoteReference w:id="124"/>
      </w:r>
      <w:r>
        <w:t xml:space="preserve"> joined from across the globe to establish a program in silicon quantum computing at UNSW that combined with the nascent optical quantum computing programs at UQ. The tremendous success of the research results and rapid development of the technology encouraged Centre researchers to advocate with the ARC for a new scheme that was more focussed and with higher funding. The Centres of Excellence scheme was started in 2003 and CQCT became a Centre of Excellence in 2003, making it one of the first Centre’s of Excellence to be established. The Centre expanded in 2011 to include quantum communications, primarily at ANU, becoming CQC</w:t>
      </w:r>
      <w:r w:rsidRPr="00784D7C">
        <w:rPr>
          <w:vertAlign w:val="superscript"/>
        </w:rPr>
        <w:t>2</w:t>
      </w:r>
      <w:r>
        <w:t>T. With the Centre growing every year and producing globally leading research, it became so large that in 2011 it created a second Centre EQUIS of younger researchers focussing on engineering quantum systems whilst the core team at CQC</w:t>
      </w:r>
      <w:r w:rsidRPr="00E703DF">
        <w:rPr>
          <w:vertAlign w:val="superscript"/>
        </w:rPr>
        <w:t>2</w:t>
      </w:r>
      <w:r>
        <w:t xml:space="preserve">T maintained its focus on building optical and silicon-based processors. </w:t>
      </w:r>
    </w:p>
    <w:p w14:paraId="11E89BD4" w14:textId="77777777" w:rsidR="002B32A0" w:rsidRDefault="002B32A0" w:rsidP="002B32A0">
      <w:pPr>
        <w:pStyle w:val="BodyText"/>
      </w:pPr>
      <w:r>
        <w:t>As the silicon technology started to cross the technical readiness levels (TRL) from TRL 3 to TRL 4</w:t>
      </w:r>
      <w:r>
        <w:rPr>
          <w:rStyle w:val="FootnoteReference"/>
        </w:rPr>
        <w:footnoteReference w:id="125"/>
      </w:r>
      <w:r>
        <w:t xml:space="preserve"> Centre Director Simmons established a unique </w:t>
      </w:r>
      <w:r w:rsidRPr="00784D7C">
        <w:rPr>
          <w:rFonts w:asciiTheme="minorHAnsi" w:hAnsiTheme="minorHAnsi"/>
          <w:color w:val="282828"/>
          <w:shd w:val="clear" w:color="auto" w:fill="FFFFFF"/>
        </w:rPr>
        <w:t xml:space="preserve">corporate-Government-University </w:t>
      </w:r>
      <w:r>
        <w:t>consortium to help the silicon quantum computing technologies cross the “Valley of Death”, that is, to assist quantum technology transition from prototype to product. SQC was spun out in 2017, and from SQC Diraq was spun out in 2022. As the Centre grows, more than 6 Centres of Excellence have emerged in quantum physics across Australia (CQC</w:t>
      </w:r>
      <w:r w:rsidRPr="00527A5B">
        <w:rPr>
          <w:vertAlign w:val="superscript"/>
        </w:rPr>
        <w:t>2</w:t>
      </w:r>
      <w:r>
        <w:t>T, EQUIS, Exciton Science,</w:t>
      </w:r>
      <w:r w:rsidRPr="00940770">
        <w:t xml:space="preserve"> Future Low-Energy Electronics Technologies</w:t>
      </w:r>
      <w:r>
        <w:t xml:space="preserve"> (FLEET), </w:t>
      </w:r>
      <w:r w:rsidRPr="008C46F9">
        <w:t>Quantum Biotechnology</w:t>
      </w:r>
      <w:r>
        <w:t xml:space="preserve"> and </w:t>
      </w:r>
      <w:r w:rsidRPr="000F1BD8">
        <w:t>Gravitational Wave Discovery</w:t>
      </w:r>
      <w:r>
        <w:t xml:space="preserve">), demonstrating Australian strength in this field. In addition, the Centre for Quantum Software and Information at UTS recently launched the </w:t>
      </w:r>
      <w:r w:rsidRPr="000F1BD8">
        <w:t>Australian Quantum Software Network</w:t>
      </w:r>
      <w:r>
        <w:t>.</w:t>
      </w:r>
      <w:r>
        <w:rPr>
          <w:rStyle w:val="FootnoteReference"/>
        </w:rPr>
        <w:footnoteReference w:id="126"/>
      </w:r>
      <w:r>
        <w:t xml:space="preserve"> Quantum science and technology is an area where Australia has unequivocal global leadership.</w:t>
      </w:r>
    </w:p>
    <w:p w14:paraId="23AEC28C" w14:textId="77777777" w:rsidR="002B32A0" w:rsidRPr="00B03BA4" w:rsidRDefault="002B32A0" w:rsidP="00CB0B0A">
      <w:pPr>
        <w:pStyle w:val="Heading2"/>
      </w:pPr>
      <w:bookmarkStart w:id="276" w:name="_Toc131174641"/>
      <w:bookmarkStart w:id="277" w:name="_Toc132970672"/>
      <w:bookmarkStart w:id="278" w:name="_Toc135323711"/>
      <w:r w:rsidRPr="00B03BA4">
        <w:t>Potential future impacts</w:t>
      </w:r>
      <w:bookmarkEnd w:id="276"/>
      <w:bookmarkEnd w:id="277"/>
      <w:bookmarkEnd w:id="278"/>
      <w:r w:rsidRPr="00B03BA4">
        <w:t xml:space="preserve"> </w:t>
      </w:r>
    </w:p>
    <w:p w14:paraId="026A46FC" w14:textId="77777777" w:rsidR="002B32A0" w:rsidRDefault="002B32A0" w:rsidP="002B32A0">
      <w:pPr>
        <w:pStyle w:val="BodyText"/>
      </w:pPr>
      <w:r>
        <w:t>As discussed throughout this case study, Australia has strong research capabilities in quantum hardware development, quantum measurement, architecture development and the theory of quantum information science, all of which are critical to developing the hardware and software stack needed to enable functional quantum computing applications.</w:t>
      </w:r>
      <w:r>
        <w:rPr>
          <w:rStyle w:val="FootnoteReference"/>
        </w:rPr>
        <w:footnoteReference w:id="127"/>
      </w:r>
      <w:r>
        <w:t xml:space="preserve"> The country is already home to world-leading ventures undertaking the development of silicon-based quantum computing technology, quantum communication technologies and other quantum control-based technologies.</w:t>
      </w:r>
      <w:r>
        <w:rPr>
          <w:rStyle w:val="FootnoteReference"/>
        </w:rPr>
        <w:footnoteReference w:id="128"/>
      </w:r>
      <w:r>
        <w:t xml:space="preserve"> Australia has also attracted key international players, including Microsoft, IBM, Rigetti Computing and ColdQuanta, who have established a local presence to exploit Australia’s quantum capabilities. The US Army Research Office has also been a notable funder of the Silicon Quantum Computing programs at UNSW, investing more the $36 million over the past 20 years. This shows that the potential future impact is significant and recognised by Australian governments, the private sector, and international players. This is expected to become an increasingly competitive space in the future.</w:t>
      </w:r>
    </w:p>
    <w:p w14:paraId="4231E805" w14:textId="77777777" w:rsidR="002B32A0" w:rsidRDefault="002B32A0" w:rsidP="002B32A0">
      <w:pPr>
        <w:pStyle w:val="BodyText"/>
      </w:pPr>
      <w:r w:rsidRPr="00A249CA">
        <w:t>Professor Klaus Ensslin, current Chair of the CQC</w:t>
      </w:r>
      <w:r w:rsidRPr="00E703DF">
        <w:rPr>
          <w:vertAlign w:val="superscript"/>
        </w:rPr>
        <w:t>2</w:t>
      </w:r>
      <w:r w:rsidRPr="00A249CA">
        <w:t>T International Scientific Advisory board</w:t>
      </w:r>
      <w:r>
        <w:t xml:space="preserve"> stated that:</w:t>
      </w:r>
    </w:p>
    <w:p w14:paraId="0F9EE3AF" w14:textId="77777777" w:rsidR="002B32A0" w:rsidRDefault="002B32A0" w:rsidP="002B32A0">
      <w:pPr>
        <w:pStyle w:val="Quote"/>
        <w:rPr>
          <w:rFonts w:ascii="Calibri" w:hAnsi="Calibri" w:cs="Calibri"/>
        </w:rPr>
      </w:pPr>
      <w:r w:rsidRPr="00E703DF">
        <w:t xml:space="preserve">The </w:t>
      </w:r>
      <w:r>
        <w:t>C</w:t>
      </w:r>
      <w:r w:rsidRPr="00E703DF">
        <w:t xml:space="preserve">enter director, Prof. Simmons, is not only an outstanding scientist, but has a hands-on management style, and is dedicated to the full breadth of the </w:t>
      </w:r>
      <w:r>
        <w:t>C</w:t>
      </w:r>
      <w:r w:rsidRPr="00E703DF">
        <w:t>enter. Her forward</w:t>
      </w:r>
      <w:r>
        <w:t>-l</w:t>
      </w:r>
      <w:r w:rsidRPr="00E703DF">
        <w:t>ooking attitude when thinking about future research directions and possibilities for collaborations is impressive.</w:t>
      </w:r>
    </w:p>
    <w:p w14:paraId="5D916F36" w14:textId="77777777" w:rsidR="002B32A0" w:rsidRDefault="002B32A0" w:rsidP="002B32A0">
      <w:pPr>
        <w:pStyle w:val="BodyText"/>
      </w:pPr>
      <w:r>
        <w:t>This demonstrates that</w:t>
      </w:r>
      <w:r w:rsidRPr="00A249CA">
        <w:t xml:space="preserve"> CQC</w:t>
      </w:r>
      <w:r w:rsidRPr="00E703DF">
        <w:rPr>
          <w:vertAlign w:val="superscript"/>
        </w:rPr>
        <w:t>2</w:t>
      </w:r>
      <w:r w:rsidRPr="00A249CA">
        <w:t>T</w:t>
      </w:r>
      <w:r>
        <w:t xml:space="preserve"> leadership intends to continue to collaborate and produce world-leading research in this field. </w:t>
      </w:r>
    </w:p>
    <w:p w14:paraId="2F646520" w14:textId="77777777" w:rsidR="002B32A0" w:rsidRDefault="002B32A0" w:rsidP="002B32A0">
      <w:r>
        <w:t>According to a 2020 CSIRO report on</w:t>
      </w:r>
      <w:r w:rsidRPr="00085D3F">
        <w:t xml:space="preserve"> Growing Australia</w:t>
      </w:r>
      <w:r>
        <w:t>’</w:t>
      </w:r>
      <w:r w:rsidRPr="00085D3F">
        <w:t>s Quantum Technology Industry</w:t>
      </w:r>
      <w:r>
        <w:t>, f</w:t>
      </w:r>
      <w:r w:rsidRPr="00F820A5">
        <w:t>uture adoption</w:t>
      </w:r>
      <w:r>
        <w:t xml:space="preserve"> is likely to occur in industries including:</w:t>
      </w:r>
    </w:p>
    <w:p w14:paraId="398855CA" w14:textId="77777777" w:rsidR="002B32A0" w:rsidRDefault="002B32A0" w:rsidP="002B32A0">
      <w:pPr>
        <w:pStyle w:val="ListBullet"/>
      </w:pPr>
      <w:r>
        <w:t xml:space="preserve">Drug and advanced materials development through chemistry simulation: The design of new molecules and materials typically involves testing many different molecules for desired properties. This process is time-consuming and costly, and it can be faster to use simulation instead. Quantum computers have already been used to model simple molecules (e.g. water). As their size and stability increase, they can simulate complex molecules that cannot be modelled using classical supercomputers. This application could accelerate drug design and be used to develop more efficient and sustainable industrial processes (e.g. fertiliser production) and materials. </w:t>
      </w:r>
    </w:p>
    <w:p w14:paraId="3E500611" w14:textId="77777777" w:rsidR="002B32A0" w:rsidRPr="00FA4A91" w:rsidRDefault="002B32A0" w:rsidP="002B32A0">
      <w:pPr>
        <w:pStyle w:val="ListBullet"/>
      </w:pPr>
      <w:r>
        <w:t>Accelerating machine learning and optimisation of complex systems: As quantum computers become more powerful, they can perform feature mapping, a critical component of machine learning on data structures with a complexity beyond the capabilities of modern classical computers. Quantum computing could also be beneficial for complex system optimisation problems, in contexts such as financial modelling, aerofoil design, traffic management, integrated circuit design, climate predictions, epidemiology and energy systems optimisation.</w:t>
      </w:r>
    </w:p>
    <w:p w14:paraId="1F05924B" w14:textId="77777777" w:rsidR="002B32A0" w:rsidRDefault="002B32A0" w:rsidP="002B32A0">
      <w:pPr>
        <w:pStyle w:val="ListBullet"/>
      </w:pPr>
      <w:r>
        <w:t xml:space="preserve">National security: The development of quantum technologies for secure communications, defence applications, and codebreaking is expected to have implications for national security. Developing Australia’s sovereign quantum technology capabilities will ensure that the country is prepared for the challenges and opportunities this presents. </w:t>
      </w:r>
    </w:p>
    <w:p w14:paraId="33CA121A" w14:textId="77777777" w:rsidR="002B32A0" w:rsidRPr="00CE1D7F" w:rsidRDefault="002B32A0" w:rsidP="002B32A0">
      <w:pPr>
        <w:pStyle w:val="BodyText"/>
      </w:pPr>
    </w:p>
    <w:p w14:paraId="6A253487" w14:textId="77777777" w:rsidR="002B32A0" w:rsidRPr="00CE1D7F" w:rsidRDefault="002B32A0" w:rsidP="002B32A0">
      <w:pPr>
        <w:pStyle w:val="BodyText"/>
        <w:sectPr w:rsidR="002B32A0" w:rsidRPr="00CE1D7F" w:rsidSect="00327E78">
          <w:headerReference w:type="even" r:id="rId157"/>
          <w:headerReference w:type="default" r:id="rId158"/>
          <w:footerReference w:type="even" r:id="rId159"/>
          <w:footerReference w:type="default" r:id="rId160"/>
          <w:headerReference w:type="first" r:id="rId161"/>
          <w:footerReference w:type="first" r:id="rId162"/>
          <w:pgSz w:w="11906" w:h="16838" w:code="9"/>
          <w:pgMar w:top="1134" w:right="851" w:bottom="1134" w:left="3119" w:header="454" w:footer="159" w:gutter="0"/>
          <w:cols w:space="708"/>
          <w:docGrid w:linePitch="360"/>
        </w:sectPr>
      </w:pPr>
    </w:p>
    <w:p w14:paraId="6F4E0779" w14:textId="77777777" w:rsidR="000B0AC7" w:rsidRPr="00CE1D7F" w:rsidRDefault="000B0AC7" w:rsidP="000B0AC7">
      <w:pPr>
        <w:pStyle w:val="Heading1"/>
        <w:pageBreakBefore/>
        <w:ind w:left="0" w:hanging="600"/>
      </w:pPr>
      <w:bookmarkStart w:id="279" w:name="_Ref131081228"/>
      <w:bookmarkStart w:id="280" w:name="_Toc135323712"/>
      <w:r w:rsidRPr="00CE1D7F">
        <w:t>Aquifer Reinjection</w:t>
      </w:r>
      <w:bookmarkEnd w:id="279"/>
      <w:bookmarkEnd w:id="280"/>
    </w:p>
    <w:p w14:paraId="0D5C163C" w14:textId="77777777" w:rsidR="002B32A0" w:rsidRPr="00CE1D7F" w:rsidRDefault="002B32A0" w:rsidP="00CB0B0A">
      <w:pPr>
        <w:pStyle w:val="Heading2"/>
      </w:pPr>
      <w:bookmarkStart w:id="281" w:name="_Toc129964005"/>
      <w:bookmarkStart w:id="282" w:name="_Toc131174643"/>
      <w:bookmarkStart w:id="283" w:name="_Toc132970674"/>
      <w:bookmarkStart w:id="284" w:name="_Toc135323713"/>
      <w:r w:rsidRPr="00CE1D7F">
        <w:t>Key Findings – WA Aquifer Recharge</w:t>
      </w:r>
      <w:bookmarkEnd w:id="281"/>
      <w:bookmarkEnd w:id="282"/>
      <w:bookmarkEnd w:id="283"/>
      <w:bookmarkEnd w:id="284"/>
    </w:p>
    <w:p w14:paraId="20CDB605" w14:textId="245A8360" w:rsidR="002B32A0" w:rsidRPr="00CE1D7F" w:rsidRDefault="002B32A0" w:rsidP="002B32A0">
      <w:pPr>
        <w:pStyle w:val="BodyText"/>
      </w:pPr>
      <w:r w:rsidRPr="00CE1D7F">
        <w:rPr>
          <w:noProof/>
        </w:rPr>
        <mc:AlternateContent>
          <mc:Choice Requires="wps">
            <w:drawing>
              <wp:anchor distT="0" distB="0" distL="114300" distR="114300" simplePos="0" relativeHeight="251752448" behindDoc="0" locked="0" layoutInCell="1" allowOverlap="1" wp14:anchorId="3E108BE2" wp14:editId="1BD3221D">
                <wp:simplePos x="0" y="0"/>
                <wp:positionH relativeFrom="column">
                  <wp:posOffset>2650812</wp:posOffset>
                </wp:positionH>
                <wp:positionV relativeFrom="paragraph">
                  <wp:posOffset>264935</wp:posOffset>
                </wp:positionV>
                <wp:extent cx="2030680" cy="736600"/>
                <wp:effectExtent l="0" t="0" r="0" b="0"/>
                <wp:wrapNone/>
                <wp:docPr id="214" name="Text Box 2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030680" cy="736600"/>
                        </a:xfrm>
                        <a:prstGeom prst="rect">
                          <a:avLst/>
                        </a:prstGeom>
                        <a:noFill/>
                      </wps:spPr>
                      <wps:txbx>
                        <w:txbxContent>
                          <w:p w14:paraId="7E2B01E2" w14:textId="77777777" w:rsidR="002B32A0" w:rsidRPr="00624931" w:rsidRDefault="002B32A0" w:rsidP="002B32A0">
                            <w:pPr>
                              <w:spacing w:line="204" w:lineRule="auto"/>
                              <w:rPr>
                                <w:rFonts w:asciiTheme="minorHAnsi" w:eastAsia="Yu Gothic UI Semibold" w:cstheme="minorBidi"/>
                                <w:color w:val="000000" w:themeColor="text1"/>
                                <w:kern w:val="24"/>
                              </w:rPr>
                            </w:pPr>
                            <w:r w:rsidRPr="00A839F4">
                              <w:rPr>
                                <w:rFonts w:asciiTheme="minorHAnsi" w:eastAsia="Yu Gothic UI Semibold" w:cstheme="minorBidi"/>
                                <w:color w:val="000000" w:themeColor="text1"/>
                                <w:kern w:val="24"/>
                              </w:rPr>
                              <w:t xml:space="preserve">The </w:t>
                            </w:r>
                            <w:r w:rsidRPr="00A839F4">
                              <w:rPr>
                                <w:rFonts w:cstheme="minorBidi"/>
                                <w:color w:val="000000" w:themeColor="text1"/>
                                <w:kern w:val="24"/>
                              </w:rPr>
                              <w:t xml:space="preserve">NPV of the project is </w:t>
                            </w:r>
                            <w:r w:rsidRPr="00A839F4">
                              <w:rPr>
                                <w:rFonts w:asciiTheme="minorHAnsi" w:eastAsia="Yu Gothic UI Semibold" w:cstheme="minorBidi"/>
                                <w:color w:val="000000" w:themeColor="text1"/>
                                <w:kern w:val="24"/>
                              </w:rPr>
                              <w:t xml:space="preserve">estimated to be </w:t>
                            </w:r>
                            <w:r w:rsidRPr="00A839F4">
                              <w:rPr>
                                <w:rFonts w:asciiTheme="minorHAnsi" w:eastAsia="Yu Gothic UI Semibold" w:cstheme="minorBidi"/>
                                <w:b/>
                                <w:bCs/>
                                <w:color w:val="000000" w:themeColor="text1"/>
                                <w:kern w:val="24"/>
                              </w:rPr>
                              <w:t>$64.5</w:t>
                            </w:r>
                            <w:r>
                              <w:rPr>
                                <w:rFonts w:asciiTheme="minorHAnsi" w:eastAsia="Yu Gothic UI Semibold" w:cstheme="minorBidi"/>
                                <w:b/>
                                <w:bCs/>
                                <w:color w:val="000000" w:themeColor="text1"/>
                                <w:kern w:val="24"/>
                              </w:rPr>
                              <w:t> </w:t>
                            </w:r>
                            <w:r>
                              <w:rPr>
                                <w:rFonts w:asciiTheme="minorHAnsi" w:eastAsia="Yu Gothic UI Semibold" w:cstheme="minorBidi"/>
                                <w:b/>
                                <w:bCs/>
                                <w:color w:val="000000" w:themeColor="text1"/>
                                <w:kern w:val="24"/>
                              </w:rPr>
                              <w:t>million</w:t>
                            </w:r>
                            <w:r w:rsidRPr="00A839F4">
                              <w:rPr>
                                <w:rFonts w:asciiTheme="minorHAnsi" w:eastAsia="Yu Gothic UI Semibold" w:cstheme="minorBidi"/>
                                <w:color w:val="000000" w:themeColor="text1"/>
                                <w:kern w:val="24"/>
                              </w:rPr>
                              <w:t xml:space="preserve"> </w:t>
                            </w:r>
                            <w:r w:rsidRPr="00A839F4">
                              <w:rPr>
                                <w:rFonts w:cstheme="minorBidi"/>
                                <w:color w:val="000000" w:themeColor="text1"/>
                                <w:kern w:val="24"/>
                              </w:rPr>
                              <w:t xml:space="preserve">The BCR was estimated to be </w:t>
                            </w:r>
                            <w:r>
                              <w:rPr>
                                <w:rFonts w:cstheme="minorBidi"/>
                                <w:b/>
                                <w:bCs/>
                                <w:color w:val="000000" w:themeColor="text1"/>
                                <w:kern w:val="24"/>
                              </w:rPr>
                              <w:t>5.76</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E108BE2" id="Text Box 214" o:spid="_x0000_s1052" type="#_x0000_t202" alt="&quot;&quot;" style="position:absolute;margin-left:208.75pt;margin-top:20.85pt;width:159.9pt;height:58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" filled="f" stroked="f">
                <v:textbox>
                  <w:txbxContent>
                    <w:p w14:paraId="7E2B01E2" w14:textId="77777777" w:rsidR="002B32A0" w:rsidRPr="00624931" w:rsidRDefault="002B32A0" w:rsidP="002B32A0">
                      <w:pPr>
                        <w:spacing w:line="204" w:lineRule="auto"/>
                        <w:rPr>
                          <w:rFonts w:asciiTheme="minorHAnsi" w:eastAsia="Yu Gothic UI Semibold" w:cstheme="minorBidi"/>
                          <w:color w:val="000000" w:themeColor="text1"/>
                          <w:kern w:val="24"/>
                        </w:rPr>
                      </w:pPr>
                      <w:r w:rsidRPr="00A839F4">
                        <w:rPr>
                          <w:rFonts w:asciiTheme="minorHAnsi" w:eastAsia="Yu Gothic UI Semibold" w:cstheme="minorBidi"/>
                          <w:color w:val="000000" w:themeColor="text1"/>
                          <w:kern w:val="24"/>
                        </w:rPr>
                        <w:t xml:space="preserve">The </w:t>
                      </w:r>
                      <w:r w:rsidRPr="00A839F4">
                        <w:rPr>
                          <w:rFonts w:cstheme="minorBidi"/>
                          <w:color w:val="000000" w:themeColor="text1"/>
                          <w:kern w:val="24"/>
                        </w:rPr>
                        <w:t xml:space="preserve">NPV of the project is </w:t>
                      </w:r>
                      <w:r w:rsidRPr="00A839F4">
                        <w:rPr>
                          <w:rFonts w:asciiTheme="minorHAnsi" w:eastAsia="Yu Gothic UI Semibold" w:cstheme="minorBidi"/>
                          <w:color w:val="000000" w:themeColor="text1"/>
                          <w:kern w:val="24"/>
                        </w:rPr>
                        <w:t xml:space="preserve">estimated to be </w:t>
                      </w:r>
                      <w:r w:rsidRPr="00A839F4">
                        <w:rPr>
                          <w:rFonts w:asciiTheme="minorHAnsi" w:eastAsia="Yu Gothic UI Semibold" w:cstheme="minorBidi"/>
                          <w:b/>
                          <w:bCs/>
                          <w:color w:val="000000" w:themeColor="text1"/>
                          <w:kern w:val="24"/>
                        </w:rPr>
                        <w:t>$64.5</w:t>
                      </w:r>
                      <w:r>
                        <w:rPr>
                          <w:rFonts w:asciiTheme="minorHAnsi" w:eastAsia="Yu Gothic UI Semibold" w:cstheme="minorBidi"/>
                          <w:b/>
                          <w:bCs/>
                          <w:color w:val="000000" w:themeColor="text1"/>
                          <w:kern w:val="24"/>
                        </w:rPr>
                        <w:t> </w:t>
                      </w:r>
                      <w:r>
                        <w:rPr>
                          <w:rFonts w:asciiTheme="minorHAnsi" w:eastAsia="Yu Gothic UI Semibold" w:cstheme="minorBidi"/>
                          <w:b/>
                          <w:bCs/>
                          <w:color w:val="000000" w:themeColor="text1"/>
                          <w:kern w:val="24"/>
                        </w:rPr>
                        <w:t>million</w:t>
                      </w:r>
                      <w:r w:rsidRPr="00A839F4">
                        <w:rPr>
                          <w:rFonts w:asciiTheme="minorHAnsi" w:eastAsia="Yu Gothic UI Semibold" w:cstheme="minorBidi"/>
                          <w:color w:val="000000" w:themeColor="text1"/>
                          <w:kern w:val="24"/>
                        </w:rPr>
                        <w:t xml:space="preserve"> </w:t>
                      </w:r>
                      <w:r w:rsidRPr="00A839F4">
                        <w:rPr>
                          <w:rFonts w:cstheme="minorBidi"/>
                          <w:color w:val="000000" w:themeColor="text1"/>
                          <w:kern w:val="24"/>
                        </w:rPr>
                        <w:t xml:space="preserve">The BCR was estimated to be </w:t>
                      </w:r>
                      <w:r>
                        <w:rPr>
                          <w:rFonts w:cstheme="minorBidi"/>
                          <w:b/>
                          <w:bCs/>
                          <w:color w:val="000000" w:themeColor="text1"/>
                          <w:kern w:val="24"/>
                        </w:rPr>
                        <w:t>5.76</w:t>
                      </w:r>
                    </w:p>
                  </w:txbxContent>
                </v:textbox>
              </v:shape>
            </w:pict>
          </mc:Fallback>
        </mc:AlternateContent>
      </w:r>
      <w:r w:rsidRPr="00CE1D7F">
        <w:rPr>
          <w:noProof/>
        </w:rPr>
        <w:drawing>
          <wp:anchor distT="0" distB="0" distL="114300" distR="114300" simplePos="0" relativeHeight="251755520" behindDoc="0" locked="0" layoutInCell="1" allowOverlap="1" wp14:anchorId="0DD0712E" wp14:editId="10929F7F">
            <wp:simplePos x="0" y="0"/>
            <wp:positionH relativeFrom="column">
              <wp:posOffset>-1066165</wp:posOffset>
            </wp:positionH>
            <wp:positionV relativeFrom="paragraph">
              <wp:posOffset>1053465</wp:posOffset>
            </wp:positionV>
            <wp:extent cx="682625" cy="683260"/>
            <wp:effectExtent l="0" t="0" r="0" b="0"/>
            <wp:wrapNone/>
            <wp:docPr id="689" name="Picture 689"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descr="Icon&#10;&#10;Description automatically generated"/>
                    <pic:cNvPicPr>
                      <a:picLocks noChangeAspect="1"/>
                    </pic:cNvPicPr>
                  </pic:nvPicPr>
                  <pic:blipFill>
                    <a:blip r:embed="rId148" cstate="print">
                      <a:extLst>
                        <a:ext uri="{BEBA8EAE-BF5A-486C-A8C5-ECC9F3942E4B}">
                          <a14:imgProps xmlns:a14="http://schemas.microsoft.com/office/drawing/2010/main">
                            <a14:imgLayer r:embed="rId149">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682625" cy="683260"/>
                    </a:xfrm>
                    <a:prstGeom prst="rect">
                      <a:avLst/>
                    </a:prstGeom>
                  </pic:spPr>
                </pic:pic>
              </a:graphicData>
            </a:graphic>
          </wp:anchor>
        </w:drawing>
      </w:r>
      <w:r w:rsidRPr="00CE1D7F">
        <w:rPr>
          <w:noProof/>
        </w:rPr>
        <w:drawing>
          <wp:anchor distT="0" distB="0" distL="114300" distR="114300" simplePos="0" relativeHeight="251747328" behindDoc="0" locked="0" layoutInCell="1" allowOverlap="1" wp14:anchorId="63FD7DF0" wp14:editId="0ED53FE0">
            <wp:simplePos x="0" y="0"/>
            <wp:positionH relativeFrom="column">
              <wp:posOffset>-1002665</wp:posOffset>
            </wp:positionH>
            <wp:positionV relativeFrom="paragraph">
              <wp:posOffset>297815</wp:posOffset>
            </wp:positionV>
            <wp:extent cx="555625" cy="566420"/>
            <wp:effectExtent l="0" t="0" r="0" b="0"/>
            <wp:wrapNone/>
            <wp:docPr id="690" name="Picture 69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Picture 556" descr="Icon&#10;&#10;Description automatically generated"/>
                    <pic:cNvPicPr>
                      <a:picLocks noChangeAspect="1"/>
                    </pic:cNvPicPr>
                  </pic:nvPicPr>
                  <pic:blipFill>
                    <a:blip r:embed="rId140" cstate="print">
                      <a:extLst>
                        <a:ext uri="{BEBA8EAE-BF5A-486C-A8C5-ECC9F3942E4B}">
                          <a14:imgProps xmlns:a14="http://schemas.microsoft.com/office/drawing/2010/main">
                            <a14:imgLayer r:embed="rId141">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555625" cy="566420"/>
                    </a:xfrm>
                    <a:prstGeom prst="rect">
                      <a:avLst/>
                    </a:prstGeom>
                  </pic:spPr>
                </pic:pic>
              </a:graphicData>
            </a:graphic>
          </wp:anchor>
        </w:drawing>
      </w:r>
      <w:r w:rsidRPr="00CE1D7F">
        <w:rPr>
          <w:noProof/>
        </w:rPr>
        <w:drawing>
          <wp:anchor distT="0" distB="0" distL="114300" distR="114300" simplePos="0" relativeHeight="251749376" behindDoc="0" locked="0" layoutInCell="1" allowOverlap="1" wp14:anchorId="26002621" wp14:editId="6EC38AD7">
            <wp:simplePos x="0" y="0"/>
            <wp:positionH relativeFrom="column">
              <wp:posOffset>1938020</wp:posOffset>
            </wp:positionH>
            <wp:positionV relativeFrom="paragraph">
              <wp:posOffset>1137285</wp:posOffset>
            </wp:positionV>
            <wp:extent cx="572135" cy="572770"/>
            <wp:effectExtent l="0" t="0" r="0" b="0"/>
            <wp:wrapNone/>
            <wp:docPr id="691" name="Picture 69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98" descr="Logo&#10;&#10;Description automatically generated"/>
                    <pic:cNvPicPr>
                      <a:picLocks noChangeAspect="1"/>
                    </pic:cNvPicPr>
                  </pic:nvPicPr>
                  <pic:blipFill>
                    <a:blip r:embed="rId150" cstate="print">
                      <a:extLst>
                        <a:ext uri="{BEBA8EAE-BF5A-486C-A8C5-ECC9F3942E4B}">
                          <a14:imgProps xmlns:a14="http://schemas.microsoft.com/office/drawing/2010/main">
                            <a14:imgLayer r:embed="rId151">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572135" cy="572770"/>
                    </a:xfrm>
                    <a:prstGeom prst="rect">
                      <a:avLst/>
                    </a:prstGeom>
                  </pic:spPr>
                </pic:pic>
              </a:graphicData>
            </a:graphic>
          </wp:anchor>
        </w:drawing>
      </w:r>
      <w:r w:rsidRPr="00CE1D7F">
        <w:rPr>
          <w:noProof/>
        </w:rPr>
        <mc:AlternateContent>
          <mc:Choice Requires="wpg">
            <w:drawing>
              <wp:anchor distT="0" distB="0" distL="114300" distR="114300" simplePos="0" relativeHeight="251753472" behindDoc="0" locked="0" layoutInCell="1" allowOverlap="1" wp14:anchorId="5EB2458D" wp14:editId="49E94B01">
                <wp:simplePos x="0" y="0"/>
                <wp:positionH relativeFrom="column">
                  <wp:posOffset>-1045210</wp:posOffset>
                </wp:positionH>
                <wp:positionV relativeFrom="paragraph">
                  <wp:posOffset>1810385</wp:posOffset>
                </wp:positionV>
                <wp:extent cx="790575" cy="752475"/>
                <wp:effectExtent l="0" t="0" r="0" b="0"/>
                <wp:wrapNone/>
                <wp:docPr id="218" name="Group 218" descr="Icon&#10;&#10;Description automatically generated"/>
                <wp:cNvGraphicFramePr/>
                <a:graphic xmlns:a="http://schemas.openxmlformats.org/drawingml/2006/main">
                  <a:graphicData uri="http://schemas.microsoft.com/office/word/2010/wordprocessingGroup">
                    <wpg:wgp>
                      <wpg:cNvGrpSpPr/>
                      <wpg:grpSpPr>
                        <a:xfrm>
                          <a:off x="0" y="0"/>
                          <a:ext cx="790575" cy="752475"/>
                          <a:chOff x="0" y="0"/>
                          <a:chExt cx="790575" cy="752475"/>
                        </a:xfrm>
                      </wpg:grpSpPr>
                      <pic:pic xmlns:pic="http://schemas.openxmlformats.org/drawingml/2006/picture">
                        <pic:nvPicPr>
                          <pic:cNvPr id="220" name="Graphic 220" descr="Diploma roll with solid fill"/>
                          <pic:cNvPicPr>
                            <a:picLocks noChangeAspect="1"/>
                          </pic:cNvPicPr>
                        </pic:nvPicPr>
                        <pic:blipFill>
                          <a:blip r:embed="rId142">
                            <a:extLst>
                              <a:ext uri="{28A0092B-C50C-407E-A947-70E740481C1C}">
                                <a14:useLocalDpi xmlns:a14="http://schemas.microsoft.com/office/drawing/2010/main" val="0"/>
                              </a:ext>
                              <a:ext uri="{96DAC541-7B7A-43D3-8B79-37D633B846F1}">
                                <asvg:svgBlip xmlns:asvg="http://schemas.microsoft.com/office/drawing/2016/SVG/main" r:embed="rId143"/>
                              </a:ext>
                            </a:extLst>
                          </a:blip>
                          <a:stretch>
                            <a:fillRect/>
                          </a:stretch>
                        </pic:blipFill>
                        <pic:spPr>
                          <a:xfrm rot="19117289">
                            <a:off x="257175" y="219075"/>
                            <a:ext cx="533400" cy="533400"/>
                          </a:xfrm>
                          <a:prstGeom prst="rect">
                            <a:avLst/>
                          </a:prstGeom>
                        </pic:spPr>
                      </pic:pic>
                      <pic:pic xmlns:pic="http://schemas.openxmlformats.org/drawingml/2006/picture">
                        <pic:nvPicPr>
                          <pic:cNvPr id="221" name="Graphic 221" descr="Graduation cap with solid fill"/>
                          <pic:cNvPicPr>
                            <a:picLocks noChangeAspect="1"/>
                          </pic:cNvPicPr>
                        </pic:nvPicPr>
                        <pic:blipFill>
                          <a:blip r:embed="rId144">
                            <a:extLst>
                              <a:ext uri="{28A0092B-C50C-407E-A947-70E740481C1C}">
                                <a14:useLocalDpi xmlns:a14="http://schemas.microsoft.com/office/drawing/2010/main" val="0"/>
                              </a:ext>
                              <a:ext uri="{96DAC541-7B7A-43D3-8B79-37D633B846F1}">
                                <asvg:svgBlip xmlns:asvg="http://schemas.microsoft.com/office/drawing/2016/SVG/main" r:embed="rId145"/>
                              </a:ext>
                            </a:extLst>
                          </a:blip>
                          <a:stretch>
                            <a:fillRect/>
                          </a:stretch>
                        </pic:blipFill>
                        <pic:spPr>
                          <a:xfrm>
                            <a:off x="0" y="0"/>
                            <a:ext cx="619125" cy="619125"/>
                          </a:xfrm>
                          <a:prstGeom prst="rect">
                            <a:avLst/>
                          </a:prstGeom>
                        </pic:spPr>
                      </pic:pic>
                    </wpg:wgp>
                  </a:graphicData>
                </a:graphic>
              </wp:anchor>
            </w:drawing>
          </mc:Choice>
          <mc:Fallback>
            <w:pict>
              <v:group w14:anchorId="0662BBA6" id="Group 218" o:spid="_x0000_s1026" alt="Icon&#10;&#10;Description automatically generated" style="position:absolute;margin-left:-82.3pt;margin-top:142.55pt;width:62.25pt;height:59.25pt;z-index:251753472" coordsize="7905,752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">
                <v:shape id="Graphic 220" o:spid="_x0000_s1027" type="#_x0000_t75" alt="Diploma roll with solid fill" style="position:absolute;left:2571;top:2190;width:5334;height:5334;rotation:-271178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">
                  <v:imagedata r:id="rId146" o:title="Diploma roll with solid fill"/>
                </v:shape>
                <v:shape id="Graphic 221" o:spid="_x0000_s1028" type="#_x0000_t75" alt="Graduation cap with solid fill" style="position:absolute;width:6191;height:6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">
                  <v:imagedata r:id="rId147" o:title="Graduation cap with solid fill"/>
                </v:shape>
              </v:group>
            </w:pict>
          </mc:Fallback>
        </mc:AlternateContent>
      </w:r>
      <w:r w:rsidRPr="00CE1D7F">
        <w:rPr>
          <w:noProof/>
        </w:rPr>
        <mc:AlternateContent>
          <mc:Choice Requires="wps">
            <w:drawing>
              <wp:anchor distT="0" distB="0" distL="114300" distR="114300" simplePos="0" relativeHeight="251759616" behindDoc="0" locked="0" layoutInCell="1" allowOverlap="1" wp14:anchorId="764FF3ED" wp14:editId="744DC2E8">
                <wp:simplePos x="0" y="0"/>
                <wp:positionH relativeFrom="column">
                  <wp:posOffset>2698115</wp:posOffset>
                </wp:positionH>
                <wp:positionV relativeFrom="paragraph">
                  <wp:posOffset>1934845</wp:posOffset>
                </wp:positionV>
                <wp:extent cx="2235200" cy="642620"/>
                <wp:effectExtent l="0" t="0" r="0" b="0"/>
                <wp:wrapNone/>
                <wp:docPr id="223" name="Text Box 2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235200" cy="642620"/>
                        </a:xfrm>
                        <a:prstGeom prst="rect">
                          <a:avLst/>
                        </a:prstGeom>
                        <a:noFill/>
                      </wps:spPr>
                      <wps:txbx>
                        <w:txbxContent>
                          <w:p w14:paraId="7F90E5B3" w14:textId="77777777" w:rsidR="002B32A0" w:rsidRPr="00624931" w:rsidRDefault="002B32A0" w:rsidP="002B32A0">
                            <w:pPr>
                              <w:spacing w:line="204" w:lineRule="auto"/>
                              <w:rPr>
                                <w:rFonts w:asciiTheme="minorHAnsi" w:eastAsia="Yu Gothic UI Semibold" w:cstheme="minorBidi"/>
                                <w:color w:val="000000" w:themeColor="text1"/>
                                <w:kern w:val="24"/>
                                <w:sz w:val="28"/>
                                <w:szCs w:val="28"/>
                                <w:lang w:val="en-US"/>
                              </w:rPr>
                            </w:pPr>
                            <w:r w:rsidRPr="00624931">
                              <w:rPr>
                                <w:rFonts w:asciiTheme="minorHAnsi" w:eastAsia="Yu Gothic UI Semibold" w:cstheme="minorBidi"/>
                                <w:color w:val="000000" w:themeColor="text1"/>
                                <w:kern w:val="24"/>
                                <w:lang w:val="en-US"/>
                              </w:rPr>
                              <w:t xml:space="preserve">Curtin </w:t>
                            </w:r>
                            <w:r>
                              <w:rPr>
                                <w:rFonts w:asciiTheme="minorHAnsi" w:eastAsia="Yu Gothic UI Semibold" w:cstheme="minorBidi"/>
                                <w:color w:val="000000" w:themeColor="text1"/>
                                <w:kern w:val="24"/>
                                <w:lang w:val="en-US"/>
                              </w:rPr>
                              <w:t>U</w:t>
                            </w:r>
                            <w:r w:rsidRPr="00624931">
                              <w:rPr>
                                <w:rFonts w:asciiTheme="minorHAnsi" w:eastAsia="Yu Gothic UI Semibold" w:cstheme="minorBidi"/>
                                <w:color w:val="000000" w:themeColor="text1"/>
                                <w:kern w:val="24"/>
                                <w:lang w:val="en-US"/>
                              </w:rPr>
                              <w:t>niversity</w:t>
                            </w:r>
                            <w:r w:rsidRPr="00624931">
                              <w:rPr>
                                <w:rFonts w:asciiTheme="minorHAnsi" w:eastAsia="Yu Gothic UI Semibold" w:cstheme="minorBidi"/>
                                <w:color w:val="000000" w:themeColor="text1"/>
                                <w:kern w:val="24"/>
                                <w:lang w:val="en-US"/>
                              </w:rPr>
                              <w:t>’</w:t>
                            </w:r>
                            <w:r w:rsidRPr="00624931">
                              <w:rPr>
                                <w:rFonts w:asciiTheme="minorHAnsi" w:eastAsia="Yu Gothic UI Semibold" w:cstheme="minorBidi"/>
                                <w:color w:val="000000" w:themeColor="text1"/>
                                <w:kern w:val="24"/>
                                <w:lang w:val="en-US"/>
                              </w:rPr>
                              <w:t xml:space="preserve">s research aligns well </w:t>
                            </w:r>
                            <w:r>
                              <w:rPr>
                                <w:rFonts w:asciiTheme="minorHAnsi" w:eastAsia="Yu Gothic UI Semibold" w:cstheme="minorBidi"/>
                                <w:color w:val="000000" w:themeColor="text1"/>
                                <w:kern w:val="24"/>
                                <w:lang w:val="en-US"/>
                              </w:rPr>
                              <w:t xml:space="preserve">with </w:t>
                            </w:r>
                            <w:r w:rsidRPr="00624931">
                              <w:rPr>
                                <w:rFonts w:asciiTheme="minorHAnsi" w:eastAsia="Yu Gothic UI Semibold" w:cstheme="minorBidi"/>
                                <w:color w:val="000000" w:themeColor="text1"/>
                                <w:kern w:val="24"/>
                                <w:lang w:val="en-US"/>
                              </w:rPr>
                              <w:t>the Government</w:t>
                            </w:r>
                            <w:r w:rsidRPr="00624931">
                              <w:rPr>
                                <w:rFonts w:asciiTheme="minorHAnsi" w:eastAsia="Yu Gothic UI Semibold" w:cstheme="minorBidi"/>
                                <w:color w:val="000000" w:themeColor="text1"/>
                                <w:kern w:val="24"/>
                                <w:lang w:val="en-US"/>
                              </w:rPr>
                              <w:t>’</w:t>
                            </w:r>
                            <w:r w:rsidRPr="00624931">
                              <w:rPr>
                                <w:rFonts w:asciiTheme="minorHAnsi" w:eastAsia="Yu Gothic UI Semibold" w:cstheme="minorBidi"/>
                                <w:color w:val="000000" w:themeColor="text1"/>
                                <w:kern w:val="24"/>
                                <w:lang w:val="en-US"/>
                              </w:rPr>
                              <w:t>s 2015 science and technology priorities.</w:t>
                            </w:r>
                          </w:p>
                        </w:txbxContent>
                      </wps:txbx>
                      <wps:bodyPr wrap="square" rtlCol="0">
                        <a:noAutofit/>
                      </wps:bodyPr>
                    </wps:wsp>
                  </a:graphicData>
                </a:graphic>
                <wp14:sizeRelV relativeFrom="margin">
                  <wp14:pctHeight>0</wp14:pctHeight>
                </wp14:sizeRelV>
              </wp:anchor>
            </w:drawing>
          </mc:Choice>
          <mc:Fallback>
            <w:pict>
              <v:shape w14:anchorId="764FF3ED" id="Text Box 223" o:spid="_x0000_s1053" type="#_x0000_t202" alt="&quot;&quot;" style="position:absolute;margin-left:212.45pt;margin-top:152.35pt;width:176pt;height:50.6pt;z-index:251759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" filled="f" stroked="f">
                <v:textbox>
                  <w:txbxContent>
                    <w:p w14:paraId="7F90E5B3" w14:textId="77777777" w:rsidR="002B32A0" w:rsidRPr="00624931" w:rsidRDefault="002B32A0" w:rsidP="002B32A0">
                      <w:pPr>
                        <w:spacing w:line="204" w:lineRule="auto"/>
                        <w:rPr>
                          <w:rFonts w:asciiTheme="minorHAnsi" w:eastAsia="Yu Gothic UI Semibold" w:cstheme="minorBidi"/>
                          <w:color w:val="000000" w:themeColor="text1"/>
                          <w:kern w:val="24"/>
                          <w:sz w:val="28"/>
                          <w:szCs w:val="28"/>
                          <w:lang w:val="en-US"/>
                        </w:rPr>
                      </w:pPr>
                      <w:r w:rsidRPr="00624931">
                        <w:rPr>
                          <w:rFonts w:asciiTheme="minorHAnsi" w:eastAsia="Yu Gothic UI Semibold" w:cstheme="minorBidi"/>
                          <w:color w:val="000000" w:themeColor="text1"/>
                          <w:kern w:val="24"/>
                          <w:lang w:val="en-US"/>
                        </w:rPr>
                        <w:t xml:space="preserve">Curtin </w:t>
                      </w:r>
                      <w:r>
                        <w:rPr>
                          <w:rFonts w:asciiTheme="minorHAnsi" w:eastAsia="Yu Gothic UI Semibold" w:cstheme="minorBidi"/>
                          <w:color w:val="000000" w:themeColor="text1"/>
                          <w:kern w:val="24"/>
                          <w:lang w:val="en-US"/>
                        </w:rPr>
                        <w:t>U</w:t>
                      </w:r>
                      <w:r w:rsidRPr="00624931">
                        <w:rPr>
                          <w:rFonts w:asciiTheme="minorHAnsi" w:eastAsia="Yu Gothic UI Semibold" w:cstheme="minorBidi"/>
                          <w:color w:val="000000" w:themeColor="text1"/>
                          <w:kern w:val="24"/>
                          <w:lang w:val="en-US"/>
                        </w:rPr>
                        <w:t>niversity</w:t>
                      </w:r>
                      <w:r w:rsidRPr="00624931">
                        <w:rPr>
                          <w:rFonts w:asciiTheme="minorHAnsi" w:eastAsia="Yu Gothic UI Semibold" w:cstheme="minorBidi"/>
                          <w:color w:val="000000" w:themeColor="text1"/>
                          <w:kern w:val="24"/>
                          <w:lang w:val="en-US"/>
                        </w:rPr>
                        <w:t>’</w:t>
                      </w:r>
                      <w:r w:rsidRPr="00624931">
                        <w:rPr>
                          <w:rFonts w:asciiTheme="minorHAnsi" w:eastAsia="Yu Gothic UI Semibold" w:cstheme="minorBidi"/>
                          <w:color w:val="000000" w:themeColor="text1"/>
                          <w:kern w:val="24"/>
                          <w:lang w:val="en-US"/>
                        </w:rPr>
                        <w:t xml:space="preserve">s research aligns well </w:t>
                      </w:r>
                      <w:r>
                        <w:rPr>
                          <w:rFonts w:asciiTheme="minorHAnsi" w:eastAsia="Yu Gothic UI Semibold" w:cstheme="minorBidi"/>
                          <w:color w:val="000000" w:themeColor="text1"/>
                          <w:kern w:val="24"/>
                          <w:lang w:val="en-US"/>
                        </w:rPr>
                        <w:t xml:space="preserve">with </w:t>
                      </w:r>
                      <w:r w:rsidRPr="00624931">
                        <w:rPr>
                          <w:rFonts w:asciiTheme="minorHAnsi" w:eastAsia="Yu Gothic UI Semibold" w:cstheme="minorBidi"/>
                          <w:color w:val="000000" w:themeColor="text1"/>
                          <w:kern w:val="24"/>
                          <w:lang w:val="en-US"/>
                        </w:rPr>
                        <w:t>the Government</w:t>
                      </w:r>
                      <w:r w:rsidRPr="00624931">
                        <w:rPr>
                          <w:rFonts w:asciiTheme="minorHAnsi" w:eastAsia="Yu Gothic UI Semibold" w:cstheme="minorBidi"/>
                          <w:color w:val="000000" w:themeColor="text1"/>
                          <w:kern w:val="24"/>
                          <w:lang w:val="en-US"/>
                        </w:rPr>
                        <w:t>’</w:t>
                      </w:r>
                      <w:r w:rsidRPr="00624931">
                        <w:rPr>
                          <w:rFonts w:asciiTheme="minorHAnsi" w:eastAsia="Yu Gothic UI Semibold" w:cstheme="minorBidi"/>
                          <w:color w:val="000000" w:themeColor="text1"/>
                          <w:kern w:val="24"/>
                          <w:lang w:val="en-US"/>
                        </w:rPr>
                        <w:t>s 2015 science and technology priorities.</w:t>
                      </w:r>
                    </w:p>
                  </w:txbxContent>
                </v:textbox>
              </v:shape>
            </w:pict>
          </mc:Fallback>
        </mc:AlternateContent>
      </w:r>
      <w:r w:rsidRPr="00CE1D7F">
        <w:rPr>
          <w:noProof/>
        </w:rPr>
        <w:drawing>
          <wp:anchor distT="0" distB="0" distL="114300" distR="114300" simplePos="0" relativeHeight="251758592" behindDoc="0" locked="0" layoutInCell="1" allowOverlap="1" wp14:anchorId="663B2934" wp14:editId="06A89187">
            <wp:simplePos x="0" y="0"/>
            <wp:positionH relativeFrom="column">
              <wp:posOffset>1938020</wp:posOffset>
            </wp:positionH>
            <wp:positionV relativeFrom="paragraph">
              <wp:posOffset>1894840</wp:posOffset>
            </wp:positionV>
            <wp:extent cx="582295" cy="593725"/>
            <wp:effectExtent l="0" t="0" r="0" b="0"/>
            <wp:wrapNone/>
            <wp:docPr id="692" name="Picture 69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Picture 555" descr="Icon&#10;&#10;Description automatically generated"/>
                    <pic:cNvPicPr>
                      <a:picLocks noChangeAspect="1"/>
                    </pic:cNvPicPr>
                  </pic:nvPicPr>
                  <pic:blipFill>
                    <a:blip r:embed="rId138" cstate="print">
                      <a:extLst>
                        <a:ext uri="{BEBA8EAE-BF5A-486C-A8C5-ECC9F3942E4B}">
                          <a14:imgProps xmlns:a14="http://schemas.microsoft.com/office/drawing/2010/main">
                            <a14:imgLayer r:embed="rId139">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582295" cy="593725"/>
                    </a:xfrm>
                    <a:prstGeom prst="rect">
                      <a:avLst/>
                    </a:prstGeom>
                  </pic:spPr>
                </pic:pic>
              </a:graphicData>
            </a:graphic>
          </wp:anchor>
        </w:drawing>
      </w:r>
      <w:r w:rsidRPr="00CE1D7F">
        <w:rPr>
          <w:noProof/>
        </w:rPr>
        <mc:AlternateContent>
          <mc:Choice Requires="wps">
            <w:drawing>
              <wp:anchor distT="0" distB="0" distL="114300" distR="114300" simplePos="0" relativeHeight="251748352" behindDoc="0" locked="0" layoutInCell="1" allowOverlap="1" wp14:anchorId="0BE38F29" wp14:editId="33F7C454">
                <wp:simplePos x="0" y="0"/>
                <wp:positionH relativeFrom="column">
                  <wp:posOffset>-262741</wp:posOffset>
                </wp:positionH>
                <wp:positionV relativeFrom="paragraph">
                  <wp:posOffset>226189</wp:posOffset>
                </wp:positionV>
                <wp:extent cx="1703705" cy="733530"/>
                <wp:effectExtent l="0" t="0" r="0" b="0"/>
                <wp:wrapNone/>
                <wp:docPr id="224" name="Text Box 2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703705" cy="733530"/>
                        </a:xfrm>
                        <a:prstGeom prst="rect">
                          <a:avLst/>
                        </a:prstGeom>
                        <a:noFill/>
                      </wps:spPr>
                      <wps:txbx>
                        <w:txbxContent>
                          <w:p w14:paraId="5D135002" w14:textId="77777777" w:rsidR="002B32A0" w:rsidRDefault="002B32A0" w:rsidP="002B32A0">
                            <w:pPr>
                              <w:spacing w:line="204" w:lineRule="auto"/>
                              <w:rPr>
                                <w:rFonts w:asciiTheme="minorHAnsi" w:eastAsia="Yu Gothic UI Semibold" w:cstheme="minorBidi"/>
                                <w:color w:val="000000" w:themeColor="text1"/>
                                <w:kern w:val="24"/>
                              </w:rPr>
                            </w:pPr>
                            <w:r w:rsidRPr="00240D8D">
                              <w:rPr>
                                <w:rFonts w:asciiTheme="minorHAnsi" w:eastAsia="Yu Gothic UI Semibold" w:cstheme="minorBidi"/>
                                <w:b/>
                                <w:bCs/>
                                <w:color w:val="000000" w:themeColor="text1"/>
                                <w:kern w:val="24"/>
                              </w:rPr>
                              <w:t>$1.3m</w:t>
                            </w:r>
                            <w:r w:rsidRPr="00240D8D">
                              <w:rPr>
                                <w:rFonts w:asciiTheme="minorHAnsi" w:eastAsia="Yu Gothic UI Semibold" w:cstheme="minorBidi"/>
                                <w:b/>
                                <w:bCs/>
                                <w:color w:val="000000" w:themeColor="text1"/>
                                <w:kern w:val="24"/>
                                <w:sz w:val="24"/>
                                <w:szCs w:val="24"/>
                              </w:rPr>
                              <w:t xml:space="preserve"> </w:t>
                            </w:r>
                            <w:r w:rsidRPr="00D40B4C">
                              <w:rPr>
                                <w:rFonts w:asciiTheme="minorHAnsi" w:eastAsia="Yu Gothic UI Semibold" w:cstheme="minorBidi"/>
                                <w:color w:val="000000" w:themeColor="text1"/>
                                <w:kern w:val="24"/>
                                <w:sz w:val="24"/>
                                <w:szCs w:val="24"/>
                              </w:rPr>
                              <w:t>in</w:t>
                            </w:r>
                            <w:r>
                              <w:rPr>
                                <w:rFonts w:asciiTheme="minorHAnsi" w:eastAsia="Yu Gothic UI Semibold" w:cstheme="minorBidi"/>
                                <w:b/>
                                <w:bCs/>
                                <w:color w:val="000000" w:themeColor="text1"/>
                                <w:kern w:val="24"/>
                                <w:sz w:val="24"/>
                                <w:szCs w:val="24"/>
                              </w:rPr>
                              <w:t xml:space="preserve"> </w:t>
                            </w:r>
                            <w:r w:rsidRPr="00240D8D">
                              <w:rPr>
                                <w:rFonts w:asciiTheme="minorHAnsi" w:eastAsia="Yu Gothic UI Semibold" w:cstheme="minorBidi"/>
                                <w:color w:val="000000" w:themeColor="text1"/>
                                <w:kern w:val="24"/>
                              </w:rPr>
                              <w:t>cash support from the ARC</w:t>
                            </w:r>
                            <w:r>
                              <w:rPr>
                                <w:rFonts w:asciiTheme="minorHAnsi" w:eastAsia="Yu Gothic UI Semibold" w:cstheme="minorBidi"/>
                                <w:color w:val="000000" w:themeColor="text1"/>
                                <w:kern w:val="24"/>
                              </w:rPr>
                              <w:t>,</w:t>
                            </w:r>
                            <w:r w:rsidRPr="00240D8D">
                              <w:rPr>
                                <w:rFonts w:asciiTheme="minorHAnsi" w:eastAsia="Yu Gothic UI Semibold" w:cstheme="minorBidi"/>
                                <w:color w:val="000000" w:themeColor="text1"/>
                                <w:kern w:val="24"/>
                              </w:rPr>
                              <w:t xml:space="preserve"> and</w:t>
                            </w:r>
                            <w:r>
                              <w:rPr>
                                <w:rFonts w:asciiTheme="minorHAnsi" w:eastAsia="Yu Gothic UI Semibold" w:cstheme="minorBidi"/>
                                <w:b/>
                                <w:bCs/>
                                <w:color w:val="000000" w:themeColor="text1"/>
                                <w:kern w:val="24"/>
                              </w:rPr>
                              <w:t xml:space="preserve"> </w:t>
                            </w:r>
                            <w:r w:rsidRPr="00240D8D">
                              <w:rPr>
                                <w:rFonts w:asciiTheme="minorHAnsi" w:eastAsia="Yu Gothic UI Semibold" w:cstheme="minorBidi"/>
                                <w:b/>
                                <w:bCs/>
                                <w:color w:val="000000" w:themeColor="text1"/>
                                <w:kern w:val="24"/>
                              </w:rPr>
                              <w:t xml:space="preserve">$3.65m </w:t>
                            </w:r>
                            <w:r w:rsidRPr="00240D8D">
                              <w:rPr>
                                <w:rFonts w:asciiTheme="minorHAnsi" w:eastAsia="Yu Gothic UI Semibold" w:cstheme="minorBidi"/>
                                <w:color w:val="000000" w:themeColor="text1"/>
                                <w:kern w:val="24"/>
                              </w:rPr>
                              <w:t>cash and in-kind support from other organisations</w:t>
                            </w:r>
                            <w:r>
                              <w:rPr>
                                <w:rFonts w:asciiTheme="minorHAnsi" w:eastAsia="Yu Gothic UI Semibold" w:cstheme="minorBidi"/>
                                <w:color w:val="000000" w:themeColor="text1"/>
                                <w:kern w:val="24"/>
                              </w:rPr>
                              <w:t xml:space="preserve"> </w:t>
                            </w:r>
                          </w:p>
                        </w:txbxContent>
                      </wps:txbx>
                      <wps:bodyPr wrap="square" rtlCol="0">
                        <a:noAutofit/>
                      </wps:bodyPr>
                    </wps:wsp>
                  </a:graphicData>
                </a:graphic>
                <wp14:sizeRelV relativeFrom="margin">
                  <wp14:pctHeight>0</wp14:pctHeight>
                </wp14:sizeRelV>
              </wp:anchor>
            </w:drawing>
          </mc:Choice>
          <mc:Fallback>
            <w:pict>
              <v:shape w14:anchorId="0BE38F29" id="Text Box 224" o:spid="_x0000_s1054" type="#_x0000_t202" alt="&quot;&quot;" style="position:absolute;margin-left:-20.7pt;margin-top:17.8pt;width:134.15pt;height:57.75pt;z-index:251748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" filled="f" stroked="f">
                <v:textbox>
                  <w:txbxContent>
                    <w:p w14:paraId="5D135002" w14:textId="77777777" w:rsidR="002B32A0" w:rsidRDefault="002B32A0" w:rsidP="002B32A0">
                      <w:pPr>
                        <w:spacing w:line="204" w:lineRule="auto"/>
                        <w:rPr>
                          <w:rFonts w:asciiTheme="minorHAnsi" w:eastAsia="Yu Gothic UI Semibold" w:cstheme="minorBidi"/>
                          <w:color w:val="000000" w:themeColor="text1"/>
                          <w:kern w:val="24"/>
                        </w:rPr>
                      </w:pPr>
                      <w:r w:rsidRPr="00240D8D">
                        <w:rPr>
                          <w:rFonts w:asciiTheme="minorHAnsi" w:eastAsia="Yu Gothic UI Semibold" w:cstheme="minorBidi"/>
                          <w:b/>
                          <w:bCs/>
                          <w:color w:val="000000" w:themeColor="text1"/>
                          <w:kern w:val="24"/>
                        </w:rPr>
                        <w:t>$1.3m</w:t>
                      </w:r>
                      <w:r w:rsidRPr="00240D8D">
                        <w:rPr>
                          <w:rFonts w:asciiTheme="minorHAnsi" w:eastAsia="Yu Gothic UI Semibold" w:cstheme="minorBidi"/>
                          <w:b/>
                          <w:bCs/>
                          <w:color w:val="000000" w:themeColor="text1"/>
                          <w:kern w:val="24"/>
                          <w:sz w:val="24"/>
                          <w:szCs w:val="24"/>
                        </w:rPr>
                        <w:t xml:space="preserve"> </w:t>
                      </w:r>
                      <w:r w:rsidRPr="00D40B4C">
                        <w:rPr>
                          <w:rFonts w:asciiTheme="minorHAnsi" w:eastAsia="Yu Gothic UI Semibold" w:cstheme="minorBidi"/>
                          <w:color w:val="000000" w:themeColor="text1"/>
                          <w:kern w:val="24"/>
                          <w:sz w:val="24"/>
                          <w:szCs w:val="24"/>
                        </w:rPr>
                        <w:t>in</w:t>
                      </w:r>
                      <w:r>
                        <w:rPr>
                          <w:rFonts w:asciiTheme="minorHAnsi" w:eastAsia="Yu Gothic UI Semibold" w:cstheme="minorBidi"/>
                          <w:b/>
                          <w:bCs/>
                          <w:color w:val="000000" w:themeColor="text1"/>
                          <w:kern w:val="24"/>
                          <w:sz w:val="24"/>
                          <w:szCs w:val="24"/>
                        </w:rPr>
                        <w:t xml:space="preserve"> </w:t>
                      </w:r>
                      <w:r w:rsidRPr="00240D8D">
                        <w:rPr>
                          <w:rFonts w:asciiTheme="minorHAnsi" w:eastAsia="Yu Gothic UI Semibold" w:cstheme="minorBidi"/>
                          <w:color w:val="000000" w:themeColor="text1"/>
                          <w:kern w:val="24"/>
                        </w:rPr>
                        <w:t>cash support from the ARC</w:t>
                      </w:r>
                      <w:r>
                        <w:rPr>
                          <w:rFonts w:asciiTheme="minorHAnsi" w:eastAsia="Yu Gothic UI Semibold" w:cstheme="minorBidi"/>
                          <w:color w:val="000000" w:themeColor="text1"/>
                          <w:kern w:val="24"/>
                        </w:rPr>
                        <w:t>,</w:t>
                      </w:r>
                      <w:r w:rsidRPr="00240D8D">
                        <w:rPr>
                          <w:rFonts w:asciiTheme="minorHAnsi" w:eastAsia="Yu Gothic UI Semibold" w:cstheme="minorBidi"/>
                          <w:color w:val="000000" w:themeColor="text1"/>
                          <w:kern w:val="24"/>
                        </w:rPr>
                        <w:t xml:space="preserve"> and</w:t>
                      </w:r>
                      <w:r>
                        <w:rPr>
                          <w:rFonts w:asciiTheme="minorHAnsi" w:eastAsia="Yu Gothic UI Semibold" w:cstheme="minorBidi"/>
                          <w:b/>
                          <w:bCs/>
                          <w:color w:val="000000" w:themeColor="text1"/>
                          <w:kern w:val="24"/>
                        </w:rPr>
                        <w:t xml:space="preserve"> </w:t>
                      </w:r>
                      <w:r w:rsidRPr="00240D8D">
                        <w:rPr>
                          <w:rFonts w:asciiTheme="minorHAnsi" w:eastAsia="Yu Gothic UI Semibold" w:cstheme="minorBidi"/>
                          <w:b/>
                          <w:bCs/>
                          <w:color w:val="000000" w:themeColor="text1"/>
                          <w:kern w:val="24"/>
                        </w:rPr>
                        <w:t xml:space="preserve">$3.65m </w:t>
                      </w:r>
                      <w:r w:rsidRPr="00240D8D">
                        <w:rPr>
                          <w:rFonts w:asciiTheme="minorHAnsi" w:eastAsia="Yu Gothic UI Semibold" w:cstheme="minorBidi"/>
                          <w:color w:val="000000" w:themeColor="text1"/>
                          <w:kern w:val="24"/>
                        </w:rPr>
                        <w:t>cash and in-kind support from other organisations</w:t>
                      </w:r>
                      <w:r>
                        <w:rPr>
                          <w:rFonts w:asciiTheme="minorHAnsi" w:eastAsia="Yu Gothic UI Semibold" w:cstheme="minorBidi"/>
                          <w:color w:val="000000" w:themeColor="text1"/>
                          <w:kern w:val="24"/>
                        </w:rPr>
                        <w:t xml:space="preserve"> </w:t>
                      </w:r>
                    </w:p>
                  </w:txbxContent>
                </v:textbox>
              </v:shape>
            </w:pict>
          </mc:Fallback>
        </mc:AlternateContent>
      </w:r>
      <w:r w:rsidRPr="00CE1D7F">
        <w:rPr>
          <w:noProof/>
        </w:rPr>
        <mc:AlternateContent>
          <mc:Choice Requires="wps">
            <w:drawing>
              <wp:anchor distT="0" distB="0" distL="114300" distR="114300" simplePos="0" relativeHeight="251757568" behindDoc="0" locked="0" layoutInCell="1" allowOverlap="1" wp14:anchorId="43339957" wp14:editId="2D8E7BBE">
                <wp:simplePos x="0" y="0"/>
                <wp:positionH relativeFrom="page">
                  <wp:align>center</wp:align>
                </wp:positionH>
                <wp:positionV relativeFrom="paragraph">
                  <wp:posOffset>44450</wp:posOffset>
                </wp:positionV>
                <wp:extent cx="6248400" cy="2733675"/>
                <wp:effectExtent l="19050" t="19050" r="19050" b="28575"/>
                <wp:wrapNone/>
                <wp:docPr id="225" name="Rectangle: Rounded Corners 2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248400" cy="2733675"/>
                        </a:xfrm>
                        <a:prstGeom prst="roundRect">
                          <a:avLst>
                            <a:gd name="adj" fmla="val 6814"/>
                          </a:avLst>
                        </a:prstGeom>
                        <a:noFill/>
                        <a:ln w="34925" cap="rnd">
                          <a:solidFill>
                            <a:schemeClr val="tx2"/>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7895F8B3" id="Rectangle: Rounded Corners 225" o:spid="_x0000_s1026" alt="&quot;&quot;" style="position:absolute;margin-left:0;margin-top:3.5pt;width:492pt;height:215.25pt;z-index:25175756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arcsize="446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" filled="f" strokecolor="#6c3f99 [3215]" strokeweight="2.75pt">
                <v:stroke dashstyle="1 1" joinstyle="miter" endcap="round"/>
                <w10:wrap anchorx="page"/>
              </v:roundrect>
            </w:pict>
          </mc:Fallback>
        </mc:AlternateContent>
      </w:r>
    </w:p>
    <w:p w14:paraId="0ECC9677" w14:textId="77777777" w:rsidR="002B32A0" w:rsidRPr="00CE1D7F" w:rsidRDefault="002B32A0" w:rsidP="002B32A0">
      <w:pPr>
        <w:pStyle w:val="BodyText"/>
      </w:pPr>
      <w:r w:rsidRPr="00CE1D7F">
        <w:rPr>
          <w:noProof/>
        </w:rPr>
        <w:drawing>
          <wp:anchor distT="0" distB="0" distL="114300" distR="114300" simplePos="0" relativeHeight="251751424" behindDoc="0" locked="0" layoutInCell="1" allowOverlap="1" wp14:anchorId="4E2DF965" wp14:editId="54C57B92">
            <wp:simplePos x="0" y="0"/>
            <wp:positionH relativeFrom="page">
              <wp:posOffset>3923417</wp:posOffset>
            </wp:positionH>
            <wp:positionV relativeFrom="paragraph">
              <wp:posOffset>88009</wp:posOffset>
            </wp:positionV>
            <wp:extent cx="514418" cy="514877"/>
            <wp:effectExtent l="0" t="0" r="0" b="0"/>
            <wp:wrapNone/>
            <wp:docPr id="693" name="Picture 69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192" descr="Icon&#10;&#10;Description automatically generated"/>
                    <pic:cNvPicPr>
                      <a:picLocks noChangeAspect="1"/>
                    </pic:cNvPicPr>
                  </pic:nvPicPr>
                  <pic:blipFill>
                    <a:blip r:embed="rId136" cstate="print">
                      <a:extLst>
                        <a:ext uri="{BEBA8EAE-BF5A-486C-A8C5-ECC9F3942E4B}">
                          <a14:imgProps xmlns:a14="http://schemas.microsoft.com/office/drawing/2010/main">
                            <a14:imgLayer r:embed="rId137">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514418" cy="514877"/>
                    </a:xfrm>
                    <a:prstGeom prst="rect">
                      <a:avLst/>
                    </a:prstGeom>
                  </pic:spPr>
                </pic:pic>
              </a:graphicData>
            </a:graphic>
          </wp:anchor>
        </w:drawing>
      </w:r>
    </w:p>
    <w:p w14:paraId="59B512FE" w14:textId="77777777" w:rsidR="002B32A0" w:rsidRPr="00CE1D7F" w:rsidRDefault="002B32A0" w:rsidP="002B32A0">
      <w:pPr>
        <w:pStyle w:val="BodyText"/>
      </w:pPr>
    </w:p>
    <w:p w14:paraId="12A68A38" w14:textId="77777777" w:rsidR="002B32A0" w:rsidRPr="00CE1D7F" w:rsidRDefault="002B32A0" w:rsidP="002B32A0">
      <w:pPr>
        <w:pStyle w:val="BodyText"/>
      </w:pPr>
      <w:r w:rsidRPr="00CE1D7F">
        <w:rPr>
          <w:noProof/>
        </w:rPr>
        <mc:AlternateContent>
          <mc:Choice Requires="wps">
            <w:drawing>
              <wp:anchor distT="0" distB="0" distL="114300" distR="114300" simplePos="0" relativeHeight="251756544" behindDoc="0" locked="0" layoutInCell="1" allowOverlap="1" wp14:anchorId="37226EC0" wp14:editId="3EFF8601">
                <wp:simplePos x="0" y="0"/>
                <wp:positionH relativeFrom="column">
                  <wp:posOffset>-276076</wp:posOffset>
                </wp:positionH>
                <wp:positionV relativeFrom="paragraph">
                  <wp:posOffset>139194</wp:posOffset>
                </wp:positionV>
                <wp:extent cx="1718268" cy="726438"/>
                <wp:effectExtent l="0" t="0" r="0" b="0"/>
                <wp:wrapNone/>
                <wp:docPr id="227" name="Text Box 2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718268" cy="726438"/>
                        </a:xfrm>
                        <a:prstGeom prst="rect">
                          <a:avLst/>
                        </a:prstGeom>
                        <a:noFill/>
                      </wps:spPr>
                      <wps:txbx>
                        <w:txbxContent>
                          <w:p w14:paraId="685FAF00" w14:textId="77777777" w:rsidR="002B32A0" w:rsidRPr="00105EEA" w:rsidRDefault="002B32A0" w:rsidP="002B32A0">
                            <w:pPr>
                              <w:spacing w:line="204" w:lineRule="auto"/>
                              <w:rPr>
                                <w:rFonts w:cstheme="minorBidi"/>
                                <w:color w:val="000000" w:themeColor="text1"/>
                                <w:kern w:val="24"/>
                                <w:sz w:val="24"/>
                                <w:szCs w:val="24"/>
                              </w:rPr>
                            </w:pPr>
                            <w:r>
                              <w:rPr>
                                <w:rFonts w:cstheme="minorBidi"/>
                                <w:color w:val="000000" w:themeColor="text1"/>
                                <w:kern w:val="24"/>
                              </w:rPr>
                              <w:t xml:space="preserve">The project demonstrated the feasibility of groundwater reinjection of wastewater and led to the construction of a plant that annually reinjects 28GL of treated wastewater </w:t>
                            </w:r>
                          </w:p>
                        </w:txbxContent>
                      </wps:txbx>
                      <wps:bodyPr wrap="square" rtlCol="0">
                        <a:spAutoFit/>
                      </wps:bodyPr>
                    </wps:wsp>
                  </a:graphicData>
                </a:graphic>
                <wp14:sizeRelH relativeFrom="margin">
                  <wp14:pctWidth>0</wp14:pctWidth>
                </wp14:sizeRelH>
              </wp:anchor>
            </w:drawing>
          </mc:Choice>
          <mc:Fallback>
            <w:pict>
              <v:shape w14:anchorId="37226EC0" id="Text Box 227" o:spid="_x0000_s1055" type="#_x0000_t202" alt="&quot;&quot;" style="position:absolute;margin-left:-21.75pt;margin-top:10.95pt;width:135.3pt;height:57.2pt;z-index:251756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" filled="f" stroked="f">
                <v:textbox style="mso-fit-shape-to-text:t">
                  <w:txbxContent>
                    <w:p w14:paraId="685FAF00" w14:textId="77777777" w:rsidR="002B32A0" w:rsidRPr="00105EEA" w:rsidRDefault="002B32A0" w:rsidP="002B32A0">
                      <w:pPr>
                        <w:spacing w:line="204" w:lineRule="auto"/>
                        <w:rPr>
                          <w:rFonts w:cstheme="minorBidi"/>
                          <w:color w:val="000000" w:themeColor="text1"/>
                          <w:kern w:val="24"/>
                          <w:sz w:val="24"/>
                          <w:szCs w:val="24"/>
                        </w:rPr>
                      </w:pPr>
                      <w:r>
                        <w:rPr>
                          <w:rFonts w:cstheme="minorBidi"/>
                          <w:color w:val="000000" w:themeColor="text1"/>
                          <w:kern w:val="24"/>
                        </w:rPr>
                        <w:t xml:space="preserve">The project demonstrated the feasibility of groundwater reinjection of wastewater and led to the construction of a plant that annually reinjects 28GL of treated wastewater </w:t>
                      </w:r>
                    </w:p>
                  </w:txbxContent>
                </v:textbox>
              </v:shape>
            </w:pict>
          </mc:Fallback>
        </mc:AlternateContent>
      </w:r>
    </w:p>
    <w:p w14:paraId="1A11480F" w14:textId="77777777" w:rsidR="002B32A0" w:rsidRPr="00CE1D7F" w:rsidRDefault="002B32A0" w:rsidP="002B32A0">
      <w:pPr>
        <w:pStyle w:val="BodyText"/>
      </w:pPr>
      <w:r w:rsidRPr="00CE1D7F">
        <w:rPr>
          <w:noProof/>
        </w:rPr>
        <mc:AlternateContent>
          <mc:Choice Requires="wps">
            <w:drawing>
              <wp:anchor distT="0" distB="0" distL="114300" distR="114300" simplePos="0" relativeHeight="251750400" behindDoc="0" locked="0" layoutInCell="1" allowOverlap="1" wp14:anchorId="6BC4AE6D" wp14:editId="7364722C">
                <wp:simplePos x="0" y="0"/>
                <wp:positionH relativeFrom="margin">
                  <wp:posOffset>2674562</wp:posOffset>
                </wp:positionH>
                <wp:positionV relativeFrom="paragraph">
                  <wp:posOffset>54808</wp:posOffset>
                </wp:positionV>
                <wp:extent cx="2006345" cy="610870"/>
                <wp:effectExtent l="0" t="0" r="0" b="0"/>
                <wp:wrapNone/>
                <wp:docPr id="229" name="Text Box 2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006345" cy="610870"/>
                        </a:xfrm>
                        <a:prstGeom prst="rect">
                          <a:avLst/>
                        </a:prstGeom>
                        <a:noFill/>
                      </wps:spPr>
                      <wps:txbx>
                        <w:txbxContent>
                          <w:p w14:paraId="044C4D23" w14:textId="77777777" w:rsidR="002B32A0" w:rsidRPr="00624931" w:rsidRDefault="002B32A0" w:rsidP="002B32A0">
                            <w:pPr>
                              <w:spacing w:line="216" w:lineRule="auto"/>
                              <w:rPr>
                                <w:rFonts w:cstheme="minorBidi"/>
                                <w:color w:val="000000" w:themeColor="text1"/>
                                <w:kern w:val="24"/>
                              </w:rPr>
                            </w:pPr>
                            <w:r>
                              <w:rPr>
                                <w:rFonts w:cstheme="minorBidi"/>
                                <w:color w:val="000000" w:themeColor="text1"/>
                                <w:kern w:val="24"/>
                              </w:rPr>
                              <w:t>ARC funding supported and built collaboration between Curtin and the WA Water Corporation</w:t>
                            </w:r>
                            <w:r w:rsidRPr="00624931">
                              <w:rPr>
                                <w:rFonts w:cstheme="minorBidi"/>
                                <w:color w:val="000000" w:themeColor="text1"/>
                                <w:kern w:val="24"/>
                              </w:rPr>
                              <w:t xml:space="preserve"> </w:t>
                            </w:r>
                            <w:r>
                              <w:rPr>
                                <w:rFonts w:cstheme="minorBidi"/>
                                <w:color w:val="000000" w:themeColor="text1"/>
                                <w:kern w:val="24"/>
                              </w:rPr>
                              <w:t>(WAWC)</w:t>
                            </w:r>
                          </w:p>
                        </w:txbxContent>
                      </wps:txbx>
                      <wps:bodyPr wrap="square" rtlCol="0">
                        <a:spAutoFit/>
                      </wps:bodyPr>
                    </wps:wsp>
                  </a:graphicData>
                </a:graphic>
                <wp14:sizeRelH relativeFrom="margin">
                  <wp14:pctWidth>0</wp14:pctWidth>
                </wp14:sizeRelH>
              </wp:anchor>
            </w:drawing>
          </mc:Choice>
          <mc:Fallback>
            <w:pict>
              <v:shape w14:anchorId="6BC4AE6D" id="Text Box 229" o:spid="_x0000_s1056" type="#_x0000_t202" alt="&quot;&quot;" style="position:absolute;margin-left:210.6pt;margin-top:4.3pt;width:158pt;height:48.1pt;z-index:25175040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" filled="f" stroked="f">
                <v:textbox style="mso-fit-shape-to-text:t">
                  <w:txbxContent>
                    <w:p w14:paraId="044C4D23" w14:textId="77777777" w:rsidR="002B32A0" w:rsidRPr="00624931" w:rsidRDefault="002B32A0" w:rsidP="002B32A0">
                      <w:pPr>
                        <w:spacing w:line="216" w:lineRule="auto"/>
                        <w:rPr>
                          <w:rFonts w:cstheme="minorBidi"/>
                          <w:color w:val="000000" w:themeColor="text1"/>
                          <w:kern w:val="24"/>
                        </w:rPr>
                      </w:pPr>
                      <w:r>
                        <w:rPr>
                          <w:rFonts w:cstheme="minorBidi"/>
                          <w:color w:val="000000" w:themeColor="text1"/>
                          <w:kern w:val="24"/>
                        </w:rPr>
                        <w:t>ARC funding supported and built collaboration between Curtin and the WA Water Corporation</w:t>
                      </w:r>
                      <w:r w:rsidRPr="00624931">
                        <w:rPr>
                          <w:rFonts w:cstheme="minorBidi"/>
                          <w:color w:val="000000" w:themeColor="text1"/>
                          <w:kern w:val="24"/>
                        </w:rPr>
                        <w:t xml:space="preserve"> </w:t>
                      </w:r>
                      <w:r>
                        <w:rPr>
                          <w:rFonts w:cstheme="minorBidi"/>
                          <w:color w:val="000000" w:themeColor="text1"/>
                          <w:kern w:val="24"/>
                        </w:rPr>
                        <w:t>(WAWC)</w:t>
                      </w:r>
                    </w:p>
                  </w:txbxContent>
                </v:textbox>
                <w10:wrap anchorx="margin"/>
              </v:shape>
            </w:pict>
          </mc:Fallback>
        </mc:AlternateContent>
      </w:r>
    </w:p>
    <w:p w14:paraId="24062664" w14:textId="77777777" w:rsidR="002B32A0" w:rsidRPr="00CE1D7F" w:rsidRDefault="002B32A0" w:rsidP="002B32A0">
      <w:pPr>
        <w:pStyle w:val="BodyText"/>
      </w:pPr>
    </w:p>
    <w:p w14:paraId="1AFB93FC" w14:textId="77777777" w:rsidR="002B32A0" w:rsidRPr="00CE1D7F" w:rsidRDefault="002B32A0" w:rsidP="002B32A0">
      <w:pPr>
        <w:pStyle w:val="BodyText"/>
      </w:pPr>
    </w:p>
    <w:p w14:paraId="4068F33A" w14:textId="77777777" w:rsidR="002B32A0" w:rsidRPr="00CE1D7F" w:rsidRDefault="002B32A0" w:rsidP="002B32A0">
      <w:pPr>
        <w:pStyle w:val="BodyText"/>
      </w:pPr>
      <w:r w:rsidRPr="00CE1D7F">
        <w:rPr>
          <w:noProof/>
        </w:rPr>
        <mc:AlternateContent>
          <mc:Choice Requires="wps">
            <w:drawing>
              <wp:anchor distT="0" distB="0" distL="114300" distR="114300" simplePos="0" relativeHeight="251754496" behindDoc="0" locked="0" layoutInCell="1" allowOverlap="1" wp14:anchorId="6F7CF572" wp14:editId="27E1132C">
                <wp:simplePos x="0" y="0"/>
                <wp:positionH relativeFrom="column">
                  <wp:posOffset>-276711</wp:posOffset>
                </wp:positionH>
                <wp:positionV relativeFrom="paragraph">
                  <wp:posOffset>158244</wp:posOffset>
                </wp:positionV>
                <wp:extent cx="1703705" cy="664210"/>
                <wp:effectExtent l="0" t="0" r="0" b="0"/>
                <wp:wrapNone/>
                <wp:docPr id="230" name="Text Box 2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703705" cy="664210"/>
                        </a:xfrm>
                        <a:prstGeom prst="rect">
                          <a:avLst/>
                        </a:prstGeom>
                        <a:noFill/>
                      </wps:spPr>
                      <wps:txbx>
                        <w:txbxContent>
                          <w:p w14:paraId="41EA8C9C" w14:textId="77777777" w:rsidR="002B32A0" w:rsidRPr="00624931" w:rsidRDefault="002B32A0" w:rsidP="002B32A0">
                            <w:pPr>
                              <w:spacing w:line="204" w:lineRule="auto"/>
                              <w:rPr>
                                <w:rFonts w:asciiTheme="minorHAnsi" w:eastAsia="Yu Gothic UI Semibold" w:cstheme="minorBidi"/>
                                <w:color w:val="000000" w:themeColor="text1"/>
                                <w:kern w:val="24"/>
                              </w:rPr>
                            </w:pPr>
                            <w:r>
                              <w:rPr>
                                <w:rFonts w:asciiTheme="minorHAnsi" w:eastAsia="Yu Gothic UI Semibold" w:cstheme="minorBidi"/>
                                <w:b/>
                                <w:bCs/>
                                <w:color w:val="000000" w:themeColor="text1"/>
                                <w:kern w:val="24"/>
                              </w:rPr>
                              <w:t>2</w:t>
                            </w:r>
                            <w:r w:rsidRPr="00624931">
                              <w:rPr>
                                <w:rFonts w:asciiTheme="minorHAnsi" w:eastAsia="Yu Gothic UI Semibold" w:cstheme="minorBidi"/>
                                <w:color w:val="000000" w:themeColor="text1"/>
                                <w:kern w:val="24"/>
                              </w:rPr>
                              <w:t xml:space="preserve"> </w:t>
                            </w:r>
                            <w:r>
                              <w:rPr>
                                <w:rFonts w:asciiTheme="minorHAnsi" w:eastAsia="Yu Gothic UI Semibold" w:cstheme="minorBidi"/>
                                <w:color w:val="000000" w:themeColor="text1"/>
                                <w:kern w:val="24"/>
                              </w:rPr>
                              <w:t xml:space="preserve">PhD </w:t>
                            </w:r>
                            <w:r w:rsidRPr="00624931">
                              <w:rPr>
                                <w:rFonts w:cstheme="minorBidi"/>
                                <w:color w:val="000000" w:themeColor="text1"/>
                                <w:kern w:val="24"/>
                              </w:rPr>
                              <w:t xml:space="preserve">students </w:t>
                            </w:r>
                            <w:r>
                              <w:rPr>
                                <w:rFonts w:cstheme="minorBidi"/>
                                <w:color w:val="000000" w:themeColor="text1"/>
                                <w:kern w:val="24"/>
                              </w:rPr>
                              <w:t>were trained</w:t>
                            </w:r>
                            <w:r w:rsidRPr="00624931">
                              <w:rPr>
                                <w:rFonts w:cstheme="minorBidi"/>
                                <w:color w:val="000000" w:themeColor="text1"/>
                                <w:kern w:val="24"/>
                              </w:rPr>
                              <w:t xml:space="preserve"> as a result of the project</w:t>
                            </w:r>
                          </w:p>
                        </w:txbxContent>
                      </wps:txbx>
                      <wps:bodyPr wrap="square" rtlCol="0">
                        <a:noAutofit/>
                      </wps:bodyPr>
                    </wps:wsp>
                  </a:graphicData>
                </a:graphic>
              </wp:anchor>
            </w:drawing>
          </mc:Choice>
          <mc:Fallback>
            <w:pict>
              <v:shape w14:anchorId="6F7CF572" id="Text Box 230" o:spid="_x0000_s1057" type="#_x0000_t202" alt="&quot;&quot;" style="position:absolute;margin-left:-21.8pt;margin-top:12.45pt;width:134.15pt;height:52.3pt;z-index:251754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" filled="f" stroked="f">
                <v:textbox>
                  <w:txbxContent>
                    <w:p w14:paraId="41EA8C9C" w14:textId="77777777" w:rsidR="002B32A0" w:rsidRPr="00624931" w:rsidRDefault="002B32A0" w:rsidP="002B32A0">
                      <w:pPr>
                        <w:spacing w:line="204" w:lineRule="auto"/>
                        <w:rPr>
                          <w:rFonts w:asciiTheme="minorHAnsi" w:eastAsia="Yu Gothic UI Semibold" w:cstheme="minorBidi"/>
                          <w:color w:val="000000" w:themeColor="text1"/>
                          <w:kern w:val="24"/>
                        </w:rPr>
                      </w:pPr>
                      <w:r>
                        <w:rPr>
                          <w:rFonts w:asciiTheme="minorHAnsi" w:eastAsia="Yu Gothic UI Semibold" w:cstheme="minorBidi"/>
                          <w:b/>
                          <w:bCs/>
                          <w:color w:val="000000" w:themeColor="text1"/>
                          <w:kern w:val="24"/>
                        </w:rPr>
                        <w:t>2</w:t>
                      </w:r>
                      <w:r w:rsidRPr="00624931">
                        <w:rPr>
                          <w:rFonts w:asciiTheme="minorHAnsi" w:eastAsia="Yu Gothic UI Semibold" w:cstheme="minorBidi"/>
                          <w:color w:val="000000" w:themeColor="text1"/>
                          <w:kern w:val="24"/>
                        </w:rPr>
                        <w:t xml:space="preserve"> </w:t>
                      </w:r>
                      <w:r>
                        <w:rPr>
                          <w:rFonts w:asciiTheme="minorHAnsi" w:eastAsia="Yu Gothic UI Semibold" w:cstheme="minorBidi"/>
                          <w:color w:val="000000" w:themeColor="text1"/>
                          <w:kern w:val="24"/>
                        </w:rPr>
                        <w:t xml:space="preserve">PhD </w:t>
                      </w:r>
                      <w:r w:rsidRPr="00624931">
                        <w:rPr>
                          <w:rFonts w:cstheme="minorBidi"/>
                          <w:color w:val="000000" w:themeColor="text1"/>
                          <w:kern w:val="24"/>
                        </w:rPr>
                        <w:t xml:space="preserve">students </w:t>
                      </w:r>
                      <w:r>
                        <w:rPr>
                          <w:rFonts w:cstheme="minorBidi"/>
                          <w:color w:val="000000" w:themeColor="text1"/>
                          <w:kern w:val="24"/>
                        </w:rPr>
                        <w:t>were trained</w:t>
                      </w:r>
                      <w:r w:rsidRPr="00624931">
                        <w:rPr>
                          <w:rFonts w:cstheme="minorBidi"/>
                          <w:color w:val="000000" w:themeColor="text1"/>
                          <w:kern w:val="24"/>
                        </w:rPr>
                        <w:t xml:space="preserve"> as a result of the project</w:t>
                      </w:r>
                    </w:p>
                  </w:txbxContent>
                </v:textbox>
              </v:shape>
            </w:pict>
          </mc:Fallback>
        </mc:AlternateContent>
      </w:r>
    </w:p>
    <w:p w14:paraId="1547D941" w14:textId="77777777" w:rsidR="002B32A0" w:rsidRPr="00CE1D7F" w:rsidRDefault="002B32A0" w:rsidP="002B32A0">
      <w:pPr>
        <w:pStyle w:val="BodyText"/>
      </w:pPr>
    </w:p>
    <w:p w14:paraId="00665CA6" w14:textId="77777777" w:rsidR="002B32A0" w:rsidRPr="00CE1D7F" w:rsidRDefault="002B32A0" w:rsidP="002B32A0">
      <w:pPr>
        <w:pStyle w:val="BodyText"/>
      </w:pPr>
    </w:p>
    <w:p w14:paraId="71FCEB19" w14:textId="77777777" w:rsidR="002B32A0" w:rsidRPr="00CE1D7F" w:rsidRDefault="002B32A0" w:rsidP="002B32A0">
      <w:pPr>
        <w:pStyle w:val="BodyText"/>
      </w:pPr>
    </w:p>
    <w:p w14:paraId="0ED41107" w14:textId="77777777" w:rsidR="002B32A0" w:rsidRPr="00CE1D7F" w:rsidRDefault="002B32A0" w:rsidP="0075091B">
      <w:pPr>
        <w:pStyle w:val="Heading2"/>
        <w:spacing w:before="480"/>
      </w:pPr>
      <w:bookmarkStart w:id="285" w:name="_Toc129964006"/>
      <w:bookmarkStart w:id="286" w:name="_Toc131174644"/>
      <w:bookmarkStart w:id="287" w:name="_Toc132970675"/>
      <w:bookmarkStart w:id="288" w:name="_Toc135323714"/>
      <w:r w:rsidRPr="00CE1D7F">
        <w:t>Case study framework</w:t>
      </w:r>
      <w:bookmarkEnd w:id="285"/>
      <w:bookmarkEnd w:id="286"/>
      <w:bookmarkEnd w:id="287"/>
      <w:bookmarkEnd w:id="288"/>
    </w:p>
    <w:p w14:paraId="789DED77" w14:textId="369C3FF8" w:rsidR="00AF39FB" w:rsidRDefault="002B32A0" w:rsidP="002B32A0">
      <w:pPr>
        <w:pStyle w:val="BodyText"/>
      </w:pPr>
      <w:r w:rsidRPr="00CE1D7F">
        <w:t>This case study uses an evaluation framework</w:t>
      </w:r>
      <w:r>
        <w:t xml:space="preserve"> that ACIL Allen has used</w:t>
      </w:r>
      <w:r w:rsidRPr="00CE1D7F">
        <w:t xml:space="preserve"> to assess the impact and value of research undertaken by many organisations.</w:t>
      </w:r>
      <w:r w:rsidRPr="00CE1D7F">
        <w:rPr>
          <w:rStyle w:val="FootnoteReference"/>
        </w:rPr>
        <w:footnoteReference w:id="129"/>
      </w:r>
      <w:r w:rsidRPr="00CE1D7F">
        <w:t xml:space="preserve"> The results from </w:t>
      </w:r>
      <w:r>
        <w:t>applying that</w:t>
      </w:r>
      <w:r w:rsidRPr="00CE1D7F">
        <w:t xml:space="preserve"> framework to the </w:t>
      </w:r>
      <w:r>
        <w:t>A</w:t>
      </w:r>
      <w:r w:rsidRPr="00CE1D7F">
        <w:t xml:space="preserve">quifer </w:t>
      </w:r>
      <w:r>
        <w:t>R</w:t>
      </w:r>
      <w:r w:rsidRPr="00CE1D7F">
        <w:t xml:space="preserve">echarge case study are summarised in </w:t>
      </w:r>
      <w:r w:rsidRPr="00F87D0E">
        <w:fldChar w:fldCharType="begin"/>
      </w:r>
      <w:r w:rsidRPr="00F87D0E">
        <w:instrText xml:space="preserve"> REF _Ref129335292 \h  \* MERGEFORMAT </w:instrText>
      </w:r>
      <w:r w:rsidRPr="00F87D0E">
        <w:fldChar w:fldCharType="separate"/>
      </w:r>
      <w:r w:rsidR="000B0AC7" w:rsidRPr="000B0AC7">
        <w:t>Figure 8.1</w:t>
      </w:r>
      <w:r w:rsidRPr="00F87D0E">
        <w:fldChar w:fldCharType="end"/>
      </w:r>
      <w:r w:rsidRPr="00CE1D7F">
        <w:t>.</w:t>
      </w:r>
    </w:p>
    <w:p w14:paraId="234EDB9F" w14:textId="77777777" w:rsidR="00AF39FB" w:rsidRDefault="00AF39FB">
      <w:pPr>
        <w:spacing w:before="0" w:after="160" w:line="259" w:lineRule="auto"/>
      </w:pPr>
      <w:r>
        <w:br w:type="page"/>
      </w:r>
    </w:p>
    <w:p w14:paraId="5DABE9B6" w14:textId="085925C9" w:rsidR="002B32A0" w:rsidRPr="00CE1D7F" w:rsidRDefault="002B32A0" w:rsidP="002B32A0">
      <w:pPr>
        <w:pStyle w:val="Caption"/>
        <w:ind w:left="-1202"/>
      </w:pPr>
      <w:bookmarkStart w:id="289" w:name="_Ref129335292"/>
      <w:r w:rsidRPr="00CE1D7F">
        <w:rPr>
          <w:rStyle w:val="CaptionLabel"/>
        </w:rPr>
        <w:t>Figure </w:t>
      </w:r>
      <w:r w:rsidRPr="00CE1D7F">
        <w:rPr>
          <w:rStyle w:val="CaptionLabel"/>
        </w:rPr>
        <w:fldChar w:fldCharType="begin"/>
      </w:r>
      <w:r w:rsidRPr="00CE1D7F">
        <w:rPr>
          <w:rStyle w:val="CaptionLabel"/>
        </w:rPr>
        <w:instrText xml:space="preserve"> STYLEREF 1 \S \* MERGEFORMAT </w:instrText>
      </w:r>
      <w:r w:rsidRPr="00CE1D7F">
        <w:rPr>
          <w:rStyle w:val="CaptionLabel"/>
        </w:rPr>
        <w:fldChar w:fldCharType="separate"/>
      </w:r>
      <w:r w:rsidR="000B0AC7">
        <w:rPr>
          <w:rStyle w:val="CaptionLabel"/>
          <w:noProof/>
        </w:rPr>
        <w:t>8</w:t>
      </w:r>
      <w:r w:rsidRPr="00CE1D7F">
        <w:rPr>
          <w:rStyle w:val="CaptionLabel"/>
        </w:rPr>
        <w:fldChar w:fldCharType="end"/>
      </w:r>
      <w:r w:rsidRPr="00CE1D7F">
        <w:rPr>
          <w:rStyle w:val="CaptionLabel"/>
        </w:rPr>
        <w:t>.</w:t>
      </w:r>
      <w:r w:rsidRPr="00CE1D7F">
        <w:rPr>
          <w:rStyle w:val="CaptionLabel"/>
        </w:rPr>
        <w:fldChar w:fldCharType="begin"/>
      </w:r>
      <w:r w:rsidRPr="00CE1D7F">
        <w:rPr>
          <w:rStyle w:val="CaptionLabel"/>
        </w:rPr>
        <w:instrText xml:space="preserve"> SEQ Figure \* ARABIC \S 1 \* MERGEFORMAT </w:instrText>
      </w:r>
      <w:r w:rsidRPr="00CE1D7F">
        <w:rPr>
          <w:rStyle w:val="CaptionLabel"/>
        </w:rPr>
        <w:fldChar w:fldCharType="separate"/>
      </w:r>
      <w:r w:rsidR="000B0AC7">
        <w:rPr>
          <w:rStyle w:val="CaptionLabel"/>
          <w:noProof/>
        </w:rPr>
        <w:t>1</w:t>
      </w:r>
      <w:r w:rsidRPr="00CE1D7F">
        <w:rPr>
          <w:rStyle w:val="CaptionLabel"/>
        </w:rPr>
        <w:fldChar w:fldCharType="end"/>
      </w:r>
      <w:bookmarkEnd w:id="289"/>
      <w:r w:rsidRPr="00CE1D7F">
        <w:tab/>
        <w:t>Aquifer recharge project – Impact Framework Diagram</w:t>
      </w:r>
    </w:p>
    <w:tbl>
      <w:tblPr>
        <w:tblW w:w="6531" w:type="pct"/>
        <w:tblInd w:w="-2410" w:type="dxa"/>
        <w:tblBorders>
          <w:top w:val="single" w:sz="4" w:space="0" w:color="auto"/>
          <w:bottom w:val="single" w:sz="4" w:space="0" w:color="auto"/>
        </w:tblBorders>
        <w:tblLayout w:type="fixed"/>
        <w:tblCellMar>
          <w:left w:w="0" w:type="dxa"/>
          <w:right w:w="0" w:type="dxa"/>
        </w:tblCellMar>
        <w:tblLook w:val="0000" w:firstRow="0" w:lastRow="0" w:firstColumn="0" w:lastColumn="0" w:noHBand="0" w:noVBand="0"/>
        <w:tblCaption w:val="Figure 8.1"/>
        <w:tblDescription w:val="Aquifer recharge project – Impact Framework Diagram"/>
      </w:tblPr>
      <w:tblGrid>
        <w:gridCol w:w="1701"/>
        <w:gridCol w:w="142"/>
        <w:gridCol w:w="1843"/>
        <w:gridCol w:w="142"/>
        <w:gridCol w:w="2126"/>
        <w:gridCol w:w="142"/>
        <w:gridCol w:w="2126"/>
        <w:gridCol w:w="142"/>
        <w:gridCol w:w="2002"/>
      </w:tblGrid>
      <w:tr w:rsidR="002B32A0" w:rsidRPr="00CE1D7F" w14:paraId="40C08BFA" w14:textId="77777777" w:rsidTr="00AF39FB">
        <w:trPr>
          <w:trHeight w:val="591"/>
        </w:trPr>
        <w:tc>
          <w:tcPr>
            <w:tcW w:w="1701" w:type="dxa"/>
            <w:tcBorders>
              <w:top w:val="nil"/>
              <w:left w:val="nil"/>
              <w:bottom w:val="nil"/>
              <w:right w:val="nil"/>
            </w:tcBorders>
            <w:shd w:val="clear" w:color="auto" w:fill="140034" w:themeFill="background2"/>
            <w:vAlign w:val="center"/>
          </w:tcPr>
          <w:p w14:paraId="2731D225" w14:textId="77777777" w:rsidR="002B32A0" w:rsidRPr="00CE1D7F" w:rsidRDefault="002B32A0" w:rsidP="006258ED">
            <w:pPr>
              <w:keepNext/>
              <w:spacing w:after="0" w:line="240" w:lineRule="auto"/>
              <w:jc w:val="center"/>
              <w:rPr>
                <w:rFonts w:cstheme="majorHAnsi"/>
                <w:b/>
                <w:color w:val="FFFFFF" w:themeColor="background1"/>
              </w:rPr>
            </w:pPr>
            <w:r w:rsidRPr="00CE1D7F">
              <w:rPr>
                <w:rFonts w:cstheme="majorHAnsi"/>
                <w:b/>
                <w:color w:val="FFFFFF" w:themeColor="background1"/>
              </w:rPr>
              <w:t>INPUTS</w:t>
            </w:r>
          </w:p>
        </w:tc>
        <w:tc>
          <w:tcPr>
            <w:tcW w:w="142" w:type="dxa"/>
            <w:tcBorders>
              <w:top w:val="nil"/>
              <w:left w:val="nil"/>
              <w:bottom w:val="nil"/>
              <w:right w:val="nil"/>
            </w:tcBorders>
            <w:shd w:val="clear" w:color="auto" w:fill="auto"/>
            <w:vAlign w:val="center"/>
          </w:tcPr>
          <w:p w14:paraId="3D57A5EA" w14:textId="77777777" w:rsidR="002B32A0" w:rsidRPr="00CE1D7F" w:rsidRDefault="002B32A0" w:rsidP="006258ED">
            <w:pPr>
              <w:keepNext/>
              <w:spacing w:after="0" w:line="240" w:lineRule="auto"/>
              <w:jc w:val="center"/>
              <w:rPr>
                <w:rFonts w:cstheme="majorHAnsi"/>
                <w:b/>
                <w:color w:val="FFFFFF" w:themeColor="background1"/>
              </w:rPr>
            </w:pPr>
          </w:p>
        </w:tc>
        <w:tc>
          <w:tcPr>
            <w:tcW w:w="1843" w:type="dxa"/>
            <w:tcBorders>
              <w:top w:val="nil"/>
              <w:left w:val="nil"/>
              <w:bottom w:val="nil"/>
              <w:right w:val="nil"/>
            </w:tcBorders>
            <w:shd w:val="clear" w:color="auto" w:fill="140034" w:themeFill="background2"/>
            <w:vAlign w:val="center"/>
          </w:tcPr>
          <w:p w14:paraId="6684DEFE" w14:textId="77777777" w:rsidR="002B32A0" w:rsidRPr="00CE1D7F" w:rsidRDefault="002B32A0" w:rsidP="006258ED">
            <w:pPr>
              <w:keepNext/>
              <w:spacing w:after="0" w:line="240" w:lineRule="auto"/>
              <w:jc w:val="center"/>
              <w:rPr>
                <w:rFonts w:cstheme="majorHAnsi"/>
                <w:b/>
                <w:color w:val="FFFFFF" w:themeColor="background1"/>
              </w:rPr>
            </w:pPr>
            <w:r w:rsidRPr="00CE1D7F">
              <w:rPr>
                <w:rFonts w:cstheme="majorHAnsi"/>
                <w:b/>
                <w:color w:val="FFFFFF" w:themeColor="background1"/>
              </w:rPr>
              <w:t>ACTIVITIES</w:t>
            </w:r>
          </w:p>
        </w:tc>
        <w:tc>
          <w:tcPr>
            <w:tcW w:w="142" w:type="dxa"/>
            <w:tcBorders>
              <w:top w:val="nil"/>
              <w:left w:val="nil"/>
              <w:bottom w:val="nil"/>
              <w:right w:val="nil"/>
            </w:tcBorders>
            <w:shd w:val="clear" w:color="auto" w:fill="auto"/>
            <w:vAlign w:val="center"/>
          </w:tcPr>
          <w:p w14:paraId="126BA013" w14:textId="77777777" w:rsidR="002B32A0" w:rsidRPr="00CE1D7F" w:rsidRDefault="002B32A0" w:rsidP="006258ED">
            <w:pPr>
              <w:keepNext/>
              <w:spacing w:after="0" w:line="240" w:lineRule="auto"/>
              <w:ind w:firstLine="34"/>
              <w:jc w:val="center"/>
              <w:rPr>
                <w:rFonts w:cstheme="majorHAnsi"/>
                <w:b/>
                <w:color w:val="FFFFFF" w:themeColor="background1"/>
              </w:rPr>
            </w:pPr>
          </w:p>
        </w:tc>
        <w:tc>
          <w:tcPr>
            <w:tcW w:w="2126" w:type="dxa"/>
            <w:tcBorders>
              <w:top w:val="nil"/>
              <w:left w:val="nil"/>
              <w:bottom w:val="nil"/>
              <w:right w:val="nil"/>
            </w:tcBorders>
            <w:shd w:val="clear" w:color="auto" w:fill="140034" w:themeFill="background2"/>
            <w:vAlign w:val="center"/>
          </w:tcPr>
          <w:p w14:paraId="45E8BEA9" w14:textId="77777777" w:rsidR="002B32A0" w:rsidRPr="00CE1D7F" w:rsidRDefault="002B32A0" w:rsidP="006258ED">
            <w:pPr>
              <w:keepNext/>
              <w:spacing w:after="0" w:line="240" w:lineRule="auto"/>
              <w:ind w:left="118"/>
              <w:jc w:val="center"/>
              <w:rPr>
                <w:rFonts w:cstheme="majorHAnsi"/>
                <w:b/>
                <w:color w:val="FFFFFF" w:themeColor="background1"/>
              </w:rPr>
            </w:pPr>
            <w:r w:rsidRPr="00CE1D7F">
              <w:rPr>
                <w:rFonts w:cstheme="majorHAnsi"/>
                <w:b/>
                <w:color w:val="FFFFFF" w:themeColor="background1"/>
              </w:rPr>
              <w:t>OUTPUTS</w:t>
            </w:r>
          </w:p>
        </w:tc>
        <w:tc>
          <w:tcPr>
            <w:tcW w:w="142" w:type="dxa"/>
            <w:tcBorders>
              <w:top w:val="nil"/>
              <w:left w:val="nil"/>
              <w:bottom w:val="nil"/>
              <w:right w:val="nil"/>
            </w:tcBorders>
            <w:shd w:val="clear" w:color="auto" w:fill="auto"/>
            <w:vAlign w:val="center"/>
          </w:tcPr>
          <w:p w14:paraId="0CE7375C" w14:textId="77777777" w:rsidR="002B32A0" w:rsidRPr="00CE1D7F" w:rsidRDefault="002B32A0" w:rsidP="006258ED">
            <w:pPr>
              <w:keepNext/>
              <w:spacing w:after="0" w:line="240" w:lineRule="auto"/>
              <w:ind w:firstLine="32"/>
              <w:jc w:val="center"/>
              <w:rPr>
                <w:rFonts w:cstheme="majorHAnsi"/>
                <w:b/>
                <w:color w:val="FFFFFF" w:themeColor="background1"/>
              </w:rPr>
            </w:pPr>
          </w:p>
        </w:tc>
        <w:tc>
          <w:tcPr>
            <w:tcW w:w="2126" w:type="dxa"/>
            <w:tcBorders>
              <w:top w:val="nil"/>
              <w:left w:val="nil"/>
              <w:bottom w:val="nil"/>
              <w:right w:val="nil"/>
            </w:tcBorders>
            <w:shd w:val="clear" w:color="auto" w:fill="140034" w:themeFill="background2"/>
            <w:vAlign w:val="center"/>
          </w:tcPr>
          <w:p w14:paraId="1D436F5C" w14:textId="77777777" w:rsidR="002B32A0" w:rsidRPr="00CE1D7F" w:rsidRDefault="002B32A0" w:rsidP="006258ED">
            <w:pPr>
              <w:spacing w:after="0" w:line="240" w:lineRule="auto"/>
              <w:ind w:left="61"/>
              <w:jc w:val="center"/>
              <w:rPr>
                <w:rFonts w:cstheme="majorHAnsi"/>
                <w:b/>
                <w:color w:val="FFFFFF" w:themeColor="background1"/>
                <w:lang w:eastAsia="en-AU"/>
              </w:rPr>
            </w:pPr>
            <w:r w:rsidRPr="00CE1D7F">
              <w:rPr>
                <w:rFonts w:cstheme="majorHAnsi"/>
                <w:b/>
                <w:color w:val="FFFFFF" w:themeColor="background1"/>
                <w:lang w:eastAsia="en-AU"/>
              </w:rPr>
              <w:t>OUTCOMES</w:t>
            </w:r>
          </w:p>
        </w:tc>
        <w:tc>
          <w:tcPr>
            <w:tcW w:w="142" w:type="dxa"/>
            <w:tcBorders>
              <w:top w:val="nil"/>
              <w:left w:val="nil"/>
              <w:bottom w:val="nil"/>
              <w:right w:val="nil"/>
            </w:tcBorders>
            <w:shd w:val="clear" w:color="auto" w:fill="auto"/>
            <w:vAlign w:val="center"/>
          </w:tcPr>
          <w:p w14:paraId="3F13D2F8" w14:textId="77777777" w:rsidR="002B32A0" w:rsidRPr="00CE1D7F" w:rsidRDefault="002B32A0" w:rsidP="006258ED">
            <w:pPr>
              <w:keepNext/>
              <w:spacing w:after="0" w:line="240" w:lineRule="auto"/>
              <w:ind w:left="-65" w:firstLine="32"/>
              <w:jc w:val="center"/>
              <w:rPr>
                <w:rFonts w:cstheme="majorHAnsi"/>
                <w:b/>
                <w:color w:val="FFFFFF" w:themeColor="background1"/>
              </w:rPr>
            </w:pPr>
          </w:p>
        </w:tc>
        <w:tc>
          <w:tcPr>
            <w:tcW w:w="2002" w:type="dxa"/>
            <w:tcBorders>
              <w:top w:val="nil"/>
              <w:left w:val="nil"/>
              <w:bottom w:val="nil"/>
              <w:right w:val="nil"/>
            </w:tcBorders>
            <w:shd w:val="clear" w:color="auto" w:fill="140034" w:themeFill="background2"/>
            <w:vAlign w:val="center"/>
          </w:tcPr>
          <w:p w14:paraId="769156EC" w14:textId="77777777" w:rsidR="002B32A0" w:rsidRPr="00CE1D7F" w:rsidRDefault="002B32A0" w:rsidP="006258ED">
            <w:pPr>
              <w:spacing w:after="0" w:line="240" w:lineRule="auto"/>
              <w:ind w:left="61"/>
              <w:jc w:val="center"/>
              <w:rPr>
                <w:rFonts w:cstheme="majorHAnsi"/>
                <w:b/>
                <w:color w:val="FFFFFF" w:themeColor="background1"/>
                <w:lang w:eastAsia="en-AU"/>
              </w:rPr>
            </w:pPr>
            <w:r w:rsidRPr="00CE1D7F">
              <w:rPr>
                <w:rFonts w:cstheme="majorHAnsi"/>
                <w:b/>
                <w:color w:val="FFFFFF" w:themeColor="background1"/>
                <w:lang w:eastAsia="en-AU"/>
              </w:rPr>
              <w:t>IMPACTS</w:t>
            </w:r>
          </w:p>
        </w:tc>
      </w:tr>
      <w:tr w:rsidR="002B32A0" w:rsidRPr="00CE1D7F" w14:paraId="1A13C27E" w14:textId="77777777" w:rsidTr="00AF39FB">
        <w:trPr>
          <w:trHeight w:hRule="exact" w:val="170"/>
        </w:trPr>
        <w:tc>
          <w:tcPr>
            <w:tcW w:w="1701" w:type="dxa"/>
            <w:tcBorders>
              <w:top w:val="nil"/>
              <w:bottom w:val="nil"/>
              <w:right w:val="single" w:sz="12" w:space="0" w:color="FFFFFF" w:themeColor="background1"/>
            </w:tcBorders>
          </w:tcPr>
          <w:p w14:paraId="35C6D38E" w14:textId="77777777" w:rsidR="002B32A0" w:rsidRPr="00CE1D7F" w:rsidRDefault="002B32A0" w:rsidP="006258ED">
            <w:pPr>
              <w:keepNext/>
              <w:spacing w:after="0" w:line="240" w:lineRule="auto"/>
              <w:ind w:hanging="3402"/>
              <w:jc w:val="center"/>
              <w:rPr>
                <w:rFonts w:ascii="Calibri" w:hAnsi="Calibri"/>
                <w:sz w:val="16"/>
                <w:szCs w:val="16"/>
              </w:rPr>
            </w:pPr>
          </w:p>
        </w:tc>
        <w:tc>
          <w:tcPr>
            <w:tcW w:w="142" w:type="dxa"/>
            <w:tcBorders>
              <w:top w:val="nil"/>
              <w:left w:val="single" w:sz="12" w:space="0" w:color="FFFFFF" w:themeColor="background1"/>
              <w:bottom w:val="single" w:sz="12" w:space="0" w:color="FFFFFF" w:themeColor="background1"/>
              <w:right w:val="single" w:sz="12" w:space="0" w:color="FFFFFF" w:themeColor="background1"/>
            </w:tcBorders>
          </w:tcPr>
          <w:p w14:paraId="27AED158" w14:textId="77777777" w:rsidR="002B32A0" w:rsidRPr="00CE1D7F" w:rsidRDefault="002B32A0" w:rsidP="006258ED">
            <w:pPr>
              <w:keepNext/>
              <w:spacing w:after="0" w:line="240" w:lineRule="auto"/>
              <w:jc w:val="center"/>
              <w:rPr>
                <w:rFonts w:ascii="Calibri" w:hAnsi="Calibri"/>
                <w:sz w:val="16"/>
                <w:szCs w:val="16"/>
              </w:rPr>
            </w:pPr>
          </w:p>
        </w:tc>
        <w:tc>
          <w:tcPr>
            <w:tcW w:w="1843" w:type="dxa"/>
            <w:tcBorders>
              <w:top w:val="nil"/>
              <w:left w:val="single" w:sz="12" w:space="0" w:color="FFFFFF" w:themeColor="background1"/>
              <w:bottom w:val="nil"/>
              <w:right w:val="single" w:sz="12" w:space="0" w:color="FFFFFF" w:themeColor="background1"/>
            </w:tcBorders>
          </w:tcPr>
          <w:p w14:paraId="78A1DFE0" w14:textId="77777777" w:rsidR="002B32A0" w:rsidRPr="00CE1D7F" w:rsidRDefault="002B32A0" w:rsidP="006258ED">
            <w:pPr>
              <w:keepNext/>
              <w:spacing w:after="0" w:line="240" w:lineRule="auto"/>
              <w:ind w:left="-108"/>
              <w:jc w:val="center"/>
              <w:rPr>
                <w:rFonts w:ascii="Calibri" w:hAnsi="Calibri"/>
                <w:sz w:val="16"/>
                <w:szCs w:val="16"/>
              </w:rPr>
            </w:pPr>
          </w:p>
        </w:tc>
        <w:tc>
          <w:tcPr>
            <w:tcW w:w="142" w:type="dxa"/>
            <w:tcBorders>
              <w:top w:val="nil"/>
              <w:left w:val="single" w:sz="12" w:space="0" w:color="FFFFFF" w:themeColor="background1"/>
              <w:bottom w:val="nil"/>
              <w:right w:val="single" w:sz="12" w:space="0" w:color="FFFFFF" w:themeColor="background1"/>
            </w:tcBorders>
          </w:tcPr>
          <w:p w14:paraId="75169C71" w14:textId="77777777" w:rsidR="002B32A0" w:rsidRPr="00CE1D7F" w:rsidRDefault="002B32A0" w:rsidP="006258ED">
            <w:pPr>
              <w:keepNext/>
              <w:spacing w:after="0" w:line="240" w:lineRule="auto"/>
              <w:ind w:firstLine="34"/>
              <w:jc w:val="center"/>
              <w:rPr>
                <w:rFonts w:ascii="Calibri" w:hAnsi="Calibri"/>
                <w:sz w:val="16"/>
                <w:szCs w:val="16"/>
              </w:rPr>
            </w:pPr>
          </w:p>
        </w:tc>
        <w:tc>
          <w:tcPr>
            <w:tcW w:w="2126" w:type="dxa"/>
            <w:tcBorders>
              <w:top w:val="nil"/>
              <w:left w:val="single" w:sz="12" w:space="0" w:color="FFFFFF" w:themeColor="background1"/>
              <w:bottom w:val="nil"/>
              <w:right w:val="single" w:sz="12" w:space="0" w:color="FFFFFF" w:themeColor="background1"/>
            </w:tcBorders>
          </w:tcPr>
          <w:p w14:paraId="7F7C95DB" w14:textId="77777777" w:rsidR="002B32A0" w:rsidRPr="00CE1D7F" w:rsidRDefault="002B32A0" w:rsidP="006258ED">
            <w:pPr>
              <w:pStyle w:val="Tablelistbullet"/>
              <w:numPr>
                <w:ilvl w:val="0"/>
                <w:numId w:val="0"/>
              </w:numPr>
              <w:rPr>
                <w:rFonts w:ascii="Calibri" w:hAnsi="Calibri" w:cs="Arial"/>
                <w:sz w:val="16"/>
                <w:szCs w:val="16"/>
              </w:rPr>
            </w:pPr>
          </w:p>
        </w:tc>
        <w:tc>
          <w:tcPr>
            <w:tcW w:w="142" w:type="dxa"/>
            <w:tcBorders>
              <w:top w:val="nil"/>
              <w:left w:val="single" w:sz="12" w:space="0" w:color="FFFFFF" w:themeColor="background1"/>
              <w:bottom w:val="nil"/>
              <w:right w:val="single" w:sz="12" w:space="0" w:color="FFFFFF" w:themeColor="background1"/>
            </w:tcBorders>
          </w:tcPr>
          <w:p w14:paraId="698DE7AB" w14:textId="77777777" w:rsidR="002B32A0" w:rsidRPr="00CE1D7F" w:rsidRDefault="002B32A0" w:rsidP="006258ED">
            <w:pPr>
              <w:keepNext/>
              <w:spacing w:after="0" w:line="240" w:lineRule="auto"/>
              <w:ind w:hanging="3402"/>
              <w:jc w:val="center"/>
              <w:rPr>
                <w:rFonts w:ascii="Calibri" w:hAnsi="Calibri"/>
                <w:sz w:val="16"/>
                <w:szCs w:val="16"/>
              </w:rPr>
            </w:pPr>
          </w:p>
        </w:tc>
        <w:tc>
          <w:tcPr>
            <w:tcW w:w="2126" w:type="dxa"/>
            <w:tcBorders>
              <w:top w:val="nil"/>
              <w:left w:val="single" w:sz="12" w:space="0" w:color="FFFFFF" w:themeColor="background1"/>
              <w:bottom w:val="nil"/>
              <w:right w:val="single" w:sz="12" w:space="0" w:color="FFFFFF" w:themeColor="background1"/>
            </w:tcBorders>
          </w:tcPr>
          <w:p w14:paraId="03FD87BB" w14:textId="77777777" w:rsidR="002B32A0" w:rsidRPr="00CE1D7F" w:rsidRDefault="002B32A0" w:rsidP="006258ED">
            <w:pPr>
              <w:keepNext/>
              <w:spacing w:after="0" w:line="240" w:lineRule="auto"/>
              <w:jc w:val="center"/>
              <w:rPr>
                <w:rFonts w:ascii="Calibri" w:hAnsi="Calibri"/>
                <w:sz w:val="16"/>
                <w:szCs w:val="16"/>
              </w:rPr>
            </w:pPr>
          </w:p>
        </w:tc>
        <w:tc>
          <w:tcPr>
            <w:tcW w:w="142" w:type="dxa"/>
            <w:tcBorders>
              <w:top w:val="nil"/>
              <w:left w:val="single" w:sz="12" w:space="0" w:color="FFFFFF" w:themeColor="background1"/>
              <w:bottom w:val="nil"/>
              <w:right w:val="single" w:sz="12" w:space="0" w:color="FFFFFF" w:themeColor="background1"/>
            </w:tcBorders>
          </w:tcPr>
          <w:p w14:paraId="304CC708" w14:textId="77777777" w:rsidR="002B32A0" w:rsidRPr="00CE1D7F" w:rsidRDefault="002B32A0" w:rsidP="006258ED">
            <w:pPr>
              <w:keepNext/>
              <w:spacing w:after="0" w:line="240" w:lineRule="auto"/>
              <w:ind w:left="-17" w:firstLine="32"/>
              <w:jc w:val="center"/>
              <w:rPr>
                <w:rFonts w:ascii="Calibri" w:hAnsi="Calibri"/>
                <w:sz w:val="16"/>
                <w:szCs w:val="16"/>
              </w:rPr>
            </w:pPr>
          </w:p>
        </w:tc>
        <w:tc>
          <w:tcPr>
            <w:tcW w:w="2002" w:type="dxa"/>
            <w:tcBorders>
              <w:top w:val="nil"/>
              <w:left w:val="single" w:sz="12" w:space="0" w:color="FFFFFF" w:themeColor="background1"/>
              <w:bottom w:val="nil"/>
              <w:right w:val="single" w:sz="12" w:space="0" w:color="FFFFFF" w:themeColor="background1"/>
            </w:tcBorders>
          </w:tcPr>
          <w:p w14:paraId="0C7C5D4B" w14:textId="77777777" w:rsidR="002B32A0" w:rsidRPr="00CE1D7F" w:rsidRDefault="002B32A0" w:rsidP="006258ED">
            <w:pPr>
              <w:keepNext/>
              <w:spacing w:after="0" w:line="240" w:lineRule="auto"/>
              <w:ind w:left="96"/>
              <w:jc w:val="center"/>
              <w:rPr>
                <w:rFonts w:ascii="Calibri" w:hAnsi="Calibri"/>
                <w:sz w:val="16"/>
                <w:szCs w:val="16"/>
              </w:rPr>
            </w:pPr>
          </w:p>
        </w:tc>
      </w:tr>
      <w:tr w:rsidR="002B32A0" w:rsidRPr="00CE1D7F" w14:paraId="03D3F394" w14:textId="77777777" w:rsidTr="00AF39FB">
        <w:trPr>
          <w:trHeight w:val="390"/>
        </w:trPr>
        <w:tc>
          <w:tcPr>
            <w:tcW w:w="1701" w:type="dxa"/>
            <w:tcBorders>
              <w:top w:val="nil"/>
              <w:left w:val="nil"/>
              <w:bottom w:val="nil"/>
              <w:right w:val="nil"/>
            </w:tcBorders>
            <w:shd w:val="clear" w:color="auto" w:fill="DEDEDE" w:themeFill="accent3" w:themeFillTint="99"/>
          </w:tcPr>
          <w:p w14:paraId="031910C0" w14:textId="77777777" w:rsidR="002B32A0" w:rsidRPr="00CE1D7F" w:rsidRDefault="002B32A0" w:rsidP="002B32A0">
            <w:pPr>
              <w:pStyle w:val="Tablelistbullet"/>
              <w:numPr>
                <w:ilvl w:val="0"/>
                <w:numId w:val="64"/>
              </w:numPr>
              <w:spacing w:before="60" w:after="0"/>
              <w:ind w:right="120"/>
            </w:pPr>
            <w:r>
              <w:t xml:space="preserve">$1.3m </w:t>
            </w:r>
            <w:r w:rsidRPr="00CE1D7F">
              <w:t xml:space="preserve">cash support from the ARC </w:t>
            </w:r>
            <w:r>
              <w:t xml:space="preserve">and </w:t>
            </w:r>
            <w:r w:rsidRPr="009B6DB9">
              <w:rPr>
                <w:rFonts w:asciiTheme="minorHAnsi" w:eastAsia="Yu Gothic UI Semibold"/>
                <w:color w:val="000000" w:themeColor="text1"/>
                <w:kern w:val="24"/>
              </w:rPr>
              <w:t>$3.65m</w:t>
            </w:r>
            <w:r w:rsidRPr="00240D8D">
              <w:rPr>
                <w:rFonts w:asciiTheme="minorHAnsi" w:eastAsia="Yu Gothic UI Semibold"/>
                <w:b/>
                <w:bCs/>
                <w:color w:val="000000" w:themeColor="text1"/>
                <w:kern w:val="24"/>
              </w:rPr>
              <w:t xml:space="preserve"> </w:t>
            </w:r>
            <w:r w:rsidRPr="00240D8D">
              <w:rPr>
                <w:rFonts w:asciiTheme="minorHAnsi" w:eastAsia="Yu Gothic UI Semibold"/>
                <w:color w:val="000000" w:themeColor="text1"/>
                <w:kern w:val="24"/>
              </w:rPr>
              <w:t>cash and in-kind support from other organisations</w:t>
            </w:r>
          </w:p>
        </w:tc>
        <w:tc>
          <w:tcPr>
            <w:tcW w:w="142" w:type="dxa"/>
            <w:tcBorders>
              <w:top w:val="single" w:sz="12" w:space="0" w:color="FFFFFF" w:themeColor="background1"/>
              <w:left w:val="nil"/>
              <w:bottom w:val="nil"/>
              <w:right w:val="nil"/>
            </w:tcBorders>
          </w:tcPr>
          <w:p w14:paraId="73A45955" w14:textId="77777777" w:rsidR="002B32A0" w:rsidRPr="00CE1D7F" w:rsidRDefault="002B32A0" w:rsidP="006258ED">
            <w:pPr>
              <w:pStyle w:val="BodyText"/>
            </w:pPr>
          </w:p>
        </w:tc>
        <w:tc>
          <w:tcPr>
            <w:tcW w:w="1843" w:type="dxa"/>
            <w:tcBorders>
              <w:top w:val="nil"/>
              <w:left w:val="nil"/>
              <w:bottom w:val="nil"/>
              <w:right w:val="nil"/>
            </w:tcBorders>
            <w:shd w:val="clear" w:color="auto" w:fill="DEDEDE" w:themeFill="accent3" w:themeFillTint="99"/>
          </w:tcPr>
          <w:p w14:paraId="03040BF2" w14:textId="77777777" w:rsidR="002B32A0" w:rsidRPr="00CE1D7F" w:rsidRDefault="002B32A0" w:rsidP="002B32A0">
            <w:pPr>
              <w:pStyle w:val="Tablelistbullet"/>
              <w:numPr>
                <w:ilvl w:val="0"/>
                <w:numId w:val="64"/>
              </w:numPr>
              <w:spacing w:before="60" w:after="0"/>
              <w:ind w:right="120"/>
            </w:pPr>
            <w:r w:rsidRPr="00CE1D7F">
              <w:t>Developing novel analytical methods to test for the presence of around 400 potential micropollutants</w:t>
            </w:r>
          </w:p>
          <w:p w14:paraId="4D4AE2E8" w14:textId="77777777" w:rsidR="002B32A0" w:rsidRPr="00CE1D7F" w:rsidRDefault="002B32A0" w:rsidP="002B32A0">
            <w:pPr>
              <w:pStyle w:val="Tablelistbullet"/>
              <w:numPr>
                <w:ilvl w:val="0"/>
                <w:numId w:val="64"/>
              </w:numPr>
              <w:spacing w:before="60" w:after="0"/>
              <w:ind w:right="120"/>
            </w:pPr>
            <w:r w:rsidRPr="00CE1D7F">
              <w:t>Identified and validated ‘marker’ chemicals that can be used as indicators for ongoing monitoring of water treatment processes</w:t>
            </w:r>
          </w:p>
        </w:tc>
        <w:tc>
          <w:tcPr>
            <w:tcW w:w="142" w:type="dxa"/>
            <w:tcBorders>
              <w:top w:val="nil"/>
              <w:left w:val="nil"/>
              <w:bottom w:val="nil"/>
              <w:right w:val="nil"/>
            </w:tcBorders>
          </w:tcPr>
          <w:p w14:paraId="4CEFCDA0" w14:textId="77777777" w:rsidR="002B32A0" w:rsidRPr="00CE1D7F" w:rsidRDefault="002B32A0" w:rsidP="006258ED">
            <w:pPr>
              <w:pStyle w:val="Tabletext"/>
            </w:pPr>
          </w:p>
        </w:tc>
        <w:tc>
          <w:tcPr>
            <w:tcW w:w="2126" w:type="dxa"/>
            <w:tcBorders>
              <w:top w:val="nil"/>
              <w:left w:val="nil"/>
              <w:bottom w:val="nil"/>
              <w:right w:val="nil"/>
            </w:tcBorders>
            <w:shd w:val="clear" w:color="auto" w:fill="DEDEDE" w:themeFill="accent3" w:themeFillTint="99"/>
          </w:tcPr>
          <w:p w14:paraId="26B060D2" w14:textId="77777777" w:rsidR="002B32A0" w:rsidRPr="00CE1D7F" w:rsidRDefault="002B32A0" w:rsidP="002B32A0">
            <w:pPr>
              <w:pStyle w:val="Tablelistbullet"/>
              <w:numPr>
                <w:ilvl w:val="0"/>
                <w:numId w:val="64"/>
              </w:numPr>
              <w:spacing w:before="60" w:after="0"/>
              <w:ind w:right="120"/>
            </w:pPr>
            <w:r w:rsidRPr="00CE1D7F">
              <w:t xml:space="preserve">Confirmation that microfiltration and reverse osmosis treatment of wastewater adequately removed chemical contaminants </w:t>
            </w:r>
          </w:p>
          <w:p w14:paraId="577F2F21" w14:textId="77777777" w:rsidR="002B32A0" w:rsidRPr="00CE1D7F" w:rsidRDefault="002B32A0" w:rsidP="002B32A0">
            <w:pPr>
              <w:pStyle w:val="Tablelistbullet"/>
              <w:numPr>
                <w:ilvl w:val="0"/>
                <w:numId w:val="64"/>
              </w:numPr>
              <w:spacing w:before="60" w:after="0"/>
              <w:ind w:right="120"/>
            </w:pPr>
            <w:r w:rsidRPr="00CE1D7F">
              <w:t xml:space="preserve">Process optimisation of the wastewater treatment plant </w:t>
            </w:r>
          </w:p>
          <w:p w14:paraId="453FF2D5" w14:textId="77777777" w:rsidR="002B32A0" w:rsidRPr="00CE1D7F" w:rsidRDefault="002B32A0" w:rsidP="002B32A0">
            <w:pPr>
              <w:pStyle w:val="Tablelistbullet"/>
              <w:numPr>
                <w:ilvl w:val="0"/>
                <w:numId w:val="64"/>
              </w:numPr>
              <w:spacing w:before="60" w:after="0"/>
              <w:ind w:right="120"/>
            </w:pPr>
            <w:r w:rsidRPr="00CE1D7F">
              <w:t>Successful conclusion of a groundwater replenishment trial by WAWC</w:t>
            </w:r>
          </w:p>
        </w:tc>
        <w:tc>
          <w:tcPr>
            <w:tcW w:w="142" w:type="dxa"/>
            <w:tcBorders>
              <w:top w:val="nil"/>
              <w:left w:val="nil"/>
              <w:bottom w:val="nil"/>
              <w:right w:val="nil"/>
            </w:tcBorders>
          </w:tcPr>
          <w:p w14:paraId="4153BA28" w14:textId="77777777" w:rsidR="002B32A0" w:rsidRPr="00CE1D7F" w:rsidRDefault="002B32A0" w:rsidP="006258ED">
            <w:pPr>
              <w:pStyle w:val="Tabletext"/>
            </w:pPr>
          </w:p>
        </w:tc>
        <w:tc>
          <w:tcPr>
            <w:tcW w:w="2126" w:type="dxa"/>
            <w:tcBorders>
              <w:top w:val="nil"/>
              <w:left w:val="nil"/>
              <w:bottom w:val="nil"/>
              <w:right w:val="nil"/>
            </w:tcBorders>
            <w:shd w:val="clear" w:color="auto" w:fill="DEDEDE" w:themeFill="accent3" w:themeFillTint="99"/>
          </w:tcPr>
          <w:p w14:paraId="44197622" w14:textId="77777777" w:rsidR="002B32A0" w:rsidRPr="00CE1D7F" w:rsidRDefault="002B32A0" w:rsidP="002B32A0">
            <w:pPr>
              <w:pStyle w:val="Tablelistbullet"/>
              <w:numPr>
                <w:ilvl w:val="0"/>
                <w:numId w:val="64"/>
              </w:numPr>
              <w:spacing w:before="60" w:after="0"/>
              <w:ind w:right="120"/>
            </w:pPr>
            <w:r w:rsidRPr="00CE1D7F">
              <w:t>Research findings allowed the development of a framework and guidelines for water utilities considering wastewater reuse in Australia</w:t>
            </w:r>
          </w:p>
          <w:p w14:paraId="1FD5DBE2" w14:textId="77777777" w:rsidR="002B32A0" w:rsidRPr="00CE1D7F" w:rsidRDefault="002B32A0" w:rsidP="002B32A0">
            <w:pPr>
              <w:pStyle w:val="Tablelistbullet"/>
              <w:numPr>
                <w:ilvl w:val="0"/>
                <w:numId w:val="64"/>
              </w:numPr>
              <w:spacing w:before="60" w:after="0"/>
              <w:ind w:right="120"/>
            </w:pPr>
            <w:r w:rsidRPr="00CE1D7F">
              <w:t>Ongoing monitoring of wastewater treatment processes</w:t>
            </w:r>
          </w:p>
          <w:p w14:paraId="6A61254C" w14:textId="77777777" w:rsidR="002B32A0" w:rsidRPr="00CE1D7F" w:rsidRDefault="002B32A0" w:rsidP="002B32A0">
            <w:pPr>
              <w:pStyle w:val="Tablelistbullet"/>
              <w:numPr>
                <w:ilvl w:val="0"/>
                <w:numId w:val="64"/>
              </w:numPr>
              <w:spacing w:before="60" w:after="0"/>
              <w:ind w:right="120"/>
            </w:pPr>
            <w:r w:rsidRPr="00CE1D7F">
              <w:t>Strong community acceptance of groundwater replenishment</w:t>
            </w:r>
          </w:p>
        </w:tc>
        <w:tc>
          <w:tcPr>
            <w:tcW w:w="142" w:type="dxa"/>
            <w:tcBorders>
              <w:top w:val="nil"/>
              <w:left w:val="nil"/>
              <w:bottom w:val="nil"/>
              <w:right w:val="nil"/>
            </w:tcBorders>
          </w:tcPr>
          <w:p w14:paraId="2BE0B74B" w14:textId="77777777" w:rsidR="002B32A0" w:rsidRPr="00CE1D7F" w:rsidRDefault="002B32A0" w:rsidP="006258ED">
            <w:pPr>
              <w:pStyle w:val="Tabletext"/>
            </w:pPr>
          </w:p>
        </w:tc>
        <w:tc>
          <w:tcPr>
            <w:tcW w:w="2002" w:type="dxa"/>
            <w:tcBorders>
              <w:top w:val="nil"/>
              <w:left w:val="nil"/>
              <w:bottom w:val="nil"/>
              <w:right w:val="nil"/>
            </w:tcBorders>
            <w:shd w:val="clear" w:color="auto" w:fill="DEDEDE" w:themeFill="accent3" w:themeFillTint="99"/>
          </w:tcPr>
          <w:p w14:paraId="66E47430" w14:textId="77777777" w:rsidR="002B32A0" w:rsidRPr="00CE1D7F" w:rsidRDefault="002B32A0" w:rsidP="002B32A0">
            <w:pPr>
              <w:pStyle w:val="Tablelistbullet"/>
              <w:numPr>
                <w:ilvl w:val="0"/>
                <w:numId w:val="64"/>
              </w:numPr>
              <w:spacing w:before="60" w:after="0"/>
              <w:ind w:right="120"/>
            </w:pPr>
            <w:r w:rsidRPr="00CE1D7F">
              <w:t>Commencement of wastewater treatment and reinjection into Perth’s aquifers</w:t>
            </w:r>
          </w:p>
          <w:p w14:paraId="654A3B43" w14:textId="77777777" w:rsidR="002B32A0" w:rsidRPr="00CE1D7F" w:rsidRDefault="002B32A0" w:rsidP="002B32A0">
            <w:pPr>
              <w:pStyle w:val="Tablelistbullet"/>
              <w:numPr>
                <w:ilvl w:val="0"/>
                <w:numId w:val="64"/>
              </w:numPr>
              <w:spacing w:before="60" w:after="0"/>
              <w:ind w:right="120"/>
            </w:pPr>
            <w:r w:rsidRPr="00CE1D7F">
              <w:t>More energy-efficient supply of Perth’s water needs</w:t>
            </w:r>
          </w:p>
          <w:p w14:paraId="6BD073C5" w14:textId="77777777" w:rsidR="002B32A0" w:rsidRPr="00CE1D7F" w:rsidRDefault="002B32A0" w:rsidP="002B32A0">
            <w:pPr>
              <w:pStyle w:val="Tablelistbullet"/>
              <w:numPr>
                <w:ilvl w:val="0"/>
                <w:numId w:val="64"/>
              </w:numPr>
              <w:spacing w:before="60" w:after="0"/>
              <w:ind w:right="120"/>
            </w:pPr>
            <w:r w:rsidRPr="00CE1D7F">
              <w:t>The estimated NPV of the project is $64.5</w:t>
            </w:r>
            <w:r>
              <w:t> million</w:t>
            </w:r>
          </w:p>
          <w:p w14:paraId="36F64520" w14:textId="77777777" w:rsidR="002B32A0" w:rsidRPr="00CE1D7F" w:rsidRDefault="002B32A0" w:rsidP="002B32A0">
            <w:pPr>
              <w:pStyle w:val="Tablelistbullet"/>
              <w:numPr>
                <w:ilvl w:val="0"/>
                <w:numId w:val="64"/>
              </w:numPr>
              <w:spacing w:before="60" w:after="0"/>
              <w:ind w:right="120"/>
            </w:pPr>
            <w:r w:rsidRPr="00CE1D7F">
              <w:t>The estimated BCR of the project is 5.76</w:t>
            </w:r>
          </w:p>
          <w:p w14:paraId="20C6C082" w14:textId="77777777" w:rsidR="002B32A0" w:rsidRPr="00CE1D7F" w:rsidRDefault="002B32A0" w:rsidP="002B32A0">
            <w:pPr>
              <w:pStyle w:val="Tablelistbullet"/>
              <w:numPr>
                <w:ilvl w:val="0"/>
                <w:numId w:val="64"/>
              </w:numPr>
              <w:spacing w:before="60" w:after="0"/>
              <w:ind w:right="120"/>
            </w:pPr>
            <w:r w:rsidRPr="00CE1D7F">
              <w:t xml:space="preserve">Protection of Perth’s wetlands and lakes </w:t>
            </w:r>
          </w:p>
        </w:tc>
      </w:tr>
      <w:tr w:rsidR="002B32A0" w:rsidRPr="00CE1D7F" w14:paraId="6AA2BF18" w14:textId="77777777" w:rsidTr="00AF39FB">
        <w:tblPrEx>
          <w:tblBorders>
            <w:top w:val="none" w:sz="0" w:space="0" w:color="auto"/>
            <w:bottom w:val="none" w:sz="0" w:space="0" w:color="auto"/>
          </w:tblBorders>
        </w:tblPrEx>
        <w:trPr>
          <w:trHeight w:val="135"/>
        </w:trPr>
        <w:tc>
          <w:tcPr>
            <w:tcW w:w="10366" w:type="dxa"/>
            <w:gridSpan w:val="9"/>
            <w:tcBorders>
              <w:bottom w:val="single" w:sz="4" w:space="0" w:color="000100"/>
            </w:tcBorders>
            <w:shd w:val="clear" w:color="auto" w:fill="auto"/>
            <w:tcMar>
              <w:top w:w="12" w:type="dxa"/>
              <w:bottom w:w="113" w:type="dxa"/>
            </w:tcMar>
          </w:tcPr>
          <w:p w14:paraId="753418A7" w14:textId="77777777" w:rsidR="002B32A0" w:rsidRPr="00CE1D7F" w:rsidRDefault="002B32A0" w:rsidP="006258ED">
            <w:pPr>
              <w:pStyle w:val="Source"/>
            </w:pPr>
            <w:r w:rsidRPr="00CE1D7F">
              <w:t>Source: ACIL Allen</w:t>
            </w:r>
          </w:p>
        </w:tc>
      </w:tr>
      <w:tr w:rsidR="002B32A0" w:rsidRPr="00CE1D7F" w14:paraId="44C10A61" w14:textId="77777777" w:rsidTr="00AF39FB">
        <w:tblPrEx>
          <w:tblBorders>
            <w:top w:val="none" w:sz="0" w:space="0" w:color="auto"/>
            <w:bottom w:val="none" w:sz="0" w:space="0" w:color="auto"/>
          </w:tblBorders>
        </w:tblPrEx>
        <w:trPr>
          <w:trHeight w:hRule="exact" w:val="160"/>
        </w:trPr>
        <w:tc>
          <w:tcPr>
            <w:tcW w:w="10366" w:type="dxa"/>
            <w:gridSpan w:val="9"/>
            <w:tcBorders>
              <w:top w:val="single" w:sz="4" w:space="0" w:color="000100"/>
            </w:tcBorders>
            <w:shd w:val="clear" w:color="auto" w:fill="auto"/>
            <w:tcMar>
              <w:top w:w="0" w:type="dxa"/>
              <w:bottom w:w="40" w:type="dxa"/>
            </w:tcMar>
          </w:tcPr>
          <w:p w14:paraId="0089E273" w14:textId="77777777" w:rsidR="002B32A0" w:rsidRPr="00CE1D7F" w:rsidRDefault="002B32A0" w:rsidP="006258ED">
            <w:pPr>
              <w:pStyle w:val="spacer"/>
            </w:pPr>
          </w:p>
        </w:tc>
      </w:tr>
    </w:tbl>
    <w:p w14:paraId="3CB7F259" w14:textId="77777777" w:rsidR="002B32A0" w:rsidRPr="00CE1D7F" w:rsidRDefault="002B32A0" w:rsidP="0075091B">
      <w:pPr>
        <w:pStyle w:val="Heading2"/>
      </w:pPr>
      <w:bookmarkStart w:id="290" w:name="_Toc129964007"/>
      <w:bookmarkStart w:id="291" w:name="_Toc131174645"/>
      <w:bookmarkStart w:id="292" w:name="_Toc132970676"/>
      <w:bookmarkStart w:id="293" w:name="_Toc135323715"/>
      <w:r w:rsidRPr="00CE1D7F">
        <w:t>Background</w:t>
      </w:r>
      <w:bookmarkEnd w:id="290"/>
      <w:bookmarkEnd w:id="291"/>
      <w:bookmarkEnd w:id="292"/>
      <w:bookmarkEnd w:id="293"/>
    </w:p>
    <w:p w14:paraId="77D90DBB" w14:textId="77777777" w:rsidR="002B32A0" w:rsidRPr="00CE1D7F" w:rsidRDefault="002B32A0" w:rsidP="002B32A0">
      <w:pPr>
        <w:pStyle w:val="BodyText"/>
      </w:pPr>
      <w:r w:rsidRPr="00CE1D7F">
        <w:t xml:space="preserve">This case study relates to projects funded under the following </w:t>
      </w:r>
      <w:r>
        <w:t xml:space="preserve">ARC </w:t>
      </w:r>
      <w:r w:rsidRPr="00CE1D7F">
        <w:t>schemes:</w:t>
      </w:r>
    </w:p>
    <w:p w14:paraId="5CF0B11F" w14:textId="77777777" w:rsidR="002B32A0" w:rsidRPr="00CE1D7F" w:rsidRDefault="002B32A0" w:rsidP="0075091B">
      <w:pPr>
        <w:pStyle w:val="ListBullet"/>
      </w:pPr>
      <w:r w:rsidRPr="00CE1D7F">
        <w:t>Linkage Program</w:t>
      </w:r>
      <w:r>
        <w:t xml:space="preserve">: </w:t>
      </w:r>
      <w:r w:rsidRPr="00DD5811">
        <w:rPr>
          <w:b/>
          <w:bCs/>
        </w:rPr>
        <w:t>Linkage Infrastructure, Equipment and Facilities (LIEF)</w:t>
      </w:r>
      <w:r w:rsidRPr="00CE1D7F">
        <w:t xml:space="preserve"> </w:t>
      </w:r>
      <w:r>
        <w:t xml:space="preserve">and </w:t>
      </w:r>
      <w:r w:rsidRPr="00DD5811">
        <w:rPr>
          <w:b/>
          <w:bCs/>
        </w:rPr>
        <w:t>Linkage Project.</w:t>
      </w:r>
      <w:r w:rsidRPr="00CE1D7F">
        <w:t xml:space="preserve"> In this case, 2 Linkage Project grants supported collaboration between Curtin University and WAWC.</w:t>
      </w:r>
    </w:p>
    <w:p w14:paraId="18C7EB93" w14:textId="77777777" w:rsidR="002B32A0" w:rsidRPr="00CE1D7F" w:rsidRDefault="002B32A0" w:rsidP="0075091B">
      <w:pPr>
        <w:pStyle w:val="Heading3"/>
      </w:pPr>
      <w:r w:rsidRPr="00CE1D7F">
        <w:t>The project</w:t>
      </w:r>
    </w:p>
    <w:p w14:paraId="48A51CCD" w14:textId="77777777" w:rsidR="002B32A0" w:rsidRPr="00CE1D7F" w:rsidRDefault="002B32A0" w:rsidP="002B32A0">
      <w:pPr>
        <w:pStyle w:val="BodyText"/>
      </w:pPr>
      <w:r w:rsidRPr="00CE1D7F">
        <w:t>Due to climate change, Perth’s average annual rainfall has decreased by around 20% since the 1970s. However, it’s not just the total volume of rain that has changed. Perth’s rainy season now starts later, and there are more sunny winter days. In addition, the nature of Perth’s rainfall means catchments do not receive consistent runoff. As a result, there is some 80% less streamflow (rainfall runoff) into Perth’s dams.</w:t>
      </w:r>
      <w:r w:rsidRPr="00CE1D7F">
        <w:rPr>
          <w:rStyle w:val="FootnoteReference"/>
        </w:rPr>
        <w:footnoteReference w:id="130"/>
      </w:r>
      <w:r w:rsidRPr="00CE1D7F">
        <w:t xml:space="preserve"> </w:t>
      </w:r>
    </w:p>
    <w:p w14:paraId="014EB95F" w14:textId="77777777" w:rsidR="002B32A0" w:rsidRPr="00CE1D7F" w:rsidRDefault="002B32A0" w:rsidP="002B32A0">
      <w:pPr>
        <w:pStyle w:val="BodyText"/>
      </w:pPr>
      <w:r w:rsidRPr="00CE1D7F">
        <w:t xml:space="preserve">Water extracted from groundwater systems is particularly important for meeting the water needs of Perth. In 2000, groundwater from aquifers provided around two thirds of Perth’s total water supply. Since then, Perth’s water consumption has increased, and that share had declined to around one-third by 2022. </w:t>
      </w:r>
    </w:p>
    <w:p w14:paraId="442A1D45" w14:textId="77777777" w:rsidR="002B32A0" w:rsidRPr="00CE1D7F" w:rsidRDefault="002B32A0" w:rsidP="002B32A0">
      <w:pPr>
        <w:pStyle w:val="BodyText"/>
      </w:pPr>
      <w:r w:rsidRPr="00CE1D7F">
        <w:t>In Perth, there are 3 aquifers at different depths:</w:t>
      </w:r>
    </w:p>
    <w:p w14:paraId="1EB1BCE8" w14:textId="77777777" w:rsidR="002B32A0" w:rsidRPr="00CE1D7F" w:rsidRDefault="002B32A0" w:rsidP="0075091B">
      <w:pPr>
        <w:pStyle w:val="ListBullet"/>
      </w:pPr>
      <w:r w:rsidRPr="00CE1D7F">
        <w:rPr>
          <w:i/>
          <w:iCs/>
        </w:rPr>
        <w:t>The superficial aquifer</w:t>
      </w:r>
      <w:r w:rsidRPr="00CE1D7F">
        <w:t>. This is the shallowest aquifer that stretches across the coastal plain. Perth’s superficial aquifer is close to the surface, often visible at the surface as a wetland or a lake.</w:t>
      </w:r>
    </w:p>
    <w:p w14:paraId="23A8D13F" w14:textId="77777777" w:rsidR="002B32A0" w:rsidRPr="00CE1D7F" w:rsidRDefault="002B32A0" w:rsidP="0075091B">
      <w:pPr>
        <w:pStyle w:val="ListBullet"/>
      </w:pPr>
      <w:r w:rsidRPr="00CE1D7F">
        <w:rPr>
          <w:i/>
          <w:iCs/>
        </w:rPr>
        <w:t>The confined Leederville aquifer</w:t>
      </w:r>
      <w:r w:rsidRPr="00CE1D7F">
        <w:t>. This aquifer lies below the superficial aquifer and is separated by confining layers that minimise water movement toward the surface and conversely from the superficial to the Leederville aquifer.</w:t>
      </w:r>
    </w:p>
    <w:p w14:paraId="1E7023DF" w14:textId="77777777" w:rsidR="002B32A0" w:rsidRPr="00CE1D7F" w:rsidRDefault="002B32A0" w:rsidP="0075091B">
      <w:pPr>
        <w:pStyle w:val="ListBullet"/>
      </w:pPr>
      <w:r w:rsidRPr="00CE1D7F">
        <w:rPr>
          <w:i/>
          <w:iCs/>
        </w:rPr>
        <w:t>The confined Yarragadee aquifer</w:t>
      </w:r>
      <w:r w:rsidRPr="00CE1D7F">
        <w:t xml:space="preserve">. This is the oldest aquifer under Perth. It is a good source of supply even in dry years because of its vast storage and limited connection to the surface. </w:t>
      </w:r>
    </w:p>
    <w:p w14:paraId="4F1CEE83" w14:textId="77777777" w:rsidR="002B32A0" w:rsidRPr="00CE1D7F" w:rsidRDefault="002B32A0" w:rsidP="002B32A0">
      <w:pPr>
        <w:pStyle w:val="BodyText"/>
      </w:pPr>
      <w:r w:rsidRPr="00CE1D7F">
        <w:t xml:space="preserve">Groundwater (in excess of 1500 KL per year) in aquifers can only be extracted if the Department of Water and Environmental Regulation issues a license for that extraction to occur. This is to ensure that water extraction is done in an environmentally sustainable manner and public health protected. </w:t>
      </w:r>
    </w:p>
    <w:p w14:paraId="23F702E4" w14:textId="29B4A3CF" w:rsidR="002B32A0" w:rsidRPr="00CE1D7F" w:rsidRDefault="002B32A0" w:rsidP="002B32A0">
      <w:pPr>
        <w:pStyle w:val="BodyText"/>
      </w:pPr>
      <w:r w:rsidRPr="00CE1D7F">
        <w:t>In 2009, the WAWC prepared a 50-year plan to secure Perth's water supply in response to the early signs of a drying climate.</w:t>
      </w:r>
      <w:r w:rsidRPr="00CE1D7F">
        <w:rPr>
          <w:rStyle w:val="FootnoteReference"/>
        </w:rPr>
        <w:footnoteReference w:id="131"/>
      </w:r>
      <w:r w:rsidRPr="00CE1D7F">
        <w:t xml:space="preserve"> The plan projected a growing gap between water supply and demand to 2060 (see </w:t>
      </w:r>
      <w:r w:rsidRPr="00F87D0E">
        <w:fldChar w:fldCharType="begin"/>
      </w:r>
      <w:r w:rsidRPr="00F87D0E">
        <w:instrText xml:space="preserve"> REF _Ref129335326 \h  \* MERGEFORMAT </w:instrText>
      </w:r>
      <w:r w:rsidRPr="00F87D0E">
        <w:fldChar w:fldCharType="separate"/>
      </w:r>
      <w:r w:rsidR="000B0AC7" w:rsidRPr="000B0AC7">
        <w:t>Figure 8.2</w:t>
      </w:r>
      <w:r w:rsidRPr="00F87D0E">
        <w:fldChar w:fldCharType="end"/>
      </w:r>
      <w:r w:rsidRPr="00CE1D7F">
        <w:t>). An important part of the plan is to progressively add new water sources independent of the changing climate to help secure supplies. These sources included seawater desalination and groundwater replenishment.</w:t>
      </w:r>
    </w:p>
    <w:p w14:paraId="56369C80" w14:textId="77777777" w:rsidR="002B32A0" w:rsidRPr="00CE1D7F" w:rsidRDefault="002B32A0" w:rsidP="002B32A0">
      <w:pPr>
        <w:pStyle w:val="BodyText"/>
      </w:pPr>
      <w:r w:rsidRPr="00CE1D7F">
        <w:t>Groundwater replenishment is an approach where wastewater is treated to drinking water standards and injected into aquifers to recharge them. The injected recycled water is then stored in the aquifers, providing further natural treatment capacity. That water can then be extracted when required through existing production wells (assuming a licence to do so has been issued). By injecting recycled water, it is possible to reduce the reliance on rainfall to replenish the aquifers. WAWC's 50-year plan indicated that aquifer replenishment could allow extracted groundwater to contribute to as much as 20% of Perth's drinking water supply in 2060.</w:t>
      </w:r>
    </w:p>
    <w:p w14:paraId="081EB2C5" w14:textId="77777777" w:rsidR="002B32A0" w:rsidRPr="00CE1D7F" w:rsidRDefault="002B32A0" w:rsidP="002B32A0">
      <w:pPr>
        <w:pStyle w:val="BodyText"/>
      </w:pPr>
      <w:r w:rsidRPr="00CE1D7F">
        <w:t>WAWC’s objective was to be able to increase the amount of groundwater it was licensed to extract from Perth’s aquifers by an amount equivalent to the volume of treated wastewater it injected into the aquifer. However, before the required approvals could be obtained to inject recycled water into aquifers supplying Perth’s drinking water, it was necessary to demonstrate to the Department of Health, Department of Water and the Department of Environment and Conservation (now Department of Water and Environmental Regulation) and the broader community that it was safe to do so and that there would be no adverse impacts on water security, human health or the environment. 3 separate streams of research were required to demonstrate that this was the case, namely:</w:t>
      </w:r>
    </w:p>
    <w:p w14:paraId="1CBCE1FF" w14:textId="77777777" w:rsidR="002B32A0" w:rsidRPr="00CE1D7F" w:rsidRDefault="002B32A0" w:rsidP="0075091B">
      <w:pPr>
        <w:pStyle w:val="ListBullet"/>
      </w:pPr>
      <w:r w:rsidRPr="00CE1D7F">
        <w:t>An investigation of the hydrology of the aquifers. The CSIRO and the WAWC led this research.</w:t>
      </w:r>
    </w:p>
    <w:p w14:paraId="1536B07B" w14:textId="77777777" w:rsidR="002B32A0" w:rsidRPr="00CE1D7F" w:rsidRDefault="002B32A0" w:rsidP="0075091B">
      <w:pPr>
        <w:pStyle w:val="ListBullet"/>
      </w:pPr>
      <w:r w:rsidRPr="00CE1D7F">
        <w:t>A study into the microbiology of treated wastewater. The WA Department of Health did this work.</w:t>
      </w:r>
    </w:p>
    <w:p w14:paraId="6E1D250A" w14:textId="77777777" w:rsidR="002B32A0" w:rsidRPr="00CE1D7F" w:rsidRDefault="002B32A0" w:rsidP="0075091B">
      <w:pPr>
        <w:pStyle w:val="ListBullet"/>
      </w:pPr>
      <w:r w:rsidRPr="00CE1D7F">
        <w:t>Research to establish the chemistry of treated wastewater and whether any contaminants were present following the recycling treatment. This project was led by Curtin University and is the focus of this case study.</w:t>
      </w:r>
    </w:p>
    <w:p w14:paraId="60526C08" w14:textId="34145B92" w:rsidR="000B0AC7" w:rsidRPr="00CE1D7F" w:rsidRDefault="000B0AC7" w:rsidP="000B0AC7">
      <w:pPr>
        <w:pStyle w:val="Caption"/>
        <w:ind w:left="-535" w:hanging="1308"/>
      </w:pPr>
      <w:bookmarkStart w:id="294" w:name="_Ref129335326"/>
      <w:r w:rsidRPr="00CE1D7F">
        <w:rPr>
          <w:rStyle w:val="CaptionLabel"/>
        </w:rPr>
        <w:t>Figure </w:t>
      </w:r>
      <w:r w:rsidRPr="00CE1D7F">
        <w:rPr>
          <w:rStyle w:val="CaptionLabel"/>
        </w:rPr>
        <w:fldChar w:fldCharType="begin"/>
      </w:r>
      <w:r w:rsidRPr="00CE1D7F">
        <w:rPr>
          <w:rStyle w:val="CaptionLabel"/>
        </w:rPr>
        <w:instrText xml:space="preserve"> STYLEREF 1 \S \* MERGEFORMAT </w:instrText>
      </w:r>
      <w:r w:rsidRPr="00CE1D7F">
        <w:rPr>
          <w:rStyle w:val="CaptionLabel"/>
        </w:rPr>
        <w:fldChar w:fldCharType="separate"/>
      </w:r>
      <w:r>
        <w:rPr>
          <w:rStyle w:val="CaptionLabel"/>
          <w:noProof/>
        </w:rPr>
        <w:t>8</w:t>
      </w:r>
      <w:r w:rsidRPr="00CE1D7F">
        <w:rPr>
          <w:rStyle w:val="CaptionLabel"/>
        </w:rPr>
        <w:fldChar w:fldCharType="end"/>
      </w:r>
      <w:r w:rsidRPr="00CE1D7F">
        <w:rPr>
          <w:rStyle w:val="CaptionLabel"/>
        </w:rPr>
        <w:t>.</w:t>
      </w:r>
      <w:r w:rsidRPr="00CE1D7F">
        <w:rPr>
          <w:rStyle w:val="CaptionLabel"/>
        </w:rPr>
        <w:fldChar w:fldCharType="begin"/>
      </w:r>
      <w:r w:rsidRPr="00CE1D7F">
        <w:rPr>
          <w:rStyle w:val="CaptionLabel"/>
        </w:rPr>
        <w:instrText xml:space="preserve"> SEQ Figure \* ARABIC \S 1 \* MERGEFORMAT </w:instrText>
      </w:r>
      <w:r w:rsidRPr="00CE1D7F">
        <w:rPr>
          <w:rStyle w:val="CaptionLabel"/>
        </w:rPr>
        <w:fldChar w:fldCharType="separate"/>
      </w:r>
      <w:r>
        <w:rPr>
          <w:rStyle w:val="CaptionLabel"/>
          <w:noProof/>
        </w:rPr>
        <w:t>2</w:t>
      </w:r>
      <w:r w:rsidRPr="00CE1D7F">
        <w:rPr>
          <w:rStyle w:val="CaptionLabel"/>
        </w:rPr>
        <w:fldChar w:fldCharType="end"/>
      </w:r>
      <w:bookmarkEnd w:id="294"/>
      <w:r w:rsidRPr="00CE1D7F">
        <w:tab/>
        <w:t>Projected gap between water supply and demand to 2060 (Gigalitres per year)</w:t>
      </w:r>
    </w:p>
    <w:tbl>
      <w:tblPr>
        <w:tblStyle w:val="aacTableFigure-Wide"/>
        <w:tblW w:w="6161" w:type="pct"/>
        <w:tblBorders>
          <w:top w:val="single" w:sz="4" w:space="0" w:color="000000"/>
          <w:bottom w:val="single" w:sz="4" w:space="0" w:color="000000"/>
        </w:tblBorders>
        <w:tblLook w:val="04A0" w:firstRow="1" w:lastRow="0" w:firstColumn="1" w:lastColumn="0" w:noHBand="0" w:noVBand="1"/>
      </w:tblPr>
      <w:tblGrid>
        <w:gridCol w:w="9874"/>
      </w:tblGrid>
      <w:tr w:rsidR="002B32A0" w:rsidRPr="00CE1D7F" w14:paraId="4CE255CF" w14:textId="77777777" w:rsidTr="000B0AC7">
        <w:tc>
          <w:tcPr>
            <w:tcW w:w="5000" w:type="pct"/>
            <w:shd w:val="clear" w:color="auto" w:fill="auto"/>
          </w:tcPr>
          <w:p w14:paraId="55DE5150" w14:textId="77777777" w:rsidR="002B32A0" w:rsidRPr="00CE1D7F" w:rsidRDefault="002B32A0" w:rsidP="006258ED">
            <w:pPr>
              <w:pStyle w:val="Figure"/>
              <w:jc w:val="center"/>
            </w:pPr>
            <w:r w:rsidRPr="00CE1D7F">
              <w:rPr>
                <w:noProof/>
              </w:rPr>
              <w:drawing>
                <wp:inline distT="0" distB="0" distL="0" distR="0" wp14:anchorId="00A94319" wp14:editId="14309B69">
                  <wp:extent cx="6269990" cy="2779395"/>
                  <wp:effectExtent l="0" t="0" r="0" b="1905"/>
                  <wp:docPr id="13" name="Picture 13" descr="Projected gap between water supply and demand to 2060 (Gigalitres per year), see description in text abov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Projected gap between water supply and demand to 2060 (Gigalitres per year), see description in text above figure."/>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269990" cy="2779395"/>
                          </a:xfrm>
                          <a:prstGeom prst="rect">
                            <a:avLst/>
                          </a:prstGeom>
                          <a:noFill/>
                          <a:ln>
                            <a:noFill/>
                          </a:ln>
                        </pic:spPr>
                      </pic:pic>
                    </a:graphicData>
                  </a:graphic>
                </wp:inline>
              </w:drawing>
            </w:r>
          </w:p>
        </w:tc>
      </w:tr>
    </w:tbl>
    <w:p w14:paraId="4D642B4D" w14:textId="77777777" w:rsidR="000B0AC7" w:rsidRPr="00CE1D7F" w:rsidRDefault="000B0AC7" w:rsidP="000B0AC7">
      <w:pPr>
        <w:pStyle w:val="Source"/>
        <w:ind w:left="-535" w:hanging="1308"/>
      </w:pPr>
      <w:r w:rsidRPr="00CE1D7F">
        <w:t>Source: Water Forever – Towards Climate Resilience, WA Water Corporation, October 2009.</w:t>
      </w:r>
    </w:p>
    <w:p w14:paraId="16DE14F2" w14:textId="77777777" w:rsidR="000B0AC7" w:rsidRPr="00CE1D7F" w:rsidRDefault="000B0AC7" w:rsidP="006258ED">
      <w:pPr>
        <w:pStyle w:val="spacer"/>
      </w:pPr>
    </w:p>
    <w:p w14:paraId="1A2CECA7" w14:textId="77777777" w:rsidR="002B32A0" w:rsidRPr="00CE1D7F" w:rsidRDefault="002B32A0" w:rsidP="0075091B">
      <w:pPr>
        <w:pStyle w:val="Heading2"/>
      </w:pPr>
      <w:bookmarkStart w:id="295" w:name="_Ref127971740"/>
      <w:bookmarkStart w:id="296" w:name="_Toc129964008"/>
      <w:bookmarkStart w:id="297" w:name="_Toc131174646"/>
      <w:bookmarkStart w:id="298" w:name="_Toc132970677"/>
      <w:bookmarkStart w:id="299" w:name="_Toc135323716"/>
      <w:r w:rsidRPr="00CE1D7F">
        <w:t>Inputs</w:t>
      </w:r>
      <w:bookmarkEnd w:id="295"/>
      <w:bookmarkEnd w:id="296"/>
      <w:bookmarkEnd w:id="297"/>
      <w:bookmarkEnd w:id="298"/>
      <w:bookmarkEnd w:id="299"/>
    </w:p>
    <w:p w14:paraId="487F7E76" w14:textId="22138801" w:rsidR="002B32A0" w:rsidRPr="00CE1D7F" w:rsidRDefault="002B32A0" w:rsidP="002B32A0">
      <w:pPr>
        <w:pStyle w:val="ListBullet"/>
        <w:numPr>
          <w:ilvl w:val="0"/>
          <w:numId w:val="0"/>
        </w:numPr>
      </w:pPr>
      <w:r w:rsidRPr="00CE1D7F">
        <w:t xml:space="preserve">This project received 3 ARC grants, 2 Linkage grants and a LIEF grant. The cash and in-kind contributions by the ARC and others for each of these grants are shown in </w:t>
      </w:r>
      <w:r w:rsidRPr="00F87D0E">
        <w:fldChar w:fldCharType="begin"/>
      </w:r>
      <w:r w:rsidRPr="00F87D0E">
        <w:instrText xml:space="preserve"> REF _Ref129337232 \h  \* MERGEFORMAT </w:instrText>
      </w:r>
      <w:r w:rsidRPr="00F87D0E">
        <w:fldChar w:fldCharType="separate"/>
      </w:r>
      <w:r w:rsidR="000B0AC7" w:rsidRPr="000B0AC7">
        <w:t>Table 8.1</w:t>
      </w:r>
      <w:r w:rsidRPr="00F87D0E">
        <w:fldChar w:fldCharType="end"/>
      </w:r>
      <w:r w:rsidRPr="00CE1D7F">
        <w:t>. Where no specific information was available regarding the annual distribution of support, we assumed that it was distributed evenly across the grant period.</w:t>
      </w:r>
    </w:p>
    <w:p w14:paraId="5E234CC2" w14:textId="77777777" w:rsidR="002B32A0" w:rsidRPr="00CE1D7F" w:rsidRDefault="002B32A0" w:rsidP="002B32A0">
      <w:pPr>
        <w:pStyle w:val="ListBullet"/>
        <w:numPr>
          <w:ilvl w:val="0"/>
          <w:numId w:val="0"/>
        </w:numPr>
      </w:pPr>
      <w:r w:rsidRPr="00CE1D7F">
        <w:t>Total cash and in-kind support provided to the project over the period 2006 to 2018 was just over $5</w:t>
      </w:r>
      <w:r>
        <w:t> million</w:t>
      </w:r>
      <w:r w:rsidRPr="00CE1D7F">
        <w:t>. Just over 63.4% of this was in cash. In-kind support was just over $1.84</w:t>
      </w:r>
      <w:r>
        <w:t> million</w:t>
      </w:r>
      <w:r w:rsidRPr="00CE1D7F">
        <w:t>. In total, the ARC provided $1.38</w:t>
      </w:r>
      <w:r>
        <w:t> million</w:t>
      </w:r>
      <w:r w:rsidRPr="00CE1D7F">
        <w:t xml:space="preserve">, which was over 43% of the total cash support provided for this project. </w:t>
      </w:r>
    </w:p>
    <w:p w14:paraId="0B448ACB" w14:textId="1893762A" w:rsidR="002B32A0" w:rsidRPr="00CE1D7F" w:rsidRDefault="002B32A0" w:rsidP="000B0AC7">
      <w:pPr>
        <w:pStyle w:val="Caption"/>
        <w:spacing w:before="160"/>
        <w:ind w:left="1162" w:hanging="1308"/>
      </w:pPr>
      <w:bookmarkStart w:id="300" w:name="_Ref129337232"/>
      <w:r w:rsidRPr="00CE1D7F">
        <w:rPr>
          <w:rStyle w:val="CaptionLabel"/>
        </w:rPr>
        <w:t>Table </w:t>
      </w:r>
      <w:r w:rsidRPr="00CE1D7F">
        <w:rPr>
          <w:rStyle w:val="CaptionLabel"/>
        </w:rPr>
        <w:fldChar w:fldCharType="begin"/>
      </w:r>
      <w:r w:rsidRPr="00CE1D7F">
        <w:rPr>
          <w:rStyle w:val="CaptionLabel"/>
        </w:rPr>
        <w:instrText xml:space="preserve"> STYLEREF 1 \S \* MERGEFORMAT </w:instrText>
      </w:r>
      <w:r w:rsidRPr="00CE1D7F">
        <w:rPr>
          <w:rStyle w:val="CaptionLabel"/>
        </w:rPr>
        <w:fldChar w:fldCharType="separate"/>
      </w:r>
      <w:r w:rsidR="000B0AC7">
        <w:rPr>
          <w:rStyle w:val="CaptionLabel"/>
          <w:noProof/>
        </w:rPr>
        <w:t>8</w:t>
      </w:r>
      <w:r w:rsidRPr="00CE1D7F">
        <w:rPr>
          <w:rStyle w:val="CaptionLabel"/>
        </w:rPr>
        <w:fldChar w:fldCharType="end"/>
      </w:r>
      <w:r w:rsidRPr="00CE1D7F">
        <w:rPr>
          <w:rStyle w:val="CaptionLabel"/>
        </w:rPr>
        <w:t>.</w:t>
      </w:r>
      <w:r w:rsidRPr="00CE1D7F">
        <w:rPr>
          <w:rStyle w:val="CaptionLabel"/>
        </w:rPr>
        <w:fldChar w:fldCharType="begin"/>
      </w:r>
      <w:r w:rsidRPr="00CE1D7F">
        <w:rPr>
          <w:rStyle w:val="CaptionLabel"/>
        </w:rPr>
        <w:instrText xml:space="preserve"> SEQ Table \* ARABIC \S 1 \* MERGEFORMAT </w:instrText>
      </w:r>
      <w:r w:rsidRPr="00CE1D7F">
        <w:rPr>
          <w:rStyle w:val="CaptionLabel"/>
        </w:rPr>
        <w:fldChar w:fldCharType="separate"/>
      </w:r>
      <w:r w:rsidR="000B0AC7">
        <w:rPr>
          <w:rStyle w:val="CaptionLabel"/>
          <w:noProof/>
        </w:rPr>
        <w:t>1</w:t>
      </w:r>
      <w:r w:rsidRPr="00CE1D7F">
        <w:rPr>
          <w:rStyle w:val="CaptionLabel"/>
        </w:rPr>
        <w:fldChar w:fldCharType="end"/>
      </w:r>
      <w:bookmarkEnd w:id="300"/>
      <w:r w:rsidRPr="00CE1D7F">
        <w:tab/>
        <w:t>Support for the project</w:t>
      </w:r>
    </w:p>
    <w:tbl>
      <w:tblPr>
        <w:tblStyle w:val="aacTableBasic"/>
        <w:tblW w:w="5101" w:type="pct"/>
        <w:tblInd w:w="-146" w:type="dxa"/>
        <w:tblLook w:val="04A0" w:firstRow="1" w:lastRow="0" w:firstColumn="1" w:lastColumn="0" w:noHBand="0" w:noVBand="1"/>
        <w:tblCaption w:val="Table 8.1"/>
        <w:tblDescription w:val="Support for the project"/>
      </w:tblPr>
      <w:tblGrid>
        <w:gridCol w:w="2459"/>
        <w:gridCol w:w="6"/>
        <w:gridCol w:w="6"/>
        <w:gridCol w:w="1503"/>
        <w:gridCol w:w="15"/>
        <w:gridCol w:w="1260"/>
        <w:gridCol w:w="1276"/>
        <w:gridCol w:w="1563"/>
        <w:gridCol w:w="8"/>
      </w:tblGrid>
      <w:tr w:rsidR="00163772" w:rsidRPr="00CE1D7F" w14:paraId="3007ED41" w14:textId="77777777" w:rsidTr="00163772">
        <w:trPr>
          <w:cnfStyle w:val="100000000000" w:firstRow="1" w:lastRow="0" w:firstColumn="0" w:lastColumn="0" w:oddVBand="0" w:evenVBand="0" w:oddHBand="0" w:evenHBand="0" w:firstRowFirstColumn="0" w:firstRowLastColumn="0" w:lastRowFirstColumn="0" w:lastRowLastColumn="0"/>
          <w:trHeight w:val="362"/>
        </w:trPr>
        <w:tc>
          <w:tcPr>
            <w:tcW w:w="1519" w:type="pct"/>
            <w:tcBorders>
              <w:top w:val="nil"/>
            </w:tcBorders>
            <w:shd w:val="solid" w:color="140034" w:fill="140034"/>
            <w:tcMar>
              <w:left w:w="80" w:type="dxa"/>
            </w:tcMar>
            <w:hideMark/>
          </w:tcPr>
          <w:p w14:paraId="5F8D38D4" w14:textId="77777777" w:rsidR="002B32A0" w:rsidRPr="00CE1D7F" w:rsidRDefault="002B32A0" w:rsidP="006258ED">
            <w:pPr>
              <w:pStyle w:val="Tablecolumnheadings"/>
              <w:keepLines/>
              <w:rPr>
                <w:rStyle w:val="CaptionLabel"/>
                <w:b/>
                <w:bCs/>
              </w:rPr>
            </w:pPr>
            <w:r w:rsidRPr="00CE1D7F">
              <w:t>Contributor / Type of support</w:t>
            </w:r>
          </w:p>
        </w:tc>
        <w:tc>
          <w:tcPr>
            <w:tcW w:w="945" w:type="pct"/>
            <w:gridSpan w:val="4"/>
            <w:tcBorders>
              <w:top w:val="nil"/>
            </w:tcBorders>
            <w:shd w:val="solid" w:color="140034" w:fill="140034"/>
            <w:hideMark/>
          </w:tcPr>
          <w:p w14:paraId="47CA07DD" w14:textId="77777777" w:rsidR="002B32A0" w:rsidRPr="00CE1D7F" w:rsidRDefault="002B32A0" w:rsidP="006258ED">
            <w:pPr>
              <w:pStyle w:val="Tablecolumnheadings"/>
              <w:keepLines/>
              <w:rPr>
                <w:rStyle w:val="CaptionLabel"/>
                <w:b/>
                <w:bCs/>
              </w:rPr>
            </w:pPr>
            <w:r w:rsidRPr="00CE1D7F">
              <w:t>2006-2008</w:t>
            </w:r>
          </w:p>
        </w:tc>
        <w:tc>
          <w:tcPr>
            <w:tcW w:w="778" w:type="pct"/>
            <w:tcBorders>
              <w:top w:val="nil"/>
            </w:tcBorders>
            <w:shd w:val="solid" w:color="140034" w:fill="140034"/>
            <w:hideMark/>
          </w:tcPr>
          <w:p w14:paraId="2C9C83E0" w14:textId="77777777" w:rsidR="002B32A0" w:rsidRPr="00CE1D7F" w:rsidRDefault="002B32A0" w:rsidP="006258ED">
            <w:pPr>
              <w:pStyle w:val="Tablecolumnheadings"/>
              <w:keepLines/>
              <w:rPr>
                <w:rStyle w:val="CaptionLabel"/>
                <w:b/>
                <w:bCs/>
              </w:rPr>
            </w:pPr>
            <w:r w:rsidRPr="00CE1D7F">
              <w:t>2009-2012</w:t>
            </w:r>
          </w:p>
        </w:tc>
        <w:tc>
          <w:tcPr>
            <w:tcW w:w="788" w:type="pct"/>
            <w:tcBorders>
              <w:top w:val="nil"/>
            </w:tcBorders>
            <w:shd w:val="solid" w:color="140034" w:fill="140034"/>
          </w:tcPr>
          <w:p w14:paraId="0B7BF302" w14:textId="77777777" w:rsidR="002B32A0" w:rsidRPr="00CE1D7F" w:rsidRDefault="002B32A0" w:rsidP="006258ED">
            <w:pPr>
              <w:pStyle w:val="Tablecolumnheadings"/>
              <w:keepLines/>
            </w:pPr>
            <w:r w:rsidRPr="00CE1D7F">
              <w:t>2013-2018</w:t>
            </w:r>
          </w:p>
        </w:tc>
        <w:tc>
          <w:tcPr>
            <w:tcW w:w="970" w:type="pct"/>
            <w:gridSpan w:val="2"/>
            <w:tcBorders>
              <w:top w:val="nil"/>
            </w:tcBorders>
            <w:shd w:val="solid" w:color="140034" w:fill="140034"/>
            <w:hideMark/>
          </w:tcPr>
          <w:p w14:paraId="2D2643E8" w14:textId="77777777" w:rsidR="002B32A0" w:rsidRPr="00CE1D7F" w:rsidRDefault="002B32A0" w:rsidP="006258ED">
            <w:pPr>
              <w:pStyle w:val="Tablecolumnheadings"/>
              <w:keepLines/>
              <w:rPr>
                <w:rStyle w:val="CaptionLabel"/>
                <w:b/>
                <w:bCs/>
              </w:rPr>
            </w:pPr>
            <w:r w:rsidRPr="00CE1D7F">
              <w:t>Total Contributions</w:t>
            </w:r>
          </w:p>
        </w:tc>
      </w:tr>
      <w:tr w:rsidR="00163772" w:rsidRPr="00CE1D7F" w14:paraId="655B5821" w14:textId="77777777" w:rsidTr="00163772">
        <w:trPr>
          <w:gridAfter w:val="1"/>
          <w:wAfter w:w="5" w:type="pct"/>
          <w:trHeight w:val="318"/>
        </w:trPr>
        <w:tc>
          <w:tcPr>
            <w:tcW w:w="1527" w:type="pct"/>
            <w:gridSpan w:val="3"/>
            <w:tcBorders>
              <w:top w:val="single" w:sz="4" w:space="0" w:color="auto"/>
              <w:bottom w:val="single" w:sz="4" w:space="0" w:color="auto"/>
            </w:tcBorders>
            <w:tcMar>
              <w:left w:w="80" w:type="dxa"/>
            </w:tcMar>
            <w:hideMark/>
          </w:tcPr>
          <w:p w14:paraId="3B25A583" w14:textId="77777777" w:rsidR="002B32A0" w:rsidRPr="00CE1D7F" w:rsidRDefault="002B32A0" w:rsidP="006258ED">
            <w:pPr>
              <w:pStyle w:val="Tabletext"/>
              <w:keepNext/>
              <w:keepLines/>
              <w:rPr>
                <w:b/>
                <w:bCs/>
              </w:rPr>
            </w:pPr>
            <w:r w:rsidRPr="00CE1D7F">
              <w:rPr>
                <w:b/>
                <w:bCs/>
              </w:rPr>
              <w:t>Cash</w:t>
            </w:r>
          </w:p>
        </w:tc>
        <w:tc>
          <w:tcPr>
            <w:tcW w:w="927" w:type="pct"/>
            <w:tcBorders>
              <w:top w:val="single" w:sz="4" w:space="0" w:color="auto"/>
              <w:bottom w:val="single" w:sz="4" w:space="0" w:color="auto"/>
            </w:tcBorders>
          </w:tcPr>
          <w:p w14:paraId="2E4B76B2" w14:textId="77777777" w:rsidR="002B32A0" w:rsidRPr="00CE1D7F" w:rsidRDefault="002B32A0" w:rsidP="006258ED">
            <w:pPr>
              <w:pStyle w:val="Tabletext"/>
              <w:keepNext/>
              <w:keepLines/>
            </w:pPr>
          </w:p>
        </w:tc>
        <w:tc>
          <w:tcPr>
            <w:tcW w:w="787" w:type="pct"/>
            <w:gridSpan w:val="2"/>
            <w:tcBorders>
              <w:top w:val="single" w:sz="4" w:space="0" w:color="auto"/>
              <w:bottom w:val="single" w:sz="4" w:space="0" w:color="auto"/>
            </w:tcBorders>
          </w:tcPr>
          <w:p w14:paraId="201557EB" w14:textId="77777777" w:rsidR="002B32A0" w:rsidRPr="00CE1D7F" w:rsidRDefault="002B32A0" w:rsidP="006258ED">
            <w:pPr>
              <w:pStyle w:val="Tabletext"/>
              <w:keepNext/>
              <w:keepLines/>
            </w:pPr>
          </w:p>
        </w:tc>
        <w:tc>
          <w:tcPr>
            <w:tcW w:w="788" w:type="pct"/>
            <w:tcBorders>
              <w:top w:val="single" w:sz="4" w:space="0" w:color="auto"/>
              <w:bottom w:val="single" w:sz="4" w:space="0" w:color="auto"/>
            </w:tcBorders>
          </w:tcPr>
          <w:p w14:paraId="6DDA9042" w14:textId="77777777" w:rsidR="002B32A0" w:rsidRPr="00CE1D7F" w:rsidRDefault="002B32A0" w:rsidP="006258ED">
            <w:pPr>
              <w:pStyle w:val="Tabletext"/>
              <w:keepNext/>
              <w:keepLines/>
            </w:pPr>
          </w:p>
        </w:tc>
        <w:tc>
          <w:tcPr>
            <w:tcW w:w="965" w:type="pct"/>
            <w:tcBorders>
              <w:top w:val="single" w:sz="4" w:space="0" w:color="auto"/>
              <w:bottom w:val="single" w:sz="4" w:space="0" w:color="auto"/>
            </w:tcBorders>
          </w:tcPr>
          <w:p w14:paraId="74DD3586" w14:textId="77777777" w:rsidR="002B32A0" w:rsidRPr="00CE1D7F" w:rsidRDefault="002B32A0" w:rsidP="006258ED">
            <w:pPr>
              <w:pStyle w:val="Tabletext"/>
              <w:keepNext/>
              <w:keepLines/>
            </w:pPr>
          </w:p>
        </w:tc>
      </w:tr>
      <w:tr w:rsidR="00163772" w:rsidRPr="00CE1D7F" w14:paraId="32C4D2DB" w14:textId="77777777" w:rsidTr="00163772">
        <w:trPr>
          <w:gridAfter w:val="1"/>
          <w:wAfter w:w="5" w:type="pct"/>
          <w:trHeight w:val="318"/>
        </w:trPr>
        <w:tc>
          <w:tcPr>
            <w:tcW w:w="1527" w:type="pct"/>
            <w:gridSpan w:val="3"/>
            <w:tcBorders>
              <w:top w:val="single" w:sz="4" w:space="0" w:color="auto"/>
              <w:bottom w:val="single" w:sz="4" w:space="0" w:color="auto"/>
            </w:tcBorders>
            <w:tcMar>
              <w:left w:w="80" w:type="dxa"/>
            </w:tcMar>
            <w:hideMark/>
          </w:tcPr>
          <w:p w14:paraId="7C50CCF7" w14:textId="77777777" w:rsidR="002B32A0" w:rsidRPr="00CE1D7F" w:rsidRDefault="002B32A0" w:rsidP="006258ED">
            <w:pPr>
              <w:pStyle w:val="Tabletext"/>
              <w:keepNext/>
              <w:keepLines/>
              <w:rPr>
                <w:b/>
                <w:bCs/>
              </w:rPr>
            </w:pPr>
            <w:r w:rsidRPr="00CE1D7F">
              <w:rPr>
                <w:b/>
                <w:bCs/>
              </w:rPr>
              <w:t>LE0668452 </w:t>
            </w:r>
          </w:p>
        </w:tc>
        <w:tc>
          <w:tcPr>
            <w:tcW w:w="927" w:type="pct"/>
            <w:tcBorders>
              <w:top w:val="single" w:sz="4" w:space="0" w:color="auto"/>
              <w:bottom w:val="single" w:sz="4" w:space="0" w:color="auto"/>
            </w:tcBorders>
          </w:tcPr>
          <w:p w14:paraId="42D41DE9" w14:textId="77777777" w:rsidR="002B32A0" w:rsidRPr="00CE1D7F" w:rsidRDefault="002B32A0" w:rsidP="006258ED">
            <w:pPr>
              <w:pStyle w:val="Tabletext"/>
              <w:keepNext/>
              <w:keepLines/>
            </w:pPr>
          </w:p>
        </w:tc>
        <w:tc>
          <w:tcPr>
            <w:tcW w:w="787" w:type="pct"/>
            <w:gridSpan w:val="2"/>
            <w:tcBorders>
              <w:top w:val="single" w:sz="4" w:space="0" w:color="auto"/>
              <w:bottom w:val="single" w:sz="4" w:space="0" w:color="auto"/>
            </w:tcBorders>
          </w:tcPr>
          <w:p w14:paraId="5E8C48FC" w14:textId="77777777" w:rsidR="002B32A0" w:rsidRPr="00CE1D7F" w:rsidRDefault="002B32A0" w:rsidP="006258ED">
            <w:pPr>
              <w:pStyle w:val="Tabletext"/>
              <w:keepNext/>
              <w:keepLines/>
            </w:pPr>
          </w:p>
        </w:tc>
        <w:tc>
          <w:tcPr>
            <w:tcW w:w="788" w:type="pct"/>
            <w:tcBorders>
              <w:top w:val="single" w:sz="4" w:space="0" w:color="auto"/>
              <w:bottom w:val="single" w:sz="4" w:space="0" w:color="auto"/>
            </w:tcBorders>
          </w:tcPr>
          <w:p w14:paraId="46D8E77A" w14:textId="77777777" w:rsidR="002B32A0" w:rsidRPr="00CE1D7F" w:rsidRDefault="002B32A0" w:rsidP="006258ED">
            <w:pPr>
              <w:pStyle w:val="Tabletext"/>
              <w:keepNext/>
              <w:keepLines/>
            </w:pPr>
          </w:p>
        </w:tc>
        <w:tc>
          <w:tcPr>
            <w:tcW w:w="965" w:type="pct"/>
            <w:tcBorders>
              <w:top w:val="single" w:sz="4" w:space="0" w:color="auto"/>
              <w:bottom w:val="single" w:sz="4" w:space="0" w:color="auto"/>
            </w:tcBorders>
          </w:tcPr>
          <w:p w14:paraId="0A351DCC" w14:textId="77777777" w:rsidR="002B32A0" w:rsidRPr="00CE1D7F" w:rsidRDefault="002B32A0" w:rsidP="006258ED">
            <w:pPr>
              <w:pStyle w:val="Tabletext"/>
              <w:keepNext/>
              <w:keepLines/>
            </w:pPr>
          </w:p>
        </w:tc>
      </w:tr>
      <w:tr w:rsidR="00163772" w:rsidRPr="00CE1D7F" w14:paraId="4C71DDB3" w14:textId="77777777" w:rsidTr="00163772">
        <w:trPr>
          <w:gridAfter w:val="1"/>
          <w:wAfter w:w="5" w:type="pct"/>
          <w:trHeight w:val="318"/>
        </w:trPr>
        <w:tc>
          <w:tcPr>
            <w:tcW w:w="1527" w:type="pct"/>
            <w:gridSpan w:val="3"/>
            <w:tcBorders>
              <w:top w:val="single" w:sz="4" w:space="0" w:color="auto"/>
              <w:bottom w:val="single" w:sz="4" w:space="0" w:color="auto"/>
            </w:tcBorders>
            <w:tcMar>
              <w:left w:w="80" w:type="dxa"/>
            </w:tcMar>
            <w:hideMark/>
          </w:tcPr>
          <w:p w14:paraId="43D9FACB" w14:textId="77777777" w:rsidR="002B32A0" w:rsidRPr="00CE1D7F" w:rsidRDefault="002B32A0" w:rsidP="006258ED">
            <w:pPr>
              <w:pStyle w:val="Tabletext"/>
              <w:keepNext/>
              <w:keepLines/>
              <w:rPr>
                <w:rStyle w:val="CaptionLabel"/>
                <w:b w:val="0"/>
                <w:bCs/>
              </w:rPr>
            </w:pPr>
            <w:r w:rsidRPr="00CE1D7F">
              <w:t xml:space="preserve">Academic partner </w:t>
            </w:r>
          </w:p>
        </w:tc>
        <w:tc>
          <w:tcPr>
            <w:tcW w:w="927" w:type="pct"/>
            <w:tcBorders>
              <w:top w:val="single" w:sz="4" w:space="0" w:color="auto"/>
              <w:bottom w:val="single" w:sz="4" w:space="0" w:color="auto"/>
            </w:tcBorders>
            <w:hideMark/>
          </w:tcPr>
          <w:p w14:paraId="1C77126B" w14:textId="77777777" w:rsidR="002B32A0" w:rsidRPr="00CE1D7F" w:rsidRDefault="002B32A0" w:rsidP="006258ED">
            <w:pPr>
              <w:pStyle w:val="Tabletext"/>
              <w:keepNext/>
              <w:keepLines/>
              <w:rPr>
                <w:rStyle w:val="CaptionLabel"/>
                <w:b w:val="0"/>
                <w:bCs/>
              </w:rPr>
            </w:pPr>
            <w:r w:rsidRPr="00CE1D7F">
              <w:t>$170,000</w:t>
            </w:r>
          </w:p>
        </w:tc>
        <w:tc>
          <w:tcPr>
            <w:tcW w:w="787" w:type="pct"/>
            <w:gridSpan w:val="2"/>
            <w:tcBorders>
              <w:top w:val="single" w:sz="4" w:space="0" w:color="auto"/>
              <w:bottom w:val="single" w:sz="4" w:space="0" w:color="auto"/>
            </w:tcBorders>
            <w:hideMark/>
          </w:tcPr>
          <w:p w14:paraId="1F0A5017" w14:textId="77777777" w:rsidR="002B32A0" w:rsidRPr="00CE1D7F" w:rsidRDefault="002B32A0" w:rsidP="006258ED">
            <w:pPr>
              <w:pStyle w:val="Tabletext"/>
              <w:keepNext/>
              <w:keepLines/>
              <w:rPr>
                <w:rStyle w:val="CaptionLabel"/>
                <w:b w:val="0"/>
                <w:bCs/>
              </w:rPr>
            </w:pPr>
          </w:p>
        </w:tc>
        <w:tc>
          <w:tcPr>
            <w:tcW w:w="788" w:type="pct"/>
            <w:tcBorders>
              <w:top w:val="single" w:sz="4" w:space="0" w:color="auto"/>
              <w:bottom w:val="single" w:sz="4" w:space="0" w:color="auto"/>
            </w:tcBorders>
          </w:tcPr>
          <w:p w14:paraId="69AF4530" w14:textId="77777777" w:rsidR="002B32A0" w:rsidRPr="00CE1D7F" w:rsidRDefault="002B32A0" w:rsidP="006258ED">
            <w:pPr>
              <w:pStyle w:val="Tabletext"/>
              <w:keepNext/>
              <w:keepLines/>
            </w:pPr>
          </w:p>
        </w:tc>
        <w:tc>
          <w:tcPr>
            <w:tcW w:w="965" w:type="pct"/>
            <w:tcBorders>
              <w:top w:val="single" w:sz="4" w:space="0" w:color="auto"/>
              <w:bottom w:val="single" w:sz="4" w:space="0" w:color="auto"/>
            </w:tcBorders>
            <w:hideMark/>
          </w:tcPr>
          <w:p w14:paraId="03FE438B" w14:textId="77777777" w:rsidR="002B32A0" w:rsidRPr="00CE1D7F" w:rsidRDefault="002B32A0" w:rsidP="006258ED">
            <w:pPr>
              <w:pStyle w:val="Tabletext"/>
              <w:keepNext/>
              <w:keepLines/>
              <w:rPr>
                <w:rStyle w:val="CaptionLabel"/>
                <w:b w:val="0"/>
                <w:bCs/>
              </w:rPr>
            </w:pPr>
            <w:r w:rsidRPr="00CE1D7F">
              <w:t>$170,000</w:t>
            </w:r>
          </w:p>
        </w:tc>
      </w:tr>
      <w:tr w:rsidR="00163772" w:rsidRPr="00CE1D7F" w14:paraId="3F185BF0" w14:textId="77777777" w:rsidTr="00163772">
        <w:trPr>
          <w:gridAfter w:val="1"/>
          <w:wAfter w:w="5" w:type="pct"/>
          <w:trHeight w:val="334"/>
        </w:trPr>
        <w:tc>
          <w:tcPr>
            <w:tcW w:w="1527" w:type="pct"/>
            <w:gridSpan w:val="3"/>
            <w:tcBorders>
              <w:top w:val="single" w:sz="4" w:space="0" w:color="auto"/>
              <w:bottom w:val="single" w:sz="4" w:space="0" w:color="auto"/>
            </w:tcBorders>
            <w:tcMar>
              <w:left w:w="80" w:type="dxa"/>
            </w:tcMar>
            <w:hideMark/>
          </w:tcPr>
          <w:p w14:paraId="4752EA54" w14:textId="77777777" w:rsidR="002B32A0" w:rsidRPr="00CE1D7F" w:rsidRDefault="002B32A0" w:rsidP="006258ED">
            <w:pPr>
              <w:pStyle w:val="Tabletext"/>
              <w:keepNext/>
              <w:keepLines/>
              <w:rPr>
                <w:rStyle w:val="CaptionLabel"/>
                <w:b w:val="0"/>
                <w:bCs/>
              </w:rPr>
            </w:pPr>
            <w:r w:rsidRPr="00CE1D7F">
              <w:t>Non-academic partner</w:t>
            </w:r>
          </w:p>
        </w:tc>
        <w:tc>
          <w:tcPr>
            <w:tcW w:w="927" w:type="pct"/>
            <w:tcBorders>
              <w:top w:val="single" w:sz="4" w:space="0" w:color="auto"/>
              <w:bottom w:val="single" w:sz="4" w:space="0" w:color="auto"/>
            </w:tcBorders>
            <w:hideMark/>
          </w:tcPr>
          <w:p w14:paraId="52F46B3C" w14:textId="77777777" w:rsidR="002B32A0" w:rsidRPr="00CE1D7F" w:rsidRDefault="002B32A0" w:rsidP="006258ED">
            <w:pPr>
              <w:pStyle w:val="Tabletext"/>
              <w:keepNext/>
              <w:keepLines/>
              <w:rPr>
                <w:rStyle w:val="CaptionLabel"/>
                <w:b w:val="0"/>
                <w:bCs/>
              </w:rPr>
            </w:pPr>
            <w:r w:rsidRPr="00CE1D7F">
              <w:t>$55,000</w:t>
            </w:r>
          </w:p>
        </w:tc>
        <w:tc>
          <w:tcPr>
            <w:tcW w:w="787" w:type="pct"/>
            <w:gridSpan w:val="2"/>
            <w:tcBorders>
              <w:top w:val="single" w:sz="4" w:space="0" w:color="auto"/>
              <w:bottom w:val="single" w:sz="4" w:space="0" w:color="auto"/>
            </w:tcBorders>
            <w:hideMark/>
          </w:tcPr>
          <w:p w14:paraId="05C2CB05" w14:textId="77777777" w:rsidR="002B32A0" w:rsidRPr="00CE1D7F" w:rsidRDefault="002B32A0" w:rsidP="006258ED">
            <w:pPr>
              <w:pStyle w:val="Tabletext"/>
              <w:keepNext/>
              <w:keepLines/>
              <w:rPr>
                <w:rStyle w:val="CaptionLabel"/>
                <w:b w:val="0"/>
                <w:bCs/>
              </w:rPr>
            </w:pPr>
          </w:p>
        </w:tc>
        <w:tc>
          <w:tcPr>
            <w:tcW w:w="788" w:type="pct"/>
            <w:tcBorders>
              <w:top w:val="single" w:sz="4" w:space="0" w:color="auto"/>
              <w:bottom w:val="single" w:sz="4" w:space="0" w:color="auto"/>
            </w:tcBorders>
          </w:tcPr>
          <w:p w14:paraId="1CF339B6" w14:textId="77777777" w:rsidR="002B32A0" w:rsidRPr="00CE1D7F" w:rsidRDefault="002B32A0" w:rsidP="006258ED">
            <w:pPr>
              <w:pStyle w:val="Tabletext"/>
              <w:keepNext/>
              <w:keepLines/>
            </w:pPr>
          </w:p>
        </w:tc>
        <w:tc>
          <w:tcPr>
            <w:tcW w:w="965" w:type="pct"/>
            <w:tcBorders>
              <w:top w:val="single" w:sz="4" w:space="0" w:color="auto"/>
              <w:bottom w:val="single" w:sz="4" w:space="0" w:color="auto"/>
            </w:tcBorders>
            <w:hideMark/>
          </w:tcPr>
          <w:p w14:paraId="39F9CC1E" w14:textId="77777777" w:rsidR="002B32A0" w:rsidRPr="00CE1D7F" w:rsidRDefault="002B32A0" w:rsidP="006258ED">
            <w:pPr>
              <w:pStyle w:val="Tabletext"/>
              <w:keepNext/>
              <w:keepLines/>
              <w:rPr>
                <w:rStyle w:val="CaptionLabel"/>
                <w:b w:val="0"/>
                <w:bCs/>
              </w:rPr>
            </w:pPr>
            <w:r w:rsidRPr="00CE1D7F">
              <w:t>$55,000</w:t>
            </w:r>
          </w:p>
        </w:tc>
      </w:tr>
      <w:tr w:rsidR="00163772" w:rsidRPr="00CE1D7F" w14:paraId="526C8B94" w14:textId="77777777" w:rsidTr="00163772">
        <w:trPr>
          <w:gridAfter w:val="1"/>
          <w:wAfter w:w="5" w:type="pct"/>
          <w:trHeight w:val="318"/>
        </w:trPr>
        <w:tc>
          <w:tcPr>
            <w:tcW w:w="1527" w:type="pct"/>
            <w:gridSpan w:val="3"/>
            <w:tcBorders>
              <w:top w:val="single" w:sz="4" w:space="0" w:color="auto"/>
              <w:bottom w:val="single" w:sz="4" w:space="0" w:color="auto"/>
            </w:tcBorders>
            <w:tcMar>
              <w:left w:w="80" w:type="dxa"/>
            </w:tcMar>
            <w:hideMark/>
          </w:tcPr>
          <w:p w14:paraId="248BD324" w14:textId="77777777" w:rsidR="002B32A0" w:rsidRPr="00CE1D7F" w:rsidRDefault="002B32A0" w:rsidP="006258ED">
            <w:pPr>
              <w:pStyle w:val="Tabletext"/>
              <w:keepNext/>
              <w:keepLines/>
            </w:pPr>
            <w:r w:rsidRPr="00CE1D7F">
              <w:t>ARC</w:t>
            </w:r>
          </w:p>
        </w:tc>
        <w:tc>
          <w:tcPr>
            <w:tcW w:w="927" w:type="pct"/>
            <w:tcBorders>
              <w:top w:val="single" w:sz="4" w:space="0" w:color="auto"/>
              <w:bottom w:val="single" w:sz="4" w:space="0" w:color="auto"/>
            </w:tcBorders>
            <w:hideMark/>
          </w:tcPr>
          <w:p w14:paraId="232FD476" w14:textId="77777777" w:rsidR="002B32A0" w:rsidRPr="00CE1D7F" w:rsidRDefault="002B32A0" w:rsidP="006258ED">
            <w:pPr>
              <w:pStyle w:val="Tabletext"/>
              <w:keepNext/>
              <w:keepLines/>
              <w:rPr>
                <w:lang w:eastAsia="en-AU"/>
              </w:rPr>
            </w:pPr>
            <w:r w:rsidRPr="00CE1D7F">
              <w:t>$290,000</w:t>
            </w:r>
          </w:p>
        </w:tc>
        <w:tc>
          <w:tcPr>
            <w:tcW w:w="787" w:type="pct"/>
            <w:gridSpan w:val="2"/>
            <w:tcBorders>
              <w:top w:val="single" w:sz="4" w:space="0" w:color="auto"/>
              <w:bottom w:val="single" w:sz="4" w:space="0" w:color="auto"/>
            </w:tcBorders>
            <w:hideMark/>
          </w:tcPr>
          <w:p w14:paraId="7CF6782C" w14:textId="77777777" w:rsidR="002B32A0" w:rsidRPr="00CE1D7F" w:rsidRDefault="002B32A0" w:rsidP="006258ED">
            <w:pPr>
              <w:pStyle w:val="Tabletext"/>
              <w:keepNext/>
              <w:keepLines/>
              <w:rPr>
                <w:rStyle w:val="CaptionLabel"/>
                <w:b w:val="0"/>
                <w:bCs/>
              </w:rPr>
            </w:pPr>
          </w:p>
        </w:tc>
        <w:tc>
          <w:tcPr>
            <w:tcW w:w="788" w:type="pct"/>
            <w:tcBorders>
              <w:top w:val="single" w:sz="4" w:space="0" w:color="auto"/>
              <w:bottom w:val="single" w:sz="4" w:space="0" w:color="auto"/>
            </w:tcBorders>
          </w:tcPr>
          <w:p w14:paraId="166D30DD" w14:textId="77777777" w:rsidR="002B32A0" w:rsidRPr="00CE1D7F" w:rsidRDefault="002B32A0" w:rsidP="006258ED">
            <w:pPr>
              <w:pStyle w:val="Tabletext"/>
              <w:keepNext/>
              <w:keepLines/>
            </w:pPr>
          </w:p>
        </w:tc>
        <w:tc>
          <w:tcPr>
            <w:tcW w:w="965" w:type="pct"/>
            <w:tcBorders>
              <w:top w:val="single" w:sz="4" w:space="0" w:color="auto"/>
              <w:bottom w:val="single" w:sz="4" w:space="0" w:color="auto"/>
            </w:tcBorders>
            <w:hideMark/>
          </w:tcPr>
          <w:p w14:paraId="75F851F1" w14:textId="77777777" w:rsidR="002B32A0" w:rsidRPr="00CE1D7F" w:rsidRDefault="002B32A0" w:rsidP="006258ED">
            <w:pPr>
              <w:pStyle w:val="Tabletext"/>
              <w:keepNext/>
              <w:keepLines/>
              <w:rPr>
                <w:lang w:eastAsia="en-AU"/>
              </w:rPr>
            </w:pPr>
            <w:r w:rsidRPr="00CE1D7F">
              <w:t>$290,000</w:t>
            </w:r>
          </w:p>
        </w:tc>
      </w:tr>
      <w:tr w:rsidR="00163772" w:rsidRPr="00CE1D7F" w14:paraId="261F2C9B" w14:textId="77777777" w:rsidTr="00163772">
        <w:trPr>
          <w:gridAfter w:val="1"/>
          <w:wAfter w:w="5" w:type="pct"/>
          <w:trHeight w:val="318"/>
        </w:trPr>
        <w:tc>
          <w:tcPr>
            <w:tcW w:w="1527" w:type="pct"/>
            <w:gridSpan w:val="3"/>
            <w:tcBorders>
              <w:top w:val="single" w:sz="4" w:space="0" w:color="auto"/>
              <w:bottom w:val="single" w:sz="4" w:space="0" w:color="auto"/>
            </w:tcBorders>
            <w:tcMar>
              <w:left w:w="80" w:type="dxa"/>
            </w:tcMar>
            <w:hideMark/>
          </w:tcPr>
          <w:p w14:paraId="29337E84" w14:textId="77777777" w:rsidR="002B32A0" w:rsidRPr="00CE1D7F" w:rsidRDefault="002B32A0" w:rsidP="006258ED">
            <w:pPr>
              <w:pStyle w:val="Tabletext"/>
              <w:keepNext/>
              <w:keepLines/>
              <w:rPr>
                <w:b/>
                <w:bCs/>
              </w:rPr>
            </w:pPr>
            <w:r w:rsidRPr="00CE1D7F">
              <w:rPr>
                <w:b/>
                <w:bCs/>
              </w:rPr>
              <w:t>LP0989326</w:t>
            </w:r>
          </w:p>
        </w:tc>
        <w:tc>
          <w:tcPr>
            <w:tcW w:w="927" w:type="pct"/>
            <w:tcBorders>
              <w:top w:val="single" w:sz="4" w:space="0" w:color="auto"/>
              <w:bottom w:val="single" w:sz="4" w:space="0" w:color="auto"/>
            </w:tcBorders>
          </w:tcPr>
          <w:p w14:paraId="378947F3" w14:textId="77777777" w:rsidR="002B32A0" w:rsidRPr="00CE1D7F" w:rsidRDefault="002B32A0" w:rsidP="006258ED">
            <w:pPr>
              <w:pStyle w:val="Tabletext"/>
              <w:keepNext/>
              <w:keepLines/>
              <w:rPr>
                <w:rStyle w:val="CaptionLabel"/>
              </w:rPr>
            </w:pPr>
          </w:p>
        </w:tc>
        <w:tc>
          <w:tcPr>
            <w:tcW w:w="787" w:type="pct"/>
            <w:gridSpan w:val="2"/>
            <w:tcBorders>
              <w:top w:val="single" w:sz="4" w:space="0" w:color="auto"/>
              <w:bottom w:val="single" w:sz="4" w:space="0" w:color="auto"/>
            </w:tcBorders>
          </w:tcPr>
          <w:p w14:paraId="2899FF62" w14:textId="77777777" w:rsidR="002B32A0" w:rsidRPr="00CE1D7F" w:rsidRDefault="002B32A0" w:rsidP="006258ED">
            <w:pPr>
              <w:pStyle w:val="Tabletext"/>
              <w:keepNext/>
              <w:keepLines/>
            </w:pPr>
          </w:p>
        </w:tc>
        <w:tc>
          <w:tcPr>
            <w:tcW w:w="788" w:type="pct"/>
            <w:tcBorders>
              <w:top w:val="single" w:sz="4" w:space="0" w:color="auto"/>
              <w:bottom w:val="single" w:sz="4" w:space="0" w:color="auto"/>
            </w:tcBorders>
          </w:tcPr>
          <w:p w14:paraId="36E71EBB" w14:textId="77777777" w:rsidR="002B32A0" w:rsidRPr="00CE1D7F" w:rsidRDefault="002B32A0" w:rsidP="006258ED">
            <w:pPr>
              <w:pStyle w:val="Tabletext"/>
              <w:keepNext/>
              <w:keepLines/>
            </w:pPr>
          </w:p>
        </w:tc>
        <w:tc>
          <w:tcPr>
            <w:tcW w:w="965" w:type="pct"/>
            <w:tcBorders>
              <w:top w:val="single" w:sz="4" w:space="0" w:color="auto"/>
              <w:bottom w:val="single" w:sz="4" w:space="0" w:color="auto"/>
            </w:tcBorders>
          </w:tcPr>
          <w:p w14:paraId="5B92B463" w14:textId="77777777" w:rsidR="002B32A0" w:rsidRPr="00CE1D7F" w:rsidRDefault="002B32A0" w:rsidP="006258ED">
            <w:pPr>
              <w:pStyle w:val="Tabletext"/>
              <w:keepNext/>
              <w:keepLines/>
            </w:pPr>
          </w:p>
        </w:tc>
      </w:tr>
      <w:tr w:rsidR="00163772" w:rsidRPr="00CE1D7F" w14:paraId="3ACDCA7D" w14:textId="77777777" w:rsidTr="00163772">
        <w:trPr>
          <w:gridAfter w:val="1"/>
          <w:wAfter w:w="5" w:type="pct"/>
          <w:trHeight w:val="318"/>
        </w:trPr>
        <w:tc>
          <w:tcPr>
            <w:tcW w:w="1527" w:type="pct"/>
            <w:gridSpan w:val="3"/>
            <w:tcBorders>
              <w:top w:val="single" w:sz="4" w:space="0" w:color="auto"/>
              <w:bottom w:val="single" w:sz="4" w:space="0" w:color="auto"/>
            </w:tcBorders>
            <w:tcMar>
              <w:left w:w="80" w:type="dxa"/>
            </w:tcMar>
            <w:hideMark/>
          </w:tcPr>
          <w:p w14:paraId="14FF0CB4" w14:textId="77777777" w:rsidR="002B32A0" w:rsidRPr="00CE1D7F" w:rsidRDefault="002B32A0" w:rsidP="006258ED">
            <w:pPr>
              <w:pStyle w:val="Tabletext"/>
              <w:keepNext/>
              <w:keepLines/>
              <w:rPr>
                <w:rStyle w:val="CaptionLabel"/>
              </w:rPr>
            </w:pPr>
            <w:r w:rsidRPr="00CE1D7F">
              <w:t xml:space="preserve">Academic partner </w:t>
            </w:r>
          </w:p>
        </w:tc>
        <w:tc>
          <w:tcPr>
            <w:tcW w:w="927" w:type="pct"/>
            <w:tcBorders>
              <w:top w:val="single" w:sz="4" w:space="0" w:color="auto"/>
              <w:bottom w:val="single" w:sz="4" w:space="0" w:color="auto"/>
            </w:tcBorders>
            <w:hideMark/>
          </w:tcPr>
          <w:p w14:paraId="1797196E" w14:textId="77777777" w:rsidR="002B32A0" w:rsidRPr="00CE1D7F" w:rsidRDefault="002B32A0" w:rsidP="006258ED">
            <w:pPr>
              <w:pStyle w:val="Tabletext"/>
              <w:keepNext/>
              <w:keepLines/>
              <w:rPr>
                <w:rStyle w:val="CaptionLabel"/>
              </w:rPr>
            </w:pPr>
          </w:p>
        </w:tc>
        <w:tc>
          <w:tcPr>
            <w:tcW w:w="787" w:type="pct"/>
            <w:gridSpan w:val="2"/>
            <w:tcBorders>
              <w:top w:val="single" w:sz="4" w:space="0" w:color="auto"/>
              <w:bottom w:val="single" w:sz="4" w:space="0" w:color="auto"/>
            </w:tcBorders>
            <w:hideMark/>
          </w:tcPr>
          <w:p w14:paraId="1AB741BE" w14:textId="77777777" w:rsidR="002B32A0" w:rsidRPr="00CE1D7F" w:rsidRDefault="002B32A0" w:rsidP="006258ED">
            <w:pPr>
              <w:pStyle w:val="Tabletext"/>
              <w:keepNext/>
              <w:keepLines/>
              <w:rPr>
                <w:rStyle w:val="CaptionLabel"/>
              </w:rPr>
            </w:pPr>
            <w:r w:rsidRPr="00CE1D7F">
              <w:t>$496,062</w:t>
            </w:r>
          </w:p>
        </w:tc>
        <w:tc>
          <w:tcPr>
            <w:tcW w:w="788" w:type="pct"/>
            <w:tcBorders>
              <w:top w:val="single" w:sz="4" w:space="0" w:color="auto"/>
              <w:bottom w:val="single" w:sz="4" w:space="0" w:color="auto"/>
            </w:tcBorders>
          </w:tcPr>
          <w:p w14:paraId="0361D305" w14:textId="77777777" w:rsidR="002B32A0" w:rsidRPr="00CE1D7F" w:rsidRDefault="002B32A0" w:rsidP="006258ED">
            <w:pPr>
              <w:pStyle w:val="Tabletext"/>
              <w:keepNext/>
              <w:keepLines/>
            </w:pPr>
          </w:p>
        </w:tc>
        <w:tc>
          <w:tcPr>
            <w:tcW w:w="965" w:type="pct"/>
            <w:tcBorders>
              <w:top w:val="single" w:sz="4" w:space="0" w:color="auto"/>
              <w:bottom w:val="single" w:sz="4" w:space="0" w:color="auto"/>
            </w:tcBorders>
            <w:hideMark/>
          </w:tcPr>
          <w:p w14:paraId="5AE914BF" w14:textId="77777777" w:rsidR="002B32A0" w:rsidRPr="00CE1D7F" w:rsidRDefault="002B32A0" w:rsidP="006258ED">
            <w:pPr>
              <w:pStyle w:val="Tabletext"/>
              <w:keepNext/>
              <w:keepLines/>
              <w:rPr>
                <w:rStyle w:val="CaptionLabel"/>
              </w:rPr>
            </w:pPr>
            <w:r w:rsidRPr="00CE1D7F">
              <w:t>$496,062</w:t>
            </w:r>
          </w:p>
        </w:tc>
      </w:tr>
      <w:tr w:rsidR="00163772" w:rsidRPr="00CE1D7F" w14:paraId="226AE824" w14:textId="77777777" w:rsidTr="00163772">
        <w:trPr>
          <w:gridAfter w:val="1"/>
          <w:wAfter w:w="5" w:type="pct"/>
          <w:trHeight w:val="334"/>
        </w:trPr>
        <w:tc>
          <w:tcPr>
            <w:tcW w:w="1523" w:type="pct"/>
            <w:gridSpan w:val="2"/>
            <w:tcBorders>
              <w:top w:val="single" w:sz="4" w:space="0" w:color="auto"/>
              <w:bottom w:val="single" w:sz="4" w:space="0" w:color="auto"/>
            </w:tcBorders>
            <w:tcMar>
              <w:left w:w="80" w:type="dxa"/>
            </w:tcMar>
            <w:hideMark/>
          </w:tcPr>
          <w:p w14:paraId="03DDF4DB" w14:textId="77777777" w:rsidR="002B32A0" w:rsidRPr="00CE1D7F" w:rsidRDefault="002B32A0" w:rsidP="006258ED">
            <w:pPr>
              <w:pStyle w:val="Tabletext"/>
              <w:keepNext/>
              <w:keepLines/>
              <w:rPr>
                <w:rStyle w:val="CaptionLabel"/>
                <w:b w:val="0"/>
                <w:bCs/>
              </w:rPr>
            </w:pPr>
            <w:r w:rsidRPr="00CE1D7F">
              <w:t>Non-academic partner</w:t>
            </w:r>
          </w:p>
        </w:tc>
        <w:tc>
          <w:tcPr>
            <w:tcW w:w="931" w:type="pct"/>
            <w:gridSpan w:val="2"/>
            <w:tcBorders>
              <w:top w:val="single" w:sz="4" w:space="0" w:color="auto"/>
              <w:bottom w:val="single" w:sz="4" w:space="0" w:color="auto"/>
            </w:tcBorders>
            <w:hideMark/>
          </w:tcPr>
          <w:p w14:paraId="7507280F" w14:textId="77777777" w:rsidR="002B32A0" w:rsidRPr="00CE1D7F" w:rsidRDefault="002B32A0" w:rsidP="006258ED">
            <w:pPr>
              <w:pStyle w:val="Tabletext"/>
              <w:keepNext/>
              <w:keepLines/>
              <w:rPr>
                <w:rStyle w:val="CaptionLabel"/>
                <w:b w:val="0"/>
                <w:bCs/>
              </w:rPr>
            </w:pPr>
          </w:p>
        </w:tc>
        <w:tc>
          <w:tcPr>
            <w:tcW w:w="787" w:type="pct"/>
            <w:gridSpan w:val="2"/>
            <w:tcBorders>
              <w:top w:val="single" w:sz="4" w:space="0" w:color="auto"/>
              <w:bottom w:val="single" w:sz="4" w:space="0" w:color="auto"/>
            </w:tcBorders>
            <w:hideMark/>
          </w:tcPr>
          <w:p w14:paraId="2E98B1A0" w14:textId="77777777" w:rsidR="002B32A0" w:rsidRPr="00CE1D7F" w:rsidRDefault="002B32A0" w:rsidP="006258ED">
            <w:pPr>
              <w:pStyle w:val="Tabletext"/>
              <w:keepNext/>
              <w:keepLines/>
              <w:rPr>
                <w:rStyle w:val="CaptionLabel"/>
                <w:b w:val="0"/>
                <w:bCs/>
              </w:rPr>
            </w:pPr>
            <w:r w:rsidRPr="00CE1D7F">
              <w:t>$480,000</w:t>
            </w:r>
          </w:p>
        </w:tc>
        <w:tc>
          <w:tcPr>
            <w:tcW w:w="788" w:type="pct"/>
            <w:tcBorders>
              <w:top w:val="single" w:sz="4" w:space="0" w:color="auto"/>
              <w:bottom w:val="single" w:sz="4" w:space="0" w:color="auto"/>
            </w:tcBorders>
          </w:tcPr>
          <w:p w14:paraId="32E30970" w14:textId="77777777" w:rsidR="002B32A0" w:rsidRPr="00CE1D7F" w:rsidRDefault="002B32A0" w:rsidP="006258ED">
            <w:pPr>
              <w:pStyle w:val="Tabletext"/>
              <w:keepNext/>
              <w:keepLines/>
            </w:pPr>
          </w:p>
        </w:tc>
        <w:tc>
          <w:tcPr>
            <w:tcW w:w="965" w:type="pct"/>
            <w:tcBorders>
              <w:top w:val="single" w:sz="4" w:space="0" w:color="auto"/>
              <w:bottom w:val="single" w:sz="4" w:space="0" w:color="auto"/>
            </w:tcBorders>
            <w:hideMark/>
          </w:tcPr>
          <w:p w14:paraId="4AEDDE03" w14:textId="77777777" w:rsidR="002B32A0" w:rsidRPr="00CE1D7F" w:rsidRDefault="002B32A0" w:rsidP="006258ED">
            <w:pPr>
              <w:pStyle w:val="Tabletext"/>
              <w:keepNext/>
              <w:keepLines/>
              <w:rPr>
                <w:rStyle w:val="CaptionLabel"/>
                <w:b w:val="0"/>
                <w:bCs/>
              </w:rPr>
            </w:pPr>
            <w:r w:rsidRPr="00CE1D7F">
              <w:t>$480,000</w:t>
            </w:r>
          </w:p>
        </w:tc>
      </w:tr>
      <w:tr w:rsidR="00163772" w:rsidRPr="00CE1D7F" w14:paraId="12EC5B74" w14:textId="77777777" w:rsidTr="00163772">
        <w:trPr>
          <w:gridAfter w:val="1"/>
          <w:wAfter w:w="5" w:type="pct"/>
          <w:trHeight w:val="318"/>
        </w:trPr>
        <w:tc>
          <w:tcPr>
            <w:tcW w:w="1523" w:type="pct"/>
            <w:gridSpan w:val="2"/>
            <w:tcBorders>
              <w:top w:val="single" w:sz="4" w:space="0" w:color="auto"/>
              <w:bottom w:val="single" w:sz="4" w:space="0" w:color="auto"/>
            </w:tcBorders>
            <w:tcMar>
              <w:left w:w="80" w:type="dxa"/>
            </w:tcMar>
            <w:hideMark/>
          </w:tcPr>
          <w:p w14:paraId="7A5878C1" w14:textId="77777777" w:rsidR="002B32A0" w:rsidRPr="00CE1D7F" w:rsidRDefault="002B32A0" w:rsidP="006258ED">
            <w:pPr>
              <w:pStyle w:val="Tabletext"/>
              <w:keepNext/>
              <w:keepLines/>
              <w:rPr>
                <w:rStyle w:val="CaptionLabel"/>
                <w:b w:val="0"/>
                <w:bCs/>
              </w:rPr>
            </w:pPr>
            <w:r w:rsidRPr="00CE1D7F">
              <w:t>ARC</w:t>
            </w:r>
          </w:p>
        </w:tc>
        <w:tc>
          <w:tcPr>
            <w:tcW w:w="931" w:type="pct"/>
            <w:gridSpan w:val="2"/>
            <w:tcBorders>
              <w:top w:val="single" w:sz="4" w:space="0" w:color="auto"/>
              <w:bottom w:val="single" w:sz="4" w:space="0" w:color="auto"/>
            </w:tcBorders>
            <w:hideMark/>
          </w:tcPr>
          <w:p w14:paraId="2F1D6F7D" w14:textId="77777777" w:rsidR="002B32A0" w:rsidRPr="00CE1D7F" w:rsidRDefault="002B32A0" w:rsidP="006258ED">
            <w:pPr>
              <w:pStyle w:val="Tabletext"/>
              <w:keepNext/>
              <w:keepLines/>
              <w:rPr>
                <w:rStyle w:val="CaptionLabel"/>
                <w:b w:val="0"/>
                <w:bCs/>
              </w:rPr>
            </w:pPr>
          </w:p>
        </w:tc>
        <w:tc>
          <w:tcPr>
            <w:tcW w:w="787" w:type="pct"/>
            <w:gridSpan w:val="2"/>
            <w:tcBorders>
              <w:top w:val="single" w:sz="4" w:space="0" w:color="auto"/>
              <w:bottom w:val="single" w:sz="4" w:space="0" w:color="auto"/>
            </w:tcBorders>
            <w:hideMark/>
          </w:tcPr>
          <w:p w14:paraId="174ACD21" w14:textId="77777777" w:rsidR="002B32A0" w:rsidRPr="00CE1D7F" w:rsidRDefault="002B32A0" w:rsidP="006258ED">
            <w:pPr>
              <w:pStyle w:val="Tabletext"/>
              <w:keepNext/>
              <w:keepLines/>
              <w:rPr>
                <w:rStyle w:val="CaptionLabel"/>
                <w:b w:val="0"/>
                <w:bCs/>
              </w:rPr>
            </w:pPr>
            <w:r w:rsidRPr="00CE1D7F">
              <w:t>$600,000</w:t>
            </w:r>
          </w:p>
        </w:tc>
        <w:tc>
          <w:tcPr>
            <w:tcW w:w="788" w:type="pct"/>
            <w:tcBorders>
              <w:top w:val="single" w:sz="4" w:space="0" w:color="auto"/>
              <w:bottom w:val="single" w:sz="4" w:space="0" w:color="auto"/>
            </w:tcBorders>
          </w:tcPr>
          <w:p w14:paraId="2BAC1FBD" w14:textId="77777777" w:rsidR="002B32A0" w:rsidRPr="00CE1D7F" w:rsidRDefault="002B32A0" w:rsidP="006258ED">
            <w:pPr>
              <w:pStyle w:val="Tabletext"/>
              <w:keepNext/>
              <w:keepLines/>
            </w:pPr>
          </w:p>
        </w:tc>
        <w:tc>
          <w:tcPr>
            <w:tcW w:w="965" w:type="pct"/>
            <w:tcBorders>
              <w:top w:val="single" w:sz="4" w:space="0" w:color="auto"/>
              <w:bottom w:val="single" w:sz="4" w:space="0" w:color="auto"/>
            </w:tcBorders>
            <w:hideMark/>
          </w:tcPr>
          <w:p w14:paraId="054A6AB5" w14:textId="77777777" w:rsidR="002B32A0" w:rsidRPr="00CE1D7F" w:rsidRDefault="002B32A0" w:rsidP="006258ED">
            <w:pPr>
              <w:pStyle w:val="Tabletext"/>
              <w:keepNext/>
              <w:keepLines/>
              <w:rPr>
                <w:rStyle w:val="CaptionLabel"/>
                <w:b w:val="0"/>
                <w:bCs/>
              </w:rPr>
            </w:pPr>
            <w:r w:rsidRPr="00CE1D7F">
              <w:t>$600,000</w:t>
            </w:r>
          </w:p>
        </w:tc>
      </w:tr>
      <w:tr w:rsidR="00163772" w:rsidRPr="00CE1D7F" w14:paraId="3D8E5792" w14:textId="77777777" w:rsidTr="00163772">
        <w:trPr>
          <w:gridAfter w:val="1"/>
          <w:wAfter w:w="5" w:type="pct"/>
          <w:trHeight w:val="318"/>
        </w:trPr>
        <w:tc>
          <w:tcPr>
            <w:tcW w:w="1523" w:type="pct"/>
            <w:gridSpan w:val="2"/>
            <w:tcBorders>
              <w:top w:val="single" w:sz="4" w:space="0" w:color="auto"/>
              <w:bottom w:val="single" w:sz="4" w:space="0" w:color="auto"/>
            </w:tcBorders>
            <w:tcMar>
              <w:left w:w="80" w:type="dxa"/>
            </w:tcMar>
          </w:tcPr>
          <w:p w14:paraId="107D1F60" w14:textId="77777777" w:rsidR="002B32A0" w:rsidRPr="00CE1D7F" w:rsidRDefault="002B32A0" w:rsidP="006258ED">
            <w:pPr>
              <w:pStyle w:val="Tabletext"/>
              <w:keepNext/>
              <w:keepLines/>
            </w:pPr>
            <w:r w:rsidRPr="00CE1D7F">
              <w:rPr>
                <w:b/>
                <w:bCs/>
              </w:rPr>
              <w:t>LP130100602</w:t>
            </w:r>
          </w:p>
        </w:tc>
        <w:tc>
          <w:tcPr>
            <w:tcW w:w="931" w:type="pct"/>
            <w:gridSpan w:val="2"/>
            <w:tcBorders>
              <w:top w:val="single" w:sz="4" w:space="0" w:color="auto"/>
              <w:bottom w:val="single" w:sz="4" w:space="0" w:color="auto"/>
            </w:tcBorders>
          </w:tcPr>
          <w:p w14:paraId="2B295C20" w14:textId="77777777" w:rsidR="002B32A0" w:rsidRPr="00CE1D7F" w:rsidRDefault="002B32A0" w:rsidP="006258ED">
            <w:pPr>
              <w:pStyle w:val="Tabletext"/>
              <w:keepNext/>
              <w:keepLines/>
              <w:rPr>
                <w:rStyle w:val="CaptionLabel"/>
                <w:b w:val="0"/>
                <w:bCs/>
              </w:rPr>
            </w:pPr>
          </w:p>
        </w:tc>
        <w:tc>
          <w:tcPr>
            <w:tcW w:w="787" w:type="pct"/>
            <w:gridSpan w:val="2"/>
            <w:tcBorders>
              <w:top w:val="single" w:sz="4" w:space="0" w:color="auto"/>
              <w:bottom w:val="single" w:sz="4" w:space="0" w:color="auto"/>
            </w:tcBorders>
          </w:tcPr>
          <w:p w14:paraId="6CBFFE94" w14:textId="77777777" w:rsidR="002B32A0" w:rsidRPr="00CE1D7F" w:rsidRDefault="002B32A0" w:rsidP="006258ED">
            <w:pPr>
              <w:pStyle w:val="Tabletext"/>
              <w:keepNext/>
              <w:keepLines/>
            </w:pPr>
          </w:p>
        </w:tc>
        <w:tc>
          <w:tcPr>
            <w:tcW w:w="788" w:type="pct"/>
            <w:tcBorders>
              <w:top w:val="single" w:sz="4" w:space="0" w:color="auto"/>
              <w:bottom w:val="single" w:sz="4" w:space="0" w:color="auto"/>
            </w:tcBorders>
          </w:tcPr>
          <w:p w14:paraId="1C96747F" w14:textId="77777777" w:rsidR="002B32A0" w:rsidRPr="00CE1D7F" w:rsidRDefault="002B32A0" w:rsidP="006258ED">
            <w:pPr>
              <w:pStyle w:val="Tabletext"/>
              <w:keepNext/>
              <w:keepLines/>
            </w:pPr>
          </w:p>
        </w:tc>
        <w:tc>
          <w:tcPr>
            <w:tcW w:w="965" w:type="pct"/>
            <w:tcBorders>
              <w:top w:val="single" w:sz="4" w:space="0" w:color="auto"/>
              <w:bottom w:val="single" w:sz="4" w:space="0" w:color="auto"/>
            </w:tcBorders>
          </w:tcPr>
          <w:p w14:paraId="52FFE202" w14:textId="77777777" w:rsidR="002B32A0" w:rsidRPr="00CE1D7F" w:rsidRDefault="002B32A0" w:rsidP="006258ED">
            <w:pPr>
              <w:pStyle w:val="Tabletext"/>
              <w:keepNext/>
              <w:keepLines/>
            </w:pPr>
          </w:p>
        </w:tc>
      </w:tr>
      <w:tr w:rsidR="00163772" w:rsidRPr="00CE1D7F" w14:paraId="62AAFFB7" w14:textId="77777777" w:rsidTr="00163772">
        <w:trPr>
          <w:gridAfter w:val="1"/>
          <w:wAfter w:w="5" w:type="pct"/>
          <w:trHeight w:val="318"/>
        </w:trPr>
        <w:tc>
          <w:tcPr>
            <w:tcW w:w="1523" w:type="pct"/>
            <w:gridSpan w:val="2"/>
            <w:tcBorders>
              <w:top w:val="single" w:sz="4" w:space="0" w:color="auto"/>
              <w:bottom w:val="single" w:sz="4" w:space="0" w:color="auto"/>
            </w:tcBorders>
            <w:tcMar>
              <w:left w:w="80" w:type="dxa"/>
            </w:tcMar>
          </w:tcPr>
          <w:p w14:paraId="18C244A6" w14:textId="77777777" w:rsidR="002B32A0" w:rsidRPr="00CE1D7F" w:rsidRDefault="002B32A0" w:rsidP="006258ED">
            <w:pPr>
              <w:pStyle w:val="Tabletext"/>
              <w:keepNext/>
              <w:keepLines/>
            </w:pPr>
            <w:r w:rsidRPr="00CE1D7F">
              <w:t xml:space="preserve">Academic partner </w:t>
            </w:r>
          </w:p>
        </w:tc>
        <w:tc>
          <w:tcPr>
            <w:tcW w:w="931" w:type="pct"/>
            <w:gridSpan w:val="2"/>
            <w:tcBorders>
              <w:top w:val="single" w:sz="4" w:space="0" w:color="auto"/>
              <w:bottom w:val="single" w:sz="4" w:space="0" w:color="auto"/>
            </w:tcBorders>
          </w:tcPr>
          <w:p w14:paraId="6FD04827" w14:textId="77777777" w:rsidR="002B32A0" w:rsidRPr="00CE1D7F" w:rsidRDefault="002B32A0" w:rsidP="006258ED">
            <w:pPr>
              <w:pStyle w:val="Tabletext"/>
              <w:keepNext/>
              <w:keepLines/>
              <w:rPr>
                <w:rStyle w:val="CaptionLabel"/>
                <w:b w:val="0"/>
                <w:bCs/>
              </w:rPr>
            </w:pPr>
          </w:p>
        </w:tc>
        <w:tc>
          <w:tcPr>
            <w:tcW w:w="787" w:type="pct"/>
            <w:gridSpan w:val="2"/>
            <w:tcBorders>
              <w:top w:val="single" w:sz="4" w:space="0" w:color="auto"/>
              <w:bottom w:val="single" w:sz="4" w:space="0" w:color="auto"/>
            </w:tcBorders>
          </w:tcPr>
          <w:p w14:paraId="246CF4AF" w14:textId="77777777" w:rsidR="002B32A0" w:rsidRPr="00CE1D7F" w:rsidRDefault="002B32A0" w:rsidP="006258ED">
            <w:pPr>
              <w:pStyle w:val="Tabletext"/>
              <w:keepNext/>
              <w:keepLines/>
            </w:pPr>
          </w:p>
        </w:tc>
        <w:tc>
          <w:tcPr>
            <w:tcW w:w="788" w:type="pct"/>
            <w:tcBorders>
              <w:top w:val="single" w:sz="4" w:space="0" w:color="auto"/>
              <w:bottom w:val="single" w:sz="4" w:space="0" w:color="auto"/>
            </w:tcBorders>
          </w:tcPr>
          <w:p w14:paraId="02F3A270" w14:textId="77777777" w:rsidR="002B32A0" w:rsidRPr="00CE1D7F" w:rsidRDefault="002B32A0" w:rsidP="006258ED">
            <w:pPr>
              <w:pStyle w:val="Tabletext"/>
              <w:keepNext/>
              <w:keepLines/>
            </w:pPr>
            <w:r w:rsidRPr="00CE1D7F">
              <w:t>$570,000</w:t>
            </w:r>
          </w:p>
        </w:tc>
        <w:tc>
          <w:tcPr>
            <w:tcW w:w="965" w:type="pct"/>
            <w:tcBorders>
              <w:top w:val="single" w:sz="4" w:space="0" w:color="auto"/>
              <w:bottom w:val="single" w:sz="4" w:space="0" w:color="auto"/>
            </w:tcBorders>
          </w:tcPr>
          <w:p w14:paraId="57AB5364" w14:textId="77777777" w:rsidR="002B32A0" w:rsidRPr="00CE1D7F" w:rsidRDefault="002B32A0" w:rsidP="006258ED">
            <w:pPr>
              <w:pStyle w:val="Tabletext"/>
              <w:keepNext/>
              <w:keepLines/>
            </w:pPr>
            <w:r w:rsidRPr="00CE1D7F">
              <w:t>$570,000</w:t>
            </w:r>
          </w:p>
        </w:tc>
      </w:tr>
      <w:tr w:rsidR="00163772" w:rsidRPr="00CE1D7F" w14:paraId="2139DCDE" w14:textId="77777777" w:rsidTr="00163772">
        <w:trPr>
          <w:gridAfter w:val="1"/>
          <w:wAfter w:w="5" w:type="pct"/>
          <w:trHeight w:val="318"/>
        </w:trPr>
        <w:tc>
          <w:tcPr>
            <w:tcW w:w="1527" w:type="pct"/>
            <w:gridSpan w:val="3"/>
            <w:tcBorders>
              <w:top w:val="single" w:sz="4" w:space="0" w:color="auto"/>
            </w:tcBorders>
            <w:tcMar>
              <w:left w:w="80" w:type="dxa"/>
            </w:tcMar>
          </w:tcPr>
          <w:p w14:paraId="5520FEE6" w14:textId="77777777" w:rsidR="002B32A0" w:rsidRPr="00CE1D7F" w:rsidRDefault="002B32A0" w:rsidP="006258ED">
            <w:pPr>
              <w:pStyle w:val="Tabletext"/>
              <w:keepNext/>
              <w:keepLines/>
            </w:pPr>
            <w:r w:rsidRPr="00CE1D7F">
              <w:t>Non-academic partner</w:t>
            </w:r>
          </w:p>
        </w:tc>
        <w:tc>
          <w:tcPr>
            <w:tcW w:w="927" w:type="pct"/>
            <w:tcBorders>
              <w:top w:val="single" w:sz="4" w:space="0" w:color="auto"/>
            </w:tcBorders>
          </w:tcPr>
          <w:p w14:paraId="6DDF9B36" w14:textId="77777777" w:rsidR="002B32A0" w:rsidRPr="00CE1D7F" w:rsidRDefault="002B32A0" w:rsidP="006258ED">
            <w:pPr>
              <w:pStyle w:val="Tabletext"/>
              <w:keepNext/>
              <w:keepLines/>
              <w:rPr>
                <w:rStyle w:val="CaptionLabel"/>
                <w:b w:val="0"/>
                <w:bCs/>
              </w:rPr>
            </w:pPr>
          </w:p>
        </w:tc>
        <w:tc>
          <w:tcPr>
            <w:tcW w:w="787" w:type="pct"/>
            <w:gridSpan w:val="2"/>
            <w:tcBorders>
              <w:top w:val="single" w:sz="4" w:space="0" w:color="auto"/>
            </w:tcBorders>
          </w:tcPr>
          <w:p w14:paraId="365268C5" w14:textId="77777777" w:rsidR="002B32A0" w:rsidRPr="00CE1D7F" w:rsidRDefault="002B32A0" w:rsidP="006258ED">
            <w:pPr>
              <w:pStyle w:val="Tabletext"/>
              <w:keepNext/>
              <w:keepLines/>
            </w:pPr>
          </w:p>
        </w:tc>
        <w:tc>
          <w:tcPr>
            <w:tcW w:w="788" w:type="pct"/>
            <w:tcBorders>
              <w:top w:val="single" w:sz="4" w:space="0" w:color="auto"/>
            </w:tcBorders>
          </w:tcPr>
          <w:p w14:paraId="128A14AD" w14:textId="77777777" w:rsidR="002B32A0" w:rsidRPr="00CE1D7F" w:rsidRDefault="002B32A0" w:rsidP="006258ED">
            <w:pPr>
              <w:pStyle w:val="Tabletext"/>
              <w:keepNext/>
              <w:keepLines/>
            </w:pPr>
            <w:r w:rsidRPr="00CE1D7F">
              <w:t>$40,000</w:t>
            </w:r>
          </w:p>
        </w:tc>
        <w:tc>
          <w:tcPr>
            <w:tcW w:w="965" w:type="pct"/>
            <w:tcBorders>
              <w:top w:val="single" w:sz="4" w:space="0" w:color="auto"/>
            </w:tcBorders>
          </w:tcPr>
          <w:p w14:paraId="5647F2C9" w14:textId="77777777" w:rsidR="002B32A0" w:rsidRPr="00CE1D7F" w:rsidRDefault="002B32A0" w:rsidP="006258ED">
            <w:pPr>
              <w:pStyle w:val="Tabletext"/>
              <w:keepNext/>
              <w:keepLines/>
            </w:pPr>
            <w:r w:rsidRPr="00CE1D7F">
              <w:t>$40,000</w:t>
            </w:r>
          </w:p>
        </w:tc>
      </w:tr>
      <w:tr w:rsidR="00163772" w:rsidRPr="00CE1D7F" w14:paraId="289FC33F" w14:textId="77777777" w:rsidTr="00163772">
        <w:trPr>
          <w:gridAfter w:val="1"/>
          <w:wAfter w:w="5" w:type="pct"/>
          <w:trHeight w:val="318"/>
        </w:trPr>
        <w:tc>
          <w:tcPr>
            <w:tcW w:w="1527" w:type="pct"/>
            <w:gridSpan w:val="3"/>
            <w:tcBorders>
              <w:top w:val="single" w:sz="4" w:space="0" w:color="auto"/>
              <w:bottom w:val="single" w:sz="4" w:space="0" w:color="auto"/>
            </w:tcBorders>
            <w:tcMar>
              <w:left w:w="80" w:type="dxa"/>
            </w:tcMar>
          </w:tcPr>
          <w:p w14:paraId="43DAEDF1" w14:textId="77777777" w:rsidR="002B32A0" w:rsidRPr="00CE1D7F" w:rsidRDefault="002B32A0" w:rsidP="006258ED">
            <w:pPr>
              <w:pStyle w:val="Tabletext"/>
              <w:keepNext/>
              <w:keepLines/>
            </w:pPr>
            <w:r w:rsidRPr="00CE1D7F">
              <w:t>ARC</w:t>
            </w:r>
          </w:p>
        </w:tc>
        <w:tc>
          <w:tcPr>
            <w:tcW w:w="927" w:type="pct"/>
            <w:tcBorders>
              <w:top w:val="single" w:sz="4" w:space="0" w:color="auto"/>
              <w:bottom w:val="single" w:sz="4" w:space="0" w:color="auto"/>
            </w:tcBorders>
          </w:tcPr>
          <w:p w14:paraId="40E7005B" w14:textId="77777777" w:rsidR="002B32A0" w:rsidRPr="00CE1D7F" w:rsidRDefault="002B32A0" w:rsidP="006258ED">
            <w:pPr>
              <w:pStyle w:val="Tabletext"/>
              <w:keepNext/>
              <w:keepLines/>
              <w:rPr>
                <w:rStyle w:val="CaptionLabel"/>
                <w:b w:val="0"/>
                <w:bCs/>
              </w:rPr>
            </w:pPr>
          </w:p>
        </w:tc>
        <w:tc>
          <w:tcPr>
            <w:tcW w:w="787" w:type="pct"/>
            <w:gridSpan w:val="2"/>
            <w:tcBorders>
              <w:top w:val="single" w:sz="4" w:space="0" w:color="auto"/>
              <w:bottom w:val="single" w:sz="4" w:space="0" w:color="auto"/>
            </w:tcBorders>
          </w:tcPr>
          <w:p w14:paraId="790579AC" w14:textId="77777777" w:rsidR="002B32A0" w:rsidRPr="00CE1D7F" w:rsidRDefault="002B32A0" w:rsidP="006258ED">
            <w:pPr>
              <w:pStyle w:val="Tabletext"/>
              <w:keepNext/>
              <w:keepLines/>
            </w:pPr>
          </w:p>
        </w:tc>
        <w:tc>
          <w:tcPr>
            <w:tcW w:w="788" w:type="pct"/>
            <w:tcBorders>
              <w:top w:val="single" w:sz="4" w:space="0" w:color="auto"/>
              <w:bottom w:val="single" w:sz="4" w:space="0" w:color="auto"/>
            </w:tcBorders>
          </w:tcPr>
          <w:p w14:paraId="6219BAC9" w14:textId="77777777" w:rsidR="002B32A0" w:rsidRPr="00CE1D7F" w:rsidRDefault="002B32A0" w:rsidP="006258ED">
            <w:pPr>
              <w:pStyle w:val="Tabletext"/>
              <w:keepNext/>
              <w:keepLines/>
            </w:pPr>
            <w:r w:rsidRPr="00CE1D7F">
              <w:t>$490,000</w:t>
            </w:r>
          </w:p>
        </w:tc>
        <w:tc>
          <w:tcPr>
            <w:tcW w:w="965" w:type="pct"/>
            <w:tcBorders>
              <w:top w:val="single" w:sz="4" w:space="0" w:color="auto"/>
              <w:bottom w:val="single" w:sz="4" w:space="0" w:color="auto"/>
            </w:tcBorders>
          </w:tcPr>
          <w:p w14:paraId="101FA23D" w14:textId="77777777" w:rsidR="002B32A0" w:rsidRPr="00CE1D7F" w:rsidRDefault="002B32A0" w:rsidP="006258ED">
            <w:pPr>
              <w:pStyle w:val="Tabletext"/>
              <w:keepNext/>
              <w:keepLines/>
            </w:pPr>
            <w:r w:rsidRPr="00CE1D7F">
              <w:t>$490,000</w:t>
            </w:r>
          </w:p>
        </w:tc>
      </w:tr>
      <w:tr w:rsidR="00163772" w:rsidRPr="00CE1D7F" w14:paraId="0D80F548" w14:textId="77777777" w:rsidTr="00163772">
        <w:trPr>
          <w:gridAfter w:val="1"/>
          <w:wAfter w:w="5" w:type="pct"/>
          <w:trHeight w:val="318"/>
        </w:trPr>
        <w:tc>
          <w:tcPr>
            <w:tcW w:w="1523" w:type="pct"/>
            <w:gridSpan w:val="2"/>
            <w:tcBorders>
              <w:top w:val="single" w:sz="4" w:space="0" w:color="auto"/>
            </w:tcBorders>
            <w:tcMar>
              <w:left w:w="80" w:type="dxa"/>
            </w:tcMar>
            <w:hideMark/>
          </w:tcPr>
          <w:p w14:paraId="14120D80" w14:textId="77777777" w:rsidR="002B32A0" w:rsidRPr="00CE1D7F" w:rsidRDefault="002B32A0" w:rsidP="006258ED">
            <w:pPr>
              <w:pStyle w:val="Tabletext"/>
              <w:keepNext/>
              <w:keepLines/>
              <w:rPr>
                <w:rFonts w:eastAsia="Times New Roman" w:cs="Calibri"/>
                <w:b/>
                <w:bCs/>
                <w:szCs w:val="20"/>
                <w:lang w:eastAsia="en-AU"/>
              </w:rPr>
            </w:pPr>
            <w:r w:rsidRPr="00CE1D7F">
              <w:rPr>
                <w:rFonts w:eastAsia="Times New Roman" w:cs="Calibri"/>
                <w:b/>
                <w:bCs/>
                <w:szCs w:val="20"/>
                <w:lang w:eastAsia="en-AU"/>
              </w:rPr>
              <w:t>In-kind</w:t>
            </w:r>
          </w:p>
        </w:tc>
        <w:tc>
          <w:tcPr>
            <w:tcW w:w="931" w:type="pct"/>
            <w:gridSpan w:val="2"/>
            <w:tcBorders>
              <w:top w:val="single" w:sz="4" w:space="0" w:color="auto"/>
            </w:tcBorders>
          </w:tcPr>
          <w:p w14:paraId="139C912A" w14:textId="77777777" w:rsidR="002B32A0" w:rsidRPr="00CE1D7F" w:rsidRDefault="002B32A0" w:rsidP="006258ED">
            <w:pPr>
              <w:pStyle w:val="Tabletext"/>
              <w:keepNext/>
              <w:keepLines/>
              <w:rPr>
                <w:rStyle w:val="CaptionLabel"/>
              </w:rPr>
            </w:pPr>
          </w:p>
        </w:tc>
        <w:tc>
          <w:tcPr>
            <w:tcW w:w="787" w:type="pct"/>
            <w:gridSpan w:val="2"/>
            <w:tcBorders>
              <w:top w:val="single" w:sz="4" w:space="0" w:color="auto"/>
            </w:tcBorders>
          </w:tcPr>
          <w:p w14:paraId="7879AB6E" w14:textId="77777777" w:rsidR="002B32A0" w:rsidRPr="00CE1D7F" w:rsidRDefault="002B32A0" w:rsidP="006258ED">
            <w:pPr>
              <w:pStyle w:val="Tabletext"/>
              <w:keepNext/>
              <w:keepLines/>
              <w:rPr>
                <w:rStyle w:val="CaptionLabel"/>
                <w:b w:val="0"/>
                <w:bCs/>
              </w:rPr>
            </w:pPr>
          </w:p>
        </w:tc>
        <w:tc>
          <w:tcPr>
            <w:tcW w:w="788" w:type="pct"/>
            <w:tcBorders>
              <w:top w:val="single" w:sz="4" w:space="0" w:color="auto"/>
            </w:tcBorders>
          </w:tcPr>
          <w:p w14:paraId="6EB29D7C" w14:textId="77777777" w:rsidR="002B32A0" w:rsidRPr="00CE1D7F" w:rsidRDefault="002B32A0" w:rsidP="006258ED">
            <w:pPr>
              <w:pStyle w:val="Tabletext"/>
              <w:keepNext/>
              <w:keepLines/>
            </w:pPr>
          </w:p>
        </w:tc>
        <w:tc>
          <w:tcPr>
            <w:tcW w:w="965" w:type="pct"/>
            <w:tcBorders>
              <w:top w:val="single" w:sz="4" w:space="0" w:color="auto"/>
            </w:tcBorders>
          </w:tcPr>
          <w:p w14:paraId="55508812" w14:textId="77777777" w:rsidR="002B32A0" w:rsidRPr="00CE1D7F" w:rsidRDefault="002B32A0" w:rsidP="006258ED">
            <w:pPr>
              <w:pStyle w:val="Tabletext"/>
              <w:keepNext/>
              <w:keepLines/>
            </w:pPr>
          </w:p>
        </w:tc>
      </w:tr>
      <w:tr w:rsidR="00163772" w:rsidRPr="00CE1D7F" w14:paraId="4B5A9771" w14:textId="77777777" w:rsidTr="00163772">
        <w:trPr>
          <w:gridAfter w:val="1"/>
          <w:wAfter w:w="5" w:type="pct"/>
          <w:trHeight w:val="318"/>
        </w:trPr>
        <w:tc>
          <w:tcPr>
            <w:tcW w:w="1523" w:type="pct"/>
            <w:gridSpan w:val="2"/>
            <w:tcBorders>
              <w:top w:val="single" w:sz="4" w:space="0" w:color="auto"/>
              <w:bottom w:val="single" w:sz="4" w:space="0" w:color="auto"/>
            </w:tcBorders>
            <w:tcMar>
              <w:left w:w="80" w:type="dxa"/>
            </w:tcMar>
            <w:hideMark/>
          </w:tcPr>
          <w:p w14:paraId="274E7D5C" w14:textId="77777777" w:rsidR="002B32A0" w:rsidRPr="00CE1D7F" w:rsidRDefault="002B32A0" w:rsidP="006258ED">
            <w:pPr>
              <w:pStyle w:val="Tabletext"/>
              <w:keepNext/>
              <w:keepLines/>
              <w:rPr>
                <w:rFonts w:eastAsia="Times New Roman" w:cs="Calibri"/>
                <w:b/>
                <w:bCs/>
                <w:szCs w:val="20"/>
                <w:lang w:eastAsia="en-AU"/>
              </w:rPr>
            </w:pPr>
            <w:r w:rsidRPr="00CE1D7F">
              <w:rPr>
                <w:rFonts w:eastAsia="Times New Roman" w:cs="Calibri"/>
                <w:b/>
                <w:bCs/>
                <w:szCs w:val="20"/>
                <w:lang w:eastAsia="en-AU"/>
              </w:rPr>
              <w:t>LE0668452 </w:t>
            </w:r>
          </w:p>
        </w:tc>
        <w:tc>
          <w:tcPr>
            <w:tcW w:w="931" w:type="pct"/>
            <w:gridSpan w:val="2"/>
            <w:tcBorders>
              <w:top w:val="single" w:sz="4" w:space="0" w:color="auto"/>
              <w:bottom w:val="single" w:sz="4" w:space="0" w:color="auto"/>
            </w:tcBorders>
          </w:tcPr>
          <w:p w14:paraId="092C00BA" w14:textId="77777777" w:rsidR="002B32A0" w:rsidRPr="00CE1D7F" w:rsidRDefault="002B32A0" w:rsidP="006258ED">
            <w:pPr>
              <w:pStyle w:val="Tabletext"/>
              <w:keepNext/>
              <w:keepLines/>
              <w:rPr>
                <w:rStyle w:val="CaptionLabel"/>
              </w:rPr>
            </w:pPr>
          </w:p>
        </w:tc>
        <w:tc>
          <w:tcPr>
            <w:tcW w:w="787" w:type="pct"/>
            <w:gridSpan w:val="2"/>
            <w:tcBorders>
              <w:top w:val="single" w:sz="4" w:space="0" w:color="auto"/>
              <w:bottom w:val="single" w:sz="4" w:space="0" w:color="auto"/>
            </w:tcBorders>
          </w:tcPr>
          <w:p w14:paraId="78248BED" w14:textId="77777777" w:rsidR="002B32A0" w:rsidRPr="00CE1D7F" w:rsidRDefault="002B32A0" w:rsidP="006258ED">
            <w:pPr>
              <w:pStyle w:val="Tabletext"/>
              <w:keepNext/>
              <w:keepLines/>
              <w:rPr>
                <w:rStyle w:val="CaptionLabel"/>
                <w:b w:val="0"/>
                <w:bCs/>
              </w:rPr>
            </w:pPr>
          </w:p>
        </w:tc>
        <w:tc>
          <w:tcPr>
            <w:tcW w:w="788" w:type="pct"/>
            <w:tcBorders>
              <w:top w:val="single" w:sz="4" w:space="0" w:color="auto"/>
              <w:bottom w:val="single" w:sz="4" w:space="0" w:color="auto"/>
            </w:tcBorders>
          </w:tcPr>
          <w:p w14:paraId="2D18F152" w14:textId="77777777" w:rsidR="002B32A0" w:rsidRPr="00CE1D7F" w:rsidRDefault="002B32A0" w:rsidP="006258ED">
            <w:pPr>
              <w:pStyle w:val="Tabletext"/>
              <w:keepNext/>
              <w:keepLines/>
            </w:pPr>
          </w:p>
        </w:tc>
        <w:tc>
          <w:tcPr>
            <w:tcW w:w="965" w:type="pct"/>
            <w:tcBorders>
              <w:top w:val="single" w:sz="4" w:space="0" w:color="auto"/>
              <w:bottom w:val="single" w:sz="4" w:space="0" w:color="auto"/>
            </w:tcBorders>
          </w:tcPr>
          <w:p w14:paraId="30EE91C2" w14:textId="77777777" w:rsidR="002B32A0" w:rsidRPr="00CE1D7F" w:rsidRDefault="002B32A0" w:rsidP="006258ED">
            <w:pPr>
              <w:pStyle w:val="Tabletext"/>
              <w:keepNext/>
              <w:keepLines/>
            </w:pPr>
          </w:p>
        </w:tc>
      </w:tr>
      <w:tr w:rsidR="00163772" w:rsidRPr="00CE1D7F" w14:paraId="5251CD09" w14:textId="77777777" w:rsidTr="00163772">
        <w:trPr>
          <w:gridAfter w:val="1"/>
          <w:wAfter w:w="5" w:type="pct"/>
          <w:trHeight w:val="318"/>
        </w:trPr>
        <w:tc>
          <w:tcPr>
            <w:tcW w:w="1523" w:type="pct"/>
            <w:gridSpan w:val="2"/>
            <w:tcBorders>
              <w:top w:val="single" w:sz="4" w:space="0" w:color="auto"/>
              <w:bottom w:val="single" w:sz="4" w:space="0" w:color="auto"/>
            </w:tcBorders>
            <w:tcMar>
              <w:left w:w="80" w:type="dxa"/>
            </w:tcMar>
            <w:hideMark/>
          </w:tcPr>
          <w:p w14:paraId="6D70AD54" w14:textId="77777777" w:rsidR="002B32A0" w:rsidRPr="00CE1D7F" w:rsidRDefault="002B32A0" w:rsidP="006258ED">
            <w:pPr>
              <w:pStyle w:val="Tabletext"/>
              <w:keepNext/>
              <w:keepLines/>
              <w:rPr>
                <w:rStyle w:val="CaptionLabel"/>
                <w:b w:val="0"/>
                <w:bCs/>
              </w:rPr>
            </w:pPr>
            <w:r w:rsidRPr="00CE1D7F">
              <w:t xml:space="preserve">Academic partner </w:t>
            </w:r>
          </w:p>
        </w:tc>
        <w:tc>
          <w:tcPr>
            <w:tcW w:w="931" w:type="pct"/>
            <w:gridSpan w:val="2"/>
            <w:tcBorders>
              <w:top w:val="single" w:sz="4" w:space="0" w:color="auto"/>
              <w:bottom w:val="single" w:sz="4" w:space="0" w:color="auto"/>
            </w:tcBorders>
            <w:hideMark/>
          </w:tcPr>
          <w:p w14:paraId="16B66335" w14:textId="77777777" w:rsidR="002B32A0" w:rsidRPr="00CE1D7F" w:rsidRDefault="002B32A0" w:rsidP="006258ED">
            <w:pPr>
              <w:pStyle w:val="Tabletext"/>
              <w:keepNext/>
              <w:keepLines/>
              <w:rPr>
                <w:rStyle w:val="CaptionLabel"/>
                <w:b w:val="0"/>
                <w:bCs/>
              </w:rPr>
            </w:pPr>
            <w:r w:rsidRPr="00CE1D7F">
              <w:t>$354,000</w:t>
            </w:r>
          </w:p>
        </w:tc>
        <w:tc>
          <w:tcPr>
            <w:tcW w:w="787" w:type="pct"/>
            <w:gridSpan w:val="2"/>
            <w:tcBorders>
              <w:top w:val="single" w:sz="4" w:space="0" w:color="auto"/>
              <w:bottom w:val="single" w:sz="4" w:space="0" w:color="auto"/>
            </w:tcBorders>
            <w:hideMark/>
          </w:tcPr>
          <w:p w14:paraId="6E08AD1C" w14:textId="77777777" w:rsidR="002B32A0" w:rsidRPr="00CE1D7F" w:rsidRDefault="002B32A0" w:rsidP="006258ED">
            <w:pPr>
              <w:pStyle w:val="Tabletext"/>
              <w:keepNext/>
              <w:keepLines/>
              <w:rPr>
                <w:rStyle w:val="CaptionLabel"/>
                <w:b w:val="0"/>
                <w:bCs/>
              </w:rPr>
            </w:pPr>
          </w:p>
        </w:tc>
        <w:tc>
          <w:tcPr>
            <w:tcW w:w="788" w:type="pct"/>
            <w:tcBorders>
              <w:top w:val="single" w:sz="4" w:space="0" w:color="auto"/>
              <w:bottom w:val="single" w:sz="4" w:space="0" w:color="auto"/>
            </w:tcBorders>
          </w:tcPr>
          <w:p w14:paraId="5DE6089A" w14:textId="77777777" w:rsidR="002B32A0" w:rsidRPr="00CE1D7F" w:rsidRDefault="002B32A0" w:rsidP="006258ED">
            <w:pPr>
              <w:pStyle w:val="Tabletext"/>
              <w:keepNext/>
              <w:keepLines/>
            </w:pPr>
          </w:p>
        </w:tc>
        <w:tc>
          <w:tcPr>
            <w:tcW w:w="965" w:type="pct"/>
            <w:tcBorders>
              <w:top w:val="single" w:sz="4" w:space="0" w:color="auto"/>
              <w:bottom w:val="single" w:sz="4" w:space="0" w:color="auto"/>
            </w:tcBorders>
            <w:hideMark/>
          </w:tcPr>
          <w:p w14:paraId="5CE4D87B" w14:textId="77777777" w:rsidR="002B32A0" w:rsidRPr="00CE1D7F" w:rsidRDefault="002B32A0" w:rsidP="006258ED">
            <w:pPr>
              <w:pStyle w:val="Tabletext"/>
              <w:keepNext/>
              <w:keepLines/>
              <w:rPr>
                <w:rStyle w:val="CaptionLabel"/>
                <w:b w:val="0"/>
                <w:bCs/>
              </w:rPr>
            </w:pPr>
            <w:r w:rsidRPr="00CE1D7F">
              <w:t>$354,000</w:t>
            </w:r>
          </w:p>
        </w:tc>
      </w:tr>
      <w:tr w:rsidR="00163772" w:rsidRPr="00CE1D7F" w14:paraId="3A68CEF1" w14:textId="77777777" w:rsidTr="00163772">
        <w:trPr>
          <w:gridAfter w:val="1"/>
          <w:wAfter w:w="5" w:type="pct"/>
          <w:trHeight w:val="318"/>
        </w:trPr>
        <w:tc>
          <w:tcPr>
            <w:tcW w:w="1523" w:type="pct"/>
            <w:gridSpan w:val="2"/>
            <w:tcBorders>
              <w:top w:val="single" w:sz="4" w:space="0" w:color="auto"/>
              <w:bottom w:val="single" w:sz="4" w:space="0" w:color="auto"/>
            </w:tcBorders>
            <w:tcMar>
              <w:left w:w="80" w:type="dxa"/>
            </w:tcMar>
          </w:tcPr>
          <w:p w14:paraId="2733B0C2" w14:textId="77777777" w:rsidR="002B32A0" w:rsidRPr="00CE1D7F" w:rsidRDefault="002B32A0" w:rsidP="006258ED">
            <w:pPr>
              <w:pStyle w:val="Tabletext"/>
              <w:keepNext/>
              <w:keepLines/>
            </w:pPr>
            <w:r w:rsidRPr="00CE1D7F">
              <w:t>Non-academic partner</w:t>
            </w:r>
          </w:p>
        </w:tc>
        <w:tc>
          <w:tcPr>
            <w:tcW w:w="931" w:type="pct"/>
            <w:gridSpan w:val="2"/>
            <w:tcBorders>
              <w:top w:val="single" w:sz="4" w:space="0" w:color="auto"/>
              <w:bottom w:val="single" w:sz="4" w:space="0" w:color="auto"/>
            </w:tcBorders>
          </w:tcPr>
          <w:p w14:paraId="0510B7D4" w14:textId="77777777" w:rsidR="002B32A0" w:rsidRPr="00CE1D7F" w:rsidRDefault="002B32A0" w:rsidP="006258ED">
            <w:pPr>
              <w:pStyle w:val="Tabletext"/>
              <w:keepNext/>
              <w:keepLines/>
              <w:rPr>
                <w:rStyle w:val="CaptionLabel"/>
                <w:b w:val="0"/>
                <w:bCs/>
              </w:rPr>
            </w:pPr>
            <w:r w:rsidRPr="00CE1D7F">
              <w:t>$120,000</w:t>
            </w:r>
          </w:p>
        </w:tc>
        <w:tc>
          <w:tcPr>
            <w:tcW w:w="787" w:type="pct"/>
            <w:gridSpan w:val="2"/>
            <w:tcBorders>
              <w:top w:val="single" w:sz="4" w:space="0" w:color="auto"/>
              <w:bottom w:val="single" w:sz="4" w:space="0" w:color="auto"/>
            </w:tcBorders>
          </w:tcPr>
          <w:p w14:paraId="6D690014" w14:textId="77777777" w:rsidR="002B32A0" w:rsidRPr="00CE1D7F" w:rsidRDefault="002B32A0" w:rsidP="006258ED">
            <w:pPr>
              <w:pStyle w:val="Tabletext"/>
              <w:keepNext/>
              <w:keepLines/>
            </w:pPr>
          </w:p>
        </w:tc>
        <w:tc>
          <w:tcPr>
            <w:tcW w:w="788" w:type="pct"/>
            <w:tcBorders>
              <w:top w:val="single" w:sz="4" w:space="0" w:color="auto"/>
              <w:bottom w:val="single" w:sz="4" w:space="0" w:color="auto"/>
            </w:tcBorders>
          </w:tcPr>
          <w:p w14:paraId="7034E4B7" w14:textId="77777777" w:rsidR="002B32A0" w:rsidRPr="00CE1D7F" w:rsidRDefault="002B32A0" w:rsidP="006258ED">
            <w:pPr>
              <w:pStyle w:val="Tabletext"/>
              <w:keepNext/>
              <w:keepLines/>
            </w:pPr>
          </w:p>
        </w:tc>
        <w:tc>
          <w:tcPr>
            <w:tcW w:w="965" w:type="pct"/>
            <w:tcBorders>
              <w:top w:val="single" w:sz="4" w:space="0" w:color="auto"/>
              <w:bottom w:val="single" w:sz="4" w:space="0" w:color="auto"/>
            </w:tcBorders>
          </w:tcPr>
          <w:p w14:paraId="38373E96" w14:textId="77777777" w:rsidR="002B32A0" w:rsidRPr="00CE1D7F" w:rsidRDefault="002B32A0" w:rsidP="006258ED">
            <w:pPr>
              <w:pStyle w:val="Tabletext"/>
              <w:keepNext/>
              <w:keepLines/>
            </w:pPr>
            <w:r w:rsidRPr="00CE1D7F">
              <w:t>$120,000</w:t>
            </w:r>
          </w:p>
        </w:tc>
      </w:tr>
      <w:tr w:rsidR="00163772" w:rsidRPr="00CE1D7F" w14:paraId="274C5338" w14:textId="77777777" w:rsidTr="00163772">
        <w:trPr>
          <w:gridAfter w:val="1"/>
          <w:wAfter w:w="5" w:type="pct"/>
          <w:trHeight w:val="318"/>
        </w:trPr>
        <w:tc>
          <w:tcPr>
            <w:tcW w:w="1523" w:type="pct"/>
            <w:gridSpan w:val="2"/>
            <w:tcBorders>
              <w:top w:val="single" w:sz="4" w:space="0" w:color="auto"/>
              <w:bottom w:val="single" w:sz="4" w:space="0" w:color="auto"/>
            </w:tcBorders>
            <w:tcMar>
              <w:left w:w="80" w:type="dxa"/>
            </w:tcMar>
          </w:tcPr>
          <w:p w14:paraId="61D7D435" w14:textId="77777777" w:rsidR="002B32A0" w:rsidRPr="00CE1D7F" w:rsidRDefault="002B32A0" w:rsidP="006258ED">
            <w:pPr>
              <w:pStyle w:val="Tabletext"/>
              <w:keepNext/>
              <w:keepLines/>
              <w:rPr>
                <w:rFonts w:eastAsia="Times New Roman" w:cs="Calibri"/>
                <w:b/>
                <w:bCs/>
                <w:szCs w:val="20"/>
                <w:lang w:eastAsia="en-AU"/>
              </w:rPr>
            </w:pPr>
            <w:r w:rsidRPr="00CE1D7F">
              <w:rPr>
                <w:rFonts w:eastAsia="Times New Roman" w:cs="Calibri"/>
                <w:b/>
                <w:bCs/>
                <w:szCs w:val="20"/>
                <w:lang w:eastAsia="en-AU"/>
              </w:rPr>
              <w:t>LP0989326</w:t>
            </w:r>
          </w:p>
        </w:tc>
        <w:tc>
          <w:tcPr>
            <w:tcW w:w="931" w:type="pct"/>
            <w:gridSpan w:val="2"/>
            <w:tcBorders>
              <w:top w:val="single" w:sz="4" w:space="0" w:color="auto"/>
              <w:bottom w:val="single" w:sz="4" w:space="0" w:color="auto"/>
            </w:tcBorders>
          </w:tcPr>
          <w:p w14:paraId="2FF4DB3C" w14:textId="77777777" w:rsidR="002B32A0" w:rsidRPr="00CE1D7F" w:rsidRDefault="002B32A0" w:rsidP="006258ED">
            <w:pPr>
              <w:pStyle w:val="Tabletext"/>
              <w:keepNext/>
              <w:keepLines/>
              <w:rPr>
                <w:rStyle w:val="CaptionLabel"/>
                <w:b w:val="0"/>
                <w:bCs/>
              </w:rPr>
            </w:pPr>
          </w:p>
        </w:tc>
        <w:tc>
          <w:tcPr>
            <w:tcW w:w="787" w:type="pct"/>
            <w:gridSpan w:val="2"/>
            <w:tcBorders>
              <w:top w:val="single" w:sz="4" w:space="0" w:color="auto"/>
              <w:bottom w:val="single" w:sz="4" w:space="0" w:color="auto"/>
            </w:tcBorders>
          </w:tcPr>
          <w:p w14:paraId="5F8B4870" w14:textId="77777777" w:rsidR="002B32A0" w:rsidRPr="00CE1D7F" w:rsidRDefault="002B32A0" w:rsidP="006258ED">
            <w:pPr>
              <w:pStyle w:val="Tabletext"/>
              <w:keepNext/>
              <w:keepLines/>
              <w:rPr>
                <w:rStyle w:val="CaptionLabel"/>
                <w:b w:val="0"/>
                <w:bCs/>
              </w:rPr>
            </w:pPr>
          </w:p>
        </w:tc>
        <w:tc>
          <w:tcPr>
            <w:tcW w:w="788" w:type="pct"/>
            <w:tcBorders>
              <w:top w:val="single" w:sz="4" w:space="0" w:color="auto"/>
              <w:bottom w:val="single" w:sz="4" w:space="0" w:color="auto"/>
            </w:tcBorders>
          </w:tcPr>
          <w:p w14:paraId="7D66E100" w14:textId="77777777" w:rsidR="002B32A0" w:rsidRPr="00CE1D7F" w:rsidRDefault="002B32A0" w:rsidP="006258ED">
            <w:pPr>
              <w:pStyle w:val="Tabletext"/>
              <w:keepNext/>
              <w:keepLines/>
            </w:pPr>
          </w:p>
        </w:tc>
        <w:tc>
          <w:tcPr>
            <w:tcW w:w="965" w:type="pct"/>
            <w:tcBorders>
              <w:top w:val="single" w:sz="4" w:space="0" w:color="auto"/>
              <w:bottom w:val="single" w:sz="4" w:space="0" w:color="auto"/>
            </w:tcBorders>
          </w:tcPr>
          <w:p w14:paraId="6ED2C7EA" w14:textId="77777777" w:rsidR="002B32A0" w:rsidRPr="00CE1D7F" w:rsidRDefault="002B32A0" w:rsidP="006258ED">
            <w:pPr>
              <w:pStyle w:val="Tabletext"/>
              <w:keepNext/>
              <w:keepLines/>
            </w:pPr>
          </w:p>
        </w:tc>
      </w:tr>
      <w:tr w:rsidR="00163772" w:rsidRPr="00CE1D7F" w14:paraId="13EE19E5" w14:textId="77777777" w:rsidTr="00163772">
        <w:trPr>
          <w:gridAfter w:val="1"/>
          <w:wAfter w:w="5" w:type="pct"/>
          <w:trHeight w:val="318"/>
        </w:trPr>
        <w:tc>
          <w:tcPr>
            <w:tcW w:w="1519" w:type="pct"/>
            <w:tcBorders>
              <w:top w:val="single" w:sz="4" w:space="0" w:color="auto"/>
            </w:tcBorders>
            <w:tcMar>
              <w:left w:w="80" w:type="dxa"/>
            </w:tcMar>
          </w:tcPr>
          <w:p w14:paraId="362164E2" w14:textId="77777777" w:rsidR="002B32A0" w:rsidRPr="00CE1D7F" w:rsidRDefault="002B32A0" w:rsidP="006258ED">
            <w:pPr>
              <w:pStyle w:val="Tabletext"/>
              <w:keepNext/>
              <w:keepLines/>
              <w:rPr>
                <w:rFonts w:eastAsia="Times New Roman" w:cs="Calibri"/>
                <w:szCs w:val="20"/>
                <w:lang w:eastAsia="en-AU"/>
              </w:rPr>
            </w:pPr>
            <w:r w:rsidRPr="00CE1D7F">
              <w:t>Non-academic partner</w:t>
            </w:r>
          </w:p>
        </w:tc>
        <w:tc>
          <w:tcPr>
            <w:tcW w:w="936" w:type="pct"/>
            <w:gridSpan w:val="3"/>
            <w:tcBorders>
              <w:top w:val="single" w:sz="4" w:space="0" w:color="auto"/>
            </w:tcBorders>
          </w:tcPr>
          <w:p w14:paraId="3A280E44" w14:textId="77777777" w:rsidR="002B32A0" w:rsidRPr="00CE1D7F" w:rsidRDefault="002B32A0" w:rsidP="006258ED">
            <w:pPr>
              <w:pStyle w:val="Tabletext"/>
              <w:keepNext/>
              <w:keepLines/>
              <w:rPr>
                <w:rStyle w:val="CaptionLabel"/>
                <w:b w:val="0"/>
                <w:bCs/>
              </w:rPr>
            </w:pPr>
          </w:p>
        </w:tc>
        <w:tc>
          <w:tcPr>
            <w:tcW w:w="787" w:type="pct"/>
            <w:gridSpan w:val="2"/>
            <w:tcBorders>
              <w:top w:val="single" w:sz="4" w:space="0" w:color="auto"/>
            </w:tcBorders>
          </w:tcPr>
          <w:p w14:paraId="2DB80A37" w14:textId="77777777" w:rsidR="002B32A0" w:rsidRPr="00CE1D7F" w:rsidRDefault="002B32A0" w:rsidP="006258ED">
            <w:pPr>
              <w:pStyle w:val="Tabletext"/>
              <w:keepNext/>
              <w:keepLines/>
              <w:rPr>
                <w:rStyle w:val="CaptionLabel"/>
                <w:b w:val="0"/>
                <w:bCs/>
              </w:rPr>
            </w:pPr>
            <w:r w:rsidRPr="00CE1D7F">
              <w:t>$541,725</w:t>
            </w:r>
          </w:p>
        </w:tc>
        <w:tc>
          <w:tcPr>
            <w:tcW w:w="788" w:type="pct"/>
            <w:tcBorders>
              <w:top w:val="single" w:sz="4" w:space="0" w:color="auto"/>
            </w:tcBorders>
          </w:tcPr>
          <w:p w14:paraId="086CACB6" w14:textId="77777777" w:rsidR="002B32A0" w:rsidRPr="00CE1D7F" w:rsidRDefault="002B32A0" w:rsidP="006258ED">
            <w:pPr>
              <w:pStyle w:val="Tabletext"/>
              <w:keepNext/>
              <w:keepLines/>
            </w:pPr>
          </w:p>
        </w:tc>
        <w:tc>
          <w:tcPr>
            <w:tcW w:w="965" w:type="pct"/>
            <w:tcBorders>
              <w:top w:val="single" w:sz="4" w:space="0" w:color="auto"/>
            </w:tcBorders>
          </w:tcPr>
          <w:p w14:paraId="4C2A7598" w14:textId="77777777" w:rsidR="002B32A0" w:rsidRPr="00CE1D7F" w:rsidRDefault="002B32A0" w:rsidP="006258ED">
            <w:pPr>
              <w:pStyle w:val="Tabletext"/>
              <w:keepNext/>
              <w:keepLines/>
            </w:pPr>
            <w:r w:rsidRPr="00CE1D7F">
              <w:t>$541,725</w:t>
            </w:r>
          </w:p>
        </w:tc>
      </w:tr>
      <w:tr w:rsidR="00163772" w:rsidRPr="00CE1D7F" w14:paraId="57B5BAE0" w14:textId="77777777" w:rsidTr="00163772">
        <w:trPr>
          <w:gridAfter w:val="1"/>
          <w:wAfter w:w="5" w:type="pct"/>
          <w:trHeight w:val="318"/>
        </w:trPr>
        <w:tc>
          <w:tcPr>
            <w:tcW w:w="1519" w:type="pct"/>
            <w:tcBorders>
              <w:top w:val="single" w:sz="4" w:space="0" w:color="auto"/>
              <w:bottom w:val="single" w:sz="4" w:space="0" w:color="auto"/>
            </w:tcBorders>
            <w:tcMar>
              <w:left w:w="80" w:type="dxa"/>
            </w:tcMar>
            <w:hideMark/>
          </w:tcPr>
          <w:p w14:paraId="30641938" w14:textId="77777777" w:rsidR="002B32A0" w:rsidRPr="00CE1D7F" w:rsidRDefault="002B32A0" w:rsidP="006258ED">
            <w:pPr>
              <w:pStyle w:val="Tabletext"/>
              <w:keepNext/>
              <w:keepLines/>
              <w:rPr>
                <w:rFonts w:eastAsia="Times New Roman" w:cs="Calibri"/>
                <w:b/>
                <w:bCs/>
                <w:szCs w:val="20"/>
                <w:lang w:eastAsia="en-AU"/>
              </w:rPr>
            </w:pPr>
            <w:r w:rsidRPr="00CE1D7F">
              <w:rPr>
                <w:rFonts w:eastAsia="Times New Roman" w:cs="Calibri"/>
                <w:b/>
                <w:bCs/>
                <w:szCs w:val="20"/>
                <w:lang w:eastAsia="en-AU"/>
              </w:rPr>
              <w:t>LP130100602</w:t>
            </w:r>
          </w:p>
        </w:tc>
        <w:tc>
          <w:tcPr>
            <w:tcW w:w="936" w:type="pct"/>
            <w:gridSpan w:val="3"/>
            <w:tcBorders>
              <w:top w:val="single" w:sz="4" w:space="0" w:color="auto"/>
              <w:bottom w:val="single" w:sz="4" w:space="0" w:color="auto"/>
            </w:tcBorders>
          </w:tcPr>
          <w:p w14:paraId="0B284793" w14:textId="77777777" w:rsidR="002B32A0" w:rsidRPr="00CE1D7F" w:rsidRDefault="002B32A0" w:rsidP="006258ED">
            <w:pPr>
              <w:pStyle w:val="Tabletext"/>
              <w:keepNext/>
              <w:keepLines/>
              <w:rPr>
                <w:rStyle w:val="CaptionLabel"/>
                <w:b w:val="0"/>
                <w:bCs/>
              </w:rPr>
            </w:pPr>
          </w:p>
        </w:tc>
        <w:tc>
          <w:tcPr>
            <w:tcW w:w="787" w:type="pct"/>
            <w:gridSpan w:val="2"/>
            <w:tcBorders>
              <w:top w:val="single" w:sz="4" w:space="0" w:color="auto"/>
              <w:bottom w:val="single" w:sz="4" w:space="0" w:color="auto"/>
            </w:tcBorders>
          </w:tcPr>
          <w:p w14:paraId="234E77CB" w14:textId="77777777" w:rsidR="002B32A0" w:rsidRPr="00CE1D7F" w:rsidRDefault="002B32A0" w:rsidP="006258ED">
            <w:pPr>
              <w:pStyle w:val="Tabletext"/>
              <w:keepNext/>
              <w:keepLines/>
              <w:rPr>
                <w:rStyle w:val="CaptionLabel"/>
                <w:b w:val="0"/>
                <w:bCs/>
              </w:rPr>
            </w:pPr>
          </w:p>
        </w:tc>
        <w:tc>
          <w:tcPr>
            <w:tcW w:w="788" w:type="pct"/>
            <w:tcBorders>
              <w:top w:val="single" w:sz="4" w:space="0" w:color="auto"/>
              <w:bottom w:val="single" w:sz="4" w:space="0" w:color="auto"/>
            </w:tcBorders>
          </w:tcPr>
          <w:p w14:paraId="145672BA" w14:textId="77777777" w:rsidR="002B32A0" w:rsidRPr="00CE1D7F" w:rsidRDefault="002B32A0" w:rsidP="006258ED">
            <w:pPr>
              <w:pStyle w:val="Tabletext"/>
              <w:keepNext/>
              <w:keepLines/>
            </w:pPr>
          </w:p>
        </w:tc>
        <w:tc>
          <w:tcPr>
            <w:tcW w:w="965" w:type="pct"/>
            <w:tcBorders>
              <w:top w:val="single" w:sz="4" w:space="0" w:color="auto"/>
              <w:bottom w:val="single" w:sz="4" w:space="0" w:color="auto"/>
            </w:tcBorders>
          </w:tcPr>
          <w:p w14:paraId="537C0417" w14:textId="77777777" w:rsidR="002B32A0" w:rsidRPr="00CE1D7F" w:rsidRDefault="002B32A0" w:rsidP="006258ED">
            <w:pPr>
              <w:pStyle w:val="Tabletext"/>
              <w:keepNext/>
              <w:keepLines/>
            </w:pPr>
          </w:p>
        </w:tc>
      </w:tr>
      <w:tr w:rsidR="00163772" w:rsidRPr="00CE1D7F" w14:paraId="7E8CC290" w14:textId="77777777" w:rsidTr="00163772">
        <w:trPr>
          <w:gridAfter w:val="1"/>
          <w:wAfter w:w="5" w:type="pct"/>
          <w:trHeight w:val="318"/>
        </w:trPr>
        <w:tc>
          <w:tcPr>
            <w:tcW w:w="1519" w:type="pct"/>
            <w:tcBorders>
              <w:top w:val="single" w:sz="4" w:space="0" w:color="auto"/>
              <w:bottom w:val="single" w:sz="4" w:space="0" w:color="auto"/>
            </w:tcBorders>
            <w:tcMar>
              <w:left w:w="80" w:type="dxa"/>
            </w:tcMar>
          </w:tcPr>
          <w:p w14:paraId="71CEF904" w14:textId="77777777" w:rsidR="002B32A0" w:rsidRPr="00CE1D7F" w:rsidRDefault="002B32A0" w:rsidP="006258ED">
            <w:pPr>
              <w:pStyle w:val="Tabletext"/>
              <w:keepNext/>
              <w:keepLines/>
              <w:rPr>
                <w:rFonts w:eastAsia="Times New Roman" w:cs="Calibri"/>
                <w:szCs w:val="20"/>
                <w:lang w:eastAsia="en-AU"/>
              </w:rPr>
            </w:pPr>
            <w:r w:rsidRPr="00CE1D7F">
              <w:t xml:space="preserve">Academic partner </w:t>
            </w:r>
          </w:p>
        </w:tc>
        <w:tc>
          <w:tcPr>
            <w:tcW w:w="936" w:type="pct"/>
            <w:gridSpan w:val="3"/>
            <w:tcBorders>
              <w:top w:val="single" w:sz="4" w:space="0" w:color="auto"/>
              <w:bottom w:val="single" w:sz="4" w:space="0" w:color="auto"/>
            </w:tcBorders>
          </w:tcPr>
          <w:p w14:paraId="2C33FFE5" w14:textId="77777777" w:rsidR="002B32A0" w:rsidRPr="00CE1D7F" w:rsidRDefault="002B32A0" w:rsidP="006258ED">
            <w:pPr>
              <w:pStyle w:val="Tabletext"/>
              <w:keepNext/>
              <w:keepLines/>
              <w:rPr>
                <w:rStyle w:val="CaptionLabel"/>
                <w:b w:val="0"/>
                <w:bCs/>
              </w:rPr>
            </w:pPr>
          </w:p>
        </w:tc>
        <w:tc>
          <w:tcPr>
            <w:tcW w:w="787" w:type="pct"/>
            <w:gridSpan w:val="2"/>
            <w:tcBorders>
              <w:top w:val="single" w:sz="4" w:space="0" w:color="auto"/>
              <w:bottom w:val="single" w:sz="4" w:space="0" w:color="auto"/>
            </w:tcBorders>
          </w:tcPr>
          <w:p w14:paraId="61ECCE54" w14:textId="77777777" w:rsidR="002B32A0" w:rsidRPr="00CE1D7F" w:rsidRDefault="002B32A0" w:rsidP="006258ED">
            <w:pPr>
              <w:pStyle w:val="Tabletext"/>
              <w:keepNext/>
              <w:keepLines/>
              <w:rPr>
                <w:rStyle w:val="CaptionLabel"/>
                <w:b w:val="0"/>
                <w:bCs/>
              </w:rPr>
            </w:pPr>
          </w:p>
        </w:tc>
        <w:tc>
          <w:tcPr>
            <w:tcW w:w="788" w:type="pct"/>
            <w:tcBorders>
              <w:top w:val="single" w:sz="4" w:space="0" w:color="auto"/>
              <w:bottom w:val="single" w:sz="4" w:space="0" w:color="auto"/>
            </w:tcBorders>
          </w:tcPr>
          <w:p w14:paraId="54B45A0F" w14:textId="77777777" w:rsidR="002B32A0" w:rsidRPr="00CE1D7F" w:rsidRDefault="002B32A0" w:rsidP="006258ED">
            <w:pPr>
              <w:pStyle w:val="Tabletext"/>
              <w:keepNext/>
              <w:keepLines/>
            </w:pPr>
            <w:r w:rsidRPr="00CE1D7F">
              <w:t>$463,156</w:t>
            </w:r>
          </w:p>
        </w:tc>
        <w:tc>
          <w:tcPr>
            <w:tcW w:w="965" w:type="pct"/>
            <w:tcBorders>
              <w:top w:val="single" w:sz="4" w:space="0" w:color="auto"/>
              <w:bottom w:val="single" w:sz="4" w:space="0" w:color="auto"/>
            </w:tcBorders>
          </w:tcPr>
          <w:p w14:paraId="25EFE0B8" w14:textId="77777777" w:rsidR="002B32A0" w:rsidRPr="00CE1D7F" w:rsidRDefault="002B32A0" w:rsidP="006258ED">
            <w:pPr>
              <w:pStyle w:val="Tabletext"/>
              <w:keepNext/>
              <w:keepLines/>
              <w:rPr>
                <w:lang w:eastAsia="en-AU"/>
              </w:rPr>
            </w:pPr>
            <w:r w:rsidRPr="00CE1D7F">
              <w:t>$463,156</w:t>
            </w:r>
          </w:p>
        </w:tc>
      </w:tr>
      <w:tr w:rsidR="00163772" w:rsidRPr="00CE1D7F" w14:paraId="5ACDC7CC" w14:textId="77777777" w:rsidTr="00163772">
        <w:trPr>
          <w:gridAfter w:val="1"/>
          <w:wAfter w:w="5" w:type="pct"/>
          <w:trHeight w:val="318"/>
        </w:trPr>
        <w:tc>
          <w:tcPr>
            <w:tcW w:w="1519" w:type="pct"/>
            <w:tcBorders>
              <w:top w:val="single" w:sz="4" w:space="0" w:color="auto"/>
              <w:bottom w:val="single" w:sz="4" w:space="0" w:color="auto"/>
            </w:tcBorders>
            <w:tcMar>
              <w:left w:w="80" w:type="dxa"/>
            </w:tcMar>
          </w:tcPr>
          <w:p w14:paraId="791118B4" w14:textId="77777777" w:rsidR="002B32A0" w:rsidRPr="00CE1D7F" w:rsidRDefault="002B32A0" w:rsidP="006258ED">
            <w:pPr>
              <w:pStyle w:val="Tabletext"/>
              <w:keepNext/>
              <w:keepLines/>
              <w:rPr>
                <w:rFonts w:eastAsia="Times New Roman" w:cs="Calibri"/>
                <w:szCs w:val="20"/>
                <w:lang w:eastAsia="en-AU"/>
              </w:rPr>
            </w:pPr>
            <w:r w:rsidRPr="00CE1D7F">
              <w:t>Non-academic partner</w:t>
            </w:r>
          </w:p>
        </w:tc>
        <w:tc>
          <w:tcPr>
            <w:tcW w:w="936" w:type="pct"/>
            <w:gridSpan w:val="3"/>
            <w:tcBorders>
              <w:top w:val="single" w:sz="4" w:space="0" w:color="auto"/>
              <w:bottom w:val="single" w:sz="4" w:space="0" w:color="auto"/>
            </w:tcBorders>
          </w:tcPr>
          <w:p w14:paraId="1FED9E1D" w14:textId="77777777" w:rsidR="002B32A0" w:rsidRPr="00CE1D7F" w:rsidRDefault="002B32A0" w:rsidP="006258ED">
            <w:pPr>
              <w:pStyle w:val="Tabletext"/>
              <w:keepNext/>
              <w:keepLines/>
              <w:rPr>
                <w:rStyle w:val="CaptionLabel"/>
                <w:b w:val="0"/>
                <w:bCs/>
              </w:rPr>
            </w:pPr>
          </w:p>
        </w:tc>
        <w:tc>
          <w:tcPr>
            <w:tcW w:w="787" w:type="pct"/>
            <w:gridSpan w:val="2"/>
            <w:tcBorders>
              <w:top w:val="single" w:sz="4" w:space="0" w:color="auto"/>
              <w:bottom w:val="single" w:sz="4" w:space="0" w:color="auto"/>
            </w:tcBorders>
          </w:tcPr>
          <w:p w14:paraId="79D78796" w14:textId="77777777" w:rsidR="002B32A0" w:rsidRPr="00CE1D7F" w:rsidRDefault="002B32A0" w:rsidP="006258ED">
            <w:pPr>
              <w:pStyle w:val="Tabletext"/>
              <w:keepNext/>
              <w:keepLines/>
              <w:rPr>
                <w:rStyle w:val="CaptionLabel"/>
                <w:b w:val="0"/>
                <w:bCs/>
              </w:rPr>
            </w:pPr>
          </w:p>
        </w:tc>
        <w:tc>
          <w:tcPr>
            <w:tcW w:w="788" w:type="pct"/>
            <w:tcBorders>
              <w:top w:val="single" w:sz="4" w:space="0" w:color="auto"/>
              <w:bottom w:val="single" w:sz="4" w:space="0" w:color="auto"/>
            </w:tcBorders>
          </w:tcPr>
          <w:p w14:paraId="5C798984" w14:textId="77777777" w:rsidR="002B32A0" w:rsidRPr="00CE1D7F" w:rsidRDefault="002B32A0" w:rsidP="006258ED">
            <w:pPr>
              <w:pStyle w:val="Tabletext"/>
              <w:keepNext/>
              <w:keepLines/>
            </w:pPr>
            <w:r w:rsidRPr="00CE1D7F">
              <w:t>$362,794</w:t>
            </w:r>
          </w:p>
        </w:tc>
        <w:tc>
          <w:tcPr>
            <w:tcW w:w="965" w:type="pct"/>
            <w:tcBorders>
              <w:top w:val="single" w:sz="4" w:space="0" w:color="auto"/>
              <w:bottom w:val="single" w:sz="4" w:space="0" w:color="auto"/>
            </w:tcBorders>
          </w:tcPr>
          <w:p w14:paraId="3D9D68E4" w14:textId="77777777" w:rsidR="002B32A0" w:rsidRPr="00CE1D7F" w:rsidRDefault="002B32A0" w:rsidP="006258ED">
            <w:pPr>
              <w:pStyle w:val="Tabletext"/>
              <w:keepNext/>
              <w:keepLines/>
              <w:rPr>
                <w:lang w:eastAsia="en-AU"/>
              </w:rPr>
            </w:pPr>
            <w:r w:rsidRPr="00CE1D7F">
              <w:t>$362,794</w:t>
            </w:r>
          </w:p>
        </w:tc>
      </w:tr>
      <w:tr w:rsidR="00163772" w:rsidRPr="00CE1D7F" w14:paraId="18C92AE8" w14:textId="77777777" w:rsidTr="00163772">
        <w:trPr>
          <w:gridAfter w:val="1"/>
          <w:wAfter w:w="5" w:type="pct"/>
          <w:trHeight w:val="334"/>
        </w:trPr>
        <w:tc>
          <w:tcPr>
            <w:tcW w:w="1519" w:type="pct"/>
            <w:tcBorders>
              <w:top w:val="single" w:sz="4" w:space="0" w:color="auto"/>
            </w:tcBorders>
            <w:tcMar>
              <w:left w:w="80" w:type="dxa"/>
            </w:tcMar>
            <w:hideMark/>
          </w:tcPr>
          <w:p w14:paraId="2376B634" w14:textId="77777777" w:rsidR="002B32A0" w:rsidRPr="00CE1D7F" w:rsidRDefault="002B32A0" w:rsidP="006258ED">
            <w:pPr>
              <w:pStyle w:val="Tabletext"/>
              <w:keepNext/>
              <w:keepLines/>
              <w:rPr>
                <w:rStyle w:val="CaptionLabel"/>
              </w:rPr>
            </w:pPr>
            <w:r w:rsidRPr="00CE1D7F">
              <w:rPr>
                <w:rStyle w:val="CaptionLabel"/>
              </w:rPr>
              <w:t>Total</w:t>
            </w:r>
          </w:p>
        </w:tc>
        <w:tc>
          <w:tcPr>
            <w:tcW w:w="936" w:type="pct"/>
            <w:gridSpan w:val="3"/>
            <w:tcBorders>
              <w:top w:val="single" w:sz="4" w:space="0" w:color="auto"/>
            </w:tcBorders>
            <w:hideMark/>
          </w:tcPr>
          <w:p w14:paraId="1C389B3F" w14:textId="77777777" w:rsidR="002B32A0" w:rsidRPr="00CE1D7F" w:rsidRDefault="002B32A0" w:rsidP="006258ED">
            <w:pPr>
              <w:pStyle w:val="Tabletext"/>
              <w:keepNext/>
              <w:keepLines/>
              <w:rPr>
                <w:rStyle w:val="CaptionLabel"/>
                <w:b w:val="0"/>
                <w:bCs/>
              </w:rPr>
            </w:pPr>
            <w:r w:rsidRPr="00CE1D7F">
              <w:rPr>
                <w:b/>
                <w:bCs/>
              </w:rPr>
              <w:t>$989,000</w:t>
            </w:r>
          </w:p>
        </w:tc>
        <w:tc>
          <w:tcPr>
            <w:tcW w:w="787" w:type="pct"/>
            <w:gridSpan w:val="2"/>
            <w:tcBorders>
              <w:top w:val="single" w:sz="4" w:space="0" w:color="auto"/>
            </w:tcBorders>
            <w:hideMark/>
          </w:tcPr>
          <w:p w14:paraId="42A875C3" w14:textId="77777777" w:rsidR="002B32A0" w:rsidRPr="00CE1D7F" w:rsidRDefault="002B32A0" w:rsidP="006258ED">
            <w:pPr>
              <w:pStyle w:val="Tabletext"/>
              <w:keepNext/>
              <w:keepLines/>
              <w:rPr>
                <w:rStyle w:val="CaptionLabel"/>
                <w:b w:val="0"/>
                <w:bCs/>
              </w:rPr>
            </w:pPr>
            <w:r w:rsidRPr="00CE1D7F">
              <w:rPr>
                <w:b/>
                <w:bCs/>
              </w:rPr>
              <w:t>$2,117,787</w:t>
            </w:r>
          </w:p>
        </w:tc>
        <w:tc>
          <w:tcPr>
            <w:tcW w:w="788" w:type="pct"/>
            <w:tcBorders>
              <w:top w:val="single" w:sz="4" w:space="0" w:color="auto"/>
            </w:tcBorders>
          </w:tcPr>
          <w:p w14:paraId="53BA8451" w14:textId="77777777" w:rsidR="002B32A0" w:rsidRPr="00CE1D7F" w:rsidRDefault="002B32A0" w:rsidP="006258ED">
            <w:pPr>
              <w:pStyle w:val="Tabletext"/>
              <w:keepNext/>
              <w:keepLines/>
              <w:rPr>
                <w:b/>
                <w:bCs/>
              </w:rPr>
            </w:pPr>
            <w:r w:rsidRPr="00CE1D7F">
              <w:rPr>
                <w:b/>
                <w:bCs/>
              </w:rPr>
              <w:t>$1,925,950</w:t>
            </w:r>
          </w:p>
        </w:tc>
        <w:tc>
          <w:tcPr>
            <w:tcW w:w="965" w:type="pct"/>
            <w:tcBorders>
              <w:top w:val="single" w:sz="4" w:space="0" w:color="auto"/>
            </w:tcBorders>
            <w:hideMark/>
          </w:tcPr>
          <w:p w14:paraId="35730665" w14:textId="77777777" w:rsidR="002B32A0" w:rsidRPr="00CE1D7F" w:rsidRDefault="002B32A0" w:rsidP="006258ED">
            <w:pPr>
              <w:pStyle w:val="Tabletext"/>
              <w:keepNext/>
              <w:keepLines/>
              <w:rPr>
                <w:rStyle w:val="CaptionLabel"/>
                <w:b w:val="0"/>
                <w:bCs/>
              </w:rPr>
            </w:pPr>
            <w:r w:rsidRPr="00CE1D7F">
              <w:rPr>
                <w:b/>
                <w:bCs/>
              </w:rPr>
              <w:t>$5,032,737</w:t>
            </w:r>
          </w:p>
        </w:tc>
      </w:tr>
    </w:tbl>
    <w:p w14:paraId="1EAD04E6" w14:textId="77777777" w:rsidR="000B0AC7" w:rsidRPr="00CE1D7F" w:rsidRDefault="000B0AC7" w:rsidP="000B0AC7">
      <w:pPr>
        <w:pStyle w:val="Source"/>
        <w:ind w:left="-1"/>
      </w:pPr>
      <w:r w:rsidRPr="00CE1D7F">
        <w:t>Source: ACIL Allen, various sources</w:t>
      </w:r>
    </w:p>
    <w:p w14:paraId="79EAE16B" w14:textId="77777777" w:rsidR="002B32A0" w:rsidRPr="00CE1D7F" w:rsidRDefault="002B32A0" w:rsidP="0075091B">
      <w:pPr>
        <w:pStyle w:val="Heading2"/>
      </w:pPr>
      <w:bookmarkStart w:id="301" w:name="_Toc129964009"/>
      <w:bookmarkStart w:id="302" w:name="_Toc131174647"/>
      <w:bookmarkStart w:id="303" w:name="_Toc132970678"/>
      <w:bookmarkStart w:id="304" w:name="_Toc135323717"/>
      <w:r w:rsidRPr="00CE1D7F">
        <w:t>Activities</w:t>
      </w:r>
      <w:bookmarkEnd w:id="301"/>
      <w:bookmarkEnd w:id="302"/>
      <w:bookmarkEnd w:id="303"/>
      <w:bookmarkEnd w:id="304"/>
    </w:p>
    <w:p w14:paraId="42D6B451" w14:textId="21853154" w:rsidR="002B32A0" w:rsidRPr="00CE1D7F" w:rsidRDefault="002B32A0" w:rsidP="002B32A0">
      <w:pPr>
        <w:pStyle w:val="BodyText"/>
      </w:pPr>
      <w:r w:rsidRPr="00CE1D7F">
        <w:t xml:space="preserve">Curtin University has a strong record of collaboration with the WAWC on research related to water quality. The collaboration began in the late 1980s and continues today (see </w:t>
      </w:r>
      <w:r w:rsidRPr="00F87D0E">
        <w:fldChar w:fldCharType="begin"/>
      </w:r>
      <w:r w:rsidRPr="00F87D0E">
        <w:instrText xml:space="preserve"> REF _Ref129335366 \h  \* MERGEFORMAT </w:instrText>
      </w:r>
      <w:r w:rsidRPr="00F87D0E">
        <w:fldChar w:fldCharType="separate"/>
      </w:r>
      <w:r w:rsidR="000B0AC7" w:rsidRPr="000B0AC7">
        <w:t>Figure 8.3</w:t>
      </w:r>
      <w:r w:rsidRPr="00F87D0E">
        <w:fldChar w:fldCharType="end"/>
      </w:r>
      <w:r w:rsidRPr="00CE1D7F">
        <w:t>).</w:t>
      </w:r>
    </w:p>
    <w:p w14:paraId="41D05760" w14:textId="77777777" w:rsidR="002B32A0" w:rsidRPr="00CE1D7F" w:rsidRDefault="002B32A0" w:rsidP="002B32A0">
      <w:pPr>
        <w:pStyle w:val="BodyText"/>
      </w:pPr>
      <w:r w:rsidRPr="00CE1D7F">
        <w:t>The WAWC supported the Curtin Water Quality Research Centre (CWQRC) from 2004 to 2016.</w:t>
      </w:r>
      <w:r w:rsidRPr="00CE1D7F">
        <w:rPr>
          <w:rStyle w:val="FootnoteReference"/>
        </w:rPr>
        <w:footnoteReference w:id="132"/>
      </w:r>
      <w:r w:rsidRPr="00CE1D7F">
        <w:t xml:space="preserve"> From 2005–2008, the CWQRC collaborated on a research project through a $1.54</w:t>
      </w:r>
      <w:r>
        <w:t> million</w:t>
      </w:r>
      <w:r w:rsidRPr="00CE1D7F">
        <w:t xml:space="preserve"> grant funded by the WA Government’s Premiers Collaborative Research Program to determine the feasibility of micro-filtration and reverse osmosis processes to treat wastewater to acceptable health and environmental standards. The aim was to show the potential feasibility of using treated wastewater to replenish drinking water aquifers. From 2006–2009, the Centre also took part in a collaborative WA Government Premier’s Water Foundation Project to determine requirements for managing aquifer recharge in WA urban areas. In 2006 the ARC provided $290,000 under a LIEF grant to purchase a liquid chromatograph – mass spectrometer for use in the Centre’s water research. These activities laid the foundation for an </w:t>
      </w:r>
      <w:r>
        <w:t>ARC</w:t>
      </w:r>
      <w:r w:rsidRPr="00CE1D7F">
        <w:t xml:space="preserve"> Linkage Project (LP0989326) from 2009–2012, which was awarded to the CWQRC and its key partners (WAWC, GHD and Water Research Australia</w:t>
      </w:r>
      <w:r w:rsidRPr="00CE1D7F">
        <w:rPr>
          <w:rStyle w:val="FootnoteReference"/>
        </w:rPr>
        <w:footnoteReference w:id="133"/>
      </w:r>
      <w:r w:rsidRPr="00CE1D7F">
        <w:t xml:space="preserve">). </w:t>
      </w:r>
    </w:p>
    <w:p w14:paraId="70B4D071" w14:textId="77777777" w:rsidR="002B32A0" w:rsidRPr="00CE1D7F" w:rsidRDefault="002B32A0" w:rsidP="002B32A0">
      <w:pPr>
        <w:pStyle w:val="BodyText"/>
      </w:pPr>
      <w:r w:rsidRPr="00CE1D7F">
        <w:t>The research carried out by the CWQRC and its partners included developing novel treatment methods for water recycling, process optimisation of the wastewater treatment plant and studies of novel chemicals. The team developed analytical methods, which led to the ability to test for the presence of some 400 potential micropollutants in recycled wastewater. The research confirmed that the microfiltration/reverse osmosis (MF/RO) treatment process could adequately remove chemicals from the wastewater stream to a level that allowed health and safety concerns to be addressed.</w:t>
      </w:r>
    </w:p>
    <w:p w14:paraId="63AD85B2" w14:textId="77777777" w:rsidR="002B32A0" w:rsidRPr="00CE1D7F" w:rsidRDefault="002B32A0" w:rsidP="002B32A0">
      <w:pPr>
        <w:pStyle w:val="BodyText"/>
      </w:pPr>
      <w:r w:rsidRPr="00CE1D7F">
        <w:t xml:space="preserve">The </w:t>
      </w:r>
      <w:bookmarkStart w:id="305" w:name="_Hlk126319123"/>
      <w:r w:rsidRPr="00CE1D7F">
        <w:t>research team also identified and validated chemicals that could be used as indicators for ongoing monitoring of water recycling plants to ensure that the treatment process was performing as required</w:t>
      </w:r>
      <w:bookmarkEnd w:id="305"/>
      <w:r w:rsidRPr="00CE1D7F">
        <w:t xml:space="preserve">. The team also investigated how chemical micropollutants of concern responded to water treatment and determined what additional processes could be used to remove a small number of chemical contaminants in wastewater that could pass through the reverse osmosis membrane. </w:t>
      </w:r>
    </w:p>
    <w:p w14:paraId="12EEE73E" w14:textId="77777777" w:rsidR="002B32A0" w:rsidRPr="00CE1D7F" w:rsidRDefault="002B32A0" w:rsidP="002B32A0">
      <w:pPr>
        <w:pStyle w:val="BodyText"/>
      </w:pPr>
      <w:r w:rsidRPr="00CE1D7F">
        <w:t xml:space="preserve">The second ARC Linkage grant (LP130100602) supported research that used updated analytical methods to examine smaller and simpler rural wastewater treatment plants that allow wastewater to be used for non-potable purposes. Work included testing for new emerging contaminants. </w:t>
      </w:r>
    </w:p>
    <w:p w14:paraId="7229E660" w14:textId="77777777" w:rsidR="002B32A0" w:rsidRPr="00CE1D7F" w:rsidRDefault="002B32A0" w:rsidP="002B32A0">
      <w:pPr>
        <w:pStyle w:val="BodyText"/>
      </w:pPr>
      <w:r w:rsidRPr="00CE1D7F">
        <w:t xml:space="preserve">As a result of its work in this field, Curtin University is now recognised as one of the Australian leaders in research that combines chemical analysis and toxicity testing of treated wastewater. </w:t>
      </w:r>
    </w:p>
    <w:p w14:paraId="75A4697E" w14:textId="43E47649" w:rsidR="000B0AC7" w:rsidRPr="00CE1D7F" w:rsidRDefault="000B0AC7" w:rsidP="000B0AC7">
      <w:pPr>
        <w:pStyle w:val="Caption"/>
        <w:ind w:left="457" w:hanging="1308"/>
      </w:pPr>
      <w:bookmarkStart w:id="306" w:name="_Ref129335366"/>
      <w:r w:rsidRPr="00CE1D7F">
        <w:rPr>
          <w:rStyle w:val="CaptionLabel"/>
        </w:rPr>
        <w:t>Figure </w:t>
      </w:r>
      <w:r w:rsidRPr="00CE1D7F">
        <w:rPr>
          <w:rStyle w:val="CaptionLabel"/>
        </w:rPr>
        <w:fldChar w:fldCharType="begin"/>
      </w:r>
      <w:r w:rsidRPr="00CE1D7F">
        <w:rPr>
          <w:rStyle w:val="CaptionLabel"/>
        </w:rPr>
        <w:instrText xml:space="preserve"> STYLEREF 1 \S \* MERGEFORMAT </w:instrText>
      </w:r>
      <w:r w:rsidRPr="00CE1D7F">
        <w:rPr>
          <w:rStyle w:val="CaptionLabel"/>
        </w:rPr>
        <w:fldChar w:fldCharType="separate"/>
      </w:r>
      <w:r>
        <w:rPr>
          <w:rStyle w:val="CaptionLabel"/>
          <w:noProof/>
        </w:rPr>
        <w:t>8</w:t>
      </w:r>
      <w:r w:rsidRPr="00CE1D7F">
        <w:rPr>
          <w:rStyle w:val="CaptionLabel"/>
        </w:rPr>
        <w:fldChar w:fldCharType="end"/>
      </w:r>
      <w:r w:rsidRPr="00CE1D7F">
        <w:rPr>
          <w:rStyle w:val="CaptionLabel"/>
        </w:rPr>
        <w:t>.</w:t>
      </w:r>
      <w:r w:rsidRPr="00CE1D7F">
        <w:rPr>
          <w:rStyle w:val="CaptionLabel"/>
        </w:rPr>
        <w:fldChar w:fldCharType="begin"/>
      </w:r>
      <w:r w:rsidRPr="00CE1D7F">
        <w:rPr>
          <w:rStyle w:val="CaptionLabel"/>
        </w:rPr>
        <w:instrText xml:space="preserve"> SEQ Figure \* ARABIC \S 1 \* MERGEFORMAT </w:instrText>
      </w:r>
      <w:r w:rsidRPr="00CE1D7F">
        <w:rPr>
          <w:rStyle w:val="CaptionLabel"/>
        </w:rPr>
        <w:fldChar w:fldCharType="separate"/>
      </w:r>
      <w:r>
        <w:rPr>
          <w:rStyle w:val="CaptionLabel"/>
          <w:noProof/>
        </w:rPr>
        <w:t>3</w:t>
      </w:r>
      <w:r w:rsidRPr="00CE1D7F">
        <w:rPr>
          <w:rStyle w:val="CaptionLabel"/>
        </w:rPr>
        <w:fldChar w:fldCharType="end"/>
      </w:r>
      <w:bookmarkEnd w:id="306"/>
      <w:r w:rsidRPr="00CE1D7F">
        <w:tab/>
        <w:t>Timelines of Curtin University’s groundwater research</w:t>
      </w:r>
    </w:p>
    <w:tbl>
      <w:tblPr>
        <w:tblStyle w:val="aacTableFigure-Wide"/>
        <w:tblW w:w="5447" w:type="pct"/>
        <w:tblInd w:w="-709" w:type="dxa"/>
        <w:tblBorders>
          <w:top w:val="single" w:sz="4" w:space="0" w:color="000000"/>
          <w:bottom w:val="single" w:sz="4" w:space="0" w:color="000000"/>
        </w:tblBorders>
        <w:tblLook w:val="04A0" w:firstRow="1" w:lastRow="0" w:firstColumn="1" w:lastColumn="0" w:noHBand="0" w:noVBand="1"/>
      </w:tblPr>
      <w:tblGrid>
        <w:gridCol w:w="8645"/>
      </w:tblGrid>
      <w:tr w:rsidR="002B32A0" w:rsidRPr="00CE1D7F" w14:paraId="57937FAC" w14:textId="77777777" w:rsidTr="00163772">
        <w:tc>
          <w:tcPr>
            <w:tcW w:w="5000" w:type="pct"/>
            <w:shd w:val="clear" w:color="auto" w:fill="auto"/>
          </w:tcPr>
          <w:p w14:paraId="669AB15F" w14:textId="77777777" w:rsidR="002B32A0" w:rsidRPr="00CE1D7F" w:rsidRDefault="002B32A0" w:rsidP="006258ED">
            <w:pPr>
              <w:pStyle w:val="Figure"/>
              <w:jc w:val="center"/>
            </w:pPr>
            <w:r w:rsidRPr="00CE1D7F">
              <w:rPr>
                <w:noProof/>
              </w:rPr>
              <w:drawing>
                <wp:inline distT="0" distB="0" distL="0" distR="0" wp14:anchorId="5A081D40" wp14:editId="04570089">
                  <wp:extent cx="5649935" cy="5984035"/>
                  <wp:effectExtent l="0" t="0" r="0" b="0"/>
                  <wp:docPr id="694" name="Picture 694" descr="Timelines of Curtin University’s groundwater re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 name="Picture 694" descr="Timelines of Curtin University’s groundwater research"/>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675119" cy="6010708"/>
                          </a:xfrm>
                          <a:prstGeom prst="rect">
                            <a:avLst/>
                          </a:prstGeom>
                          <a:noFill/>
                        </pic:spPr>
                      </pic:pic>
                    </a:graphicData>
                  </a:graphic>
                </wp:inline>
              </w:drawing>
            </w:r>
          </w:p>
        </w:tc>
      </w:tr>
    </w:tbl>
    <w:p w14:paraId="48D50CE1" w14:textId="77777777" w:rsidR="000B0AC7" w:rsidRPr="00CE1D7F" w:rsidRDefault="000B0AC7" w:rsidP="000B0AC7">
      <w:pPr>
        <w:pStyle w:val="Source"/>
        <w:ind w:left="457" w:hanging="1308"/>
      </w:pPr>
      <w:r w:rsidRPr="00CE1D7F">
        <w:t>Source: ACIL Allen</w:t>
      </w:r>
    </w:p>
    <w:p w14:paraId="305BDE85" w14:textId="77777777" w:rsidR="000B0AC7" w:rsidRPr="00CE1D7F" w:rsidRDefault="000B0AC7" w:rsidP="006258ED">
      <w:pPr>
        <w:pStyle w:val="spacer"/>
      </w:pPr>
    </w:p>
    <w:p w14:paraId="75EFD1F5" w14:textId="77777777" w:rsidR="002B32A0" w:rsidRPr="00CE1D7F" w:rsidRDefault="002B32A0" w:rsidP="002B32A0">
      <w:pPr>
        <w:pStyle w:val="BodyText"/>
      </w:pPr>
      <w:r w:rsidRPr="00CE1D7F">
        <w:t>Dr Stacey Hamilton, Team Leader - Membrane treatment, Water Quality Business Unit, WAWC, stated that:</w:t>
      </w:r>
    </w:p>
    <w:p w14:paraId="0C56966C" w14:textId="77777777" w:rsidR="002B32A0" w:rsidRPr="00CE1D7F" w:rsidRDefault="002B32A0" w:rsidP="002B32A0">
      <w:pPr>
        <w:pStyle w:val="Quote"/>
      </w:pPr>
      <w:r w:rsidRPr="00CE1D7F">
        <w:t>Research has been a part of my life for the past 20 years, through my university degree and PhD at Curtin and now at the Water Corporation. I’ve been lucky enough to have been involved in the groundwater replenishment space for over 10 years and being able to see the implementation of research outcomes in the full-scale plant emphasises the importance of R&amp;D to the Corporation and the water industry.</w:t>
      </w:r>
    </w:p>
    <w:p w14:paraId="70D56ECB" w14:textId="77777777" w:rsidR="002B32A0" w:rsidRPr="00CE1D7F" w:rsidRDefault="002B32A0" w:rsidP="00E9536C">
      <w:pPr>
        <w:pStyle w:val="BodyText"/>
        <w:keepNext/>
        <w:keepLines/>
      </w:pPr>
      <w:r w:rsidRPr="00CE1D7F">
        <w:t>Dr Cynthia Joll from Curtin University stated that she found research on real world issues to be fascinating. She went on to note that she and her colleague, Associate Professor Anna Heitz, had:</w:t>
      </w:r>
    </w:p>
    <w:p w14:paraId="47085F7A" w14:textId="77777777" w:rsidR="002B32A0" w:rsidRPr="00CE1D7F" w:rsidRDefault="002B32A0" w:rsidP="00E9536C">
      <w:pPr>
        <w:pStyle w:val="Quote"/>
        <w:keepNext/>
        <w:keepLines/>
      </w:pPr>
      <w:r w:rsidRPr="00CE1D7F">
        <w:t>… been fortunate to be involved in collaborative research projects with Water Corporation over the 24 years I have been working at Curtin. Water Corporation leads Australia in terms of adaptation to climate change and water recycling, and it has been exciting to work with the Corporation on these new developments through projects such as the 2 ARC Linkage projects.</w:t>
      </w:r>
    </w:p>
    <w:p w14:paraId="27439D5E" w14:textId="77777777" w:rsidR="002B32A0" w:rsidRPr="00CE1D7F" w:rsidRDefault="002B32A0" w:rsidP="00E9536C">
      <w:pPr>
        <w:pStyle w:val="Heading2"/>
      </w:pPr>
      <w:bookmarkStart w:id="307" w:name="_Toc129964010"/>
      <w:bookmarkStart w:id="308" w:name="_Toc131174648"/>
      <w:bookmarkStart w:id="309" w:name="_Toc132970679"/>
      <w:bookmarkStart w:id="310" w:name="_Toc135323718"/>
      <w:r w:rsidRPr="00CE1D7F">
        <w:t>Outputs</w:t>
      </w:r>
      <w:bookmarkEnd w:id="307"/>
      <w:bookmarkEnd w:id="308"/>
      <w:bookmarkEnd w:id="309"/>
      <w:bookmarkEnd w:id="310"/>
    </w:p>
    <w:p w14:paraId="67F8F504" w14:textId="77777777" w:rsidR="002B32A0" w:rsidRPr="00CE1D7F" w:rsidRDefault="002B32A0" w:rsidP="00E9536C">
      <w:pPr>
        <w:pStyle w:val="Heading3"/>
      </w:pPr>
      <w:r w:rsidRPr="00CE1D7F">
        <w:t>Publications</w:t>
      </w:r>
    </w:p>
    <w:p w14:paraId="54DC7A6F" w14:textId="77777777" w:rsidR="002B32A0" w:rsidRPr="00CE1D7F" w:rsidRDefault="002B32A0" w:rsidP="002B32A0">
      <w:pPr>
        <w:pStyle w:val="BodyText"/>
      </w:pPr>
      <w:r w:rsidRPr="00CE1D7F">
        <w:t>Since 2010, CWQRC’s water recycling research has led to the publication of 2 book chapters, 28 refereed journal articles and 11 industry reports. Some examples of publications include:</w:t>
      </w:r>
    </w:p>
    <w:p w14:paraId="2951E851" w14:textId="77777777" w:rsidR="002B32A0" w:rsidRPr="00CE1D7F" w:rsidRDefault="002B32A0" w:rsidP="00E9536C">
      <w:pPr>
        <w:pStyle w:val="ListBullet"/>
      </w:pPr>
      <w:r w:rsidRPr="00CE1D7F">
        <w:t>Bahnmueller, S., Loi, C., Linge, K. L., von Gunten, U. and Canonica, S. (2015) Degradation rates of benzotriazoles and benzothiazoles under UV-C irradiation and the advanced oxidation process UV/H2O2. Water Research, 74, 143-154.</w:t>
      </w:r>
    </w:p>
    <w:p w14:paraId="464A25CB" w14:textId="77777777" w:rsidR="002B32A0" w:rsidRPr="00CE1D7F" w:rsidRDefault="002B32A0" w:rsidP="00E9536C">
      <w:pPr>
        <w:pStyle w:val="ListBullet"/>
      </w:pPr>
      <w:r w:rsidRPr="00CE1D7F">
        <w:t>Busetti, F., Backe, W. J., Bendixen, N., U. Maier, Place, B., W. Giger, Field, J.A. (2011) Trace analysis by large-volume injection into liquid chromatography-mass spectrometry. Published in the 10th Anniversary Issue of Analytical and Bioanalytical Chemistry. DOI: 10.1007/s00216-011-5290-y.</w:t>
      </w:r>
    </w:p>
    <w:p w14:paraId="2598C9B2" w14:textId="77777777" w:rsidR="002B32A0" w:rsidRPr="00CE1D7F" w:rsidRDefault="002B32A0" w:rsidP="00E9536C">
      <w:pPr>
        <w:pStyle w:val="ListBullet"/>
      </w:pPr>
      <w:r w:rsidRPr="00CE1D7F">
        <w:t xml:space="preserve">Busetti, F., Linge, K.L. and Heitz, A. (2009) Analysis of pharmaceuticals in indirect potable reuse systems using solid-phase extraction and liquid chromatography-tandem mass spectrometry. Journal of Chromatography A, 1216 (31), 5807-5818. </w:t>
      </w:r>
    </w:p>
    <w:p w14:paraId="717E692F" w14:textId="77777777" w:rsidR="002B32A0" w:rsidRPr="00CE1D7F" w:rsidRDefault="002B32A0" w:rsidP="00E9536C">
      <w:pPr>
        <w:pStyle w:val="ListBullet"/>
      </w:pPr>
      <w:r w:rsidRPr="00CE1D7F">
        <w:t>Linge, K.L., Blythe, J.W., Busetti, F., Blair, P., Rodriguez, C., Heitz, A. (2013) Formation of halogenated disinfection by-products during microfiltration and reverse osmosis treatment: implications for water recycling. Separation and Purification Technology, 104, 221–228.</w:t>
      </w:r>
    </w:p>
    <w:p w14:paraId="199620C5" w14:textId="77777777" w:rsidR="002B32A0" w:rsidRPr="00CE1D7F" w:rsidRDefault="002B32A0" w:rsidP="00E9536C">
      <w:pPr>
        <w:pStyle w:val="ListBullet"/>
      </w:pPr>
      <w:r w:rsidRPr="00CE1D7F">
        <w:t>Linge, K.L., Liew, D., Gruchlik, Y., Busetti, F., Ryan, U. and Joll, C.A. (2021) Chemical Removal in Waste Stabilisation Pond Systems of Varying Configuration, Environmental Science: Water Research &amp; Technology, 7, 1587-1599. https://doi.org/10.1039/D1EW00129A</w:t>
      </w:r>
    </w:p>
    <w:p w14:paraId="2F73E03D" w14:textId="77777777" w:rsidR="002B32A0" w:rsidRPr="00CE1D7F" w:rsidRDefault="002B32A0" w:rsidP="00E9536C">
      <w:pPr>
        <w:pStyle w:val="ListBullet"/>
      </w:pPr>
      <w:r w:rsidRPr="00CE1D7F">
        <w:t>Tang, J.Y.M., Busetti, F., Charrois, J. and Escher, B.I. (2014) Which chemicals drive biological effects in wastewater and recycled water? Water Research, 60, 289-299.</w:t>
      </w:r>
    </w:p>
    <w:p w14:paraId="0B6E4042" w14:textId="77777777" w:rsidR="002B32A0" w:rsidRPr="00CE1D7F" w:rsidRDefault="002B32A0" w:rsidP="00E9536C">
      <w:pPr>
        <w:pStyle w:val="ListBullet"/>
      </w:pPr>
      <w:r w:rsidRPr="00CE1D7F">
        <w:t>Zahedi, A., Greay, T.L., Paparini, A., Linge, K.L., Joll, C.A. and Ryan, U.M. (2019) Identification of eukaryotic microorganisms with 18S rRNA next-generation sequencing in wastewater treatment plants, with a more targeted NGS approach required for Cryptosporidium detection. Water Research, 158, 301-312.</w:t>
      </w:r>
    </w:p>
    <w:p w14:paraId="1FA3CB04" w14:textId="77777777" w:rsidR="002B32A0" w:rsidRPr="00CE1D7F" w:rsidRDefault="002B32A0" w:rsidP="000D438D">
      <w:pPr>
        <w:pStyle w:val="Heading3"/>
      </w:pPr>
      <w:r w:rsidRPr="00CE1D7F">
        <w:t>Models or tools</w:t>
      </w:r>
    </w:p>
    <w:p w14:paraId="69B02447" w14:textId="77777777" w:rsidR="002B32A0" w:rsidRPr="00CE1D7F" w:rsidRDefault="002B32A0" w:rsidP="002B32A0">
      <w:pPr>
        <w:pStyle w:val="BodyText"/>
      </w:pPr>
      <w:bookmarkStart w:id="311" w:name="_Hlk126329126"/>
      <w:r w:rsidRPr="00CE1D7F">
        <w:t>The research team identified chemicals that could be used to ensure the treatment process performs as required. WAWC used these indicator chemicals for monitoring the performance of the trial water recycling plants.</w:t>
      </w:r>
      <w:bookmarkEnd w:id="311"/>
      <w:r w:rsidRPr="00CE1D7F">
        <w:t xml:space="preserve"> The WAWC still uses Recycled Water Quality Indicators (RWQI) and the Recycled Water Quality Parameters (RWQP), which must be tested per their Memorandum of Understanding (MoU) agreement with WA Department of Health.</w:t>
      </w:r>
    </w:p>
    <w:p w14:paraId="256CB11B" w14:textId="77777777" w:rsidR="002B32A0" w:rsidRPr="00CE1D7F" w:rsidRDefault="002B32A0" w:rsidP="000D438D">
      <w:pPr>
        <w:pStyle w:val="Heading3"/>
      </w:pPr>
      <w:r w:rsidRPr="00CE1D7F">
        <w:t>Awards</w:t>
      </w:r>
    </w:p>
    <w:p w14:paraId="55D30F35" w14:textId="77777777" w:rsidR="002B32A0" w:rsidRPr="00CE1D7F" w:rsidRDefault="002B32A0" w:rsidP="000D438D">
      <w:pPr>
        <w:pStyle w:val="BodyText"/>
        <w:keepNext/>
        <w:keepLines/>
      </w:pPr>
      <w:r w:rsidRPr="00CE1D7F">
        <w:t>In 2013 the WAWC won the WA Branch of the Australian Water Association’s (AWA’s) Infrastructure Project Innovation Award for the Groundwater Replenishment Trial (CWQRC was part of the collaborative team that contributed to the trial).</w:t>
      </w:r>
      <w:r w:rsidRPr="00CE1D7F">
        <w:rPr>
          <w:rStyle w:val="FootnoteReference"/>
        </w:rPr>
        <w:footnoteReference w:id="134"/>
      </w:r>
      <w:r w:rsidRPr="00CE1D7F">
        <w:t xml:space="preserve"> The WAWC also won the Australian Water Association (WA branch) Infrastructure Project Innovation Award for the Groundwater Replenishment Scheme in 2018.</w:t>
      </w:r>
      <w:r w:rsidRPr="00CE1D7F">
        <w:rPr>
          <w:rStyle w:val="FootnoteReference"/>
        </w:rPr>
        <w:footnoteReference w:id="135"/>
      </w:r>
      <w:r w:rsidRPr="00CE1D7F">
        <w:t xml:space="preserve"> It subsequently won the National Infrastructure Project Award in the same year. </w:t>
      </w:r>
    </w:p>
    <w:p w14:paraId="1CFB3926" w14:textId="77777777" w:rsidR="002B32A0" w:rsidRPr="00CE1D7F" w:rsidRDefault="002B32A0" w:rsidP="002B32A0">
      <w:pPr>
        <w:pStyle w:val="BodyText"/>
      </w:pPr>
      <w:r w:rsidRPr="00CE1D7F">
        <w:t>In 2015 the CWQRC team won a Curtin Research Impact and Engagement Award as part of the annual Curtin Research Awards Recognising Excellence. The citation for the award stated that:</w:t>
      </w:r>
    </w:p>
    <w:p w14:paraId="6CCC38EC" w14:textId="77777777" w:rsidR="002B32A0" w:rsidRPr="00CE1D7F" w:rsidRDefault="002B32A0" w:rsidP="002B32A0">
      <w:pPr>
        <w:pStyle w:val="Quote"/>
      </w:pPr>
      <w:r w:rsidRPr="00CE1D7F">
        <w:t xml:space="preserve">With the support of Alliance partner, WA Water Corporation, and other partners, the CWQRC has undertaken 2 ARC Linkage Projects, an Australian Water Recycling Centre of Excellence project and 3 projects directly with WA Water Corporation, on water recycling in the past 5 years. </w:t>
      </w:r>
    </w:p>
    <w:p w14:paraId="71B0B8EE" w14:textId="77777777" w:rsidR="002B32A0" w:rsidRPr="00CE1D7F" w:rsidRDefault="002B32A0" w:rsidP="002B32A0">
      <w:r w:rsidRPr="00CE1D7F">
        <w:t>It went on to note that the research team had:</w:t>
      </w:r>
    </w:p>
    <w:p w14:paraId="23B384C3" w14:textId="77777777" w:rsidR="002B32A0" w:rsidRPr="00CE1D7F" w:rsidRDefault="002B32A0" w:rsidP="002B32A0">
      <w:pPr>
        <w:pStyle w:val="Quote"/>
      </w:pPr>
      <w:r w:rsidRPr="00CE1D7F">
        <w:t>… contributed to changing the way legislators, public utilities and the general public think about wastewater reuse. The adoption of water recycling as a water resource for Perth is a direct result of the underpinning collaborative research on chemical water quality conducted by the Curtin Water Quality Research Centre.</w:t>
      </w:r>
    </w:p>
    <w:p w14:paraId="38F901E2" w14:textId="77777777" w:rsidR="002B32A0" w:rsidRPr="00CE1D7F" w:rsidRDefault="002B32A0" w:rsidP="002B32A0">
      <w:pPr>
        <w:pStyle w:val="BodyText"/>
      </w:pPr>
      <w:r w:rsidRPr="00CE1D7F">
        <w:t>The WAWC also won the Australian Water Association (WA branch) Infrastructure Project Innovation Award for the Groundwater Replenishment Scheme in 2018.</w:t>
      </w:r>
      <w:r w:rsidRPr="00CE1D7F">
        <w:rPr>
          <w:rStyle w:val="FootnoteReference"/>
        </w:rPr>
        <w:footnoteReference w:id="136"/>
      </w:r>
      <w:r w:rsidRPr="00CE1D7F">
        <w:t xml:space="preserve"> It subsequently won the National Infrastructure Project Award in the same year. </w:t>
      </w:r>
    </w:p>
    <w:p w14:paraId="43CA1B29" w14:textId="77777777" w:rsidR="002B32A0" w:rsidRPr="00CE1D7F" w:rsidRDefault="002B32A0" w:rsidP="002B32A0">
      <w:r>
        <w:t>I</w:t>
      </w:r>
      <w:r w:rsidRPr="00CE1D7F">
        <w:t>n 2019, a PhD student studying the removal of various drugs in wastewater treatment, Luis Restrepo Viera, was a finalist for the WA Branch AWA Student Water Prize.</w:t>
      </w:r>
    </w:p>
    <w:p w14:paraId="3B80C87D" w14:textId="77777777" w:rsidR="002B32A0" w:rsidRPr="00CE1D7F" w:rsidRDefault="002B32A0" w:rsidP="002B32A0">
      <w:pPr>
        <w:pStyle w:val="BodyText"/>
      </w:pPr>
      <w:r w:rsidRPr="00CE1D7F">
        <w:t>In 2020 WAWC won the AWA (WA Branch) Infrastructure Project Innovation Award – Metro for Stage 2 of the groundwater recycling scheme. In 2022 the WAWC won bronze in the International Water Association (IWA) Project Innovation Award - Exceptional Project Execution and Delivery.</w:t>
      </w:r>
      <w:r w:rsidRPr="00CE1D7F">
        <w:rPr>
          <w:rStyle w:val="FootnoteReference"/>
        </w:rPr>
        <w:footnoteReference w:id="137"/>
      </w:r>
      <w:r w:rsidRPr="00CE1D7F">
        <w:t xml:space="preserve"> </w:t>
      </w:r>
    </w:p>
    <w:p w14:paraId="56984005" w14:textId="77777777" w:rsidR="002B32A0" w:rsidRPr="00CE1D7F" w:rsidRDefault="002B32A0" w:rsidP="000D438D">
      <w:pPr>
        <w:pStyle w:val="Heading3"/>
      </w:pPr>
      <w:r w:rsidRPr="00CE1D7F">
        <w:t>Innovation / commercialisation</w:t>
      </w:r>
    </w:p>
    <w:p w14:paraId="29DCED23" w14:textId="77777777" w:rsidR="002B32A0" w:rsidRPr="00CE1D7F" w:rsidRDefault="002B32A0" w:rsidP="002B32A0">
      <w:pPr>
        <w:pStyle w:val="BodyText"/>
      </w:pPr>
      <w:bookmarkStart w:id="312" w:name="_Hlk129165534"/>
      <w:r w:rsidRPr="00CE1D7F">
        <w:t xml:space="preserve">The research done by Curtin University was the first of its kind in Australia. It was integral to the decision by the WAWC to develop the Groundwater Replenishment Trial, which began aquifer recharge testing in November 2010. The test facility continued to operate until the end of 2012. While aquifer recharge for indirect potable reuse had been undertaken overseas, this was the first time the technology had been applied in Australia. </w:t>
      </w:r>
    </w:p>
    <w:p w14:paraId="1B823215" w14:textId="77777777" w:rsidR="002B32A0" w:rsidRPr="00CE1D7F" w:rsidRDefault="002B32A0" w:rsidP="002B32A0">
      <w:pPr>
        <w:pStyle w:val="BodyText"/>
      </w:pPr>
      <w:r w:rsidRPr="00CE1D7F">
        <w:t xml:space="preserve">By the time the trial concluded, more than 7,300 community members had toured the water recycling facility. Events such as community open days provided further opportunities for community members to provide feedback. In August 2013, it was announced that each of the 62,300 water quality samples taken during the trial had met the required health and safety guidelines, and the trial was declared a success. The public outreach during the trial helped ensure that 76% of the public supported the construction of a full-scale scheme. </w:t>
      </w:r>
    </w:p>
    <w:p w14:paraId="6CC8055A" w14:textId="77777777" w:rsidR="002B32A0" w:rsidRPr="00CE1D7F" w:rsidRDefault="002B32A0" w:rsidP="002B32A0">
      <w:pPr>
        <w:pStyle w:val="BodyText"/>
      </w:pPr>
      <w:r w:rsidRPr="00CE1D7F">
        <w:t>Construction of a full-scale plant began in October 2014 and was completed in July 2016. More than 180 jobs were created during construction. The plant was Australia’s first full-scale Groundwater Replenishment Scheme. The plant can recharge up to 14</w:t>
      </w:r>
      <w:r>
        <w:t> billion</w:t>
      </w:r>
      <w:r w:rsidRPr="00CE1D7F">
        <w:t xml:space="preserve"> litres of recycled water into groundwater supplies in the deep Leederville and Yarragadee aquifers each year through onsite bores. </w:t>
      </w:r>
    </w:p>
    <w:p w14:paraId="5082309A" w14:textId="77777777" w:rsidR="002B32A0" w:rsidRPr="00CE1D7F" w:rsidRDefault="002B32A0" w:rsidP="002B32A0">
      <w:pPr>
        <w:pStyle w:val="BodyText"/>
      </w:pPr>
      <w:r w:rsidRPr="00CE1D7F">
        <w:t>In July 2016, former WA Minister for Water Mia Davies, announced the construction of an additional plant to double the capacity to a total of 28</w:t>
      </w:r>
      <w:r>
        <w:t> billion</w:t>
      </w:r>
      <w:r w:rsidRPr="00CE1D7F">
        <w:t xml:space="preserve"> litres of recycled water each year. Construction of the second plant began in late 2017 and it was commissioned in August 2022. When announcing the commissioning of the second plant, the Water Minister, Dave Kelly, stated that:</w:t>
      </w:r>
    </w:p>
    <w:p w14:paraId="2D8F54CB" w14:textId="77777777" w:rsidR="002B32A0" w:rsidRPr="00CE1D7F" w:rsidRDefault="002B32A0" w:rsidP="002B32A0">
      <w:pPr>
        <w:pStyle w:val="Quote"/>
      </w:pPr>
      <w:r w:rsidRPr="00CE1D7F">
        <w:t>Water Corporation's Groundwater Replenishment Scheme is an innovative and sustainable way to recycle large volumes of water. By recharging our precious groundwater supplies through the scheme, we are able to abstract equivalent groundwater in later years, adding to Perth's drinking water supply, while reducing impacts to the environment and other water users.</w:t>
      </w:r>
      <w:r w:rsidRPr="00CE1D7F">
        <w:rPr>
          <w:rStyle w:val="FootnoteReference"/>
        </w:rPr>
        <w:footnoteReference w:id="138"/>
      </w:r>
      <w:r w:rsidRPr="00CE1D7F">
        <w:t xml:space="preserve"> </w:t>
      </w:r>
    </w:p>
    <w:p w14:paraId="6EB4C935" w14:textId="77777777" w:rsidR="002B32A0" w:rsidRPr="00CE1D7F" w:rsidRDefault="002B32A0" w:rsidP="002B32A0">
      <w:pPr>
        <w:pStyle w:val="BodyText"/>
      </w:pPr>
      <w:r w:rsidRPr="00CE1D7F">
        <w:t>The identification by the research team of ‘marker’ chemicals that could establish the effectiveness with which WAWC’s trial water recycling plant could remove different categories of contaminants in the wastewater was an innovation. The WAWC still has Recycled Water Quality Indicators (RWQI) and the Recycled Water Quality Parameters (RWQP), which must be tested per their MoU agreement with WA Department of Health.</w:t>
      </w:r>
    </w:p>
    <w:p w14:paraId="2897F1D0" w14:textId="77777777" w:rsidR="002B32A0" w:rsidRPr="00CE1D7F" w:rsidRDefault="002B32A0" w:rsidP="000D438D">
      <w:pPr>
        <w:pStyle w:val="Heading2"/>
      </w:pPr>
      <w:bookmarkStart w:id="313" w:name="_Toc129964011"/>
      <w:bookmarkStart w:id="314" w:name="_Toc131174649"/>
      <w:bookmarkStart w:id="315" w:name="_Toc132970680"/>
      <w:bookmarkStart w:id="316" w:name="_Toc135323719"/>
      <w:bookmarkEnd w:id="312"/>
      <w:r w:rsidRPr="00CE1D7F">
        <w:t>Outcomes</w:t>
      </w:r>
      <w:bookmarkEnd w:id="313"/>
      <w:bookmarkEnd w:id="314"/>
      <w:bookmarkEnd w:id="315"/>
      <w:bookmarkEnd w:id="316"/>
      <w:r w:rsidRPr="00CE1D7F">
        <w:t xml:space="preserve"> </w:t>
      </w:r>
    </w:p>
    <w:p w14:paraId="68248044" w14:textId="77777777" w:rsidR="002B32A0" w:rsidRPr="00CE1D7F" w:rsidRDefault="002B32A0" w:rsidP="000D438D">
      <w:pPr>
        <w:pStyle w:val="Heading3"/>
      </w:pPr>
      <w:r w:rsidRPr="00CE1D7F">
        <w:t>Adoption</w:t>
      </w:r>
    </w:p>
    <w:p w14:paraId="5B59AA63" w14:textId="5DCE98F4" w:rsidR="002B32A0" w:rsidRPr="00CE1D7F" w:rsidRDefault="002B32A0" w:rsidP="002B32A0">
      <w:pPr>
        <w:pStyle w:val="BodyText"/>
      </w:pPr>
      <w:r w:rsidRPr="00CE1D7F">
        <w:t>The results achieved by this project were instrumental in the WAWC gaining approval to implement the Groundwater Replenishment Scheme. That Scheme is now treating 28</w:t>
      </w:r>
      <w:r>
        <w:t> billion</w:t>
      </w:r>
      <w:r w:rsidRPr="00CE1D7F">
        <w:t xml:space="preserve"> litres of wastewater each year and injecting it into the aquifers under Perth (see </w:t>
      </w:r>
      <w:r w:rsidRPr="00F87D0E">
        <w:fldChar w:fldCharType="begin"/>
      </w:r>
      <w:r w:rsidRPr="00F87D0E">
        <w:instrText xml:space="preserve"> REF _Ref129335399 \h  \* MERGEFORMAT </w:instrText>
      </w:r>
      <w:r w:rsidRPr="00F87D0E">
        <w:fldChar w:fldCharType="separate"/>
      </w:r>
      <w:r w:rsidR="000B0AC7" w:rsidRPr="000B0AC7">
        <w:t>Figure 8.4</w:t>
      </w:r>
      <w:r w:rsidRPr="00F87D0E">
        <w:fldChar w:fldCharType="end"/>
      </w:r>
      <w:r w:rsidRPr="00CE1D7F">
        <w:t>). Treated wastewater is recharging the Leederville and Yarragadee aquifers via injection bores. The Leederville bores are between 200 and 500 metres deep, and the Yarragadee bores are between 700 and 1,400 metres deep.</w:t>
      </w:r>
    </w:p>
    <w:p w14:paraId="19EA7135" w14:textId="77777777" w:rsidR="002B32A0" w:rsidRPr="00CE1D7F" w:rsidRDefault="002B32A0" w:rsidP="002B32A0">
      <w:pPr>
        <w:pStyle w:val="BodyText"/>
      </w:pPr>
      <w:r w:rsidRPr="00CE1D7F">
        <w:t xml:space="preserve">The WAWC has received a licence to extract an equivalent amount of water from Perth’s aquifers from downstream extraction bores for drinking water treatment. </w:t>
      </w:r>
    </w:p>
    <w:p w14:paraId="31A4F438" w14:textId="2642AF5B" w:rsidR="000B0AC7" w:rsidRPr="00CE1D7F" w:rsidRDefault="000B0AC7" w:rsidP="000B0AC7">
      <w:pPr>
        <w:pStyle w:val="Caption"/>
        <w:ind w:left="-393" w:hanging="1308"/>
      </w:pPr>
      <w:bookmarkStart w:id="317" w:name="_Ref129335399"/>
      <w:r w:rsidRPr="00CE1D7F">
        <w:rPr>
          <w:rStyle w:val="CaptionLabel"/>
        </w:rPr>
        <w:t>Figure </w:t>
      </w:r>
      <w:r w:rsidRPr="00CE1D7F">
        <w:rPr>
          <w:rStyle w:val="CaptionLabel"/>
        </w:rPr>
        <w:fldChar w:fldCharType="begin"/>
      </w:r>
      <w:r w:rsidRPr="00CE1D7F">
        <w:rPr>
          <w:rStyle w:val="CaptionLabel"/>
        </w:rPr>
        <w:instrText xml:space="preserve"> STYLEREF 1 \S \* MERGEFORMAT </w:instrText>
      </w:r>
      <w:r w:rsidRPr="00CE1D7F">
        <w:rPr>
          <w:rStyle w:val="CaptionLabel"/>
        </w:rPr>
        <w:fldChar w:fldCharType="separate"/>
      </w:r>
      <w:r>
        <w:rPr>
          <w:rStyle w:val="CaptionLabel"/>
          <w:noProof/>
        </w:rPr>
        <w:t>8</w:t>
      </w:r>
      <w:r w:rsidRPr="00CE1D7F">
        <w:rPr>
          <w:rStyle w:val="CaptionLabel"/>
        </w:rPr>
        <w:fldChar w:fldCharType="end"/>
      </w:r>
      <w:r w:rsidRPr="00CE1D7F">
        <w:rPr>
          <w:rStyle w:val="CaptionLabel"/>
        </w:rPr>
        <w:t>.</w:t>
      </w:r>
      <w:r w:rsidRPr="00CE1D7F">
        <w:rPr>
          <w:rStyle w:val="CaptionLabel"/>
        </w:rPr>
        <w:fldChar w:fldCharType="begin"/>
      </w:r>
      <w:r w:rsidRPr="00CE1D7F">
        <w:rPr>
          <w:rStyle w:val="CaptionLabel"/>
        </w:rPr>
        <w:instrText xml:space="preserve"> SEQ Figure \* ARABIC \S 1 \* MERGEFORMAT </w:instrText>
      </w:r>
      <w:r w:rsidRPr="00CE1D7F">
        <w:rPr>
          <w:rStyle w:val="CaptionLabel"/>
        </w:rPr>
        <w:fldChar w:fldCharType="separate"/>
      </w:r>
      <w:r>
        <w:rPr>
          <w:rStyle w:val="CaptionLabel"/>
          <w:noProof/>
        </w:rPr>
        <w:t>4</w:t>
      </w:r>
      <w:r w:rsidRPr="00CE1D7F">
        <w:rPr>
          <w:rStyle w:val="CaptionLabel"/>
        </w:rPr>
        <w:fldChar w:fldCharType="end"/>
      </w:r>
      <w:bookmarkEnd w:id="317"/>
      <w:r w:rsidRPr="00CE1D7F">
        <w:tab/>
        <w:t>Annual volume of recycled wastewater injected into Perth’s aquifers</w:t>
      </w:r>
    </w:p>
    <w:tbl>
      <w:tblPr>
        <w:tblStyle w:val="aacTableFigure-Wide"/>
        <w:tblW w:w="6072" w:type="pct"/>
        <w:tblBorders>
          <w:top w:val="single" w:sz="4" w:space="0" w:color="000000"/>
          <w:bottom w:val="single" w:sz="4" w:space="0" w:color="000000"/>
        </w:tblBorders>
        <w:tblLook w:val="04A0" w:firstRow="1" w:lastRow="0" w:firstColumn="1" w:lastColumn="0" w:noHBand="0" w:noVBand="1"/>
      </w:tblPr>
      <w:tblGrid>
        <w:gridCol w:w="9637"/>
      </w:tblGrid>
      <w:tr w:rsidR="002B32A0" w:rsidRPr="00CE1D7F" w14:paraId="583E5EED" w14:textId="77777777" w:rsidTr="000B0AC7">
        <w:tc>
          <w:tcPr>
            <w:tcW w:w="5000" w:type="pct"/>
            <w:shd w:val="clear" w:color="auto" w:fill="auto"/>
          </w:tcPr>
          <w:p w14:paraId="5B11E300" w14:textId="77777777" w:rsidR="002B32A0" w:rsidRPr="00CE1D7F" w:rsidRDefault="002B32A0" w:rsidP="006258ED">
            <w:pPr>
              <w:pStyle w:val="Figure"/>
            </w:pPr>
            <w:bookmarkStart w:id="318" w:name="_Hlk131085333"/>
            <w:r>
              <w:rPr>
                <w:noProof/>
              </w:rPr>
              <w:drawing>
                <wp:inline distT="0" distB="0" distL="0" distR="0" wp14:anchorId="18BC4AE8" wp14:editId="3485C7D7">
                  <wp:extent cx="5998790" cy="2543415"/>
                  <wp:effectExtent l="0" t="0" r="2540" b="0"/>
                  <wp:docPr id="71" name="Picture 71" descr="Annual volume of recycled wastewater injected into Perth’s aquifers, see description in text abov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Annual volume of recycled wastewater injected into Perth’s aquifers, see description in text above figure."/>
                          <pic:cNvPicPr/>
                        </pic:nvPicPr>
                        <pic:blipFill>
                          <a:blip r:embed="rId165"/>
                          <a:stretch>
                            <a:fillRect/>
                          </a:stretch>
                        </pic:blipFill>
                        <pic:spPr>
                          <a:xfrm>
                            <a:off x="0" y="0"/>
                            <a:ext cx="6015839" cy="2550643"/>
                          </a:xfrm>
                          <a:prstGeom prst="rect">
                            <a:avLst/>
                          </a:prstGeom>
                        </pic:spPr>
                      </pic:pic>
                    </a:graphicData>
                  </a:graphic>
                </wp:inline>
              </w:drawing>
            </w:r>
          </w:p>
        </w:tc>
      </w:tr>
    </w:tbl>
    <w:bookmarkEnd w:id="318"/>
    <w:p w14:paraId="2C523054" w14:textId="77777777" w:rsidR="000B0AC7" w:rsidRPr="00CE1D7F" w:rsidRDefault="000B0AC7" w:rsidP="000B0AC7">
      <w:pPr>
        <w:pStyle w:val="Source"/>
        <w:ind w:left="-393" w:hanging="1308"/>
      </w:pPr>
      <w:r w:rsidRPr="00CE1D7F">
        <w:t>Source: ACIL Allen</w:t>
      </w:r>
    </w:p>
    <w:p w14:paraId="6814D44A" w14:textId="77777777" w:rsidR="000B0AC7" w:rsidRPr="00CE1D7F" w:rsidRDefault="000B0AC7" w:rsidP="006258ED">
      <w:pPr>
        <w:pStyle w:val="spacer"/>
      </w:pPr>
    </w:p>
    <w:p w14:paraId="74EC3C59" w14:textId="77777777" w:rsidR="002B32A0" w:rsidRPr="00CE1D7F" w:rsidRDefault="002B32A0" w:rsidP="002B32A0">
      <w:pPr>
        <w:pStyle w:val="BodyText"/>
      </w:pPr>
      <w:r w:rsidRPr="00CE1D7F">
        <w:t>According to the WAWC, the energy needed for the reverse osmosis treatment of wastewater before groundwater replenishment is around a quarter of the amount required to desalinate an equivalent amount of seawater.</w:t>
      </w:r>
      <w:r w:rsidRPr="00CE1D7F">
        <w:rPr>
          <w:rStyle w:val="FootnoteReference"/>
        </w:rPr>
        <w:footnoteReference w:id="139"/>
      </w:r>
      <w:r w:rsidRPr="00CE1D7F">
        <w:t xml:space="preserve"> A 2020 report by the Water Services Association of Australia (WSAA) found that the levelised cost of groundwater replenishment was $2.00 per kilolitre. In contrast, the cost of desalinated water was $2.74 per kilolitre (both figures are in 2019/20 dollars).</w:t>
      </w:r>
      <w:r w:rsidRPr="00CE1D7F">
        <w:rPr>
          <w:rStyle w:val="FootnoteReference"/>
        </w:rPr>
        <w:footnoteReference w:id="140"/>
      </w:r>
      <w:r w:rsidRPr="00CE1D7F">
        <w:t xml:space="preserve"> The difference in cost between these </w:t>
      </w:r>
      <w:r>
        <w:t>2</w:t>
      </w:r>
      <w:r w:rsidRPr="00CE1D7F">
        <w:t xml:space="preserve"> sources of potable water is $0.74 per kilolitre. </w:t>
      </w:r>
    </w:p>
    <w:p w14:paraId="25D40A7C" w14:textId="77777777" w:rsidR="002B32A0" w:rsidRPr="00CE1D7F" w:rsidRDefault="002B32A0" w:rsidP="002B32A0">
      <w:pPr>
        <w:pStyle w:val="BodyText"/>
      </w:pPr>
      <w:r w:rsidRPr="00CE1D7F">
        <w:t>The alternative to extracting groundwater to supply Perth’s water needs would be to obtain the same amount of water from the desalination of seawater. This means that every</w:t>
      </w:r>
      <w:r>
        <w:t> billion</w:t>
      </w:r>
      <w:r w:rsidRPr="00CE1D7F">
        <w:t xml:space="preserve"> litres of additional groundwater that the WAWC is licenced to extract effectively save the Corporation $740,000 (ultimately benefiting water customers). </w:t>
      </w:r>
    </w:p>
    <w:p w14:paraId="52A2FD1B" w14:textId="77777777" w:rsidR="002B32A0" w:rsidRPr="00CE1D7F" w:rsidRDefault="002B32A0" w:rsidP="002B32A0">
      <w:pPr>
        <w:pStyle w:val="Heading3"/>
        <w:pBdr>
          <w:bottom w:val="none" w:sz="0" w:space="0" w:color="auto"/>
        </w:pBdr>
      </w:pPr>
      <w:r w:rsidRPr="00CE1D7F">
        <w:t>Alignment with government strategic priorities</w:t>
      </w:r>
    </w:p>
    <w:p w14:paraId="51D4C847" w14:textId="77777777" w:rsidR="002B32A0" w:rsidRPr="00CE1D7F" w:rsidRDefault="002B32A0" w:rsidP="002B32A0">
      <w:pPr>
        <w:pStyle w:val="BodyText"/>
      </w:pPr>
      <w:r w:rsidRPr="00CE1D7F">
        <w:t xml:space="preserve">The research undertaken by Curtin University aligns with several </w:t>
      </w:r>
      <w:r>
        <w:rPr>
          <w:szCs w:val="24"/>
        </w:rPr>
        <w:t xml:space="preserve">National </w:t>
      </w:r>
      <w:r w:rsidRPr="00CE1D7F">
        <w:t>Science and Research Priorities, namely:</w:t>
      </w:r>
      <w:r w:rsidRPr="00CE1D7F">
        <w:rPr>
          <w:rStyle w:val="FootnoteReference"/>
        </w:rPr>
        <w:footnoteReference w:id="141"/>
      </w:r>
    </w:p>
    <w:p w14:paraId="6B1432F8" w14:textId="77777777" w:rsidR="002B32A0" w:rsidRPr="00CE1D7F" w:rsidRDefault="002B32A0" w:rsidP="00547AC9">
      <w:pPr>
        <w:pStyle w:val="ListBullet"/>
      </w:pPr>
      <w:r w:rsidRPr="00CE1D7F">
        <w:rPr>
          <w:i/>
          <w:iCs/>
        </w:rPr>
        <w:t>Soil and water</w:t>
      </w:r>
      <w:r w:rsidRPr="00CE1D7F">
        <w:t xml:space="preserve"> – the research done by Curtin has clearly increased the resilience and sustainability of Perth’s water supplies.</w:t>
      </w:r>
    </w:p>
    <w:p w14:paraId="00F43282" w14:textId="77777777" w:rsidR="002B32A0" w:rsidRPr="00CE1D7F" w:rsidRDefault="002B32A0" w:rsidP="00547AC9">
      <w:pPr>
        <w:pStyle w:val="ListBullet"/>
      </w:pPr>
      <w:r w:rsidRPr="00CE1D7F">
        <w:rPr>
          <w:i/>
          <w:iCs/>
        </w:rPr>
        <w:t>Energy</w:t>
      </w:r>
      <w:r w:rsidRPr="00CE1D7F">
        <w:t xml:space="preserve"> – by enabling the greater use of groundwater the research has helped the WAWC to reduce the amount of energy it needs to supply Perth’s drinking water.</w:t>
      </w:r>
      <w:r>
        <w:t xml:space="preserve"> </w:t>
      </w:r>
    </w:p>
    <w:p w14:paraId="3342539C" w14:textId="77777777" w:rsidR="002B32A0" w:rsidRPr="00CE1D7F" w:rsidRDefault="002B32A0" w:rsidP="00547AC9">
      <w:pPr>
        <w:pStyle w:val="ListBullet"/>
      </w:pPr>
      <w:r w:rsidRPr="00CE1D7F">
        <w:rPr>
          <w:i/>
          <w:iCs/>
        </w:rPr>
        <w:t>Environmental change</w:t>
      </w:r>
      <w:r w:rsidRPr="00CE1D7F">
        <w:t xml:space="preserve"> – greater energy efficiency of supplying Perth’s water will help the WAWC achieve its target of net zero emissions across all operations by 2035. The recharging of Perth’s aquifers is also helping to protect the flora and fauna that rely on access to the lakes and wetlands supplied by Perth’s superficial aquifers. It has also enhanced Perth’s water security in the face of the impacts of climate change on water supplies.</w:t>
      </w:r>
    </w:p>
    <w:p w14:paraId="128E4BDC" w14:textId="77777777" w:rsidR="002B32A0" w:rsidRPr="00CE1D7F" w:rsidRDefault="002B32A0" w:rsidP="002B32A0">
      <w:pPr>
        <w:pStyle w:val="BodyText"/>
      </w:pPr>
      <w:r w:rsidRPr="00CE1D7F">
        <w:t>The recently released terms of reference for the government’s review of its science priorities identifies 3 priorities that could possibly form part of a refreshed set of priorities:</w:t>
      </w:r>
    </w:p>
    <w:p w14:paraId="78010123" w14:textId="77777777" w:rsidR="002B32A0" w:rsidRPr="00CE1D7F" w:rsidRDefault="002B32A0" w:rsidP="00547AC9">
      <w:pPr>
        <w:pStyle w:val="ListBullet"/>
      </w:pPr>
      <w:r w:rsidRPr="00CE1D7F">
        <w:t>Supporting stronger action on climate change, including investments in renewable energy, reducing emissions and transitioning to a net zero world.</w:t>
      </w:r>
    </w:p>
    <w:p w14:paraId="5995857A" w14:textId="77777777" w:rsidR="002B32A0" w:rsidRPr="00CE1D7F" w:rsidRDefault="002B32A0" w:rsidP="00547AC9">
      <w:pPr>
        <w:pStyle w:val="ListBullet"/>
      </w:pPr>
      <w:r w:rsidRPr="00CE1D7F">
        <w:t>Elevating and investing in First Nations perspectives on science, technology and innovation.</w:t>
      </w:r>
    </w:p>
    <w:p w14:paraId="582E6ED0" w14:textId="77777777" w:rsidR="002B32A0" w:rsidRPr="00CE1D7F" w:rsidRDefault="002B32A0" w:rsidP="00547AC9">
      <w:pPr>
        <w:pStyle w:val="ListBullet"/>
      </w:pPr>
      <w:r w:rsidRPr="00CE1D7F">
        <w:t>Harnessing the potential of emerging technologies and scientific research in pursuit of not only economic growth but improved Australian wellbeing.</w:t>
      </w:r>
      <w:r w:rsidRPr="00CE1D7F">
        <w:rPr>
          <w:rStyle w:val="FootnoteReference"/>
        </w:rPr>
        <w:footnoteReference w:id="142"/>
      </w:r>
    </w:p>
    <w:p w14:paraId="085E0512" w14:textId="77777777" w:rsidR="002B32A0" w:rsidRPr="00CE1D7F" w:rsidRDefault="002B32A0" w:rsidP="002B32A0">
      <w:pPr>
        <w:pStyle w:val="BodyText"/>
      </w:pPr>
      <w:r w:rsidRPr="00CE1D7F">
        <w:t>The government has also said that when finalising the revised priorities, it will consider how they:</w:t>
      </w:r>
      <w:r>
        <w:rPr>
          <w:rStyle w:val="FootnoteReference"/>
        </w:rPr>
        <w:footnoteReference w:id="143"/>
      </w:r>
    </w:p>
    <w:p w14:paraId="19F53F69" w14:textId="77777777" w:rsidR="002B32A0" w:rsidRPr="00CE1D7F" w:rsidRDefault="002B32A0" w:rsidP="00547AC9">
      <w:pPr>
        <w:pStyle w:val="ListBullet"/>
      </w:pPr>
      <w:r w:rsidRPr="00CE1D7F">
        <w:t>Reflect the key challenges and opportunities facing Australia</w:t>
      </w:r>
    </w:p>
    <w:p w14:paraId="708E57A3" w14:textId="77777777" w:rsidR="002B32A0" w:rsidRPr="00CE1D7F" w:rsidRDefault="002B32A0" w:rsidP="00547AC9">
      <w:pPr>
        <w:pStyle w:val="ListBullet"/>
      </w:pPr>
      <w:r w:rsidRPr="00CE1D7F">
        <w:t>Align with government priorities, such as the National Reconstruction Fund</w:t>
      </w:r>
    </w:p>
    <w:p w14:paraId="1FC506C5" w14:textId="77777777" w:rsidR="002B32A0" w:rsidRPr="00CE1D7F" w:rsidRDefault="002B32A0" w:rsidP="00547AC9">
      <w:pPr>
        <w:pStyle w:val="ListBullet"/>
      </w:pPr>
      <w:r w:rsidRPr="00CE1D7F">
        <w:t>Reflect Australia’s competitive and comparative advantages</w:t>
      </w:r>
    </w:p>
    <w:p w14:paraId="64A18576" w14:textId="77777777" w:rsidR="002B32A0" w:rsidRPr="00CE1D7F" w:rsidRDefault="002B32A0" w:rsidP="00547AC9">
      <w:pPr>
        <w:pStyle w:val="ListBullet"/>
      </w:pPr>
      <w:r w:rsidRPr="00CE1D7F">
        <w:t>Inform and align government decision making and investment into the future</w:t>
      </w:r>
    </w:p>
    <w:p w14:paraId="2389EE2A" w14:textId="77777777" w:rsidR="002B32A0" w:rsidRPr="00CE1D7F" w:rsidRDefault="002B32A0" w:rsidP="00547AC9">
      <w:pPr>
        <w:pStyle w:val="ListBullet"/>
      </w:pPr>
      <w:r w:rsidRPr="00CE1D7F">
        <w:t>Provide greater certainty and focus for investment, including by industry</w:t>
      </w:r>
    </w:p>
    <w:p w14:paraId="7D82831E" w14:textId="77777777" w:rsidR="002B32A0" w:rsidRPr="00CE1D7F" w:rsidRDefault="002B32A0" w:rsidP="00547AC9">
      <w:pPr>
        <w:pStyle w:val="ListBullet"/>
      </w:pPr>
      <w:r w:rsidRPr="00CE1D7F">
        <w:t>Be reviewed and updated to ensure they remain contemporary and responsive to Australia’s needs.</w:t>
      </w:r>
    </w:p>
    <w:p w14:paraId="12ED0924" w14:textId="77777777" w:rsidR="002B32A0" w:rsidRPr="00CE1D7F" w:rsidRDefault="002B32A0" w:rsidP="00547AC9">
      <w:pPr>
        <w:pStyle w:val="Heading2"/>
      </w:pPr>
      <w:bookmarkStart w:id="319" w:name="_Toc131174650"/>
      <w:bookmarkStart w:id="320" w:name="_Toc132970681"/>
      <w:bookmarkStart w:id="321" w:name="_Toc135323720"/>
      <w:r w:rsidRPr="00CE1D7F">
        <w:t>Impacts</w:t>
      </w:r>
      <w:bookmarkEnd w:id="319"/>
      <w:bookmarkEnd w:id="320"/>
      <w:bookmarkEnd w:id="321"/>
    </w:p>
    <w:p w14:paraId="2A846BA4" w14:textId="77777777" w:rsidR="002B32A0" w:rsidRPr="00CE1D7F" w:rsidRDefault="002B32A0" w:rsidP="00547AC9">
      <w:pPr>
        <w:pStyle w:val="Heading3"/>
      </w:pPr>
      <w:r w:rsidRPr="00CE1D7F">
        <w:t xml:space="preserve">Economic impacts </w:t>
      </w:r>
    </w:p>
    <w:p w14:paraId="352249F2" w14:textId="77777777" w:rsidR="002B32A0" w:rsidRPr="00CE1D7F" w:rsidRDefault="002B32A0" w:rsidP="002B32A0">
      <w:pPr>
        <w:pStyle w:val="Heading4"/>
      </w:pPr>
      <w:r w:rsidRPr="00CE1D7F">
        <w:t>Counterfactual</w:t>
      </w:r>
    </w:p>
    <w:p w14:paraId="7F7B9ACF" w14:textId="77777777" w:rsidR="002B32A0" w:rsidRPr="00CE1D7F" w:rsidRDefault="002B32A0" w:rsidP="002B32A0">
      <w:pPr>
        <w:pStyle w:val="BodyText"/>
      </w:pPr>
      <w:r w:rsidRPr="00CE1D7F">
        <w:t xml:space="preserve">Without the </w:t>
      </w:r>
      <w:r>
        <w:t>ARC-funded</w:t>
      </w:r>
      <w:r w:rsidRPr="00CE1D7F">
        <w:t xml:space="preserve"> research, WAWC would most likely have developed additional desalination facilities/capacity in order to meet Perth’s growing demand for drinking water. </w:t>
      </w:r>
    </w:p>
    <w:p w14:paraId="43EEE57E" w14:textId="77777777" w:rsidR="002B32A0" w:rsidRPr="00CE1D7F" w:rsidRDefault="002B32A0" w:rsidP="002B32A0">
      <w:pPr>
        <w:pStyle w:val="BodyText"/>
      </w:pPr>
      <w:r w:rsidRPr="00CE1D7F">
        <w:t xml:space="preserve">As far back as the early 2000s the WAWC had begun to look at the potential for using treated wastewater to recharge Perth’s aquifers. The WAWC was aware that this technology had been used in a small number of locations around the world, but not, at that stage, in Australia. However, there was at the time some opposition from both the local population and environmental groups to groundwater recharge and the decision was taken to instead build a desalination plant. </w:t>
      </w:r>
    </w:p>
    <w:p w14:paraId="3EE6FB00" w14:textId="77777777" w:rsidR="002B32A0" w:rsidRPr="00CE1D7F" w:rsidRDefault="002B32A0" w:rsidP="002B32A0">
      <w:pPr>
        <w:pStyle w:val="BodyText"/>
      </w:pPr>
      <w:r w:rsidRPr="00CE1D7F">
        <w:t>The ARC-funded research projects were a key element of the effort to deliver the science that could help build public support for the wastewater reinjection scheme. ACIL Allen’s discussions with stakeholders suggest that if the research had not been able to demonstrate the safety of the process, then public opposition would likely have remained high, and the relevant government departments would not have been satisfied that the process would meet environmental and health requirements. Based on discussions with stakeholders, ACIL Allen believes that there is a strong chance that the WAWC may have focussed much more on desalination without the ARC-supported research projects. Although WAWC would still have pursued options for aquifer recharge in order to diversify drinking water sources, it is likely that the research would have taken a longer time and therefore benefits from aquifer recharge would have been delayed.</w:t>
      </w:r>
    </w:p>
    <w:p w14:paraId="3E37FBE0" w14:textId="77777777" w:rsidR="002B32A0" w:rsidRPr="00CE1D7F" w:rsidRDefault="002B32A0" w:rsidP="002B32A0">
      <w:pPr>
        <w:pStyle w:val="BodyText"/>
      </w:pPr>
      <w:r w:rsidRPr="00CE1D7F">
        <w:t>For the purposes of our analysis, we have adopted the assumption that without the research funded by the ARC the WAWC would have persisted in studying the groundwater injection option, but the commencement of aquifer recharge would have been delayed by 10 years. This assumption has been tested below.</w:t>
      </w:r>
    </w:p>
    <w:p w14:paraId="04C6A828" w14:textId="77777777" w:rsidR="002B32A0" w:rsidRPr="00CE1D7F" w:rsidRDefault="002B32A0" w:rsidP="002B32A0">
      <w:pPr>
        <w:pStyle w:val="Heading4"/>
      </w:pPr>
      <w:r w:rsidRPr="00CE1D7F">
        <w:t>Attribution</w:t>
      </w:r>
    </w:p>
    <w:p w14:paraId="542DA999" w14:textId="77777777" w:rsidR="002B32A0" w:rsidRPr="00CE1D7F" w:rsidRDefault="002B32A0" w:rsidP="002B32A0">
      <w:pPr>
        <w:pStyle w:val="BodyText"/>
      </w:pPr>
      <w:r w:rsidRPr="00CE1D7F">
        <w:t>The attribution describes the percentage of benefits that can be reasonably attributed to the ARC due to their role in the funding of the research.</w:t>
      </w:r>
    </w:p>
    <w:p w14:paraId="76D02CB8" w14:textId="77777777" w:rsidR="002B32A0" w:rsidRPr="00CE1D7F" w:rsidRDefault="002B32A0" w:rsidP="002B32A0">
      <w:pPr>
        <w:pStyle w:val="BodyText"/>
      </w:pPr>
      <w:r w:rsidRPr="00CE1D7F">
        <w:t>Based on our discussions with stakeholders, ACIL Allen believes that it would be appropriate to attribute 40% of the benefits delivered by the aquifer recharge project to the ARC’s funding of Curtin’s water quality research. This is based on 2 discussions with WAWC personnel, one cited an attribution of 30-50%, and another cited 40% attribution. Therefore a sensitivity test at 30% and 50% attribution has also been conducted below.</w:t>
      </w:r>
    </w:p>
    <w:p w14:paraId="2B507C64" w14:textId="77777777" w:rsidR="002B32A0" w:rsidRPr="00CE1D7F" w:rsidRDefault="002B32A0" w:rsidP="002B32A0">
      <w:pPr>
        <w:pStyle w:val="Heading4"/>
      </w:pPr>
      <w:r w:rsidRPr="00CE1D7F">
        <w:t>Methodology and key assumptions</w:t>
      </w:r>
    </w:p>
    <w:p w14:paraId="49C0D162" w14:textId="6C1022BE" w:rsidR="002B32A0" w:rsidRPr="00CE1D7F" w:rsidRDefault="002B32A0" w:rsidP="002B32A0">
      <w:pPr>
        <w:pStyle w:val="BodyText"/>
      </w:pPr>
      <w:r w:rsidRPr="00CE1D7F">
        <w:t xml:space="preserve">The cost-benefit analysis (CBA) estimates the identified costs and benefits relating to the ARC’s funding of research that ultimately led to the construction and operation of WA groundwater recharge processes developed. The CBA compares the total costs of the LIEF grant and Linkage grants (see </w:t>
      </w:r>
      <w:r>
        <w:t>Section </w:t>
      </w:r>
      <w:r w:rsidRPr="00F87D0E">
        <w:fldChar w:fldCharType="begin"/>
      </w:r>
      <w:r w:rsidRPr="00F87D0E">
        <w:instrText xml:space="preserve"> REF _Ref127971740 \n \h  \* MERGEFORMAT </w:instrText>
      </w:r>
      <w:r w:rsidRPr="00F87D0E">
        <w:fldChar w:fldCharType="separate"/>
      </w:r>
      <w:r w:rsidR="000B0AC7">
        <w:t>8.4</w:t>
      </w:r>
      <w:r w:rsidRPr="00F87D0E">
        <w:fldChar w:fldCharType="end"/>
      </w:r>
      <w:r w:rsidRPr="00CE1D7F">
        <w:t>) to the estimated avoided costs by the program to recharge Perth aquifers with treated wastewater rather than installing additional desalination capacity.</w:t>
      </w:r>
    </w:p>
    <w:p w14:paraId="052D7A44" w14:textId="77777777" w:rsidR="002B32A0" w:rsidRPr="00CE1D7F" w:rsidRDefault="002B32A0" w:rsidP="002B32A0">
      <w:pPr>
        <w:pStyle w:val="BodyText"/>
      </w:pPr>
      <w:r w:rsidRPr="00CE1D7F">
        <w:t>The following assumptions underpin the CBA:</w:t>
      </w:r>
    </w:p>
    <w:p w14:paraId="3CB83821" w14:textId="77777777" w:rsidR="002B32A0" w:rsidRPr="00CE1D7F" w:rsidRDefault="002B32A0" w:rsidP="00547AC9">
      <w:pPr>
        <w:pStyle w:val="ListBullet"/>
      </w:pPr>
      <w:r w:rsidRPr="00CE1D7F">
        <w:t>A discount rate of 7% was used in the central case. Discount rates of 3% and 10% were used for lower- and upper-bound sensitivity testing.</w:t>
      </w:r>
    </w:p>
    <w:p w14:paraId="024E1106" w14:textId="77777777" w:rsidR="002B32A0" w:rsidRPr="00CE1D7F" w:rsidRDefault="002B32A0" w:rsidP="00547AC9">
      <w:pPr>
        <w:pStyle w:val="ListBullet"/>
      </w:pPr>
      <w:r w:rsidRPr="00CE1D7F">
        <w:t>The difference in levelised cost of water using reinjection vs desalination is $0.74/KL</w:t>
      </w:r>
      <w:r w:rsidRPr="00CE1D7F">
        <w:rPr>
          <w:rStyle w:val="FootnoteReference"/>
        </w:rPr>
        <w:footnoteReference w:id="144"/>
      </w:r>
    </w:p>
    <w:p w14:paraId="07EFCE27" w14:textId="294BFE50" w:rsidR="002B32A0" w:rsidRPr="00CE1D7F" w:rsidRDefault="002B32A0" w:rsidP="00547AC9">
      <w:pPr>
        <w:pStyle w:val="ListBullet"/>
      </w:pPr>
      <w:r w:rsidRPr="00CE1D7F">
        <w:t xml:space="preserve">The amount of water reinjected between 2016 and 2032 is shown in </w:t>
      </w:r>
      <w:r w:rsidRPr="00F87D0E">
        <w:fldChar w:fldCharType="begin"/>
      </w:r>
      <w:r w:rsidRPr="00F87D0E">
        <w:instrText xml:space="preserve"> REF _Ref129335399 \h  \* MERGEFORMAT </w:instrText>
      </w:r>
      <w:r w:rsidRPr="00F87D0E">
        <w:fldChar w:fldCharType="separate"/>
      </w:r>
      <w:r w:rsidR="000B0AC7" w:rsidRPr="000B0AC7">
        <w:t>Figure 8.4</w:t>
      </w:r>
      <w:r w:rsidRPr="00F87D0E">
        <w:fldChar w:fldCharType="end"/>
      </w:r>
      <w:r w:rsidRPr="00CE1D7F">
        <w:t>. This was 280</w:t>
      </w:r>
      <w:r>
        <w:t> gigalitres</w:t>
      </w:r>
      <w:r w:rsidRPr="00CE1D7F">
        <w:t xml:space="preserve"> (GL) in total.</w:t>
      </w:r>
    </w:p>
    <w:p w14:paraId="15C45FC7" w14:textId="77777777" w:rsidR="002B32A0" w:rsidRPr="00CE1D7F" w:rsidRDefault="002B32A0" w:rsidP="00547AC9">
      <w:pPr>
        <w:pStyle w:val="ListBullet"/>
      </w:pPr>
      <w:r w:rsidRPr="00CE1D7F">
        <w:t>The ARC-funded research has brought benefits forward by 10 years. In the absence of the ARC-funded research, we have assumed that WAWC would have continued to investigate the feasibility of groundwater recharge and that they would have begun to reinject treated wastewater after a delay of 10 years under the counterfactual case. Since benefits begin to flow in 2016 under the reference case, benefits will begin to decrease from 2026 in the CBA. By 2033, benefits counted in the CBA will be zero.</w:t>
      </w:r>
    </w:p>
    <w:p w14:paraId="299B02D7" w14:textId="77777777" w:rsidR="002B32A0" w:rsidRPr="00CE1D7F" w:rsidRDefault="002B32A0" w:rsidP="00547AC9">
      <w:pPr>
        <w:pStyle w:val="ListBullet"/>
      </w:pPr>
      <w:r w:rsidRPr="00CE1D7F">
        <w:t>The analysis period is from 2006 (the start of ARC funding) to 2040 (i.e. a 35-year analysis period).</w:t>
      </w:r>
    </w:p>
    <w:p w14:paraId="3AC8CD7B" w14:textId="77777777" w:rsidR="002B32A0" w:rsidRPr="00CE1D7F" w:rsidRDefault="002B32A0" w:rsidP="002B32A0">
      <w:pPr>
        <w:pStyle w:val="Heading4"/>
      </w:pPr>
      <w:r w:rsidRPr="00CE1D7F">
        <w:t>Costs</w:t>
      </w:r>
    </w:p>
    <w:p w14:paraId="447FC1EF" w14:textId="26F3D799" w:rsidR="002B32A0" w:rsidRPr="00CE1D7F" w:rsidRDefault="002B32A0" w:rsidP="002B32A0">
      <w:pPr>
        <w:pStyle w:val="BodyText"/>
      </w:pPr>
      <w:r w:rsidRPr="00CE1D7F">
        <w:t xml:space="preserve">The nominal costs included in the CBA are the cash and in-kind contribution of the LIEF grant and Linkage grants (see </w:t>
      </w:r>
      <w:r>
        <w:t>Section </w:t>
      </w:r>
      <w:r w:rsidRPr="00F87D0E">
        <w:fldChar w:fldCharType="begin"/>
      </w:r>
      <w:r w:rsidRPr="00F87D0E">
        <w:instrText xml:space="preserve"> REF _Ref127971740 \n \h  \* MERGEFORMAT </w:instrText>
      </w:r>
      <w:r w:rsidRPr="00F87D0E">
        <w:fldChar w:fldCharType="separate"/>
      </w:r>
      <w:r w:rsidR="000B0AC7">
        <w:t>8.4</w:t>
      </w:r>
      <w:r w:rsidRPr="00F87D0E">
        <w:fldChar w:fldCharType="end"/>
      </w:r>
      <w:r w:rsidRPr="00CE1D7F">
        <w:t xml:space="preserve">). These nominal costs are adjusted for inflation using the Consumer Price Index by year, producing real costs. </w:t>
      </w:r>
    </w:p>
    <w:p w14:paraId="743FD2AD" w14:textId="77777777" w:rsidR="002B32A0" w:rsidRPr="00CE1D7F" w:rsidRDefault="002B32A0" w:rsidP="002B32A0">
      <w:pPr>
        <w:pStyle w:val="Heading4"/>
      </w:pPr>
      <w:r w:rsidRPr="00CE1D7F">
        <w:t>Benefits</w:t>
      </w:r>
    </w:p>
    <w:p w14:paraId="4F82236B" w14:textId="77777777" w:rsidR="002B32A0" w:rsidRPr="00CE1D7F" w:rsidRDefault="002B32A0" w:rsidP="002B32A0">
      <w:pPr>
        <w:pStyle w:val="BodyText"/>
      </w:pPr>
      <w:r w:rsidRPr="00CE1D7F">
        <w:t xml:space="preserve">The benefits are the costs avoided by WAWC that would have been associated with utilising desalination rather than groundwater recharge. </w:t>
      </w:r>
    </w:p>
    <w:p w14:paraId="4E95A15A" w14:textId="77777777" w:rsidR="002B32A0" w:rsidRPr="00CE1D7F" w:rsidRDefault="002B32A0" w:rsidP="002B32A0">
      <w:pPr>
        <w:pStyle w:val="BodyText"/>
      </w:pPr>
      <w:r w:rsidRPr="00CE1D7F">
        <w:t>The nominal benefits by year are calculated by taking the amount of water processed using aquifer recharge in GL, multiplied by the costs avoided per GL for using aquifer recharge as opposed to desalination, adjusted for the attribution to the ARC-funded research:</w:t>
      </w:r>
    </w:p>
    <w:p w14:paraId="5D5BDF99" w14:textId="77777777" w:rsidR="002B32A0" w:rsidRPr="00CE1D7F" w:rsidRDefault="002B32A0" w:rsidP="002B32A0">
      <w:pPr>
        <w:pStyle w:val="BodyText"/>
        <w:rPr>
          <w:rFonts w:eastAsiaTheme="minorEastAsia"/>
        </w:rPr>
      </w:pPr>
      <m:oMathPara>
        <m:oMath>
          <m:r>
            <w:rPr>
              <w:rFonts w:ascii="Cambria Math" w:hAnsi="Cambria Math"/>
            </w:rPr>
            <m:t xml:space="preserve">Aquifer rechage </m:t>
          </m:r>
          <m:d>
            <m:dPr>
              <m:ctrlPr>
                <w:rPr>
                  <w:rFonts w:ascii="Cambria Math" w:hAnsi="Cambria Math"/>
                  <w:i/>
                </w:rPr>
              </m:ctrlPr>
            </m:dPr>
            <m:e>
              <m:r>
                <w:rPr>
                  <w:rFonts w:ascii="Cambria Math" w:hAnsi="Cambria Math"/>
                </w:rPr>
                <m:t>GL</m:t>
              </m:r>
            </m:e>
          </m:d>
          <m:r>
            <w:rPr>
              <w:rFonts w:ascii="Cambria Math" w:hAnsi="Cambria Math"/>
            </w:rPr>
            <m:t xml:space="preserve">×costs avoided </m:t>
          </m:r>
          <m:d>
            <m:dPr>
              <m:ctrlPr>
                <w:rPr>
                  <w:rFonts w:ascii="Cambria Math" w:hAnsi="Cambria Math"/>
                  <w:i/>
                </w:rPr>
              </m:ctrlPr>
            </m:dPr>
            <m:e>
              <m:r>
                <w:rPr>
                  <w:rFonts w:ascii="Cambria Math" w:hAnsi="Cambria Math"/>
                </w:rPr>
                <m:t>$/GL</m:t>
              </m:r>
            </m:e>
          </m:d>
          <m:r>
            <w:rPr>
              <w:rFonts w:ascii="Cambria Math" w:hAnsi="Cambria Math"/>
            </w:rPr>
            <m:t>×attribution to ARC funded research</m:t>
          </m:r>
          <m:d>
            <m:dPr>
              <m:ctrlPr>
                <w:rPr>
                  <w:rFonts w:ascii="Cambria Math" w:hAnsi="Cambria Math"/>
                  <w:i/>
                </w:rPr>
              </m:ctrlPr>
            </m:dPr>
            <m:e>
              <m:r>
                <w:rPr>
                  <w:rFonts w:ascii="Cambria Math" w:hAnsi="Cambria Math"/>
                </w:rPr>
                <m:t>%</m:t>
              </m:r>
            </m:e>
          </m:d>
          <m:r>
            <w:rPr>
              <w:rFonts w:ascii="Cambria Math" w:hAnsi="Cambria Math"/>
            </w:rPr>
            <m:t>=Nominal benefit ($)</m:t>
          </m:r>
          <m:r>
            <w:rPr>
              <w:rStyle w:val="FootnoteReference"/>
              <w:rFonts w:ascii="Cambria Math" w:hAnsi="Cambria Math"/>
              <w:i/>
            </w:rPr>
            <w:footnoteReference w:id="145"/>
          </m:r>
        </m:oMath>
      </m:oMathPara>
    </w:p>
    <w:p w14:paraId="289DCB9F" w14:textId="77777777" w:rsidR="002B32A0" w:rsidRPr="00CE1D7F" w:rsidRDefault="002B32A0" w:rsidP="002B32A0">
      <w:pPr>
        <w:pStyle w:val="BodyText"/>
      </w:pPr>
      <w:r w:rsidRPr="00CE1D7F">
        <w:t>These nominal benefits are adjusted for inflation using the Consumer Price Index by year, which produces the real benefits.</w:t>
      </w:r>
      <w:r>
        <w:t xml:space="preserve"> </w:t>
      </w:r>
    </w:p>
    <w:p w14:paraId="489960D6" w14:textId="77777777" w:rsidR="002B32A0" w:rsidRPr="00CE1D7F" w:rsidRDefault="002B32A0" w:rsidP="002B32A0">
      <w:pPr>
        <w:pStyle w:val="Heading4"/>
      </w:pPr>
      <w:r w:rsidRPr="00CE1D7F">
        <w:t>Calculation of NPV and BCR</w:t>
      </w:r>
    </w:p>
    <w:p w14:paraId="3F24D5EC" w14:textId="46EBA0EE" w:rsidR="002B32A0" w:rsidRPr="00CE1D7F" w:rsidRDefault="002B32A0" w:rsidP="002B32A0">
      <w:pPr>
        <w:pStyle w:val="BodyText"/>
      </w:pPr>
      <w:r w:rsidRPr="00CE1D7F">
        <w:t xml:space="preserve">The estimated benefits and costs are provided in </w:t>
      </w:r>
      <w:r w:rsidRPr="00F87D0E">
        <w:fldChar w:fldCharType="begin"/>
      </w:r>
      <w:r w:rsidRPr="00F87D0E">
        <w:instrText xml:space="preserve"> REF _Ref129337389 \h  \* MERGEFORMAT </w:instrText>
      </w:r>
      <w:r w:rsidRPr="00F87D0E">
        <w:fldChar w:fldCharType="separate"/>
      </w:r>
      <w:r w:rsidR="000B0AC7" w:rsidRPr="000B0AC7">
        <w:t>Table 8.2</w:t>
      </w:r>
      <w:r w:rsidRPr="00F87D0E">
        <w:fldChar w:fldCharType="end"/>
      </w:r>
      <w:r w:rsidRPr="00CE1D7F">
        <w:t xml:space="preserve"> for discount rates of 3, 7 and 10%. </w:t>
      </w:r>
    </w:p>
    <w:p w14:paraId="032F92F5" w14:textId="77777777" w:rsidR="002B32A0" w:rsidRPr="00CE1D7F" w:rsidRDefault="002B32A0" w:rsidP="002B32A0">
      <w:pPr>
        <w:pStyle w:val="BodyText"/>
      </w:pPr>
      <w:r w:rsidRPr="00CE1D7F">
        <w:t>The benefit-cost ratio (BCR), obtained by dividing the present value of benefits by the present value of costs is 5.76 (using a 7% real discount rate). The present value of costs is $13.6</w:t>
      </w:r>
      <w:r>
        <w:t> million</w:t>
      </w:r>
      <w:r w:rsidRPr="00CE1D7F">
        <w:t>, the benefits are estimated at $78.1</w:t>
      </w:r>
      <w:r>
        <w:t> million</w:t>
      </w:r>
      <w:r w:rsidRPr="00CE1D7F">
        <w:t xml:space="preserve">, resulting in an estimated </w:t>
      </w:r>
      <w:r>
        <w:t>NPV</w:t>
      </w:r>
      <w:r w:rsidRPr="00CE1D7F">
        <w:t xml:space="preserve"> of $64.5</w:t>
      </w:r>
      <w:r>
        <w:t> million</w:t>
      </w:r>
      <w:r w:rsidRPr="00CE1D7F">
        <w:t>.</w:t>
      </w:r>
    </w:p>
    <w:p w14:paraId="53257AC6" w14:textId="593C8764" w:rsidR="002B32A0" w:rsidRPr="00CE1D7F" w:rsidRDefault="002B32A0" w:rsidP="000B0AC7">
      <w:pPr>
        <w:pStyle w:val="BodyText"/>
        <w:ind w:left="1274" w:hanging="1308"/>
      </w:pPr>
      <w:bookmarkStart w:id="322" w:name="_Ref129337389"/>
      <w:r w:rsidRPr="00CE1D7F">
        <w:rPr>
          <w:rStyle w:val="CaptionLabel"/>
        </w:rPr>
        <w:t>Table </w:t>
      </w:r>
      <w:r w:rsidRPr="00CE1D7F">
        <w:rPr>
          <w:rStyle w:val="CaptionLabel"/>
        </w:rPr>
        <w:fldChar w:fldCharType="begin"/>
      </w:r>
      <w:r w:rsidRPr="00CE1D7F">
        <w:rPr>
          <w:rStyle w:val="CaptionLabel"/>
        </w:rPr>
        <w:instrText xml:space="preserve"> STYLEREF 1 \S \* MERGEFORMAT </w:instrText>
      </w:r>
      <w:r w:rsidRPr="00CE1D7F">
        <w:rPr>
          <w:rStyle w:val="CaptionLabel"/>
        </w:rPr>
        <w:fldChar w:fldCharType="separate"/>
      </w:r>
      <w:r w:rsidR="000B0AC7">
        <w:rPr>
          <w:rStyle w:val="CaptionLabel"/>
          <w:noProof/>
        </w:rPr>
        <w:t>8</w:t>
      </w:r>
      <w:r w:rsidRPr="00CE1D7F">
        <w:rPr>
          <w:rStyle w:val="CaptionLabel"/>
        </w:rPr>
        <w:fldChar w:fldCharType="end"/>
      </w:r>
      <w:r w:rsidRPr="00CE1D7F">
        <w:rPr>
          <w:rStyle w:val="CaptionLabel"/>
        </w:rPr>
        <w:t>.</w:t>
      </w:r>
      <w:r w:rsidRPr="00CE1D7F">
        <w:rPr>
          <w:rStyle w:val="CaptionLabel"/>
        </w:rPr>
        <w:fldChar w:fldCharType="begin"/>
      </w:r>
      <w:r w:rsidRPr="00CE1D7F">
        <w:rPr>
          <w:rStyle w:val="CaptionLabel"/>
        </w:rPr>
        <w:instrText xml:space="preserve"> SEQ Table \* ARABIC \S 1 \* MERGEFORMAT </w:instrText>
      </w:r>
      <w:r w:rsidRPr="00CE1D7F">
        <w:rPr>
          <w:rStyle w:val="CaptionLabel"/>
        </w:rPr>
        <w:fldChar w:fldCharType="separate"/>
      </w:r>
      <w:r w:rsidR="000B0AC7">
        <w:rPr>
          <w:rStyle w:val="CaptionLabel"/>
          <w:noProof/>
        </w:rPr>
        <w:t>2</w:t>
      </w:r>
      <w:r w:rsidRPr="00CE1D7F">
        <w:rPr>
          <w:rStyle w:val="CaptionLabel"/>
        </w:rPr>
        <w:fldChar w:fldCharType="end"/>
      </w:r>
      <w:bookmarkEnd w:id="322"/>
      <w:r w:rsidRPr="00CE1D7F">
        <w:tab/>
        <w:t>Summary of benefits and costs (2022$)</w:t>
      </w:r>
    </w:p>
    <w:tbl>
      <w:tblPr>
        <w:tblStyle w:val="aacTableBasic"/>
        <w:tblW w:w="7970" w:type="dxa"/>
        <w:tblInd w:w="-34" w:type="dxa"/>
        <w:tblLayout w:type="fixed"/>
        <w:tblLook w:val="04A0" w:firstRow="1" w:lastRow="0" w:firstColumn="1" w:lastColumn="0" w:noHBand="0" w:noVBand="1"/>
        <w:tblCaption w:val="Table 8.2"/>
        <w:tblDescription w:val="Summary of benefits and costs (2022$)"/>
      </w:tblPr>
      <w:tblGrid>
        <w:gridCol w:w="2499"/>
        <w:gridCol w:w="1978"/>
        <w:gridCol w:w="1746"/>
        <w:gridCol w:w="1747"/>
      </w:tblGrid>
      <w:tr w:rsidR="002B32A0" w:rsidRPr="00CE1D7F" w14:paraId="753F4143" w14:textId="77777777" w:rsidTr="000B0AC7">
        <w:trPr>
          <w:cnfStyle w:val="100000000000" w:firstRow="1" w:lastRow="0" w:firstColumn="0" w:lastColumn="0" w:oddVBand="0" w:evenVBand="0" w:oddHBand="0" w:evenHBand="0" w:firstRowFirstColumn="0" w:firstRowLastColumn="0" w:lastRowFirstColumn="0" w:lastRowLastColumn="0"/>
          <w:trHeight w:val="277"/>
        </w:trPr>
        <w:tc>
          <w:tcPr>
            <w:tcW w:w="2499" w:type="dxa"/>
            <w:tcBorders>
              <w:top w:val="nil"/>
            </w:tcBorders>
            <w:shd w:val="solid" w:color="140034" w:fill="140034"/>
            <w:tcMar>
              <w:left w:w="80" w:type="dxa"/>
            </w:tcMar>
          </w:tcPr>
          <w:p w14:paraId="5FE3D97E" w14:textId="77777777" w:rsidR="002B32A0" w:rsidRPr="00CE1D7F" w:rsidRDefault="002B32A0" w:rsidP="006258ED">
            <w:pPr>
              <w:pStyle w:val="Tablecolumnheadings"/>
              <w:keepLines/>
            </w:pPr>
          </w:p>
        </w:tc>
        <w:tc>
          <w:tcPr>
            <w:tcW w:w="1978" w:type="dxa"/>
            <w:tcBorders>
              <w:top w:val="nil"/>
            </w:tcBorders>
            <w:shd w:val="solid" w:color="140034" w:fill="140034"/>
          </w:tcPr>
          <w:p w14:paraId="431BA644" w14:textId="77777777" w:rsidR="002B32A0" w:rsidRPr="00CE1D7F" w:rsidRDefault="002B32A0" w:rsidP="006258ED">
            <w:pPr>
              <w:pStyle w:val="Tablecolumnheadings"/>
              <w:keepLines/>
              <w:jc w:val="center"/>
            </w:pPr>
            <w:r w:rsidRPr="00CE1D7F">
              <w:t>Discount rate 3%</w:t>
            </w:r>
          </w:p>
        </w:tc>
        <w:tc>
          <w:tcPr>
            <w:tcW w:w="1746" w:type="dxa"/>
            <w:tcBorders>
              <w:top w:val="nil"/>
            </w:tcBorders>
            <w:shd w:val="solid" w:color="140034" w:fill="140034"/>
          </w:tcPr>
          <w:p w14:paraId="16C66356" w14:textId="77777777" w:rsidR="002B32A0" w:rsidRPr="00CE1D7F" w:rsidRDefault="002B32A0" w:rsidP="006258ED">
            <w:pPr>
              <w:pStyle w:val="Tablecolumnheadings"/>
              <w:keepLines/>
              <w:jc w:val="center"/>
            </w:pPr>
            <w:r w:rsidRPr="00CE1D7F">
              <w:t>Discount rate 7%</w:t>
            </w:r>
          </w:p>
        </w:tc>
        <w:tc>
          <w:tcPr>
            <w:tcW w:w="1747" w:type="dxa"/>
            <w:tcBorders>
              <w:top w:val="nil"/>
            </w:tcBorders>
            <w:shd w:val="solid" w:color="140034" w:fill="140034"/>
          </w:tcPr>
          <w:p w14:paraId="53DD8B8B" w14:textId="77777777" w:rsidR="002B32A0" w:rsidRPr="00CE1D7F" w:rsidRDefault="002B32A0" w:rsidP="006258ED">
            <w:pPr>
              <w:pStyle w:val="Tablecolumnheadings"/>
              <w:keepLines/>
              <w:jc w:val="center"/>
            </w:pPr>
            <w:r w:rsidRPr="00CE1D7F">
              <w:t>Discount rate 10%</w:t>
            </w:r>
          </w:p>
        </w:tc>
      </w:tr>
      <w:tr w:rsidR="002B32A0" w:rsidRPr="00CE1D7F" w14:paraId="2ED99ABD" w14:textId="77777777" w:rsidTr="000B0AC7">
        <w:trPr>
          <w:trHeight w:val="260"/>
        </w:trPr>
        <w:tc>
          <w:tcPr>
            <w:tcW w:w="2499" w:type="dxa"/>
            <w:tcMar>
              <w:left w:w="80" w:type="dxa"/>
            </w:tcMar>
          </w:tcPr>
          <w:p w14:paraId="16B7AB84" w14:textId="77777777" w:rsidR="002B32A0" w:rsidRPr="00CE1D7F" w:rsidRDefault="002B32A0" w:rsidP="006258ED">
            <w:pPr>
              <w:pStyle w:val="Tableunitsrow"/>
              <w:keepNext/>
              <w:keepLines/>
              <w:rPr>
                <w:b/>
                <w:bCs/>
              </w:rPr>
            </w:pPr>
            <w:r w:rsidRPr="00CE1D7F">
              <w:rPr>
                <w:b/>
                <w:bCs/>
              </w:rPr>
              <w:t>Present value costs</w:t>
            </w:r>
          </w:p>
        </w:tc>
        <w:tc>
          <w:tcPr>
            <w:tcW w:w="1978" w:type="dxa"/>
          </w:tcPr>
          <w:p w14:paraId="1F3BAA51" w14:textId="77777777" w:rsidR="002B32A0" w:rsidRPr="00A014AC" w:rsidRDefault="002B32A0" w:rsidP="006258ED">
            <w:pPr>
              <w:pStyle w:val="Tableunitsrow"/>
              <w:keepNext/>
              <w:keepLines/>
            </w:pPr>
          </w:p>
        </w:tc>
        <w:tc>
          <w:tcPr>
            <w:tcW w:w="1746" w:type="dxa"/>
          </w:tcPr>
          <w:p w14:paraId="4F01A437" w14:textId="77777777" w:rsidR="002B32A0" w:rsidRPr="00A014AC" w:rsidRDefault="002B32A0" w:rsidP="006258ED">
            <w:pPr>
              <w:pStyle w:val="Tableunitsrow"/>
              <w:keepNext/>
              <w:keepLines/>
            </w:pPr>
          </w:p>
        </w:tc>
        <w:tc>
          <w:tcPr>
            <w:tcW w:w="1747" w:type="dxa"/>
          </w:tcPr>
          <w:p w14:paraId="0D05B411" w14:textId="77777777" w:rsidR="002B32A0" w:rsidRPr="00A014AC" w:rsidRDefault="002B32A0" w:rsidP="006258ED">
            <w:pPr>
              <w:pStyle w:val="Tableunitsrow"/>
              <w:keepNext/>
              <w:keepLines/>
            </w:pPr>
          </w:p>
        </w:tc>
      </w:tr>
      <w:tr w:rsidR="002B32A0" w:rsidRPr="00CE1D7F" w14:paraId="688CD4AC" w14:textId="77777777" w:rsidTr="000B0AC7">
        <w:trPr>
          <w:trHeight w:val="260"/>
        </w:trPr>
        <w:tc>
          <w:tcPr>
            <w:tcW w:w="2499" w:type="dxa"/>
            <w:tcMar>
              <w:left w:w="80" w:type="dxa"/>
            </w:tcMar>
          </w:tcPr>
          <w:p w14:paraId="6D11FEBA" w14:textId="77777777" w:rsidR="002B32A0" w:rsidRPr="00CE1D7F" w:rsidRDefault="002B32A0" w:rsidP="006258ED">
            <w:pPr>
              <w:pStyle w:val="Tabletext"/>
              <w:keepNext/>
              <w:keepLines/>
            </w:pPr>
            <w:r>
              <w:t>ARC-funded</w:t>
            </w:r>
            <w:r w:rsidRPr="00CE1D7F">
              <w:t xml:space="preserve"> research co</w:t>
            </w:r>
            <w:r>
              <w:t>s</w:t>
            </w:r>
            <w:r w:rsidRPr="00CE1D7F">
              <w:t>ts</w:t>
            </w:r>
          </w:p>
        </w:tc>
        <w:tc>
          <w:tcPr>
            <w:tcW w:w="1978" w:type="dxa"/>
          </w:tcPr>
          <w:p w14:paraId="66661D01" w14:textId="77777777" w:rsidR="002B32A0" w:rsidRPr="00A014AC" w:rsidRDefault="002B32A0" w:rsidP="006258ED">
            <w:pPr>
              <w:pStyle w:val="Tabletext"/>
              <w:keepNext/>
              <w:keepLines/>
              <w:jc w:val="center"/>
            </w:pPr>
            <w:r w:rsidRPr="00CE1D7F">
              <w:t>$8,795,028</w:t>
            </w:r>
          </w:p>
        </w:tc>
        <w:tc>
          <w:tcPr>
            <w:tcW w:w="1746" w:type="dxa"/>
          </w:tcPr>
          <w:p w14:paraId="76739DE1" w14:textId="77777777" w:rsidR="002B32A0" w:rsidRPr="00A014AC" w:rsidRDefault="002B32A0" w:rsidP="006258ED">
            <w:pPr>
              <w:pStyle w:val="Tabletext"/>
              <w:keepNext/>
              <w:keepLines/>
              <w:jc w:val="center"/>
            </w:pPr>
            <w:r w:rsidRPr="00CE1D7F">
              <w:t>$13,558,319</w:t>
            </w:r>
          </w:p>
        </w:tc>
        <w:tc>
          <w:tcPr>
            <w:tcW w:w="1747" w:type="dxa"/>
          </w:tcPr>
          <w:p w14:paraId="4C7CBDDE" w14:textId="77777777" w:rsidR="002B32A0" w:rsidRPr="00A014AC" w:rsidRDefault="002B32A0" w:rsidP="006258ED">
            <w:pPr>
              <w:pStyle w:val="Tabletext"/>
              <w:keepNext/>
              <w:keepLines/>
              <w:jc w:val="center"/>
            </w:pPr>
            <w:r w:rsidRPr="00CE1D7F">
              <w:t>$18,769,781</w:t>
            </w:r>
          </w:p>
        </w:tc>
      </w:tr>
      <w:tr w:rsidR="002B32A0" w:rsidRPr="00CE1D7F" w14:paraId="12BDB906" w14:textId="77777777" w:rsidTr="000B0AC7">
        <w:trPr>
          <w:trHeight w:val="260"/>
        </w:trPr>
        <w:tc>
          <w:tcPr>
            <w:tcW w:w="2499" w:type="dxa"/>
            <w:tcMar>
              <w:left w:w="80" w:type="dxa"/>
            </w:tcMar>
          </w:tcPr>
          <w:p w14:paraId="7DC7C151" w14:textId="77777777" w:rsidR="002B32A0" w:rsidRPr="00CE1D7F" w:rsidRDefault="002B32A0" w:rsidP="006258ED">
            <w:pPr>
              <w:pStyle w:val="Tableunitsrow"/>
              <w:keepNext/>
              <w:keepLines/>
              <w:rPr>
                <w:b/>
                <w:bCs/>
              </w:rPr>
            </w:pPr>
            <w:r w:rsidRPr="00CE1D7F">
              <w:rPr>
                <w:b/>
                <w:bCs/>
              </w:rPr>
              <w:t>Present value benefits</w:t>
            </w:r>
          </w:p>
        </w:tc>
        <w:tc>
          <w:tcPr>
            <w:tcW w:w="1978" w:type="dxa"/>
          </w:tcPr>
          <w:p w14:paraId="735043C6" w14:textId="77777777" w:rsidR="002B32A0" w:rsidRPr="00A014AC" w:rsidRDefault="002B32A0" w:rsidP="006258ED">
            <w:pPr>
              <w:pStyle w:val="Tableunitsrow"/>
              <w:keepNext/>
              <w:keepLines/>
              <w:jc w:val="center"/>
            </w:pPr>
          </w:p>
        </w:tc>
        <w:tc>
          <w:tcPr>
            <w:tcW w:w="1746" w:type="dxa"/>
          </w:tcPr>
          <w:p w14:paraId="6944ECCD" w14:textId="77777777" w:rsidR="002B32A0" w:rsidRPr="00A014AC" w:rsidRDefault="002B32A0" w:rsidP="006258ED">
            <w:pPr>
              <w:pStyle w:val="Tableunitsrow"/>
              <w:keepNext/>
              <w:keepLines/>
              <w:jc w:val="center"/>
            </w:pPr>
          </w:p>
        </w:tc>
        <w:tc>
          <w:tcPr>
            <w:tcW w:w="1747" w:type="dxa"/>
          </w:tcPr>
          <w:p w14:paraId="143D67A4" w14:textId="77777777" w:rsidR="002B32A0" w:rsidRPr="00A014AC" w:rsidRDefault="002B32A0" w:rsidP="006258ED">
            <w:pPr>
              <w:pStyle w:val="Tableunitsrow"/>
              <w:keepNext/>
              <w:keepLines/>
              <w:jc w:val="center"/>
            </w:pPr>
          </w:p>
        </w:tc>
      </w:tr>
      <w:tr w:rsidR="002B32A0" w:rsidRPr="00CE1D7F" w14:paraId="66666244" w14:textId="77777777" w:rsidTr="000B0AC7">
        <w:trPr>
          <w:trHeight w:val="260"/>
        </w:trPr>
        <w:tc>
          <w:tcPr>
            <w:tcW w:w="2499" w:type="dxa"/>
            <w:tcMar>
              <w:left w:w="80" w:type="dxa"/>
            </w:tcMar>
          </w:tcPr>
          <w:p w14:paraId="136FE8BC" w14:textId="77777777" w:rsidR="002B32A0" w:rsidRPr="00CE1D7F" w:rsidRDefault="002B32A0" w:rsidP="006258ED">
            <w:pPr>
              <w:pStyle w:val="Tabletext"/>
              <w:keepNext/>
              <w:keepLines/>
            </w:pPr>
            <w:r w:rsidRPr="00CE1D7F">
              <w:t>Savings for WA Water Corporation</w:t>
            </w:r>
          </w:p>
        </w:tc>
        <w:tc>
          <w:tcPr>
            <w:tcW w:w="1978" w:type="dxa"/>
          </w:tcPr>
          <w:p w14:paraId="474027B3" w14:textId="77777777" w:rsidR="002B32A0" w:rsidRPr="00A014AC" w:rsidRDefault="002B32A0" w:rsidP="006258ED">
            <w:pPr>
              <w:pStyle w:val="Tabletext"/>
              <w:keepNext/>
              <w:keepLines/>
              <w:jc w:val="center"/>
            </w:pPr>
            <w:r w:rsidRPr="00CE1D7F">
              <w:t>$81,070,370</w:t>
            </w:r>
          </w:p>
        </w:tc>
        <w:tc>
          <w:tcPr>
            <w:tcW w:w="1746" w:type="dxa"/>
          </w:tcPr>
          <w:p w14:paraId="033FC8BC" w14:textId="77777777" w:rsidR="002B32A0" w:rsidRPr="00A014AC" w:rsidRDefault="002B32A0" w:rsidP="006258ED">
            <w:pPr>
              <w:pStyle w:val="Tabletext"/>
              <w:keepNext/>
              <w:keepLines/>
              <w:jc w:val="center"/>
            </w:pPr>
            <w:r w:rsidRPr="00CE1D7F">
              <w:t>$78,058,893</w:t>
            </w:r>
          </w:p>
        </w:tc>
        <w:tc>
          <w:tcPr>
            <w:tcW w:w="1747" w:type="dxa"/>
          </w:tcPr>
          <w:p w14:paraId="41048B72" w14:textId="77777777" w:rsidR="002B32A0" w:rsidRPr="00A014AC" w:rsidRDefault="002B32A0" w:rsidP="006258ED">
            <w:pPr>
              <w:pStyle w:val="Tabletext"/>
              <w:keepNext/>
              <w:keepLines/>
              <w:jc w:val="center"/>
            </w:pPr>
            <w:r w:rsidRPr="00CE1D7F">
              <w:t>$77,144,024</w:t>
            </w:r>
          </w:p>
        </w:tc>
      </w:tr>
      <w:tr w:rsidR="002B32A0" w:rsidRPr="00CE1D7F" w14:paraId="090BC477" w14:textId="77777777" w:rsidTr="000B0AC7">
        <w:trPr>
          <w:trHeight w:val="244"/>
        </w:trPr>
        <w:tc>
          <w:tcPr>
            <w:tcW w:w="2499" w:type="dxa"/>
            <w:tcMar>
              <w:left w:w="80" w:type="dxa"/>
            </w:tcMar>
          </w:tcPr>
          <w:p w14:paraId="00D4B0FC" w14:textId="77777777" w:rsidR="002B32A0" w:rsidRPr="00CE1D7F" w:rsidRDefault="002B32A0" w:rsidP="006258ED">
            <w:pPr>
              <w:pStyle w:val="Tableunitsrow"/>
              <w:keepNext/>
              <w:keepLines/>
              <w:rPr>
                <w:b/>
                <w:bCs/>
              </w:rPr>
            </w:pPr>
            <w:r w:rsidRPr="00CE1D7F">
              <w:rPr>
                <w:b/>
                <w:bCs/>
              </w:rPr>
              <w:t>Results</w:t>
            </w:r>
          </w:p>
        </w:tc>
        <w:tc>
          <w:tcPr>
            <w:tcW w:w="1978" w:type="dxa"/>
          </w:tcPr>
          <w:p w14:paraId="7A9664B2" w14:textId="77777777" w:rsidR="002B32A0" w:rsidRPr="00A014AC" w:rsidRDefault="002B32A0" w:rsidP="006258ED">
            <w:pPr>
              <w:pStyle w:val="Tableunitsrow"/>
              <w:keepNext/>
              <w:keepLines/>
              <w:jc w:val="center"/>
            </w:pPr>
          </w:p>
        </w:tc>
        <w:tc>
          <w:tcPr>
            <w:tcW w:w="1746" w:type="dxa"/>
          </w:tcPr>
          <w:p w14:paraId="76A206DC" w14:textId="77777777" w:rsidR="002B32A0" w:rsidRPr="00A014AC" w:rsidRDefault="002B32A0" w:rsidP="006258ED">
            <w:pPr>
              <w:pStyle w:val="Tableunitsrow"/>
              <w:keepNext/>
              <w:keepLines/>
              <w:jc w:val="center"/>
            </w:pPr>
          </w:p>
        </w:tc>
        <w:tc>
          <w:tcPr>
            <w:tcW w:w="1747" w:type="dxa"/>
          </w:tcPr>
          <w:p w14:paraId="40EE1797" w14:textId="77777777" w:rsidR="002B32A0" w:rsidRPr="00A014AC" w:rsidRDefault="002B32A0" w:rsidP="006258ED">
            <w:pPr>
              <w:pStyle w:val="Tableunitsrow"/>
              <w:keepNext/>
              <w:keepLines/>
              <w:jc w:val="center"/>
            </w:pPr>
          </w:p>
        </w:tc>
      </w:tr>
      <w:tr w:rsidR="002B32A0" w:rsidRPr="00CE1D7F" w14:paraId="535B6650" w14:textId="77777777" w:rsidTr="000B0AC7">
        <w:trPr>
          <w:trHeight w:val="260"/>
        </w:trPr>
        <w:tc>
          <w:tcPr>
            <w:tcW w:w="2499" w:type="dxa"/>
            <w:tcMar>
              <w:left w:w="80" w:type="dxa"/>
            </w:tcMar>
          </w:tcPr>
          <w:p w14:paraId="237CBD15" w14:textId="77777777" w:rsidR="002B32A0" w:rsidRPr="00CE1D7F" w:rsidRDefault="002B32A0" w:rsidP="006258ED">
            <w:pPr>
              <w:pStyle w:val="Tabletext"/>
              <w:keepNext/>
              <w:keepLines/>
            </w:pPr>
            <w:r w:rsidRPr="00CE1D7F">
              <w:rPr>
                <w:b/>
                <w:bCs/>
              </w:rPr>
              <w:t>NPV</w:t>
            </w:r>
          </w:p>
        </w:tc>
        <w:tc>
          <w:tcPr>
            <w:tcW w:w="1978" w:type="dxa"/>
          </w:tcPr>
          <w:p w14:paraId="036E9CC8" w14:textId="77777777" w:rsidR="002B32A0" w:rsidRPr="00A014AC" w:rsidRDefault="002B32A0" w:rsidP="006258ED">
            <w:pPr>
              <w:pStyle w:val="Tabletext"/>
              <w:keepNext/>
              <w:keepLines/>
              <w:jc w:val="center"/>
              <w:rPr>
                <w:b/>
                <w:bCs/>
              </w:rPr>
            </w:pPr>
            <w:r w:rsidRPr="00CE1D7F">
              <w:rPr>
                <w:b/>
                <w:bCs/>
              </w:rPr>
              <w:t>$72,275,342</w:t>
            </w:r>
          </w:p>
        </w:tc>
        <w:tc>
          <w:tcPr>
            <w:tcW w:w="1746" w:type="dxa"/>
          </w:tcPr>
          <w:p w14:paraId="45816971" w14:textId="77777777" w:rsidR="002B32A0" w:rsidRPr="00A014AC" w:rsidRDefault="002B32A0" w:rsidP="006258ED">
            <w:pPr>
              <w:pStyle w:val="Tabletext"/>
              <w:keepNext/>
              <w:keepLines/>
              <w:jc w:val="center"/>
              <w:rPr>
                <w:b/>
                <w:bCs/>
              </w:rPr>
            </w:pPr>
            <w:r w:rsidRPr="00CE1D7F">
              <w:rPr>
                <w:b/>
                <w:bCs/>
              </w:rPr>
              <w:t>$64,500,574</w:t>
            </w:r>
          </w:p>
        </w:tc>
        <w:tc>
          <w:tcPr>
            <w:tcW w:w="1747" w:type="dxa"/>
          </w:tcPr>
          <w:p w14:paraId="10B6E427" w14:textId="77777777" w:rsidR="002B32A0" w:rsidRPr="00A014AC" w:rsidRDefault="002B32A0" w:rsidP="006258ED">
            <w:pPr>
              <w:pStyle w:val="Tabletext"/>
              <w:keepNext/>
              <w:keepLines/>
              <w:jc w:val="center"/>
              <w:rPr>
                <w:b/>
                <w:bCs/>
              </w:rPr>
            </w:pPr>
            <w:r w:rsidRPr="00CE1D7F">
              <w:rPr>
                <w:b/>
                <w:bCs/>
              </w:rPr>
              <w:t>$58,374,243</w:t>
            </w:r>
          </w:p>
        </w:tc>
      </w:tr>
      <w:tr w:rsidR="002B32A0" w:rsidRPr="00CE1D7F" w14:paraId="1270C337" w14:textId="77777777" w:rsidTr="000B0AC7">
        <w:trPr>
          <w:trHeight w:val="260"/>
        </w:trPr>
        <w:tc>
          <w:tcPr>
            <w:tcW w:w="2499" w:type="dxa"/>
            <w:tcMar>
              <w:left w:w="80" w:type="dxa"/>
            </w:tcMar>
          </w:tcPr>
          <w:p w14:paraId="7470E31A" w14:textId="77777777" w:rsidR="002B32A0" w:rsidRPr="00CE1D7F" w:rsidRDefault="002B32A0" w:rsidP="006258ED">
            <w:pPr>
              <w:pStyle w:val="Tabletext"/>
              <w:keepNext/>
              <w:keepLines/>
            </w:pPr>
            <w:r w:rsidRPr="00CE1D7F">
              <w:rPr>
                <w:b/>
                <w:bCs/>
              </w:rPr>
              <w:t>BCR</w:t>
            </w:r>
          </w:p>
        </w:tc>
        <w:tc>
          <w:tcPr>
            <w:tcW w:w="1978" w:type="dxa"/>
          </w:tcPr>
          <w:p w14:paraId="29C546B2" w14:textId="77777777" w:rsidR="002B32A0" w:rsidRPr="00A014AC" w:rsidRDefault="002B32A0" w:rsidP="006258ED">
            <w:pPr>
              <w:pStyle w:val="Tabletext"/>
              <w:keepNext/>
              <w:keepLines/>
              <w:jc w:val="center"/>
              <w:rPr>
                <w:b/>
                <w:bCs/>
              </w:rPr>
            </w:pPr>
            <w:r w:rsidRPr="00CE1D7F">
              <w:rPr>
                <w:b/>
                <w:bCs/>
              </w:rPr>
              <w:t>9.22</w:t>
            </w:r>
          </w:p>
        </w:tc>
        <w:tc>
          <w:tcPr>
            <w:tcW w:w="1746" w:type="dxa"/>
          </w:tcPr>
          <w:p w14:paraId="1035E406" w14:textId="77777777" w:rsidR="002B32A0" w:rsidRPr="00A014AC" w:rsidRDefault="002B32A0" w:rsidP="006258ED">
            <w:pPr>
              <w:pStyle w:val="Tabletext"/>
              <w:keepNext/>
              <w:keepLines/>
              <w:jc w:val="center"/>
              <w:rPr>
                <w:b/>
                <w:bCs/>
              </w:rPr>
            </w:pPr>
            <w:r w:rsidRPr="00CE1D7F">
              <w:rPr>
                <w:b/>
                <w:bCs/>
              </w:rPr>
              <w:t>5.76</w:t>
            </w:r>
          </w:p>
        </w:tc>
        <w:tc>
          <w:tcPr>
            <w:tcW w:w="1747" w:type="dxa"/>
          </w:tcPr>
          <w:p w14:paraId="7E7966FC" w14:textId="77777777" w:rsidR="002B32A0" w:rsidRPr="00A014AC" w:rsidRDefault="002B32A0" w:rsidP="006258ED">
            <w:pPr>
              <w:pStyle w:val="Tabletext"/>
              <w:keepNext/>
              <w:keepLines/>
              <w:jc w:val="center"/>
              <w:rPr>
                <w:b/>
                <w:bCs/>
              </w:rPr>
            </w:pPr>
            <w:r w:rsidRPr="00CE1D7F">
              <w:rPr>
                <w:b/>
                <w:bCs/>
              </w:rPr>
              <w:t>4.11</w:t>
            </w:r>
          </w:p>
        </w:tc>
      </w:tr>
      <w:tr w:rsidR="002B32A0" w:rsidRPr="00CE1D7F" w14:paraId="25F0F6E8" w14:textId="77777777" w:rsidTr="000B0AC7">
        <w:trPr>
          <w:trHeight w:val="407"/>
        </w:trPr>
        <w:tc>
          <w:tcPr>
            <w:tcW w:w="7970" w:type="dxa"/>
            <w:gridSpan w:val="4"/>
            <w:tcMar>
              <w:left w:w="80" w:type="dxa"/>
            </w:tcMar>
          </w:tcPr>
          <w:p w14:paraId="0AFDDD97" w14:textId="77777777" w:rsidR="002B32A0" w:rsidRPr="00CE1D7F" w:rsidRDefault="002B32A0" w:rsidP="006258ED">
            <w:pPr>
              <w:pStyle w:val="Source"/>
              <w:keepLines/>
            </w:pPr>
            <w:r w:rsidRPr="00CE1D7F">
              <w:t>Source: ACIL Allen</w:t>
            </w:r>
          </w:p>
          <w:p w14:paraId="482A9DB5" w14:textId="77777777" w:rsidR="002B32A0" w:rsidRPr="00CE1D7F" w:rsidRDefault="002B32A0" w:rsidP="006258ED">
            <w:pPr>
              <w:pStyle w:val="Source"/>
              <w:keepLines/>
            </w:pPr>
            <w:r w:rsidRPr="00CE1D7F">
              <w:t>Note: All discount rates are real (i.e. discount rates are applied to real costs and benefits)</w:t>
            </w:r>
          </w:p>
        </w:tc>
      </w:tr>
    </w:tbl>
    <w:p w14:paraId="07EE0FDE" w14:textId="77777777" w:rsidR="000B0AC7" w:rsidRPr="00A014AC" w:rsidRDefault="000B0AC7" w:rsidP="000B0AC7">
      <w:pPr>
        <w:pStyle w:val="spacer"/>
        <w:ind w:left="-89"/>
      </w:pPr>
    </w:p>
    <w:p w14:paraId="38623652" w14:textId="08D2DD92" w:rsidR="002B32A0" w:rsidRPr="00CE1D7F" w:rsidRDefault="002B32A0" w:rsidP="002B32A0">
      <w:pPr>
        <w:spacing w:before="113" w:after="60"/>
        <w:ind w:right="462"/>
      </w:pPr>
      <w:r w:rsidRPr="00CE1D7F">
        <w:t xml:space="preserve">The present value of benefits and costs of the ARC-funded research by year are shown in </w:t>
      </w:r>
      <w:r w:rsidRPr="00F87D0E">
        <w:fldChar w:fldCharType="begin"/>
      </w:r>
      <w:r w:rsidRPr="00F87D0E">
        <w:instrText xml:space="preserve"> REF _Ref129335569 \h  \* MERGEFORMAT </w:instrText>
      </w:r>
      <w:r w:rsidRPr="00F87D0E">
        <w:fldChar w:fldCharType="separate"/>
      </w:r>
      <w:r w:rsidR="000B0AC7" w:rsidRPr="000B0AC7">
        <w:t>Figure 8.5</w:t>
      </w:r>
      <w:r w:rsidRPr="00F87D0E">
        <w:fldChar w:fldCharType="end"/>
      </w:r>
      <w:r w:rsidRPr="00CE1D7F">
        <w:t>.</w:t>
      </w:r>
    </w:p>
    <w:p w14:paraId="5B24E15D" w14:textId="4C49AAC8" w:rsidR="000B0AC7" w:rsidRPr="00CE1D7F" w:rsidRDefault="000B0AC7" w:rsidP="000B0AC7">
      <w:pPr>
        <w:pStyle w:val="Caption"/>
        <w:ind w:left="1166" w:hanging="1308"/>
      </w:pPr>
      <w:bookmarkStart w:id="323" w:name="_Ref129335569"/>
      <w:r w:rsidRPr="00CE1D7F">
        <w:rPr>
          <w:rStyle w:val="CaptionLabel"/>
        </w:rPr>
        <w:t>Figure </w:t>
      </w:r>
      <w:r w:rsidRPr="00CE1D7F">
        <w:rPr>
          <w:rStyle w:val="CaptionLabel"/>
        </w:rPr>
        <w:fldChar w:fldCharType="begin"/>
      </w:r>
      <w:r w:rsidRPr="00CE1D7F">
        <w:rPr>
          <w:rStyle w:val="CaptionLabel"/>
        </w:rPr>
        <w:instrText xml:space="preserve"> STYLEREF 1 \S \* MERGEFORMAT </w:instrText>
      </w:r>
      <w:r w:rsidRPr="00CE1D7F">
        <w:rPr>
          <w:rStyle w:val="CaptionLabel"/>
        </w:rPr>
        <w:fldChar w:fldCharType="separate"/>
      </w:r>
      <w:r>
        <w:rPr>
          <w:rStyle w:val="CaptionLabel"/>
          <w:noProof/>
        </w:rPr>
        <w:t>8</w:t>
      </w:r>
      <w:r w:rsidRPr="00CE1D7F">
        <w:rPr>
          <w:rStyle w:val="CaptionLabel"/>
        </w:rPr>
        <w:fldChar w:fldCharType="end"/>
      </w:r>
      <w:r w:rsidRPr="00CE1D7F">
        <w:rPr>
          <w:rStyle w:val="CaptionLabel"/>
        </w:rPr>
        <w:t>.</w:t>
      </w:r>
      <w:r w:rsidRPr="00CE1D7F">
        <w:rPr>
          <w:rStyle w:val="CaptionLabel"/>
        </w:rPr>
        <w:fldChar w:fldCharType="begin"/>
      </w:r>
      <w:r w:rsidRPr="00CE1D7F">
        <w:rPr>
          <w:rStyle w:val="CaptionLabel"/>
        </w:rPr>
        <w:instrText xml:space="preserve"> SEQ Figure \* ARABIC \S 1 \* MERGEFORMAT </w:instrText>
      </w:r>
      <w:r w:rsidRPr="00CE1D7F">
        <w:rPr>
          <w:rStyle w:val="CaptionLabel"/>
        </w:rPr>
        <w:fldChar w:fldCharType="separate"/>
      </w:r>
      <w:r>
        <w:rPr>
          <w:rStyle w:val="CaptionLabel"/>
          <w:noProof/>
        </w:rPr>
        <w:t>5</w:t>
      </w:r>
      <w:r w:rsidRPr="00CE1D7F">
        <w:rPr>
          <w:rStyle w:val="CaptionLabel"/>
        </w:rPr>
        <w:fldChar w:fldCharType="end"/>
      </w:r>
      <w:bookmarkEnd w:id="323"/>
      <w:r w:rsidRPr="00CE1D7F">
        <w:tab/>
        <w:t>Present value costs and benefits by year (7% DR)</w:t>
      </w:r>
    </w:p>
    <w:tbl>
      <w:tblPr>
        <w:tblStyle w:val="aacTableFigure-Wide"/>
        <w:tblW w:w="5179" w:type="pct"/>
        <w:tblInd w:w="-284" w:type="dxa"/>
        <w:tblBorders>
          <w:top w:val="single" w:sz="4" w:space="0" w:color="000000"/>
          <w:bottom w:val="single" w:sz="4" w:space="0" w:color="000000"/>
        </w:tblBorders>
        <w:tblLook w:val="04A0" w:firstRow="1" w:lastRow="0" w:firstColumn="1" w:lastColumn="0" w:noHBand="0" w:noVBand="1"/>
      </w:tblPr>
      <w:tblGrid>
        <w:gridCol w:w="8220"/>
      </w:tblGrid>
      <w:tr w:rsidR="002B32A0" w:rsidRPr="00CE1D7F" w14:paraId="5AEE3EBB" w14:textId="77777777" w:rsidTr="00163772">
        <w:tc>
          <w:tcPr>
            <w:tcW w:w="5000" w:type="pct"/>
            <w:shd w:val="clear" w:color="auto" w:fill="auto"/>
          </w:tcPr>
          <w:p w14:paraId="1B099D8F" w14:textId="30E69F34" w:rsidR="002B32A0" w:rsidRPr="00CE1D7F" w:rsidRDefault="002B32A0" w:rsidP="006258ED">
            <w:pPr>
              <w:pStyle w:val="Figure"/>
            </w:pPr>
            <w:r w:rsidRPr="00CE1D7F">
              <w:rPr>
                <w:noProof/>
              </w:rPr>
              <w:drawing>
                <wp:inline distT="0" distB="0" distL="0" distR="0" wp14:anchorId="2FDA077D" wp14:editId="6ADB1CAE">
                  <wp:extent cx="5259934" cy="2189950"/>
                  <wp:effectExtent l="0" t="0" r="0" b="1270"/>
                  <wp:docPr id="696" name="Picture 696" descr="Present value costs and benefits by year (7% DR), see description in text abov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 name="Picture 696" descr="Present value costs and benefits by year (7% DR), see description in text above figure."/>
                          <pic:cNvPicPr>
                            <a:picLocks noChangeAspect="1" noChangeArrowheads="1"/>
                          </pic:cNvPicPr>
                        </pic:nvPicPr>
                        <pic:blipFill rotWithShape="1">
                          <a:blip r:embed="rId166" cstate="print">
                            <a:extLst>
                              <a:ext uri="{BEBA8EAE-BF5A-486C-A8C5-ECC9F3942E4B}">
                                <a14:imgProps xmlns:a14="http://schemas.microsoft.com/office/drawing/2010/main">
                                  <a14:imgLayer r:embed="rId167">
                                    <a14:imgEffect>
                                      <a14:sharpenSoften amount="25000"/>
                                    </a14:imgEffect>
                                  </a14:imgLayer>
                                </a14:imgProps>
                              </a:ext>
                              <a:ext uri="{28A0092B-C50C-407E-A947-70E740481C1C}">
                                <a14:useLocalDpi xmlns:a14="http://schemas.microsoft.com/office/drawing/2010/main" val="0"/>
                              </a:ext>
                            </a:extLst>
                          </a:blip>
                          <a:srcRect t="-1" b="3788"/>
                          <a:stretch/>
                        </pic:blipFill>
                        <pic:spPr bwMode="auto">
                          <a:xfrm>
                            <a:off x="0" y="0"/>
                            <a:ext cx="5290480" cy="2202668"/>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2C4EDE5B" w14:textId="77777777" w:rsidR="000B0AC7" w:rsidRPr="00CE1D7F" w:rsidRDefault="000B0AC7" w:rsidP="000B0AC7">
      <w:pPr>
        <w:pStyle w:val="Source"/>
        <w:ind w:left="1166" w:hanging="1308"/>
      </w:pPr>
      <w:r w:rsidRPr="00CE1D7F">
        <w:t>Source: ACIL Allen</w:t>
      </w:r>
    </w:p>
    <w:p w14:paraId="3F991EAE" w14:textId="77777777" w:rsidR="002B32A0" w:rsidRPr="00CE1D7F" w:rsidRDefault="002B32A0" w:rsidP="002B32A0">
      <w:pPr>
        <w:pStyle w:val="Heading4"/>
      </w:pPr>
      <w:r w:rsidRPr="00CE1D7F">
        <w:t>Sensitivity testing</w:t>
      </w:r>
    </w:p>
    <w:p w14:paraId="703AD52F" w14:textId="4A37C833" w:rsidR="002B32A0" w:rsidRPr="00CE1D7F" w:rsidRDefault="002B32A0" w:rsidP="002B32A0">
      <w:pPr>
        <w:pStyle w:val="BodyText"/>
      </w:pPr>
      <w:r w:rsidRPr="00CE1D7F">
        <w:t>The results were sensitivity tested at the 3% and 10% real discount rate</w:t>
      </w:r>
      <w:r w:rsidRPr="00CE1D7F">
        <w:rPr>
          <w:rStyle w:val="FootnoteReference"/>
        </w:rPr>
        <w:footnoteReference w:id="146"/>
      </w:r>
      <w:r w:rsidRPr="00CE1D7F">
        <w:t xml:space="preserve"> (see </w:t>
      </w:r>
      <w:r w:rsidRPr="00F87D0E">
        <w:fldChar w:fldCharType="begin"/>
      </w:r>
      <w:r w:rsidRPr="00F87D0E">
        <w:instrText xml:space="preserve"> REF _Ref129337389 \h  \* MERGEFORMAT </w:instrText>
      </w:r>
      <w:r w:rsidRPr="00F87D0E">
        <w:fldChar w:fldCharType="separate"/>
      </w:r>
      <w:r w:rsidR="000B0AC7" w:rsidRPr="000B0AC7">
        <w:t>Table 8.2</w:t>
      </w:r>
      <w:r w:rsidRPr="00F87D0E">
        <w:fldChar w:fldCharType="end"/>
      </w:r>
      <w:r w:rsidRPr="00F87D0E">
        <w:fldChar w:fldCharType="begin"/>
      </w:r>
      <w:r w:rsidRPr="00F87D0E">
        <w:instrText xml:space="preserve"> REF _Ref129337424 \h  \* MERGEFORMAT </w:instrText>
      </w:r>
      <w:r w:rsidRPr="00F87D0E">
        <w:fldChar w:fldCharType="separate"/>
      </w:r>
      <w:r w:rsidR="000B0AC7" w:rsidRPr="000B0AC7">
        <w:t>Table 8.3</w:t>
      </w:r>
      <w:r w:rsidRPr="00F87D0E">
        <w:fldChar w:fldCharType="end"/>
      </w:r>
      <w:r w:rsidRPr="00CE1D7F">
        <w:t xml:space="preserve">). The results of the sensitivity testing show that the NPV remains significant and the BCR is well above one, even at a discount rate of 10%. </w:t>
      </w:r>
    </w:p>
    <w:p w14:paraId="1C1157AC" w14:textId="6A14151D" w:rsidR="002B32A0" w:rsidRPr="00CE1D7F" w:rsidRDefault="002B32A0" w:rsidP="002B32A0">
      <w:bookmarkStart w:id="324" w:name="_Hlk128495238"/>
      <w:r w:rsidRPr="00CE1D7F">
        <w:t>Sensitivity testing was also conducted by varying the difference in the levelised cost of water using reinjection versus desalination. The central case was $0.74/KL, based on discussions and material provided by WAWC.</w:t>
      </w:r>
      <w:r w:rsidRPr="00CE1D7F">
        <w:rPr>
          <w:rStyle w:val="FootnoteReference"/>
        </w:rPr>
        <w:footnoteReference w:id="147"/>
      </w:r>
      <w:r w:rsidRPr="00CE1D7F">
        <w:t xml:space="preserve"> The CBA results were tested with a lower bound difference in levelised cost of $0.37/KL (50% below the central case) and an upper bound difference in levelised cost of $1.11/KL (50% above the central case). The results of that analysis are shown in </w:t>
      </w:r>
      <w:r w:rsidRPr="00F87D0E">
        <w:fldChar w:fldCharType="begin"/>
      </w:r>
      <w:r w:rsidRPr="00F87D0E">
        <w:instrText xml:space="preserve"> REF _Ref129337424 \h  \* MERGEFORMAT </w:instrText>
      </w:r>
      <w:r w:rsidRPr="00F87D0E">
        <w:fldChar w:fldCharType="separate"/>
      </w:r>
      <w:r w:rsidR="000B0AC7" w:rsidRPr="000B0AC7">
        <w:t>Table 8.3</w:t>
      </w:r>
      <w:r w:rsidRPr="00F87D0E">
        <w:fldChar w:fldCharType="end"/>
      </w:r>
      <w:r w:rsidRPr="00CE1D7F">
        <w:t>. They show that the NPV would fall from $65.5</w:t>
      </w:r>
      <w:r>
        <w:t> million</w:t>
      </w:r>
      <w:r w:rsidRPr="00CE1D7F">
        <w:t xml:space="preserve"> to $25.5</w:t>
      </w:r>
      <w:r>
        <w:t> million</w:t>
      </w:r>
      <w:r w:rsidRPr="00CE1D7F">
        <w:t xml:space="preserve"> and the BCR would fall from 5.76 to 2.88 if the difference in levelised cost fell by 50%. Whereas the NPV would rise increase to $103.5 and the BCR would rise to 8.64 if the difference in levelised cost increased by 50%. This demonstrates that the estimated benefits of this project remain considerable even under significantly more conservative assumptions.</w:t>
      </w:r>
    </w:p>
    <w:p w14:paraId="605D3507" w14:textId="6F10D67B" w:rsidR="002B32A0" w:rsidRPr="00CE1D7F" w:rsidRDefault="002B32A0" w:rsidP="000B0AC7">
      <w:pPr>
        <w:pStyle w:val="Caption"/>
        <w:ind w:left="1246" w:hanging="1308"/>
        <w:rPr>
          <w:bCs/>
        </w:rPr>
      </w:pPr>
      <w:bookmarkStart w:id="325" w:name="_Ref129337424"/>
      <w:r w:rsidRPr="00CE1D7F">
        <w:rPr>
          <w:rStyle w:val="CaptionLabel"/>
        </w:rPr>
        <w:t>Table </w:t>
      </w:r>
      <w:r w:rsidRPr="00CE1D7F">
        <w:rPr>
          <w:rStyle w:val="CaptionLabel"/>
        </w:rPr>
        <w:fldChar w:fldCharType="begin"/>
      </w:r>
      <w:r w:rsidRPr="00CE1D7F">
        <w:rPr>
          <w:rStyle w:val="CaptionLabel"/>
        </w:rPr>
        <w:instrText xml:space="preserve"> STYLEREF 1 \S \* MERGEFORMAT </w:instrText>
      </w:r>
      <w:r w:rsidRPr="00CE1D7F">
        <w:rPr>
          <w:rStyle w:val="CaptionLabel"/>
        </w:rPr>
        <w:fldChar w:fldCharType="separate"/>
      </w:r>
      <w:r w:rsidR="000B0AC7">
        <w:rPr>
          <w:rStyle w:val="CaptionLabel"/>
          <w:noProof/>
        </w:rPr>
        <w:t>8</w:t>
      </w:r>
      <w:r w:rsidRPr="00CE1D7F">
        <w:rPr>
          <w:rStyle w:val="CaptionLabel"/>
        </w:rPr>
        <w:fldChar w:fldCharType="end"/>
      </w:r>
      <w:r w:rsidRPr="00CE1D7F">
        <w:rPr>
          <w:rStyle w:val="CaptionLabel"/>
        </w:rPr>
        <w:t>.</w:t>
      </w:r>
      <w:r w:rsidRPr="00CE1D7F">
        <w:rPr>
          <w:rStyle w:val="CaptionLabel"/>
        </w:rPr>
        <w:fldChar w:fldCharType="begin"/>
      </w:r>
      <w:r w:rsidRPr="00CE1D7F">
        <w:rPr>
          <w:rStyle w:val="CaptionLabel"/>
        </w:rPr>
        <w:instrText xml:space="preserve"> SEQ Table \* ARABIC \S 1 \* MERGEFORMAT </w:instrText>
      </w:r>
      <w:r w:rsidRPr="00CE1D7F">
        <w:rPr>
          <w:rStyle w:val="CaptionLabel"/>
        </w:rPr>
        <w:fldChar w:fldCharType="separate"/>
      </w:r>
      <w:r w:rsidR="000B0AC7">
        <w:rPr>
          <w:rStyle w:val="CaptionLabel"/>
          <w:noProof/>
        </w:rPr>
        <w:t>3</w:t>
      </w:r>
      <w:r w:rsidRPr="00CE1D7F">
        <w:rPr>
          <w:rStyle w:val="CaptionLabel"/>
        </w:rPr>
        <w:fldChar w:fldCharType="end"/>
      </w:r>
      <w:bookmarkEnd w:id="325"/>
      <w:r w:rsidRPr="00CE1D7F">
        <w:rPr>
          <w:rStyle w:val="CaptionLabel"/>
        </w:rPr>
        <w:tab/>
      </w:r>
      <w:r w:rsidRPr="00CE1D7F">
        <w:rPr>
          <w:rStyle w:val="CaptionLabel"/>
          <w:b w:val="0"/>
        </w:rPr>
        <w:t xml:space="preserve">Sensitivity testing </w:t>
      </w:r>
      <w:r w:rsidRPr="00CE1D7F">
        <w:t>levelised cost of water using reinjection and desalination</w:t>
      </w:r>
      <w:r w:rsidRPr="00CE1D7F" w:rsidDel="007B2FAE">
        <w:rPr>
          <w:rStyle w:val="CaptionLabel"/>
          <w:b w:val="0"/>
        </w:rPr>
        <w:t xml:space="preserve"> </w:t>
      </w:r>
      <w:r w:rsidRPr="00CE1D7F">
        <w:rPr>
          <w:rStyle w:val="CaptionLabel"/>
          <w:b w:val="0"/>
        </w:rPr>
        <w:t>(7% DR, 2022$)</w:t>
      </w:r>
    </w:p>
    <w:tbl>
      <w:tblPr>
        <w:tblStyle w:val="aacTableBasic"/>
        <w:tblW w:w="7998" w:type="dxa"/>
        <w:tblInd w:w="-62" w:type="dxa"/>
        <w:tblLayout w:type="fixed"/>
        <w:tblLook w:val="04A0" w:firstRow="1" w:lastRow="0" w:firstColumn="1" w:lastColumn="0" w:noHBand="0" w:noVBand="1"/>
        <w:tblCaption w:val="Table 8.3"/>
        <w:tblDescription w:val="Sensitivity testing levelised cost of water using reinjection and desalination (7% DR, 2022$)"/>
      </w:tblPr>
      <w:tblGrid>
        <w:gridCol w:w="1220"/>
        <w:gridCol w:w="2259"/>
        <w:gridCol w:w="2259"/>
        <w:gridCol w:w="2260"/>
      </w:tblGrid>
      <w:tr w:rsidR="002B32A0" w:rsidRPr="00CE1D7F" w14:paraId="1D5F4A99" w14:textId="77777777" w:rsidTr="000B0AC7">
        <w:trPr>
          <w:cnfStyle w:val="100000000000" w:firstRow="1" w:lastRow="0" w:firstColumn="0" w:lastColumn="0" w:oddVBand="0" w:evenVBand="0" w:oddHBand="0" w:evenHBand="0" w:firstRowFirstColumn="0" w:firstRowLastColumn="0" w:lastRowFirstColumn="0" w:lastRowLastColumn="0"/>
          <w:trHeight w:val="227"/>
        </w:trPr>
        <w:tc>
          <w:tcPr>
            <w:tcW w:w="1220" w:type="dxa"/>
            <w:tcBorders>
              <w:top w:val="nil"/>
            </w:tcBorders>
            <w:shd w:val="solid" w:color="140034" w:fill="140034"/>
            <w:noWrap/>
            <w:tcMar>
              <w:left w:w="80" w:type="dxa"/>
            </w:tcMar>
          </w:tcPr>
          <w:p w14:paraId="72C83BAF" w14:textId="77777777" w:rsidR="002B32A0" w:rsidRPr="00CE1D7F" w:rsidRDefault="002B32A0" w:rsidP="006258ED">
            <w:pPr>
              <w:pStyle w:val="Tablecolumnheadings"/>
              <w:rPr>
                <w:lang w:eastAsia="ja-JP"/>
              </w:rPr>
            </w:pPr>
          </w:p>
        </w:tc>
        <w:tc>
          <w:tcPr>
            <w:tcW w:w="2259" w:type="dxa"/>
            <w:tcBorders>
              <w:top w:val="nil"/>
            </w:tcBorders>
            <w:shd w:val="solid" w:color="140034" w:fill="140034"/>
            <w:noWrap/>
            <w:hideMark/>
          </w:tcPr>
          <w:p w14:paraId="06A6A93B" w14:textId="77777777" w:rsidR="002B32A0" w:rsidRPr="00CE1D7F" w:rsidRDefault="002B32A0" w:rsidP="006258ED">
            <w:pPr>
              <w:pStyle w:val="Tablecolumnheadings"/>
              <w:jc w:val="center"/>
              <w:rPr>
                <w:rFonts w:ascii="Calibri" w:hAnsi="Calibri" w:cs="Calibri"/>
                <w:color w:val="000000"/>
                <w:lang w:eastAsia="ja-JP"/>
              </w:rPr>
            </w:pPr>
            <w:r w:rsidRPr="00CE1D7F">
              <w:t>Difference in cost $0.37/KL</w:t>
            </w:r>
          </w:p>
        </w:tc>
        <w:tc>
          <w:tcPr>
            <w:tcW w:w="2259" w:type="dxa"/>
            <w:tcBorders>
              <w:top w:val="nil"/>
            </w:tcBorders>
            <w:shd w:val="solid" w:color="140034" w:fill="140034"/>
            <w:noWrap/>
            <w:hideMark/>
          </w:tcPr>
          <w:p w14:paraId="42B6EB44" w14:textId="77777777" w:rsidR="002B32A0" w:rsidRPr="00CE1D7F" w:rsidRDefault="002B32A0" w:rsidP="006258ED">
            <w:pPr>
              <w:pStyle w:val="Tablecolumnheadings"/>
              <w:jc w:val="center"/>
              <w:rPr>
                <w:rFonts w:ascii="Calibri" w:hAnsi="Calibri" w:cs="Calibri"/>
                <w:color w:val="000000"/>
                <w:lang w:eastAsia="ja-JP"/>
              </w:rPr>
            </w:pPr>
            <w:r w:rsidRPr="00CE1D7F">
              <w:t>Difference in cost $0.74/KL</w:t>
            </w:r>
          </w:p>
        </w:tc>
        <w:tc>
          <w:tcPr>
            <w:tcW w:w="2260" w:type="dxa"/>
            <w:tcBorders>
              <w:top w:val="nil"/>
            </w:tcBorders>
            <w:shd w:val="solid" w:color="140034" w:fill="140034"/>
            <w:noWrap/>
            <w:hideMark/>
          </w:tcPr>
          <w:p w14:paraId="7E6C5755" w14:textId="77777777" w:rsidR="002B32A0" w:rsidRPr="00CE1D7F" w:rsidRDefault="002B32A0" w:rsidP="006258ED">
            <w:pPr>
              <w:pStyle w:val="Tablecolumnheadings"/>
              <w:jc w:val="center"/>
              <w:rPr>
                <w:rFonts w:ascii="Calibri" w:hAnsi="Calibri" w:cs="Calibri"/>
                <w:color w:val="000000"/>
                <w:lang w:eastAsia="ja-JP"/>
              </w:rPr>
            </w:pPr>
            <w:r w:rsidRPr="00CE1D7F">
              <w:t>Difference in cost $1.11/KL</w:t>
            </w:r>
          </w:p>
        </w:tc>
      </w:tr>
      <w:tr w:rsidR="002B32A0" w:rsidRPr="00CE1D7F" w14:paraId="41DC8C70" w14:textId="77777777" w:rsidTr="000B0AC7">
        <w:trPr>
          <w:trHeight w:val="288"/>
        </w:trPr>
        <w:tc>
          <w:tcPr>
            <w:tcW w:w="1220" w:type="dxa"/>
            <w:noWrap/>
            <w:tcMar>
              <w:left w:w="80" w:type="dxa"/>
            </w:tcMar>
            <w:hideMark/>
          </w:tcPr>
          <w:p w14:paraId="6BBD86A7" w14:textId="77777777" w:rsidR="002B32A0" w:rsidRPr="00CE1D7F" w:rsidRDefault="002B32A0" w:rsidP="006258ED">
            <w:pPr>
              <w:pStyle w:val="Tabletext"/>
              <w:rPr>
                <w:szCs w:val="20"/>
              </w:rPr>
            </w:pPr>
            <w:r w:rsidRPr="00CE1D7F">
              <w:rPr>
                <w:szCs w:val="20"/>
              </w:rPr>
              <w:t>Costs</w:t>
            </w:r>
          </w:p>
        </w:tc>
        <w:tc>
          <w:tcPr>
            <w:tcW w:w="2259" w:type="dxa"/>
            <w:noWrap/>
            <w:hideMark/>
          </w:tcPr>
          <w:p w14:paraId="60E3A1E9" w14:textId="77777777" w:rsidR="002B32A0" w:rsidRPr="00CE1D7F" w:rsidRDefault="002B32A0" w:rsidP="006258ED">
            <w:pPr>
              <w:pStyle w:val="Tabletext"/>
              <w:jc w:val="center"/>
              <w:rPr>
                <w:szCs w:val="20"/>
              </w:rPr>
            </w:pPr>
            <w:r w:rsidRPr="00CE1D7F">
              <w:t>$13,558,319</w:t>
            </w:r>
          </w:p>
        </w:tc>
        <w:tc>
          <w:tcPr>
            <w:tcW w:w="2259" w:type="dxa"/>
            <w:noWrap/>
            <w:hideMark/>
          </w:tcPr>
          <w:p w14:paraId="17C7618E" w14:textId="77777777" w:rsidR="002B32A0" w:rsidRPr="00CE1D7F" w:rsidRDefault="002B32A0" w:rsidP="006258ED">
            <w:pPr>
              <w:pStyle w:val="Tabletext"/>
              <w:jc w:val="center"/>
              <w:rPr>
                <w:szCs w:val="20"/>
              </w:rPr>
            </w:pPr>
            <w:r w:rsidRPr="00CE1D7F">
              <w:t>$13,558,319</w:t>
            </w:r>
          </w:p>
        </w:tc>
        <w:tc>
          <w:tcPr>
            <w:tcW w:w="2260" w:type="dxa"/>
            <w:noWrap/>
            <w:hideMark/>
          </w:tcPr>
          <w:p w14:paraId="56F64C5E" w14:textId="77777777" w:rsidR="002B32A0" w:rsidRPr="00CE1D7F" w:rsidRDefault="002B32A0" w:rsidP="006258ED">
            <w:pPr>
              <w:pStyle w:val="Tabletext"/>
              <w:jc w:val="center"/>
              <w:rPr>
                <w:szCs w:val="20"/>
              </w:rPr>
            </w:pPr>
            <w:r w:rsidRPr="00CE1D7F">
              <w:t>$13,558,319</w:t>
            </w:r>
          </w:p>
        </w:tc>
      </w:tr>
      <w:tr w:rsidR="002B32A0" w:rsidRPr="00CE1D7F" w14:paraId="62B2EBAA" w14:textId="77777777" w:rsidTr="000B0AC7">
        <w:trPr>
          <w:trHeight w:val="288"/>
        </w:trPr>
        <w:tc>
          <w:tcPr>
            <w:tcW w:w="1220" w:type="dxa"/>
            <w:noWrap/>
            <w:tcMar>
              <w:left w:w="80" w:type="dxa"/>
            </w:tcMar>
            <w:hideMark/>
          </w:tcPr>
          <w:p w14:paraId="450479CE" w14:textId="77777777" w:rsidR="002B32A0" w:rsidRPr="00CE1D7F" w:rsidRDefault="002B32A0" w:rsidP="006258ED">
            <w:pPr>
              <w:pStyle w:val="Tabletext"/>
              <w:rPr>
                <w:szCs w:val="20"/>
              </w:rPr>
            </w:pPr>
            <w:r w:rsidRPr="00CE1D7F">
              <w:rPr>
                <w:szCs w:val="20"/>
              </w:rPr>
              <w:t>Benefits</w:t>
            </w:r>
          </w:p>
        </w:tc>
        <w:tc>
          <w:tcPr>
            <w:tcW w:w="2259" w:type="dxa"/>
            <w:noWrap/>
            <w:hideMark/>
          </w:tcPr>
          <w:p w14:paraId="57C1BADC" w14:textId="77777777" w:rsidR="002B32A0" w:rsidRPr="00CE1D7F" w:rsidRDefault="002B32A0" w:rsidP="006258ED">
            <w:pPr>
              <w:pStyle w:val="Tabletext"/>
              <w:jc w:val="center"/>
              <w:rPr>
                <w:szCs w:val="20"/>
              </w:rPr>
            </w:pPr>
            <w:r w:rsidRPr="00CE1D7F">
              <w:t>$39,029,446</w:t>
            </w:r>
          </w:p>
        </w:tc>
        <w:tc>
          <w:tcPr>
            <w:tcW w:w="2259" w:type="dxa"/>
            <w:noWrap/>
            <w:hideMark/>
          </w:tcPr>
          <w:p w14:paraId="3E2A80C2" w14:textId="77777777" w:rsidR="002B32A0" w:rsidRPr="00CE1D7F" w:rsidRDefault="002B32A0" w:rsidP="006258ED">
            <w:pPr>
              <w:pStyle w:val="Tabletext"/>
              <w:jc w:val="center"/>
              <w:rPr>
                <w:szCs w:val="20"/>
              </w:rPr>
            </w:pPr>
            <w:r w:rsidRPr="00CE1D7F">
              <w:t>$78,058,893</w:t>
            </w:r>
          </w:p>
        </w:tc>
        <w:tc>
          <w:tcPr>
            <w:tcW w:w="2260" w:type="dxa"/>
            <w:noWrap/>
            <w:hideMark/>
          </w:tcPr>
          <w:p w14:paraId="7F9A6F76" w14:textId="77777777" w:rsidR="002B32A0" w:rsidRPr="00CE1D7F" w:rsidRDefault="002B32A0" w:rsidP="006258ED">
            <w:pPr>
              <w:pStyle w:val="Tabletext"/>
              <w:jc w:val="center"/>
              <w:rPr>
                <w:szCs w:val="20"/>
              </w:rPr>
            </w:pPr>
            <w:r w:rsidRPr="00CE1D7F">
              <w:t>$117,088,339</w:t>
            </w:r>
          </w:p>
        </w:tc>
      </w:tr>
      <w:tr w:rsidR="002B32A0" w:rsidRPr="00CE1D7F" w14:paraId="1D65F2A5" w14:textId="77777777" w:rsidTr="000B0AC7">
        <w:trPr>
          <w:trHeight w:val="271"/>
        </w:trPr>
        <w:tc>
          <w:tcPr>
            <w:tcW w:w="1220" w:type="dxa"/>
            <w:noWrap/>
            <w:tcMar>
              <w:left w:w="80" w:type="dxa"/>
            </w:tcMar>
            <w:hideMark/>
          </w:tcPr>
          <w:p w14:paraId="0507C4E2" w14:textId="77777777" w:rsidR="002B32A0" w:rsidRPr="00CE1D7F" w:rsidRDefault="002B32A0" w:rsidP="006258ED">
            <w:pPr>
              <w:pStyle w:val="Tabletext"/>
              <w:rPr>
                <w:b/>
                <w:bCs/>
                <w:szCs w:val="20"/>
              </w:rPr>
            </w:pPr>
            <w:r w:rsidRPr="00CE1D7F">
              <w:rPr>
                <w:b/>
                <w:bCs/>
                <w:szCs w:val="20"/>
              </w:rPr>
              <w:t>Net impact</w:t>
            </w:r>
          </w:p>
        </w:tc>
        <w:tc>
          <w:tcPr>
            <w:tcW w:w="2259" w:type="dxa"/>
            <w:noWrap/>
            <w:hideMark/>
          </w:tcPr>
          <w:p w14:paraId="1618C9B4" w14:textId="77777777" w:rsidR="002B32A0" w:rsidRPr="00CE1D7F" w:rsidRDefault="002B32A0" w:rsidP="006258ED">
            <w:pPr>
              <w:pStyle w:val="Tabletext"/>
              <w:jc w:val="center"/>
              <w:rPr>
                <w:b/>
                <w:bCs/>
                <w:szCs w:val="20"/>
              </w:rPr>
            </w:pPr>
            <w:r w:rsidRPr="00CE1D7F">
              <w:rPr>
                <w:b/>
                <w:bCs/>
              </w:rPr>
              <w:t>$25,471,128</w:t>
            </w:r>
          </w:p>
        </w:tc>
        <w:tc>
          <w:tcPr>
            <w:tcW w:w="2259" w:type="dxa"/>
            <w:noWrap/>
            <w:hideMark/>
          </w:tcPr>
          <w:p w14:paraId="4FFEA953" w14:textId="77777777" w:rsidR="002B32A0" w:rsidRPr="00CE1D7F" w:rsidRDefault="002B32A0" w:rsidP="006258ED">
            <w:pPr>
              <w:pStyle w:val="Tabletext"/>
              <w:jc w:val="center"/>
              <w:rPr>
                <w:b/>
                <w:bCs/>
                <w:szCs w:val="20"/>
              </w:rPr>
            </w:pPr>
            <w:r w:rsidRPr="00CE1D7F">
              <w:rPr>
                <w:b/>
                <w:bCs/>
              </w:rPr>
              <w:t>$64,500,574</w:t>
            </w:r>
          </w:p>
        </w:tc>
        <w:tc>
          <w:tcPr>
            <w:tcW w:w="2260" w:type="dxa"/>
            <w:noWrap/>
            <w:hideMark/>
          </w:tcPr>
          <w:p w14:paraId="77B2B20F" w14:textId="77777777" w:rsidR="002B32A0" w:rsidRPr="00CE1D7F" w:rsidRDefault="002B32A0" w:rsidP="006258ED">
            <w:pPr>
              <w:pStyle w:val="Tabletext"/>
              <w:jc w:val="center"/>
              <w:rPr>
                <w:b/>
                <w:bCs/>
                <w:szCs w:val="20"/>
              </w:rPr>
            </w:pPr>
            <w:r w:rsidRPr="00CE1D7F">
              <w:rPr>
                <w:b/>
                <w:bCs/>
              </w:rPr>
              <w:t>$103,530,020</w:t>
            </w:r>
          </w:p>
        </w:tc>
      </w:tr>
      <w:tr w:rsidR="002B32A0" w:rsidRPr="00CE1D7F" w14:paraId="75EDD067" w14:textId="77777777" w:rsidTr="000B0AC7">
        <w:trPr>
          <w:trHeight w:val="288"/>
        </w:trPr>
        <w:tc>
          <w:tcPr>
            <w:tcW w:w="1220" w:type="dxa"/>
            <w:noWrap/>
            <w:tcMar>
              <w:left w:w="80" w:type="dxa"/>
            </w:tcMar>
            <w:hideMark/>
          </w:tcPr>
          <w:p w14:paraId="6B1A6DE5" w14:textId="77777777" w:rsidR="002B32A0" w:rsidRPr="00CE1D7F" w:rsidRDefault="002B32A0" w:rsidP="006258ED">
            <w:pPr>
              <w:pStyle w:val="Tabletext"/>
              <w:rPr>
                <w:b/>
                <w:bCs/>
                <w:szCs w:val="20"/>
              </w:rPr>
            </w:pPr>
            <w:r w:rsidRPr="00CE1D7F">
              <w:rPr>
                <w:b/>
                <w:bCs/>
                <w:szCs w:val="20"/>
              </w:rPr>
              <w:t>BCR</w:t>
            </w:r>
          </w:p>
        </w:tc>
        <w:tc>
          <w:tcPr>
            <w:tcW w:w="2259" w:type="dxa"/>
            <w:noWrap/>
            <w:hideMark/>
          </w:tcPr>
          <w:p w14:paraId="6FF6CEBE" w14:textId="77777777" w:rsidR="002B32A0" w:rsidRPr="00CE1D7F" w:rsidRDefault="002B32A0" w:rsidP="006258ED">
            <w:pPr>
              <w:pStyle w:val="Tabletext"/>
              <w:jc w:val="center"/>
              <w:rPr>
                <w:b/>
                <w:bCs/>
                <w:szCs w:val="20"/>
              </w:rPr>
            </w:pPr>
            <w:r w:rsidRPr="00CE1D7F">
              <w:rPr>
                <w:b/>
                <w:bCs/>
              </w:rPr>
              <w:t>2.88</w:t>
            </w:r>
          </w:p>
        </w:tc>
        <w:tc>
          <w:tcPr>
            <w:tcW w:w="2259" w:type="dxa"/>
            <w:noWrap/>
            <w:hideMark/>
          </w:tcPr>
          <w:p w14:paraId="6A66463B" w14:textId="77777777" w:rsidR="002B32A0" w:rsidRPr="00CE1D7F" w:rsidRDefault="002B32A0" w:rsidP="006258ED">
            <w:pPr>
              <w:pStyle w:val="Tabletext"/>
              <w:jc w:val="center"/>
              <w:rPr>
                <w:b/>
                <w:bCs/>
                <w:szCs w:val="20"/>
              </w:rPr>
            </w:pPr>
            <w:r w:rsidRPr="00CE1D7F">
              <w:rPr>
                <w:b/>
                <w:bCs/>
              </w:rPr>
              <w:t>5.76</w:t>
            </w:r>
          </w:p>
        </w:tc>
        <w:tc>
          <w:tcPr>
            <w:tcW w:w="2260" w:type="dxa"/>
            <w:noWrap/>
            <w:hideMark/>
          </w:tcPr>
          <w:p w14:paraId="70A14555" w14:textId="77777777" w:rsidR="002B32A0" w:rsidRPr="00CE1D7F" w:rsidRDefault="002B32A0" w:rsidP="006258ED">
            <w:pPr>
              <w:pStyle w:val="Tabletext"/>
              <w:jc w:val="center"/>
              <w:rPr>
                <w:b/>
                <w:bCs/>
                <w:szCs w:val="20"/>
              </w:rPr>
            </w:pPr>
            <w:r w:rsidRPr="00CE1D7F">
              <w:rPr>
                <w:b/>
                <w:bCs/>
              </w:rPr>
              <w:t>8.64</w:t>
            </w:r>
          </w:p>
        </w:tc>
      </w:tr>
    </w:tbl>
    <w:p w14:paraId="2F7E45F3" w14:textId="77777777" w:rsidR="000B0AC7" w:rsidRPr="00CE1D7F" w:rsidRDefault="000B0AC7" w:rsidP="000B0AC7">
      <w:pPr>
        <w:pStyle w:val="Tabletext"/>
        <w:ind w:left="-86"/>
        <w:jc w:val="center"/>
        <w:rPr>
          <w:b/>
          <w:bCs/>
        </w:rPr>
      </w:pPr>
      <w:r w:rsidRPr="00CE1D7F">
        <w:rPr>
          <w:i/>
          <w:iCs/>
          <w:sz w:val="16"/>
          <w:szCs w:val="18"/>
        </w:rPr>
        <w:t>Source: ACIL Allen</w:t>
      </w:r>
    </w:p>
    <w:bookmarkEnd w:id="324"/>
    <w:p w14:paraId="6A11437C" w14:textId="70F27618" w:rsidR="002B32A0" w:rsidRPr="00CE1D7F" w:rsidRDefault="002B32A0" w:rsidP="002B32A0">
      <w:pPr>
        <w:pStyle w:val="BodyText"/>
      </w:pPr>
      <w:r w:rsidRPr="00CE1D7F">
        <w:t xml:space="preserve">Sensitivity testing was also conducted for the attribution of benefits to ARC. The central case was an attribution of 40%. The CBA results were tested with a lower bound attribution of 30% and an upper bound attribution of 50%. The results in </w:t>
      </w:r>
      <w:r w:rsidRPr="00F87D0E">
        <w:fldChar w:fldCharType="begin"/>
      </w:r>
      <w:r w:rsidRPr="00F87D0E">
        <w:instrText xml:space="preserve"> REF _Ref129337692 \h  \* MERGEFORMAT </w:instrText>
      </w:r>
      <w:r w:rsidRPr="00F87D0E">
        <w:fldChar w:fldCharType="separate"/>
      </w:r>
      <w:r w:rsidR="000B0AC7" w:rsidRPr="000B0AC7">
        <w:t>Table 8.4</w:t>
      </w:r>
      <w:r w:rsidRPr="00F87D0E">
        <w:fldChar w:fldCharType="end"/>
      </w:r>
      <w:r w:rsidRPr="00CE1D7F">
        <w:t xml:space="preserve"> show that the NPV would fall from $64.5</w:t>
      </w:r>
      <w:r>
        <w:t> million</w:t>
      </w:r>
      <w:r w:rsidRPr="00CE1D7F">
        <w:t xml:space="preserve"> to $44.9</w:t>
      </w:r>
      <w:r>
        <w:t> million</w:t>
      </w:r>
      <w:r w:rsidRPr="00CE1D7F">
        <w:t xml:space="preserve"> and the BCR would fall from 5.76 to 4.32 if the attribution is reduced to 30%. Whereas the Net Present Value would rise to $84</w:t>
      </w:r>
      <w:r>
        <w:t> million</w:t>
      </w:r>
      <w:r w:rsidRPr="00CE1D7F">
        <w:t xml:space="preserve"> and the BCR would rise to 7.20 if the attribution was increased to 50%. The CBA is positive at all 3 discount rates. This demonstrates that the estimated benefits of this project remain considerable even when tested by the range of attribution figures suggested by stakeholders.</w:t>
      </w:r>
    </w:p>
    <w:p w14:paraId="3356DA44" w14:textId="639D6B49" w:rsidR="002B32A0" w:rsidRPr="00CE1D7F" w:rsidRDefault="002B32A0" w:rsidP="000B0AC7">
      <w:pPr>
        <w:pStyle w:val="Caption"/>
        <w:ind w:left="1246" w:hanging="1308"/>
        <w:rPr>
          <w:bCs/>
        </w:rPr>
      </w:pPr>
      <w:bookmarkStart w:id="326" w:name="_Ref129337692"/>
      <w:r w:rsidRPr="00CE1D7F">
        <w:rPr>
          <w:rStyle w:val="CaptionLabel"/>
        </w:rPr>
        <w:t>Table </w:t>
      </w:r>
      <w:r w:rsidRPr="00CE1D7F">
        <w:rPr>
          <w:rStyle w:val="CaptionLabel"/>
        </w:rPr>
        <w:fldChar w:fldCharType="begin"/>
      </w:r>
      <w:r w:rsidRPr="00CE1D7F">
        <w:rPr>
          <w:rStyle w:val="CaptionLabel"/>
        </w:rPr>
        <w:instrText xml:space="preserve"> STYLEREF 1 \S \* MERGEFORMAT </w:instrText>
      </w:r>
      <w:r w:rsidRPr="00CE1D7F">
        <w:rPr>
          <w:rStyle w:val="CaptionLabel"/>
        </w:rPr>
        <w:fldChar w:fldCharType="separate"/>
      </w:r>
      <w:r w:rsidR="000B0AC7">
        <w:rPr>
          <w:rStyle w:val="CaptionLabel"/>
          <w:noProof/>
        </w:rPr>
        <w:t>8</w:t>
      </w:r>
      <w:r w:rsidRPr="00CE1D7F">
        <w:rPr>
          <w:rStyle w:val="CaptionLabel"/>
        </w:rPr>
        <w:fldChar w:fldCharType="end"/>
      </w:r>
      <w:r w:rsidRPr="00CE1D7F">
        <w:rPr>
          <w:rStyle w:val="CaptionLabel"/>
        </w:rPr>
        <w:t>.</w:t>
      </w:r>
      <w:r w:rsidRPr="00CE1D7F">
        <w:rPr>
          <w:rStyle w:val="CaptionLabel"/>
        </w:rPr>
        <w:fldChar w:fldCharType="begin"/>
      </w:r>
      <w:r w:rsidRPr="00CE1D7F">
        <w:rPr>
          <w:rStyle w:val="CaptionLabel"/>
        </w:rPr>
        <w:instrText xml:space="preserve"> SEQ Table \* ARABIC \S 1 \* MERGEFORMAT </w:instrText>
      </w:r>
      <w:r w:rsidRPr="00CE1D7F">
        <w:rPr>
          <w:rStyle w:val="CaptionLabel"/>
        </w:rPr>
        <w:fldChar w:fldCharType="separate"/>
      </w:r>
      <w:r w:rsidR="000B0AC7">
        <w:rPr>
          <w:rStyle w:val="CaptionLabel"/>
          <w:noProof/>
        </w:rPr>
        <w:t>4</w:t>
      </w:r>
      <w:r w:rsidRPr="00CE1D7F">
        <w:rPr>
          <w:rStyle w:val="CaptionLabel"/>
        </w:rPr>
        <w:fldChar w:fldCharType="end"/>
      </w:r>
      <w:bookmarkEnd w:id="326"/>
      <w:r w:rsidRPr="00CE1D7F">
        <w:rPr>
          <w:rStyle w:val="CaptionLabel"/>
        </w:rPr>
        <w:tab/>
      </w:r>
      <w:r w:rsidRPr="00CE1D7F">
        <w:rPr>
          <w:rStyle w:val="CaptionLabel"/>
          <w:b w:val="0"/>
        </w:rPr>
        <w:t>Sensitivity testing attribution to ARC (7% DR, 2022$)</w:t>
      </w:r>
    </w:p>
    <w:tbl>
      <w:tblPr>
        <w:tblStyle w:val="aacTableBasic"/>
        <w:tblW w:w="7998" w:type="dxa"/>
        <w:tblInd w:w="-62" w:type="dxa"/>
        <w:tblLayout w:type="fixed"/>
        <w:tblLook w:val="04A0" w:firstRow="1" w:lastRow="0" w:firstColumn="1" w:lastColumn="0" w:noHBand="0" w:noVBand="1"/>
        <w:tblCaption w:val="Table 8.4 "/>
        <w:tblDescription w:val="Sensitivity testing attribution to ARC (7% DR, 2022$)"/>
      </w:tblPr>
      <w:tblGrid>
        <w:gridCol w:w="3141"/>
        <w:gridCol w:w="1619"/>
        <w:gridCol w:w="1619"/>
        <w:gridCol w:w="1619"/>
      </w:tblGrid>
      <w:tr w:rsidR="002B32A0" w:rsidRPr="00CE1D7F" w14:paraId="2DF4F2B6" w14:textId="77777777" w:rsidTr="000B0AC7">
        <w:trPr>
          <w:cnfStyle w:val="100000000000" w:firstRow="1" w:lastRow="0" w:firstColumn="0" w:lastColumn="0" w:oddVBand="0" w:evenVBand="0" w:oddHBand="0" w:evenHBand="0" w:firstRowFirstColumn="0" w:firstRowLastColumn="0" w:lastRowFirstColumn="0" w:lastRowLastColumn="0"/>
          <w:trHeight w:val="320"/>
        </w:trPr>
        <w:tc>
          <w:tcPr>
            <w:tcW w:w="3141" w:type="dxa"/>
            <w:tcBorders>
              <w:top w:val="nil"/>
            </w:tcBorders>
            <w:shd w:val="solid" w:color="140034" w:fill="140034"/>
            <w:noWrap/>
          </w:tcPr>
          <w:p w14:paraId="260043F6" w14:textId="77777777" w:rsidR="002B32A0" w:rsidRPr="00CE1D7F" w:rsidRDefault="002B32A0" w:rsidP="006258ED">
            <w:pPr>
              <w:pStyle w:val="Tablecolumnheadings"/>
              <w:rPr>
                <w:lang w:eastAsia="ja-JP"/>
              </w:rPr>
            </w:pPr>
          </w:p>
        </w:tc>
        <w:tc>
          <w:tcPr>
            <w:tcW w:w="1619" w:type="dxa"/>
            <w:tcBorders>
              <w:top w:val="nil"/>
            </w:tcBorders>
            <w:shd w:val="solid" w:color="140034" w:fill="140034"/>
            <w:noWrap/>
            <w:hideMark/>
          </w:tcPr>
          <w:p w14:paraId="733C055D" w14:textId="77777777" w:rsidR="002B32A0" w:rsidRPr="00CE1D7F" w:rsidRDefault="002B32A0" w:rsidP="006258ED">
            <w:pPr>
              <w:pStyle w:val="Tablecolumnheadings"/>
              <w:jc w:val="center"/>
              <w:rPr>
                <w:rFonts w:ascii="Calibri" w:hAnsi="Calibri" w:cs="Calibri"/>
                <w:color w:val="000000"/>
                <w:lang w:eastAsia="ja-JP"/>
              </w:rPr>
            </w:pPr>
            <w:r w:rsidRPr="00CE1D7F">
              <w:t>30% attribution</w:t>
            </w:r>
          </w:p>
        </w:tc>
        <w:tc>
          <w:tcPr>
            <w:tcW w:w="1619" w:type="dxa"/>
            <w:tcBorders>
              <w:top w:val="nil"/>
            </w:tcBorders>
            <w:shd w:val="solid" w:color="140034" w:fill="140034"/>
            <w:noWrap/>
            <w:hideMark/>
          </w:tcPr>
          <w:p w14:paraId="60A6A82F" w14:textId="77777777" w:rsidR="002B32A0" w:rsidRPr="00CE1D7F" w:rsidRDefault="002B32A0" w:rsidP="006258ED">
            <w:pPr>
              <w:pStyle w:val="Tablecolumnheadings"/>
              <w:jc w:val="center"/>
              <w:rPr>
                <w:rFonts w:ascii="Calibri" w:hAnsi="Calibri" w:cs="Calibri"/>
                <w:color w:val="000000"/>
                <w:lang w:eastAsia="ja-JP"/>
              </w:rPr>
            </w:pPr>
            <w:r w:rsidRPr="00CE1D7F">
              <w:t>40% attribution</w:t>
            </w:r>
          </w:p>
        </w:tc>
        <w:tc>
          <w:tcPr>
            <w:tcW w:w="1619" w:type="dxa"/>
            <w:tcBorders>
              <w:top w:val="nil"/>
            </w:tcBorders>
            <w:shd w:val="solid" w:color="140034" w:fill="140034"/>
            <w:noWrap/>
            <w:hideMark/>
          </w:tcPr>
          <w:p w14:paraId="748F0663" w14:textId="77777777" w:rsidR="002B32A0" w:rsidRPr="00CE1D7F" w:rsidRDefault="002B32A0" w:rsidP="006258ED">
            <w:pPr>
              <w:pStyle w:val="Tablecolumnheadings"/>
              <w:jc w:val="center"/>
              <w:rPr>
                <w:rFonts w:ascii="Calibri" w:hAnsi="Calibri" w:cs="Calibri"/>
                <w:color w:val="000000"/>
                <w:lang w:eastAsia="ja-JP"/>
              </w:rPr>
            </w:pPr>
            <w:r w:rsidRPr="00CE1D7F">
              <w:t>50% attribution</w:t>
            </w:r>
          </w:p>
        </w:tc>
      </w:tr>
      <w:tr w:rsidR="002B32A0" w:rsidRPr="00CE1D7F" w14:paraId="40A92E5A" w14:textId="77777777" w:rsidTr="000B0AC7">
        <w:trPr>
          <w:trHeight w:val="301"/>
        </w:trPr>
        <w:tc>
          <w:tcPr>
            <w:tcW w:w="3141" w:type="dxa"/>
            <w:noWrap/>
            <w:hideMark/>
          </w:tcPr>
          <w:p w14:paraId="290FF594" w14:textId="77777777" w:rsidR="002B32A0" w:rsidRPr="00CE1D7F" w:rsidRDefault="002B32A0" w:rsidP="006258ED">
            <w:pPr>
              <w:pStyle w:val="Tabletext"/>
              <w:rPr>
                <w:szCs w:val="20"/>
              </w:rPr>
            </w:pPr>
            <w:r w:rsidRPr="00CE1D7F">
              <w:rPr>
                <w:szCs w:val="20"/>
              </w:rPr>
              <w:t>Costs</w:t>
            </w:r>
          </w:p>
        </w:tc>
        <w:tc>
          <w:tcPr>
            <w:tcW w:w="1619" w:type="dxa"/>
            <w:noWrap/>
          </w:tcPr>
          <w:p w14:paraId="644CF0DA" w14:textId="77777777" w:rsidR="002B32A0" w:rsidRPr="00CE1D7F" w:rsidRDefault="002B32A0" w:rsidP="006258ED">
            <w:pPr>
              <w:pStyle w:val="Tabletext"/>
              <w:jc w:val="center"/>
              <w:rPr>
                <w:szCs w:val="20"/>
              </w:rPr>
            </w:pPr>
            <w:r w:rsidRPr="00CE1D7F">
              <w:t>$13,558,319</w:t>
            </w:r>
          </w:p>
        </w:tc>
        <w:tc>
          <w:tcPr>
            <w:tcW w:w="1619" w:type="dxa"/>
            <w:noWrap/>
            <w:hideMark/>
          </w:tcPr>
          <w:p w14:paraId="76C0BCF9" w14:textId="77777777" w:rsidR="002B32A0" w:rsidRPr="00CE1D7F" w:rsidRDefault="002B32A0" w:rsidP="006258ED">
            <w:pPr>
              <w:pStyle w:val="Tabletext"/>
              <w:jc w:val="center"/>
              <w:rPr>
                <w:szCs w:val="20"/>
              </w:rPr>
            </w:pPr>
            <w:r w:rsidRPr="00CE1D7F">
              <w:t>$13,558,319</w:t>
            </w:r>
          </w:p>
        </w:tc>
        <w:tc>
          <w:tcPr>
            <w:tcW w:w="1619" w:type="dxa"/>
            <w:noWrap/>
          </w:tcPr>
          <w:p w14:paraId="5B1E9E3B" w14:textId="77777777" w:rsidR="002B32A0" w:rsidRPr="00CE1D7F" w:rsidRDefault="002B32A0" w:rsidP="006258ED">
            <w:pPr>
              <w:pStyle w:val="Tabletext"/>
              <w:jc w:val="center"/>
              <w:rPr>
                <w:szCs w:val="20"/>
              </w:rPr>
            </w:pPr>
            <w:r w:rsidRPr="00CE1D7F">
              <w:t>$13,558,319</w:t>
            </w:r>
          </w:p>
        </w:tc>
      </w:tr>
      <w:tr w:rsidR="002B32A0" w:rsidRPr="00CE1D7F" w14:paraId="199A67FF" w14:textId="77777777" w:rsidTr="000B0AC7">
        <w:trPr>
          <w:trHeight w:val="301"/>
        </w:trPr>
        <w:tc>
          <w:tcPr>
            <w:tcW w:w="3141" w:type="dxa"/>
            <w:noWrap/>
            <w:hideMark/>
          </w:tcPr>
          <w:p w14:paraId="35640245" w14:textId="77777777" w:rsidR="002B32A0" w:rsidRPr="00CE1D7F" w:rsidRDefault="002B32A0" w:rsidP="006258ED">
            <w:pPr>
              <w:pStyle w:val="Tabletext"/>
              <w:rPr>
                <w:szCs w:val="20"/>
              </w:rPr>
            </w:pPr>
            <w:r w:rsidRPr="00CE1D7F">
              <w:rPr>
                <w:szCs w:val="20"/>
              </w:rPr>
              <w:t>Benefits</w:t>
            </w:r>
          </w:p>
        </w:tc>
        <w:tc>
          <w:tcPr>
            <w:tcW w:w="1619" w:type="dxa"/>
            <w:noWrap/>
          </w:tcPr>
          <w:p w14:paraId="58B7E728" w14:textId="77777777" w:rsidR="002B32A0" w:rsidRPr="00CE1D7F" w:rsidRDefault="002B32A0" w:rsidP="006258ED">
            <w:pPr>
              <w:pStyle w:val="Tabletext"/>
              <w:jc w:val="center"/>
              <w:rPr>
                <w:szCs w:val="20"/>
              </w:rPr>
            </w:pPr>
            <w:r w:rsidRPr="00CE1D7F">
              <w:t>$58,544,169</w:t>
            </w:r>
          </w:p>
        </w:tc>
        <w:tc>
          <w:tcPr>
            <w:tcW w:w="1619" w:type="dxa"/>
            <w:noWrap/>
            <w:hideMark/>
          </w:tcPr>
          <w:p w14:paraId="222BDE6C" w14:textId="77777777" w:rsidR="002B32A0" w:rsidRPr="00CE1D7F" w:rsidRDefault="002B32A0" w:rsidP="006258ED">
            <w:pPr>
              <w:pStyle w:val="Tabletext"/>
              <w:jc w:val="center"/>
              <w:rPr>
                <w:szCs w:val="20"/>
              </w:rPr>
            </w:pPr>
            <w:r w:rsidRPr="00CE1D7F">
              <w:t>$78,058,893</w:t>
            </w:r>
          </w:p>
        </w:tc>
        <w:tc>
          <w:tcPr>
            <w:tcW w:w="1619" w:type="dxa"/>
            <w:noWrap/>
          </w:tcPr>
          <w:p w14:paraId="08009680" w14:textId="77777777" w:rsidR="002B32A0" w:rsidRPr="00CE1D7F" w:rsidRDefault="002B32A0" w:rsidP="006258ED">
            <w:pPr>
              <w:pStyle w:val="Tabletext"/>
              <w:jc w:val="center"/>
              <w:rPr>
                <w:szCs w:val="20"/>
              </w:rPr>
            </w:pPr>
            <w:r w:rsidRPr="00CE1D7F">
              <w:t>$97,573,616</w:t>
            </w:r>
          </w:p>
        </w:tc>
      </w:tr>
      <w:tr w:rsidR="002B32A0" w:rsidRPr="00CE1D7F" w14:paraId="686F3E4F" w14:textId="77777777" w:rsidTr="000B0AC7">
        <w:trPr>
          <w:trHeight w:val="283"/>
        </w:trPr>
        <w:tc>
          <w:tcPr>
            <w:tcW w:w="3141" w:type="dxa"/>
            <w:noWrap/>
            <w:hideMark/>
          </w:tcPr>
          <w:p w14:paraId="53945DA7" w14:textId="77777777" w:rsidR="002B32A0" w:rsidRPr="00CE1D7F" w:rsidRDefault="002B32A0" w:rsidP="006258ED">
            <w:pPr>
              <w:pStyle w:val="Tabletext"/>
              <w:rPr>
                <w:b/>
                <w:bCs/>
                <w:szCs w:val="20"/>
              </w:rPr>
            </w:pPr>
            <w:r w:rsidRPr="00CE1D7F">
              <w:rPr>
                <w:b/>
                <w:bCs/>
                <w:szCs w:val="20"/>
              </w:rPr>
              <w:t>Net impact</w:t>
            </w:r>
          </w:p>
        </w:tc>
        <w:tc>
          <w:tcPr>
            <w:tcW w:w="1619" w:type="dxa"/>
            <w:noWrap/>
          </w:tcPr>
          <w:p w14:paraId="7DD9BC76" w14:textId="77777777" w:rsidR="002B32A0" w:rsidRPr="00CE1D7F" w:rsidRDefault="002B32A0" w:rsidP="006258ED">
            <w:pPr>
              <w:pStyle w:val="Tabletext"/>
              <w:jc w:val="center"/>
              <w:rPr>
                <w:b/>
                <w:bCs/>
                <w:szCs w:val="20"/>
              </w:rPr>
            </w:pPr>
            <w:r w:rsidRPr="00CE1D7F">
              <w:rPr>
                <w:b/>
                <w:bCs/>
              </w:rPr>
              <w:t>$44,985,851</w:t>
            </w:r>
          </w:p>
        </w:tc>
        <w:tc>
          <w:tcPr>
            <w:tcW w:w="1619" w:type="dxa"/>
            <w:noWrap/>
            <w:hideMark/>
          </w:tcPr>
          <w:p w14:paraId="251FF12E" w14:textId="77777777" w:rsidR="002B32A0" w:rsidRPr="00CE1D7F" w:rsidRDefault="002B32A0" w:rsidP="006258ED">
            <w:pPr>
              <w:pStyle w:val="Tabletext"/>
              <w:jc w:val="center"/>
              <w:rPr>
                <w:b/>
                <w:bCs/>
                <w:szCs w:val="20"/>
              </w:rPr>
            </w:pPr>
            <w:r w:rsidRPr="00CE1D7F">
              <w:rPr>
                <w:b/>
                <w:bCs/>
              </w:rPr>
              <w:t>$64,500,574</w:t>
            </w:r>
          </w:p>
        </w:tc>
        <w:tc>
          <w:tcPr>
            <w:tcW w:w="1619" w:type="dxa"/>
            <w:noWrap/>
          </w:tcPr>
          <w:p w14:paraId="5574445B" w14:textId="77777777" w:rsidR="002B32A0" w:rsidRPr="00CE1D7F" w:rsidRDefault="002B32A0" w:rsidP="006258ED">
            <w:pPr>
              <w:pStyle w:val="Tabletext"/>
              <w:jc w:val="center"/>
              <w:rPr>
                <w:b/>
                <w:bCs/>
                <w:szCs w:val="20"/>
              </w:rPr>
            </w:pPr>
            <w:r w:rsidRPr="00CE1D7F">
              <w:rPr>
                <w:b/>
                <w:bCs/>
              </w:rPr>
              <w:t>$84,015,297</w:t>
            </w:r>
          </w:p>
        </w:tc>
      </w:tr>
      <w:tr w:rsidR="002B32A0" w:rsidRPr="00CE1D7F" w14:paraId="7609F5B0" w14:textId="77777777" w:rsidTr="000B0AC7">
        <w:trPr>
          <w:trHeight w:val="301"/>
        </w:trPr>
        <w:tc>
          <w:tcPr>
            <w:tcW w:w="3141" w:type="dxa"/>
            <w:noWrap/>
            <w:hideMark/>
          </w:tcPr>
          <w:p w14:paraId="0EB64215" w14:textId="77777777" w:rsidR="002B32A0" w:rsidRPr="00CE1D7F" w:rsidRDefault="002B32A0" w:rsidP="006258ED">
            <w:pPr>
              <w:pStyle w:val="Tabletext"/>
              <w:rPr>
                <w:b/>
                <w:bCs/>
                <w:szCs w:val="20"/>
              </w:rPr>
            </w:pPr>
            <w:r w:rsidRPr="00CE1D7F">
              <w:rPr>
                <w:b/>
                <w:bCs/>
                <w:szCs w:val="20"/>
              </w:rPr>
              <w:t>BCR</w:t>
            </w:r>
          </w:p>
        </w:tc>
        <w:tc>
          <w:tcPr>
            <w:tcW w:w="1619" w:type="dxa"/>
            <w:noWrap/>
          </w:tcPr>
          <w:p w14:paraId="0111C9E5" w14:textId="77777777" w:rsidR="002B32A0" w:rsidRPr="00CE1D7F" w:rsidRDefault="002B32A0" w:rsidP="006258ED">
            <w:pPr>
              <w:pStyle w:val="Tabletext"/>
              <w:jc w:val="center"/>
              <w:rPr>
                <w:b/>
                <w:bCs/>
                <w:szCs w:val="20"/>
              </w:rPr>
            </w:pPr>
            <w:r w:rsidRPr="00CE1D7F">
              <w:rPr>
                <w:b/>
                <w:bCs/>
              </w:rPr>
              <w:t>4.32</w:t>
            </w:r>
          </w:p>
        </w:tc>
        <w:tc>
          <w:tcPr>
            <w:tcW w:w="1619" w:type="dxa"/>
            <w:noWrap/>
            <w:hideMark/>
          </w:tcPr>
          <w:p w14:paraId="227AF464" w14:textId="77777777" w:rsidR="002B32A0" w:rsidRPr="00CE1D7F" w:rsidRDefault="002B32A0" w:rsidP="006258ED">
            <w:pPr>
              <w:pStyle w:val="Tabletext"/>
              <w:jc w:val="center"/>
              <w:rPr>
                <w:b/>
                <w:bCs/>
                <w:szCs w:val="20"/>
              </w:rPr>
            </w:pPr>
            <w:r w:rsidRPr="00CE1D7F">
              <w:rPr>
                <w:b/>
                <w:bCs/>
              </w:rPr>
              <w:t>5.76</w:t>
            </w:r>
          </w:p>
        </w:tc>
        <w:tc>
          <w:tcPr>
            <w:tcW w:w="1619" w:type="dxa"/>
            <w:noWrap/>
          </w:tcPr>
          <w:p w14:paraId="61FE5B85" w14:textId="77777777" w:rsidR="002B32A0" w:rsidRPr="00CE1D7F" w:rsidRDefault="002B32A0" w:rsidP="006258ED">
            <w:pPr>
              <w:pStyle w:val="Tabletext"/>
              <w:jc w:val="center"/>
              <w:rPr>
                <w:b/>
                <w:bCs/>
                <w:szCs w:val="20"/>
              </w:rPr>
            </w:pPr>
            <w:r w:rsidRPr="00CE1D7F">
              <w:rPr>
                <w:b/>
                <w:bCs/>
              </w:rPr>
              <w:t>7.20</w:t>
            </w:r>
          </w:p>
        </w:tc>
      </w:tr>
      <w:tr w:rsidR="002B32A0" w:rsidRPr="00CE1D7F" w14:paraId="7407DAFC" w14:textId="77777777" w:rsidTr="000B0AC7">
        <w:trPr>
          <w:trHeight w:val="301"/>
        </w:trPr>
        <w:tc>
          <w:tcPr>
            <w:tcW w:w="3141" w:type="dxa"/>
            <w:noWrap/>
          </w:tcPr>
          <w:p w14:paraId="7723468A" w14:textId="77777777" w:rsidR="002B32A0" w:rsidRPr="00CE1D7F" w:rsidRDefault="002B32A0" w:rsidP="006258ED">
            <w:pPr>
              <w:pStyle w:val="Tabletext"/>
              <w:rPr>
                <w:b/>
                <w:bCs/>
                <w:szCs w:val="20"/>
              </w:rPr>
            </w:pPr>
            <w:r w:rsidRPr="00CE1D7F">
              <w:rPr>
                <w:i/>
                <w:iCs/>
                <w:sz w:val="16"/>
                <w:szCs w:val="18"/>
              </w:rPr>
              <w:t>Source: ACIL Allen</w:t>
            </w:r>
          </w:p>
        </w:tc>
        <w:tc>
          <w:tcPr>
            <w:tcW w:w="1619" w:type="dxa"/>
            <w:noWrap/>
          </w:tcPr>
          <w:p w14:paraId="1F5601AA" w14:textId="77777777" w:rsidR="002B32A0" w:rsidRPr="00CE1D7F" w:rsidRDefault="002B32A0" w:rsidP="006258ED">
            <w:pPr>
              <w:pStyle w:val="Tabletext"/>
              <w:jc w:val="center"/>
              <w:rPr>
                <w:b/>
                <w:bCs/>
              </w:rPr>
            </w:pPr>
          </w:p>
        </w:tc>
        <w:tc>
          <w:tcPr>
            <w:tcW w:w="1619" w:type="dxa"/>
            <w:noWrap/>
          </w:tcPr>
          <w:p w14:paraId="418A8F07" w14:textId="77777777" w:rsidR="002B32A0" w:rsidRPr="00CE1D7F" w:rsidRDefault="002B32A0" w:rsidP="006258ED">
            <w:pPr>
              <w:pStyle w:val="Tabletext"/>
              <w:jc w:val="center"/>
              <w:rPr>
                <w:b/>
                <w:bCs/>
              </w:rPr>
            </w:pPr>
          </w:p>
        </w:tc>
        <w:tc>
          <w:tcPr>
            <w:tcW w:w="1619" w:type="dxa"/>
            <w:noWrap/>
          </w:tcPr>
          <w:p w14:paraId="7B9DE930" w14:textId="77777777" w:rsidR="002B32A0" w:rsidRPr="00CE1D7F" w:rsidRDefault="002B32A0" w:rsidP="006258ED">
            <w:pPr>
              <w:pStyle w:val="Tabletext"/>
              <w:jc w:val="center"/>
              <w:rPr>
                <w:b/>
                <w:bCs/>
              </w:rPr>
            </w:pPr>
          </w:p>
        </w:tc>
      </w:tr>
      <w:tr w:rsidR="002B32A0" w:rsidRPr="00CE1D7F" w14:paraId="7114D4DE" w14:textId="77777777" w:rsidTr="000B0AC7">
        <w:trPr>
          <w:trHeight w:hRule="exact" w:val="161"/>
        </w:trPr>
        <w:tc>
          <w:tcPr>
            <w:tcW w:w="3141" w:type="dxa"/>
            <w:noWrap/>
          </w:tcPr>
          <w:p w14:paraId="6C68DBD2" w14:textId="77777777" w:rsidR="002B32A0" w:rsidRPr="00CE1D7F" w:rsidRDefault="002B32A0" w:rsidP="006258ED">
            <w:pPr>
              <w:pStyle w:val="spacer"/>
              <w:spacing w:line="256" w:lineRule="auto"/>
              <w:rPr>
                <w:lang w:eastAsia="ja-JP"/>
              </w:rPr>
            </w:pPr>
          </w:p>
        </w:tc>
        <w:tc>
          <w:tcPr>
            <w:tcW w:w="1619" w:type="dxa"/>
            <w:noWrap/>
          </w:tcPr>
          <w:p w14:paraId="0DC6053F" w14:textId="77777777" w:rsidR="002B32A0" w:rsidRPr="00CE1D7F" w:rsidRDefault="002B32A0" w:rsidP="006258ED">
            <w:pPr>
              <w:pStyle w:val="spacer"/>
              <w:spacing w:line="256" w:lineRule="auto"/>
              <w:rPr>
                <w:lang w:eastAsia="ja-JP"/>
              </w:rPr>
            </w:pPr>
          </w:p>
        </w:tc>
        <w:tc>
          <w:tcPr>
            <w:tcW w:w="1619" w:type="dxa"/>
            <w:noWrap/>
          </w:tcPr>
          <w:p w14:paraId="00C40267" w14:textId="77777777" w:rsidR="002B32A0" w:rsidRPr="00CE1D7F" w:rsidRDefault="002B32A0" w:rsidP="006258ED">
            <w:pPr>
              <w:pStyle w:val="spacer"/>
              <w:spacing w:line="256" w:lineRule="auto"/>
              <w:rPr>
                <w:lang w:eastAsia="ja-JP"/>
              </w:rPr>
            </w:pPr>
          </w:p>
        </w:tc>
        <w:tc>
          <w:tcPr>
            <w:tcW w:w="1619" w:type="dxa"/>
            <w:noWrap/>
          </w:tcPr>
          <w:p w14:paraId="7A9CEBF3" w14:textId="77777777" w:rsidR="002B32A0" w:rsidRPr="00CE1D7F" w:rsidRDefault="002B32A0" w:rsidP="006258ED">
            <w:pPr>
              <w:pStyle w:val="spacer"/>
              <w:spacing w:line="256" w:lineRule="auto"/>
              <w:rPr>
                <w:lang w:eastAsia="ja-JP"/>
              </w:rPr>
            </w:pPr>
          </w:p>
        </w:tc>
      </w:tr>
    </w:tbl>
    <w:p w14:paraId="47373D50" w14:textId="711160AA" w:rsidR="002B32A0" w:rsidRPr="00CE1D7F" w:rsidRDefault="002B32A0" w:rsidP="002B32A0">
      <w:pPr>
        <w:pStyle w:val="BodyText"/>
      </w:pPr>
      <w:r w:rsidRPr="00CE1D7F">
        <w:t xml:space="preserve">Finally, sensitivity testing was conducted for number of years that the ARC research brought the benefits forward by. The central case was that benefits were brought forward by 10 years. The Cost Benefit Analysis results were tested with a lower bound of 5 years and an upper bound of 15 years. The results in </w:t>
      </w:r>
      <w:r w:rsidRPr="00F87D0E">
        <w:fldChar w:fldCharType="begin"/>
      </w:r>
      <w:r w:rsidRPr="00F87D0E">
        <w:instrText xml:space="preserve"> REF _Ref129337714 \h  \* MERGEFORMAT </w:instrText>
      </w:r>
      <w:r w:rsidRPr="00F87D0E">
        <w:fldChar w:fldCharType="separate"/>
      </w:r>
      <w:r w:rsidR="000B0AC7" w:rsidRPr="000B0AC7">
        <w:t>Table 8.5</w:t>
      </w:r>
      <w:r w:rsidRPr="00F87D0E">
        <w:fldChar w:fldCharType="end"/>
      </w:r>
      <w:r w:rsidRPr="00CE1D7F">
        <w:t xml:space="preserve"> show that the Net Present Value would fall from $64.5</w:t>
      </w:r>
      <w:r>
        <w:t> million</w:t>
      </w:r>
      <w:r w:rsidRPr="00CE1D7F">
        <w:t xml:space="preserve"> to $33</w:t>
      </w:r>
      <w:r>
        <w:t> million</w:t>
      </w:r>
      <w:r w:rsidRPr="00CE1D7F">
        <w:t xml:space="preserve"> and the BCR would fall from 5.76 to 3.44 if the benefits were only brought forward by 5 years. Whereas the NPV would rise to $84.5</w:t>
      </w:r>
      <w:r>
        <w:t> million</w:t>
      </w:r>
      <w:r w:rsidRPr="00CE1D7F">
        <w:t>, and the BCR would rise to 7.23 if the benefits were brought forward 15 years. The CBA is positive at all 3 discount rates. This demonstrates that the estimated benefits of this project are still positive even if the research only brought forward the benefits by 5 years.</w:t>
      </w:r>
    </w:p>
    <w:p w14:paraId="2D37F8DC" w14:textId="7CE0943A" w:rsidR="002B32A0" w:rsidRPr="00CE1D7F" w:rsidRDefault="002B32A0" w:rsidP="000B0AC7">
      <w:pPr>
        <w:pStyle w:val="Caption"/>
        <w:ind w:left="1246" w:hanging="1308"/>
        <w:rPr>
          <w:bCs/>
        </w:rPr>
      </w:pPr>
      <w:bookmarkStart w:id="327" w:name="_Ref129337714"/>
      <w:r w:rsidRPr="00CE1D7F">
        <w:rPr>
          <w:rStyle w:val="CaptionLabel"/>
        </w:rPr>
        <w:t>Table </w:t>
      </w:r>
      <w:r w:rsidRPr="00CE1D7F">
        <w:rPr>
          <w:rStyle w:val="CaptionLabel"/>
        </w:rPr>
        <w:fldChar w:fldCharType="begin"/>
      </w:r>
      <w:r w:rsidRPr="00CE1D7F">
        <w:rPr>
          <w:rStyle w:val="CaptionLabel"/>
        </w:rPr>
        <w:instrText xml:space="preserve"> STYLEREF 1 \S \* MERGEFORMAT </w:instrText>
      </w:r>
      <w:r w:rsidRPr="00CE1D7F">
        <w:rPr>
          <w:rStyle w:val="CaptionLabel"/>
        </w:rPr>
        <w:fldChar w:fldCharType="separate"/>
      </w:r>
      <w:r w:rsidR="000B0AC7">
        <w:rPr>
          <w:rStyle w:val="CaptionLabel"/>
          <w:noProof/>
        </w:rPr>
        <w:t>8</w:t>
      </w:r>
      <w:r w:rsidRPr="00CE1D7F">
        <w:rPr>
          <w:rStyle w:val="CaptionLabel"/>
        </w:rPr>
        <w:fldChar w:fldCharType="end"/>
      </w:r>
      <w:r w:rsidRPr="00CE1D7F">
        <w:rPr>
          <w:rStyle w:val="CaptionLabel"/>
        </w:rPr>
        <w:t>.</w:t>
      </w:r>
      <w:r w:rsidRPr="00CE1D7F">
        <w:rPr>
          <w:rStyle w:val="CaptionLabel"/>
        </w:rPr>
        <w:fldChar w:fldCharType="begin"/>
      </w:r>
      <w:r w:rsidRPr="00CE1D7F">
        <w:rPr>
          <w:rStyle w:val="CaptionLabel"/>
        </w:rPr>
        <w:instrText xml:space="preserve"> SEQ Table \* ARABIC \S 1 \* MERGEFORMAT </w:instrText>
      </w:r>
      <w:r w:rsidRPr="00CE1D7F">
        <w:rPr>
          <w:rStyle w:val="CaptionLabel"/>
        </w:rPr>
        <w:fldChar w:fldCharType="separate"/>
      </w:r>
      <w:r w:rsidR="000B0AC7">
        <w:rPr>
          <w:rStyle w:val="CaptionLabel"/>
          <w:noProof/>
        </w:rPr>
        <w:t>5</w:t>
      </w:r>
      <w:r w:rsidRPr="00CE1D7F">
        <w:rPr>
          <w:rStyle w:val="CaptionLabel"/>
        </w:rPr>
        <w:fldChar w:fldCharType="end"/>
      </w:r>
      <w:bookmarkEnd w:id="327"/>
      <w:r w:rsidRPr="00CE1D7F">
        <w:rPr>
          <w:rStyle w:val="CaptionLabel"/>
        </w:rPr>
        <w:tab/>
      </w:r>
      <w:r w:rsidRPr="00CE1D7F">
        <w:rPr>
          <w:rStyle w:val="CaptionLabel"/>
          <w:b w:val="0"/>
        </w:rPr>
        <w:t>Sensitivity testing number of years that ARC funding brought forward benefits (7% DR, 2022$)</w:t>
      </w:r>
    </w:p>
    <w:tbl>
      <w:tblPr>
        <w:tblStyle w:val="aacTableBasic"/>
        <w:tblW w:w="7998" w:type="dxa"/>
        <w:tblInd w:w="-62" w:type="dxa"/>
        <w:tblLayout w:type="fixed"/>
        <w:tblLook w:val="04A0" w:firstRow="1" w:lastRow="0" w:firstColumn="1" w:lastColumn="0" w:noHBand="0" w:noVBand="1"/>
        <w:tblCaption w:val="Table 8.5"/>
        <w:tblDescription w:val="Sensitivity testing number of years that ARC funding brought forward benefits (7% DR, 2022$)"/>
      </w:tblPr>
      <w:tblGrid>
        <w:gridCol w:w="3141"/>
        <w:gridCol w:w="1619"/>
        <w:gridCol w:w="1619"/>
        <w:gridCol w:w="1619"/>
      </w:tblGrid>
      <w:tr w:rsidR="002B32A0" w:rsidRPr="00CE1D7F" w14:paraId="5A96F0A8" w14:textId="77777777" w:rsidTr="000B0AC7">
        <w:trPr>
          <w:cnfStyle w:val="100000000000" w:firstRow="1" w:lastRow="0" w:firstColumn="0" w:lastColumn="0" w:oddVBand="0" w:evenVBand="0" w:oddHBand="0" w:evenHBand="0" w:firstRowFirstColumn="0" w:firstRowLastColumn="0" w:lastRowFirstColumn="0" w:lastRowLastColumn="0"/>
          <w:trHeight w:val="275"/>
        </w:trPr>
        <w:tc>
          <w:tcPr>
            <w:tcW w:w="3141" w:type="dxa"/>
            <w:tcBorders>
              <w:top w:val="nil"/>
            </w:tcBorders>
            <w:shd w:val="solid" w:color="140034" w:fill="140034"/>
            <w:noWrap/>
          </w:tcPr>
          <w:p w14:paraId="5752DEBF" w14:textId="77777777" w:rsidR="002B32A0" w:rsidRPr="00CE1D7F" w:rsidRDefault="002B32A0" w:rsidP="006258ED">
            <w:pPr>
              <w:pStyle w:val="Tablecolumnheadings"/>
              <w:rPr>
                <w:lang w:eastAsia="ja-JP"/>
              </w:rPr>
            </w:pPr>
          </w:p>
        </w:tc>
        <w:tc>
          <w:tcPr>
            <w:tcW w:w="1619" w:type="dxa"/>
            <w:tcBorders>
              <w:top w:val="nil"/>
            </w:tcBorders>
            <w:shd w:val="solid" w:color="140034" w:fill="140034"/>
            <w:noWrap/>
            <w:hideMark/>
          </w:tcPr>
          <w:p w14:paraId="21382286" w14:textId="77777777" w:rsidR="002B32A0" w:rsidRPr="00CE1D7F" w:rsidRDefault="002B32A0" w:rsidP="006258ED">
            <w:pPr>
              <w:pStyle w:val="Tablecolumnheadings"/>
              <w:jc w:val="center"/>
              <w:rPr>
                <w:rFonts w:ascii="Calibri" w:hAnsi="Calibri" w:cs="Calibri"/>
                <w:color w:val="000000"/>
                <w:lang w:eastAsia="ja-JP"/>
              </w:rPr>
            </w:pPr>
            <w:r w:rsidRPr="00CE1D7F">
              <w:t>5 years</w:t>
            </w:r>
          </w:p>
        </w:tc>
        <w:tc>
          <w:tcPr>
            <w:tcW w:w="1619" w:type="dxa"/>
            <w:tcBorders>
              <w:top w:val="nil"/>
            </w:tcBorders>
            <w:shd w:val="solid" w:color="140034" w:fill="140034"/>
            <w:noWrap/>
            <w:hideMark/>
          </w:tcPr>
          <w:p w14:paraId="0191400E" w14:textId="77777777" w:rsidR="002B32A0" w:rsidRPr="00CE1D7F" w:rsidRDefault="002B32A0" w:rsidP="006258ED">
            <w:pPr>
              <w:pStyle w:val="Tablecolumnheadings"/>
              <w:jc w:val="center"/>
              <w:rPr>
                <w:rFonts w:ascii="Calibri" w:hAnsi="Calibri" w:cs="Calibri"/>
                <w:color w:val="000000"/>
                <w:lang w:eastAsia="ja-JP"/>
              </w:rPr>
            </w:pPr>
            <w:r w:rsidRPr="00CE1D7F">
              <w:t>10 years</w:t>
            </w:r>
          </w:p>
        </w:tc>
        <w:tc>
          <w:tcPr>
            <w:tcW w:w="1619" w:type="dxa"/>
            <w:tcBorders>
              <w:top w:val="nil"/>
            </w:tcBorders>
            <w:shd w:val="solid" w:color="140034" w:fill="140034"/>
            <w:noWrap/>
            <w:hideMark/>
          </w:tcPr>
          <w:p w14:paraId="3C53169A" w14:textId="77777777" w:rsidR="002B32A0" w:rsidRPr="00CE1D7F" w:rsidRDefault="002B32A0" w:rsidP="006258ED">
            <w:pPr>
              <w:pStyle w:val="Tablecolumnheadings"/>
              <w:jc w:val="center"/>
              <w:rPr>
                <w:rFonts w:ascii="Calibri" w:hAnsi="Calibri" w:cs="Calibri"/>
                <w:color w:val="000000"/>
                <w:lang w:eastAsia="ja-JP"/>
              </w:rPr>
            </w:pPr>
            <w:r w:rsidRPr="00CE1D7F">
              <w:t>15 years</w:t>
            </w:r>
          </w:p>
        </w:tc>
      </w:tr>
      <w:tr w:rsidR="002B32A0" w:rsidRPr="00CE1D7F" w14:paraId="2237F85B" w14:textId="77777777" w:rsidTr="000B0AC7">
        <w:trPr>
          <w:trHeight w:val="258"/>
        </w:trPr>
        <w:tc>
          <w:tcPr>
            <w:tcW w:w="3141" w:type="dxa"/>
            <w:noWrap/>
            <w:hideMark/>
          </w:tcPr>
          <w:p w14:paraId="6B9B32BF" w14:textId="77777777" w:rsidR="002B32A0" w:rsidRPr="00CE1D7F" w:rsidRDefault="002B32A0" w:rsidP="006258ED">
            <w:pPr>
              <w:pStyle w:val="Tabletext"/>
              <w:rPr>
                <w:szCs w:val="20"/>
              </w:rPr>
            </w:pPr>
            <w:r w:rsidRPr="00CE1D7F">
              <w:rPr>
                <w:szCs w:val="20"/>
              </w:rPr>
              <w:t>Costs</w:t>
            </w:r>
          </w:p>
        </w:tc>
        <w:tc>
          <w:tcPr>
            <w:tcW w:w="1619" w:type="dxa"/>
            <w:noWrap/>
          </w:tcPr>
          <w:p w14:paraId="3BF6C1CC" w14:textId="77777777" w:rsidR="002B32A0" w:rsidRPr="00CE1D7F" w:rsidRDefault="002B32A0" w:rsidP="006258ED">
            <w:pPr>
              <w:pStyle w:val="Tabletext"/>
              <w:jc w:val="center"/>
              <w:rPr>
                <w:szCs w:val="20"/>
              </w:rPr>
            </w:pPr>
            <w:r w:rsidRPr="00CE1D7F">
              <w:t>$13,558,319</w:t>
            </w:r>
          </w:p>
        </w:tc>
        <w:tc>
          <w:tcPr>
            <w:tcW w:w="1619" w:type="dxa"/>
            <w:noWrap/>
            <w:hideMark/>
          </w:tcPr>
          <w:p w14:paraId="0475850E" w14:textId="77777777" w:rsidR="002B32A0" w:rsidRPr="00CE1D7F" w:rsidRDefault="002B32A0" w:rsidP="006258ED">
            <w:pPr>
              <w:pStyle w:val="Tabletext"/>
              <w:jc w:val="center"/>
              <w:rPr>
                <w:szCs w:val="20"/>
              </w:rPr>
            </w:pPr>
            <w:r w:rsidRPr="00CE1D7F">
              <w:t>$13,558,319</w:t>
            </w:r>
          </w:p>
        </w:tc>
        <w:tc>
          <w:tcPr>
            <w:tcW w:w="1619" w:type="dxa"/>
            <w:noWrap/>
          </w:tcPr>
          <w:p w14:paraId="2B7E2AAD" w14:textId="77777777" w:rsidR="002B32A0" w:rsidRPr="00CE1D7F" w:rsidRDefault="002B32A0" w:rsidP="006258ED">
            <w:pPr>
              <w:pStyle w:val="Tabletext"/>
              <w:jc w:val="center"/>
              <w:rPr>
                <w:szCs w:val="20"/>
              </w:rPr>
            </w:pPr>
            <w:r w:rsidRPr="00CE1D7F">
              <w:t>$13,558,319</w:t>
            </w:r>
          </w:p>
        </w:tc>
      </w:tr>
      <w:tr w:rsidR="002B32A0" w:rsidRPr="00CE1D7F" w14:paraId="22284657" w14:textId="77777777" w:rsidTr="000B0AC7">
        <w:trPr>
          <w:trHeight w:val="258"/>
        </w:trPr>
        <w:tc>
          <w:tcPr>
            <w:tcW w:w="3141" w:type="dxa"/>
            <w:noWrap/>
            <w:hideMark/>
          </w:tcPr>
          <w:p w14:paraId="583F75CD" w14:textId="77777777" w:rsidR="002B32A0" w:rsidRPr="00CE1D7F" w:rsidRDefault="002B32A0" w:rsidP="006258ED">
            <w:pPr>
              <w:pStyle w:val="Tabletext"/>
              <w:rPr>
                <w:szCs w:val="20"/>
              </w:rPr>
            </w:pPr>
            <w:r w:rsidRPr="00CE1D7F">
              <w:rPr>
                <w:szCs w:val="20"/>
              </w:rPr>
              <w:t>Benefits</w:t>
            </w:r>
          </w:p>
        </w:tc>
        <w:tc>
          <w:tcPr>
            <w:tcW w:w="1619" w:type="dxa"/>
            <w:noWrap/>
          </w:tcPr>
          <w:p w14:paraId="159722E6" w14:textId="77777777" w:rsidR="002B32A0" w:rsidRPr="00CE1D7F" w:rsidRDefault="002B32A0" w:rsidP="006258ED">
            <w:pPr>
              <w:pStyle w:val="Tabletext"/>
              <w:jc w:val="center"/>
              <w:rPr>
                <w:szCs w:val="20"/>
              </w:rPr>
            </w:pPr>
            <w:r w:rsidRPr="00CE1D7F">
              <w:t>$46,601,353</w:t>
            </w:r>
          </w:p>
        </w:tc>
        <w:tc>
          <w:tcPr>
            <w:tcW w:w="1619" w:type="dxa"/>
            <w:noWrap/>
            <w:hideMark/>
          </w:tcPr>
          <w:p w14:paraId="62229AD5" w14:textId="77777777" w:rsidR="002B32A0" w:rsidRPr="00CE1D7F" w:rsidRDefault="002B32A0" w:rsidP="006258ED">
            <w:pPr>
              <w:pStyle w:val="Tabletext"/>
              <w:jc w:val="center"/>
              <w:rPr>
                <w:szCs w:val="20"/>
              </w:rPr>
            </w:pPr>
            <w:r w:rsidRPr="00CE1D7F">
              <w:t>$78,058,893</w:t>
            </w:r>
          </w:p>
        </w:tc>
        <w:tc>
          <w:tcPr>
            <w:tcW w:w="1619" w:type="dxa"/>
            <w:noWrap/>
          </w:tcPr>
          <w:p w14:paraId="649ACFF1" w14:textId="77777777" w:rsidR="002B32A0" w:rsidRPr="00CE1D7F" w:rsidRDefault="002B32A0" w:rsidP="006258ED">
            <w:pPr>
              <w:pStyle w:val="Tabletext"/>
              <w:jc w:val="center"/>
              <w:rPr>
                <w:szCs w:val="20"/>
              </w:rPr>
            </w:pPr>
            <w:r w:rsidRPr="00CE1D7F">
              <w:t>$98,056,782</w:t>
            </w:r>
          </w:p>
        </w:tc>
      </w:tr>
      <w:tr w:rsidR="002B32A0" w:rsidRPr="00CE1D7F" w14:paraId="0930F378" w14:textId="77777777" w:rsidTr="000B0AC7">
        <w:trPr>
          <w:trHeight w:val="243"/>
        </w:trPr>
        <w:tc>
          <w:tcPr>
            <w:tcW w:w="3141" w:type="dxa"/>
            <w:noWrap/>
            <w:hideMark/>
          </w:tcPr>
          <w:p w14:paraId="7E1F3FC2" w14:textId="77777777" w:rsidR="002B32A0" w:rsidRPr="00CE1D7F" w:rsidRDefault="002B32A0" w:rsidP="006258ED">
            <w:pPr>
              <w:pStyle w:val="Tabletext"/>
              <w:rPr>
                <w:b/>
                <w:bCs/>
                <w:szCs w:val="20"/>
              </w:rPr>
            </w:pPr>
            <w:r w:rsidRPr="00CE1D7F">
              <w:rPr>
                <w:b/>
                <w:bCs/>
                <w:szCs w:val="20"/>
              </w:rPr>
              <w:t>Net impact</w:t>
            </w:r>
          </w:p>
        </w:tc>
        <w:tc>
          <w:tcPr>
            <w:tcW w:w="1619" w:type="dxa"/>
            <w:noWrap/>
          </w:tcPr>
          <w:p w14:paraId="0FDDF29C" w14:textId="77777777" w:rsidR="002B32A0" w:rsidRPr="00CE1D7F" w:rsidRDefault="002B32A0" w:rsidP="006258ED">
            <w:pPr>
              <w:pStyle w:val="Tabletext"/>
              <w:jc w:val="center"/>
              <w:rPr>
                <w:b/>
                <w:bCs/>
                <w:szCs w:val="20"/>
              </w:rPr>
            </w:pPr>
            <w:r w:rsidRPr="00CE1D7F">
              <w:rPr>
                <w:b/>
                <w:bCs/>
              </w:rPr>
              <w:t>$33,043,034</w:t>
            </w:r>
          </w:p>
        </w:tc>
        <w:tc>
          <w:tcPr>
            <w:tcW w:w="1619" w:type="dxa"/>
            <w:noWrap/>
            <w:hideMark/>
          </w:tcPr>
          <w:p w14:paraId="50B10B56" w14:textId="77777777" w:rsidR="002B32A0" w:rsidRPr="00CE1D7F" w:rsidRDefault="002B32A0" w:rsidP="006258ED">
            <w:pPr>
              <w:pStyle w:val="Tabletext"/>
              <w:jc w:val="center"/>
              <w:rPr>
                <w:b/>
                <w:bCs/>
                <w:szCs w:val="20"/>
              </w:rPr>
            </w:pPr>
            <w:r w:rsidRPr="00CE1D7F">
              <w:rPr>
                <w:b/>
                <w:bCs/>
              </w:rPr>
              <w:t>$64,500,574</w:t>
            </w:r>
          </w:p>
        </w:tc>
        <w:tc>
          <w:tcPr>
            <w:tcW w:w="1619" w:type="dxa"/>
            <w:noWrap/>
          </w:tcPr>
          <w:p w14:paraId="330CB2B7" w14:textId="77777777" w:rsidR="002B32A0" w:rsidRPr="00CE1D7F" w:rsidRDefault="002B32A0" w:rsidP="006258ED">
            <w:pPr>
              <w:pStyle w:val="Tabletext"/>
              <w:jc w:val="center"/>
              <w:rPr>
                <w:b/>
                <w:bCs/>
                <w:szCs w:val="20"/>
              </w:rPr>
            </w:pPr>
            <w:r w:rsidRPr="00CE1D7F">
              <w:rPr>
                <w:b/>
                <w:bCs/>
              </w:rPr>
              <w:t>$84,498,464</w:t>
            </w:r>
          </w:p>
        </w:tc>
      </w:tr>
      <w:tr w:rsidR="002B32A0" w:rsidRPr="00CE1D7F" w14:paraId="5AA9A2FD" w14:textId="77777777" w:rsidTr="000B0AC7">
        <w:trPr>
          <w:trHeight w:val="258"/>
        </w:trPr>
        <w:tc>
          <w:tcPr>
            <w:tcW w:w="3141" w:type="dxa"/>
            <w:noWrap/>
            <w:hideMark/>
          </w:tcPr>
          <w:p w14:paraId="35F90608" w14:textId="77777777" w:rsidR="002B32A0" w:rsidRPr="00CE1D7F" w:rsidRDefault="002B32A0" w:rsidP="006258ED">
            <w:pPr>
              <w:pStyle w:val="Tabletext"/>
              <w:rPr>
                <w:b/>
                <w:bCs/>
                <w:szCs w:val="20"/>
              </w:rPr>
            </w:pPr>
            <w:r w:rsidRPr="00CE1D7F">
              <w:rPr>
                <w:b/>
                <w:bCs/>
                <w:szCs w:val="20"/>
              </w:rPr>
              <w:t>BCR</w:t>
            </w:r>
          </w:p>
        </w:tc>
        <w:tc>
          <w:tcPr>
            <w:tcW w:w="1619" w:type="dxa"/>
            <w:noWrap/>
          </w:tcPr>
          <w:p w14:paraId="2D6926AA" w14:textId="77777777" w:rsidR="002B32A0" w:rsidRPr="00CE1D7F" w:rsidRDefault="002B32A0" w:rsidP="006258ED">
            <w:pPr>
              <w:pStyle w:val="Tabletext"/>
              <w:jc w:val="center"/>
              <w:rPr>
                <w:b/>
                <w:bCs/>
                <w:szCs w:val="20"/>
              </w:rPr>
            </w:pPr>
            <w:r w:rsidRPr="00CE1D7F">
              <w:rPr>
                <w:b/>
                <w:bCs/>
              </w:rPr>
              <w:t>3.44</w:t>
            </w:r>
          </w:p>
        </w:tc>
        <w:tc>
          <w:tcPr>
            <w:tcW w:w="1619" w:type="dxa"/>
            <w:noWrap/>
            <w:hideMark/>
          </w:tcPr>
          <w:p w14:paraId="35FD25B8" w14:textId="77777777" w:rsidR="002B32A0" w:rsidRPr="00CE1D7F" w:rsidRDefault="002B32A0" w:rsidP="006258ED">
            <w:pPr>
              <w:pStyle w:val="Tabletext"/>
              <w:jc w:val="center"/>
              <w:rPr>
                <w:b/>
                <w:bCs/>
                <w:szCs w:val="20"/>
              </w:rPr>
            </w:pPr>
            <w:r w:rsidRPr="00CE1D7F">
              <w:rPr>
                <w:b/>
                <w:bCs/>
              </w:rPr>
              <w:t>5.76</w:t>
            </w:r>
          </w:p>
        </w:tc>
        <w:tc>
          <w:tcPr>
            <w:tcW w:w="1619" w:type="dxa"/>
            <w:noWrap/>
          </w:tcPr>
          <w:p w14:paraId="4B9CD524" w14:textId="77777777" w:rsidR="002B32A0" w:rsidRPr="00CE1D7F" w:rsidRDefault="002B32A0" w:rsidP="006258ED">
            <w:pPr>
              <w:pStyle w:val="Tabletext"/>
              <w:jc w:val="center"/>
              <w:rPr>
                <w:b/>
                <w:bCs/>
                <w:szCs w:val="20"/>
              </w:rPr>
            </w:pPr>
            <w:r w:rsidRPr="00CE1D7F">
              <w:rPr>
                <w:b/>
                <w:bCs/>
              </w:rPr>
              <w:t>7.23</w:t>
            </w:r>
          </w:p>
        </w:tc>
      </w:tr>
      <w:tr w:rsidR="002B32A0" w:rsidRPr="00CE1D7F" w14:paraId="52F04CBA" w14:textId="77777777" w:rsidTr="000B0AC7">
        <w:trPr>
          <w:trHeight w:val="86"/>
        </w:trPr>
        <w:tc>
          <w:tcPr>
            <w:tcW w:w="3141" w:type="dxa"/>
            <w:noWrap/>
          </w:tcPr>
          <w:p w14:paraId="38DEA6BE" w14:textId="77777777" w:rsidR="002B32A0" w:rsidRPr="00CE1D7F" w:rsidRDefault="002B32A0" w:rsidP="006258ED">
            <w:pPr>
              <w:pStyle w:val="Tabletext"/>
              <w:rPr>
                <w:b/>
                <w:bCs/>
                <w:szCs w:val="20"/>
              </w:rPr>
            </w:pPr>
            <w:r w:rsidRPr="00CE1D7F">
              <w:rPr>
                <w:i/>
                <w:iCs/>
                <w:sz w:val="16"/>
                <w:szCs w:val="18"/>
              </w:rPr>
              <w:t>Source: ACIL Allen</w:t>
            </w:r>
          </w:p>
        </w:tc>
        <w:tc>
          <w:tcPr>
            <w:tcW w:w="1619" w:type="dxa"/>
            <w:noWrap/>
          </w:tcPr>
          <w:p w14:paraId="50AF90E7" w14:textId="77777777" w:rsidR="002B32A0" w:rsidRPr="00CE1D7F" w:rsidRDefault="002B32A0" w:rsidP="006258ED">
            <w:pPr>
              <w:pStyle w:val="Tabletext"/>
              <w:jc w:val="center"/>
              <w:rPr>
                <w:b/>
                <w:bCs/>
              </w:rPr>
            </w:pPr>
          </w:p>
        </w:tc>
        <w:tc>
          <w:tcPr>
            <w:tcW w:w="1619" w:type="dxa"/>
            <w:noWrap/>
          </w:tcPr>
          <w:p w14:paraId="7A56CB80" w14:textId="77777777" w:rsidR="002B32A0" w:rsidRPr="00CE1D7F" w:rsidRDefault="002B32A0" w:rsidP="006258ED">
            <w:pPr>
              <w:pStyle w:val="Tabletext"/>
              <w:jc w:val="center"/>
              <w:rPr>
                <w:b/>
                <w:bCs/>
              </w:rPr>
            </w:pPr>
          </w:p>
        </w:tc>
        <w:tc>
          <w:tcPr>
            <w:tcW w:w="1619" w:type="dxa"/>
            <w:noWrap/>
          </w:tcPr>
          <w:p w14:paraId="6EC9E8AE" w14:textId="77777777" w:rsidR="002B32A0" w:rsidRPr="00CE1D7F" w:rsidRDefault="002B32A0" w:rsidP="006258ED">
            <w:pPr>
              <w:pStyle w:val="Tabletext"/>
              <w:jc w:val="center"/>
              <w:rPr>
                <w:b/>
                <w:bCs/>
              </w:rPr>
            </w:pPr>
          </w:p>
        </w:tc>
      </w:tr>
      <w:tr w:rsidR="002B32A0" w:rsidRPr="00CE1D7F" w14:paraId="4D640BD8" w14:textId="77777777" w:rsidTr="000B0AC7">
        <w:trPr>
          <w:trHeight w:hRule="exact" w:val="138"/>
        </w:trPr>
        <w:tc>
          <w:tcPr>
            <w:tcW w:w="3141" w:type="dxa"/>
            <w:noWrap/>
          </w:tcPr>
          <w:p w14:paraId="67BC5C9A" w14:textId="77777777" w:rsidR="002B32A0" w:rsidRPr="00CE1D7F" w:rsidRDefault="002B32A0" w:rsidP="006258ED">
            <w:pPr>
              <w:pStyle w:val="spacer"/>
              <w:spacing w:line="256" w:lineRule="auto"/>
              <w:rPr>
                <w:lang w:eastAsia="ja-JP"/>
              </w:rPr>
            </w:pPr>
          </w:p>
        </w:tc>
        <w:tc>
          <w:tcPr>
            <w:tcW w:w="1619" w:type="dxa"/>
            <w:noWrap/>
          </w:tcPr>
          <w:p w14:paraId="40396267" w14:textId="77777777" w:rsidR="002B32A0" w:rsidRPr="00CE1D7F" w:rsidRDefault="002B32A0" w:rsidP="006258ED">
            <w:pPr>
              <w:pStyle w:val="spacer"/>
              <w:spacing w:line="256" w:lineRule="auto"/>
              <w:rPr>
                <w:lang w:eastAsia="ja-JP"/>
              </w:rPr>
            </w:pPr>
          </w:p>
        </w:tc>
        <w:tc>
          <w:tcPr>
            <w:tcW w:w="1619" w:type="dxa"/>
            <w:noWrap/>
          </w:tcPr>
          <w:p w14:paraId="7480D6D1" w14:textId="77777777" w:rsidR="002B32A0" w:rsidRPr="00CE1D7F" w:rsidRDefault="002B32A0" w:rsidP="006258ED">
            <w:pPr>
              <w:pStyle w:val="spacer"/>
              <w:spacing w:line="256" w:lineRule="auto"/>
              <w:rPr>
                <w:lang w:eastAsia="ja-JP"/>
              </w:rPr>
            </w:pPr>
          </w:p>
        </w:tc>
        <w:tc>
          <w:tcPr>
            <w:tcW w:w="1619" w:type="dxa"/>
            <w:noWrap/>
          </w:tcPr>
          <w:p w14:paraId="0DBE021F" w14:textId="77777777" w:rsidR="002B32A0" w:rsidRPr="00CE1D7F" w:rsidRDefault="002B32A0" w:rsidP="006258ED">
            <w:pPr>
              <w:pStyle w:val="spacer"/>
              <w:spacing w:line="256" w:lineRule="auto"/>
              <w:rPr>
                <w:lang w:eastAsia="ja-JP"/>
              </w:rPr>
            </w:pPr>
          </w:p>
        </w:tc>
      </w:tr>
    </w:tbl>
    <w:p w14:paraId="12273A3C" w14:textId="1FAAE5F5" w:rsidR="002B32A0" w:rsidRPr="00CE1D7F" w:rsidRDefault="002B32A0" w:rsidP="00F1551B">
      <w:pPr>
        <w:pStyle w:val="Heading3"/>
      </w:pPr>
      <w:r w:rsidRPr="00CE1D7F">
        <w:t xml:space="preserve">Social impacts </w:t>
      </w:r>
    </w:p>
    <w:p w14:paraId="05F1BE55" w14:textId="77777777" w:rsidR="002B32A0" w:rsidRPr="00CE1D7F" w:rsidRDefault="002B32A0" w:rsidP="002B32A0">
      <w:pPr>
        <w:pStyle w:val="Heading4"/>
      </w:pPr>
      <w:r w:rsidRPr="00CE1D7F">
        <w:t xml:space="preserve">Educational impacts </w:t>
      </w:r>
    </w:p>
    <w:p w14:paraId="261F6EA4" w14:textId="77777777" w:rsidR="002B32A0" w:rsidRPr="00CE1D7F" w:rsidRDefault="002B32A0" w:rsidP="002B32A0">
      <w:pPr>
        <w:pStyle w:val="BodyText"/>
      </w:pPr>
      <w:r w:rsidRPr="00CE1D7F">
        <w:t xml:space="preserve">2 PhD students have specifically worked on the water recycling research discussed in this case study. Both of these students are currently writing their theses while working full-time. One works for an analytical chemistry company and the other for an engineering consulting company delivering water services to the mining industry. </w:t>
      </w:r>
    </w:p>
    <w:p w14:paraId="1EE4400E" w14:textId="77777777" w:rsidR="002B32A0" w:rsidRPr="00CE1D7F" w:rsidRDefault="002B32A0" w:rsidP="002B32A0">
      <w:pPr>
        <w:pStyle w:val="BodyText"/>
      </w:pPr>
      <w:r w:rsidRPr="00CE1D7F">
        <w:t>Other PhD graduates from the CWQRC are employed by the WAWC (2 former students), consulting engineering firms (2 former students), commercial analytical laboratories (3 former students), postdoctoral fellowships/academia (5 former students). It is clear that the CWQRC has, over time, provided a steady supply of graduates that have contributed their expertise to the operations of different businesses and carried out further research.</w:t>
      </w:r>
      <w:r w:rsidRPr="00CE1D7F">
        <w:rPr>
          <w:rStyle w:val="FootnoteReference"/>
        </w:rPr>
        <w:footnoteReference w:id="148"/>
      </w:r>
      <w:r w:rsidRPr="00CE1D7F">
        <w:t xml:space="preserve"> </w:t>
      </w:r>
    </w:p>
    <w:p w14:paraId="357A0E96" w14:textId="77777777" w:rsidR="002B32A0" w:rsidRPr="00CE1D7F" w:rsidRDefault="002B32A0" w:rsidP="002B32A0">
      <w:pPr>
        <w:pStyle w:val="BodyText"/>
      </w:pPr>
      <w:r w:rsidRPr="00CE1D7F">
        <w:t>Dr Cynthia Joll stated that:</w:t>
      </w:r>
    </w:p>
    <w:p w14:paraId="268E5E7F" w14:textId="77777777" w:rsidR="002B32A0" w:rsidRPr="00CE1D7F" w:rsidRDefault="002B32A0" w:rsidP="002B32A0">
      <w:pPr>
        <w:pStyle w:val="Quote"/>
      </w:pPr>
      <w:r w:rsidRPr="00CE1D7F">
        <w:t xml:space="preserve">My research has also informed my undergraduate and Masters teaching, providing training to domestic and international students on water chemistry. </w:t>
      </w:r>
    </w:p>
    <w:p w14:paraId="3ECBE4FC" w14:textId="77777777" w:rsidR="002B32A0" w:rsidRPr="00CE1D7F" w:rsidRDefault="002B32A0" w:rsidP="002B32A0">
      <w:pPr>
        <w:pStyle w:val="Heading4"/>
      </w:pPr>
      <w:r w:rsidRPr="00CE1D7F">
        <w:t>Employment impacts</w:t>
      </w:r>
    </w:p>
    <w:p w14:paraId="2F1C6FE4" w14:textId="77777777" w:rsidR="002B32A0" w:rsidRPr="00CE1D7F" w:rsidRDefault="002B32A0" w:rsidP="002B32A0">
      <w:pPr>
        <w:pStyle w:val="BodyText"/>
      </w:pPr>
      <w:r w:rsidRPr="00CE1D7F">
        <w:t xml:space="preserve">As noted above, several hundred workers were employed over several years to construct each of the 2 stages of the aquifer recharge scheme. There is also ongoing employment of staff to operate and maintain the wastewater treatment and reinjection plant. However, ACIL Allen believes that similar numbers of jobs would have been created to build and operate the additional desalination plant that would have had to be built if the aquifer recharge scheme had not gone ahead. </w:t>
      </w:r>
    </w:p>
    <w:p w14:paraId="70FD3738" w14:textId="77777777" w:rsidR="002B32A0" w:rsidRPr="00CE1D7F" w:rsidRDefault="002B32A0" w:rsidP="00163CEA">
      <w:pPr>
        <w:pStyle w:val="Heading3"/>
      </w:pPr>
      <w:r w:rsidRPr="00CE1D7F">
        <w:t xml:space="preserve">Other impacts </w:t>
      </w:r>
    </w:p>
    <w:p w14:paraId="3D3C64CB" w14:textId="77777777" w:rsidR="002B32A0" w:rsidRPr="00CE1D7F" w:rsidRDefault="002B32A0" w:rsidP="002B32A0">
      <w:pPr>
        <w:pStyle w:val="Heading4"/>
      </w:pPr>
      <w:bookmarkStart w:id="328" w:name="_Hlk129165590"/>
      <w:r w:rsidRPr="00CE1D7F">
        <w:t>Environmental</w:t>
      </w:r>
    </w:p>
    <w:p w14:paraId="50F3868D" w14:textId="77777777" w:rsidR="002B32A0" w:rsidRPr="00CE1D7F" w:rsidRDefault="002B32A0" w:rsidP="002B32A0">
      <w:pPr>
        <w:pStyle w:val="BodyText"/>
      </w:pPr>
      <w:r w:rsidRPr="00CE1D7F">
        <w:t xml:space="preserve">As discussed above, the research carried out by Curtin has enabled the WAWC to source an estimated total amount of around 100GL of groundwater from Perth’s aquifers. This has enabled the WAWC to significantly reduce its energy consumption and is helping it to meet its emissions reduction targets. </w:t>
      </w:r>
    </w:p>
    <w:p w14:paraId="297DC204" w14:textId="77777777" w:rsidR="002B32A0" w:rsidRPr="00CE1D7F" w:rsidRDefault="002B32A0" w:rsidP="002B32A0">
      <w:pPr>
        <w:pStyle w:val="BodyText"/>
      </w:pPr>
      <w:r w:rsidRPr="00CE1D7F">
        <w:t xml:space="preserve">The injection of water into Perth’s aquifers is helping to protect important wetlands and lakes associated with its superficial aquifers. This is, in turn, helping to ensure the protection of flora and fauna dependent on those wetlands. It also provides social benefits as a result of the public enjoying these wetlands and lakes. </w:t>
      </w:r>
    </w:p>
    <w:bookmarkEnd w:id="328"/>
    <w:p w14:paraId="5888D16B" w14:textId="77777777" w:rsidR="002B32A0" w:rsidRPr="00CE1D7F" w:rsidRDefault="002B32A0" w:rsidP="002B32A0">
      <w:pPr>
        <w:pStyle w:val="Heading4"/>
      </w:pPr>
      <w:r w:rsidRPr="00CE1D7F">
        <w:t>Collaboration</w:t>
      </w:r>
    </w:p>
    <w:p w14:paraId="13D6D808" w14:textId="77777777" w:rsidR="002B32A0" w:rsidRPr="00CE1D7F" w:rsidRDefault="002B32A0" w:rsidP="002B32A0">
      <w:pPr>
        <w:pStyle w:val="BodyText"/>
      </w:pPr>
      <w:r w:rsidRPr="00CE1D7F">
        <w:t xml:space="preserve">The ARC funding for this project helped strengthen the existing relationship between Curtin University and the WAWC. Those organisations have continued to collaborate on water quality research up to now, and both parties expect that their collaboration will continue into the future. </w:t>
      </w:r>
    </w:p>
    <w:p w14:paraId="342A5C6F" w14:textId="77777777" w:rsidR="002B32A0" w:rsidRPr="00CE1D7F" w:rsidRDefault="002B32A0" w:rsidP="002B32A0">
      <w:pPr>
        <w:pStyle w:val="BodyText"/>
      </w:pPr>
      <w:r w:rsidRPr="00CE1D7F">
        <w:t xml:space="preserve">The CWQRC also collaborated with leading international organisations in water research, including the Swiss Federal Institute of Aquatic Science and Technology, Oregon State University, the University of Queensland, and the Advanced Water Technology Centre at the Colorado School of Mines. The strong collaborations with the Swiss Federal Institute of Aquatic Science and Technology over the years helped establish the centre’s initial involvement in groundwater replenishment research. </w:t>
      </w:r>
    </w:p>
    <w:p w14:paraId="5828EAA2" w14:textId="77777777" w:rsidR="002B32A0" w:rsidRPr="00CE1D7F" w:rsidRDefault="002B32A0" w:rsidP="002B32A0">
      <w:pPr>
        <w:pStyle w:val="Heading4"/>
      </w:pPr>
      <w:r w:rsidRPr="00CE1D7F">
        <w:t>Policy</w:t>
      </w:r>
    </w:p>
    <w:p w14:paraId="34BE40AA" w14:textId="77777777" w:rsidR="002B32A0" w:rsidRPr="00CE1D7F" w:rsidRDefault="002B32A0" w:rsidP="002B32A0">
      <w:pPr>
        <w:pStyle w:val="BodyText"/>
      </w:pPr>
      <w:r w:rsidRPr="00CE1D7F">
        <w:t>The findings from Curtin University’s research were instrumental in helping to inform the design of Australian guidelines for water recycling.</w:t>
      </w:r>
    </w:p>
    <w:p w14:paraId="01C37E3F" w14:textId="77777777" w:rsidR="002B32A0" w:rsidRPr="00CE1D7F" w:rsidRDefault="002B32A0" w:rsidP="004F35B1">
      <w:pPr>
        <w:pStyle w:val="Heading2"/>
      </w:pPr>
      <w:bookmarkStart w:id="329" w:name="_Toc129964013"/>
      <w:bookmarkStart w:id="330" w:name="_Toc131174651"/>
      <w:bookmarkStart w:id="331" w:name="_Toc132970682"/>
      <w:bookmarkStart w:id="332" w:name="_Toc135323721"/>
      <w:r w:rsidRPr="00CE1D7F">
        <w:t>Potential future impacts</w:t>
      </w:r>
      <w:bookmarkEnd w:id="329"/>
      <w:bookmarkEnd w:id="330"/>
      <w:bookmarkEnd w:id="331"/>
      <w:bookmarkEnd w:id="332"/>
      <w:r w:rsidRPr="00CE1D7F">
        <w:t xml:space="preserve"> </w:t>
      </w:r>
    </w:p>
    <w:p w14:paraId="43CEEB1D" w14:textId="77777777" w:rsidR="002B32A0" w:rsidRPr="00CE1D7F" w:rsidRDefault="002B32A0" w:rsidP="004F35B1">
      <w:pPr>
        <w:pStyle w:val="BodyText"/>
        <w:keepNext/>
        <w:keepLines/>
      </w:pPr>
      <w:r w:rsidRPr="00CE1D7F">
        <w:t xml:space="preserve">Curtin University and the WAWC continue to collaborate on water quality research, including multiple projects on optimisation of drinking water treatment processes. They are also continuing to collaborate on aquifer recharge as Water Corporation considers the possibility of additional groundwater replenishment from other wastewater treatment plants. </w:t>
      </w:r>
    </w:p>
    <w:p w14:paraId="741E822A" w14:textId="77777777" w:rsidR="002B32A0" w:rsidRPr="00CE1D7F" w:rsidRDefault="002B32A0" w:rsidP="002B32A0">
      <w:pPr>
        <w:pStyle w:val="BodyText"/>
      </w:pPr>
      <w:r w:rsidRPr="00CE1D7F">
        <w:t xml:space="preserve">Stakeholders have noted that treated wastewater could potentially be a water source for hydrogen production. If this was to be pursued, then Curtin’s work to understand wastewater chemical removal by reverse osmosis could underpin such a future use of treated wastewater. </w:t>
      </w:r>
    </w:p>
    <w:p w14:paraId="517472CD" w14:textId="77777777" w:rsidR="002B32A0" w:rsidRPr="00CE1D7F" w:rsidRDefault="002B32A0" w:rsidP="002B32A0">
      <w:pPr>
        <w:pStyle w:val="BodyText"/>
      </w:pPr>
    </w:p>
    <w:p w14:paraId="7B6511E3" w14:textId="77777777" w:rsidR="002B32A0" w:rsidRPr="00CE1D7F" w:rsidRDefault="002B32A0" w:rsidP="002B32A0">
      <w:pPr>
        <w:pStyle w:val="BodyText"/>
        <w:sectPr w:rsidR="002B32A0" w:rsidRPr="00CE1D7F" w:rsidSect="00327E78">
          <w:headerReference w:type="even" r:id="rId168"/>
          <w:headerReference w:type="default" r:id="rId169"/>
          <w:footerReference w:type="even" r:id="rId170"/>
          <w:footerReference w:type="default" r:id="rId171"/>
          <w:headerReference w:type="first" r:id="rId172"/>
          <w:footerReference w:type="first" r:id="rId173"/>
          <w:pgSz w:w="11906" w:h="16838" w:code="9"/>
          <w:pgMar w:top="1134" w:right="851" w:bottom="1134" w:left="3119" w:header="454" w:footer="159" w:gutter="0"/>
          <w:cols w:space="708"/>
          <w:docGrid w:linePitch="360"/>
        </w:sectPr>
      </w:pPr>
    </w:p>
    <w:p w14:paraId="6408296D" w14:textId="77777777" w:rsidR="000B0AC7" w:rsidRPr="00CE1D7F" w:rsidRDefault="000B0AC7" w:rsidP="000B0AC7">
      <w:pPr>
        <w:pStyle w:val="Heading1"/>
        <w:pageBreakBefore/>
        <w:ind w:left="0" w:hanging="600"/>
      </w:pPr>
      <w:bookmarkStart w:id="333" w:name="_Ref131077709"/>
      <w:bookmarkStart w:id="334" w:name="_Toc135323722"/>
      <w:r w:rsidRPr="00CE1D7F">
        <w:t>Irrigation Automation</w:t>
      </w:r>
      <w:bookmarkEnd w:id="333"/>
      <w:bookmarkEnd w:id="334"/>
    </w:p>
    <w:p w14:paraId="616CD063" w14:textId="77777777" w:rsidR="002B32A0" w:rsidRPr="00CE1D7F" w:rsidRDefault="002B32A0" w:rsidP="002475B9">
      <w:pPr>
        <w:pStyle w:val="Heading2"/>
      </w:pPr>
      <w:bookmarkStart w:id="335" w:name="_Toc129964025"/>
      <w:bookmarkStart w:id="336" w:name="_Toc131174663"/>
      <w:bookmarkStart w:id="337" w:name="_Toc132970684"/>
      <w:bookmarkStart w:id="338" w:name="_Toc135323723"/>
      <w:r w:rsidRPr="00CE1D7F">
        <w:t>Key Findings</w:t>
      </w:r>
      <w:bookmarkEnd w:id="335"/>
      <w:bookmarkEnd w:id="336"/>
      <w:bookmarkEnd w:id="337"/>
      <w:bookmarkEnd w:id="338"/>
    </w:p>
    <w:p w14:paraId="268352B0" w14:textId="77777777" w:rsidR="002B32A0" w:rsidRPr="00CE1D7F" w:rsidRDefault="002B32A0" w:rsidP="002B32A0">
      <w:pPr>
        <w:pStyle w:val="BodyText"/>
      </w:pPr>
      <w:r w:rsidRPr="00CE1D7F">
        <w:rPr>
          <w:noProof/>
        </w:rPr>
        <mc:AlternateContent>
          <mc:Choice Requires="wps">
            <w:drawing>
              <wp:anchor distT="0" distB="0" distL="114300" distR="114300" simplePos="0" relativeHeight="251772928" behindDoc="0" locked="0" layoutInCell="1" allowOverlap="1" wp14:anchorId="7E03E1AD" wp14:editId="75F5A780">
                <wp:simplePos x="0" y="0"/>
                <wp:positionH relativeFrom="page">
                  <wp:align>center</wp:align>
                </wp:positionH>
                <wp:positionV relativeFrom="paragraph">
                  <wp:posOffset>44450</wp:posOffset>
                </wp:positionV>
                <wp:extent cx="6248400" cy="2733675"/>
                <wp:effectExtent l="19050" t="19050" r="19050" b="28575"/>
                <wp:wrapNone/>
                <wp:docPr id="242" name="Rectangle: Rounded Corners 2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248400" cy="2733675"/>
                        </a:xfrm>
                        <a:prstGeom prst="roundRect">
                          <a:avLst>
                            <a:gd name="adj" fmla="val 6814"/>
                          </a:avLst>
                        </a:prstGeom>
                        <a:noFill/>
                        <a:ln w="34925" cap="rnd">
                          <a:solidFill>
                            <a:schemeClr val="tx2"/>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19F2A3F3" id="Rectangle: Rounded Corners 242" o:spid="_x0000_s1026" alt="&quot;&quot;" style="position:absolute;margin-left:0;margin-top:3.5pt;width:492pt;height:215.25pt;z-index:25177292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arcsize="446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" filled="f" strokecolor="#6c3f99 [3215]" strokeweight="2.75pt">
                <v:stroke dashstyle="1 1" joinstyle="miter" endcap="round"/>
                <w10:wrap anchorx="page"/>
              </v:roundrect>
            </w:pict>
          </mc:Fallback>
        </mc:AlternateContent>
      </w:r>
    </w:p>
    <w:p w14:paraId="1707F2EC" w14:textId="77777777" w:rsidR="002B32A0" w:rsidRPr="00CE1D7F" w:rsidRDefault="002B32A0" w:rsidP="002B32A0">
      <w:pPr>
        <w:pStyle w:val="BodyText"/>
      </w:pPr>
      <w:r w:rsidRPr="00CE1D7F">
        <w:rPr>
          <w:noProof/>
        </w:rPr>
        <mc:AlternateContent>
          <mc:Choice Requires="wps">
            <w:drawing>
              <wp:anchor distT="0" distB="0" distL="114300" distR="114300" simplePos="0" relativeHeight="251771904" behindDoc="0" locked="0" layoutInCell="1" allowOverlap="1" wp14:anchorId="6C27CADD" wp14:editId="4D9E79BE">
                <wp:simplePos x="0" y="0"/>
                <wp:positionH relativeFrom="column">
                  <wp:posOffset>-401955</wp:posOffset>
                </wp:positionH>
                <wp:positionV relativeFrom="paragraph">
                  <wp:posOffset>810895</wp:posOffset>
                </wp:positionV>
                <wp:extent cx="1713230" cy="725805"/>
                <wp:effectExtent l="0" t="0" r="0" b="0"/>
                <wp:wrapNone/>
                <wp:docPr id="243" name="Text Box 24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713230" cy="725805"/>
                        </a:xfrm>
                        <a:prstGeom prst="rect">
                          <a:avLst/>
                        </a:prstGeom>
                        <a:noFill/>
                      </wps:spPr>
                      <wps:txbx>
                        <w:txbxContent>
                          <w:p w14:paraId="38E1D4D0" w14:textId="77777777" w:rsidR="002B32A0" w:rsidRPr="00105EEA" w:rsidRDefault="002B32A0" w:rsidP="002B32A0">
                            <w:pPr>
                              <w:spacing w:line="204" w:lineRule="auto"/>
                              <w:rPr>
                                <w:rFonts w:cstheme="minorBidi"/>
                                <w:color w:val="000000" w:themeColor="text1"/>
                                <w:kern w:val="24"/>
                                <w:sz w:val="24"/>
                                <w:szCs w:val="24"/>
                              </w:rPr>
                            </w:pPr>
                            <w:r>
                              <w:rPr>
                                <w:rFonts w:cstheme="minorBidi"/>
                                <w:color w:val="000000" w:themeColor="text1"/>
                                <w:kern w:val="24"/>
                              </w:rPr>
                              <w:t xml:space="preserve">The project has contributed to the development of </w:t>
                            </w:r>
                            <w:r>
                              <w:rPr>
                                <w:rFonts w:cstheme="minorBidi"/>
                                <w:color w:val="000000" w:themeColor="text1"/>
                                <w:kern w:val="24"/>
                              </w:rPr>
                              <w:br/>
                            </w:r>
                            <w:r>
                              <w:rPr>
                                <w:rFonts w:cstheme="minorBidi"/>
                                <w:b/>
                                <w:bCs/>
                                <w:color w:val="000000" w:themeColor="text1"/>
                                <w:kern w:val="24"/>
                              </w:rPr>
                              <w:t xml:space="preserve">Rubicon Water’s automated irrigation system, Total Channel Control </w:t>
                            </w:r>
                          </w:p>
                        </w:txbxContent>
                      </wps:txbx>
                      <wps:bodyPr wrap="square" rtlCol="0">
                        <a:spAutoFit/>
                      </wps:bodyPr>
                    </wps:wsp>
                  </a:graphicData>
                </a:graphic>
                <wp14:sizeRelH relativeFrom="margin">
                  <wp14:pctWidth>0</wp14:pctWidth>
                </wp14:sizeRelH>
              </wp:anchor>
            </w:drawing>
          </mc:Choice>
          <mc:Fallback>
            <w:pict>
              <v:shape w14:anchorId="6C27CADD" id="Text Box 243" o:spid="_x0000_s1058" type="#_x0000_t202" alt="&quot;&quot;" style="position:absolute;margin-left:-31.65pt;margin-top:63.85pt;width:134.9pt;height:57.15pt;z-index:251771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" filled="f" stroked="f">
                <v:textbox style="mso-fit-shape-to-text:t">
                  <w:txbxContent>
                    <w:p w14:paraId="38E1D4D0" w14:textId="77777777" w:rsidR="002B32A0" w:rsidRPr="00105EEA" w:rsidRDefault="002B32A0" w:rsidP="002B32A0">
                      <w:pPr>
                        <w:spacing w:line="204" w:lineRule="auto"/>
                        <w:rPr>
                          <w:rFonts w:cstheme="minorBidi"/>
                          <w:color w:val="000000" w:themeColor="text1"/>
                          <w:kern w:val="24"/>
                          <w:sz w:val="24"/>
                          <w:szCs w:val="24"/>
                        </w:rPr>
                      </w:pPr>
                      <w:r>
                        <w:rPr>
                          <w:rFonts w:cstheme="minorBidi"/>
                          <w:color w:val="000000" w:themeColor="text1"/>
                          <w:kern w:val="24"/>
                        </w:rPr>
                        <w:t xml:space="preserve">The project has contributed to the development of </w:t>
                      </w:r>
                      <w:r>
                        <w:rPr>
                          <w:rFonts w:cstheme="minorBidi"/>
                          <w:color w:val="000000" w:themeColor="text1"/>
                          <w:kern w:val="24"/>
                        </w:rPr>
                        <w:br/>
                      </w:r>
                      <w:r>
                        <w:rPr>
                          <w:rFonts w:cstheme="minorBidi"/>
                          <w:b/>
                          <w:bCs/>
                          <w:color w:val="000000" w:themeColor="text1"/>
                          <w:kern w:val="24"/>
                        </w:rPr>
                        <w:t xml:space="preserve">Rubicon Water’s automated irrigation system, Total Channel Control </w:t>
                      </w:r>
                    </w:p>
                  </w:txbxContent>
                </v:textbox>
              </v:shape>
            </w:pict>
          </mc:Fallback>
        </mc:AlternateContent>
      </w:r>
      <w:r w:rsidRPr="00CE1D7F">
        <w:rPr>
          <w:noProof/>
        </w:rPr>
        <mc:AlternateContent>
          <mc:Choice Requires="wps">
            <w:drawing>
              <wp:anchor distT="0" distB="0" distL="114300" distR="114300" simplePos="0" relativeHeight="251763712" behindDoc="0" locked="0" layoutInCell="1" allowOverlap="1" wp14:anchorId="53B158CC" wp14:editId="55A85DBA">
                <wp:simplePos x="0" y="0"/>
                <wp:positionH relativeFrom="column">
                  <wp:posOffset>-448945</wp:posOffset>
                </wp:positionH>
                <wp:positionV relativeFrom="paragraph">
                  <wp:posOffset>27305</wp:posOffset>
                </wp:positionV>
                <wp:extent cx="1703705" cy="771525"/>
                <wp:effectExtent l="0" t="0" r="0" b="0"/>
                <wp:wrapNone/>
                <wp:docPr id="244" name="Text Box 24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703705" cy="771525"/>
                        </a:xfrm>
                        <a:prstGeom prst="rect">
                          <a:avLst/>
                        </a:prstGeom>
                        <a:noFill/>
                      </wps:spPr>
                      <wps:txbx>
                        <w:txbxContent>
                          <w:p w14:paraId="0DF6F0C5" w14:textId="77777777" w:rsidR="002B32A0" w:rsidRDefault="002B32A0" w:rsidP="002B32A0">
                            <w:pPr>
                              <w:spacing w:line="204" w:lineRule="auto"/>
                              <w:rPr>
                                <w:rFonts w:asciiTheme="minorHAnsi" w:eastAsia="Yu Gothic UI Semibold" w:cstheme="minorBidi"/>
                                <w:b/>
                                <w:bCs/>
                                <w:color w:val="000000" w:themeColor="text1"/>
                                <w:kern w:val="24"/>
                                <w:sz w:val="36"/>
                                <w:szCs w:val="36"/>
                              </w:rPr>
                            </w:pPr>
                            <w:bookmarkStart w:id="339" w:name="_Hlk129078033"/>
                            <w:bookmarkStart w:id="340" w:name="_Hlk129078034"/>
                            <w:r w:rsidRPr="007555AB">
                              <w:rPr>
                                <w:rFonts w:asciiTheme="minorHAnsi" w:eastAsia="Yu Gothic UI Semibold" w:cstheme="minorBidi"/>
                                <w:b/>
                                <w:bCs/>
                                <w:color w:val="000000" w:themeColor="text1"/>
                                <w:kern w:val="24"/>
                                <w:sz w:val="36"/>
                                <w:szCs w:val="36"/>
                              </w:rPr>
                              <w:t xml:space="preserve">$2.8m </w:t>
                            </w:r>
                            <w:r w:rsidRPr="007555AB">
                              <w:rPr>
                                <w:rFonts w:asciiTheme="minorHAnsi" w:eastAsia="Yu Gothic UI Semibold" w:cstheme="minorBidi"/>
                                <w:b/>
                                <w:bCs/>
                                <w:color w:val="000000" w:themeColor="text1"/>
                                <w:kern w:val="24"/>
                              </w:rPr>
                              <w:t>invested</w:t>
                            </w:r>
                            <w:r>
                              <w:rPr>
                                <w:rFonts w:asciiTheme="minorHAnsi" w:eastAsia="Yu Gothic UI Semibold" w:cstheme="minorBidi"/>
                                <w:b/>
                                <w:bCs/>
                                <w:color w:val="000000" w:themeColor="text1"/>
                                <w:kern w:val="24"/>
                              </w:rPr>
                              <w:t xml:space="preserve"> by ARC </w:t>
                            </w:r>
                            <w:r w:rsidRPr="007555AB">
                              <w:rPr>
                                <w:rFonts w:asciiTheme="minorHAnsi" w:eastAsia="Yu Gothic UI Semibold" w:cstheme="minorBidi"/>
                                <w:b/>
                                <w:bCs/>
                                <w:color w:val="000000" w:themeColor="text1"/>
                                <w:kern w:val="24"/>
                              </w:rPr>
                              <w:t xml:space="preserve">and </w:t>
                            </w:r>
                            <w:r w:rsidRPr="007555AB">
                              <w:rPr>
                                <w:rFonts w:asciiTheme="minorHAnsi" w:eastAsia="Yu Gothic UI Semibold" w:cstheme="minorBidi"/>
                                <w:b/>
                                <w:bCs/>
                                <w:color w:val="000000" w:themeColor="text1"/>
                                <w:kern w:val="24"/>
                                <w:sz w:val="32"/>
                                <w:szCs w:val="32"/>
                              </w:rPr>
                              <w:t xml:space="preserve">$6.8m </w:t>
                            </w:r>
                            <w:r w:rsidRPr="007555AB">
                              <w:rPr>
                                <w:rFonts w:asciiTheme="minorHAnsi" w:eastAsia="Yu Gothic UI Semibold" w:cstheme="minorBidi"/>
                                <w:b/>
                                <w:bCs/>
                                <w:color w:val="000000" w:themeColor="text1"/>
                                <w:kern w:val="24"/>
                              </w:rPr>
                              <w:t>by</w:t>
                            </w:r>
                            <w:r>
                              <w:rPr>
                                <w:rFonts w:asciiTheme="minorHAnsi" w:eastAsia="Yu Gothic UI Semibold" w:cstheme="minorBidi"/>
                                <w:b/>
                                <w:bCs/>
                                <w:color w:val="000000" w:themeColor="text1"/>
                                <w:kern w:val="24"/>
                              </w:rPr>
                              <w:t xml:space="preserve"> </w:t>
                            </w:r>
                            <w:r w:rsidRPr="001C4217">
                              <w:rPr>
                                <w:rFonts w:asciiTheme="minorHAnsi" w:eastAsia="Yu Gothic UI Semibold" w:cstheme="minorBidi"/>
                                <w:b/>
                                <w:bCs/>
                                <w:color w:val="000000" w:themeColor="text1"/>
                                <w:kern w:val="24"/>
                              </w:rPr>
                              <w:t>participating organisation</w:t>
                            </w:r>
                            <w:r>
                              <w:rPr>
                                <w:rFonts w:asciiTheme="minorHAnsi" w:eastAsia="Yu Gothic UI Semibold" w:cstheme="minorBidi"/>
                                <w:b/>
                                <w:bCs/>
                                <w:color w:val="000000" w:themeColor="text1"/>
                                <w:kern w:val="24"/>
                              </w:rPr>
                              <w:t>s</w:t>
                            </w:r>
                            <w:bookmarkEnd w:id="339"/>
                            <w:bookmarkEnd w:id="340"/>
                          </w:p>
                        </w:txbxContent>
                      </wps:txbx>
                      <wps:bodyPr wrap="square" rtlCol="0">
                        <a:noAutofit/>
                      </wps:bodyPr>
                    </wps:wsp>
                  </a:graphicData>
                </a:graphic>
                <wp14:sizeRelV relativeFrom="margin">
                  <wp14:pctHeight>0</wp14:pctHeight>
                </wp14:sizeRelV>
              </wp:anchor>
            </w:drawing>
          </mc:Choice>
          <mc:Fallback>
            <w:pict>
              <v:shape w14:anchorId="53B158CC" id="Text Box 244" o:spid="_x0000_s1059" type="#_x0000_t202" alt="&quot;&quot;" style="position:absolute;margin-left:-35.35pt;margin-top:2.15pt;width:134.15pt;height:60.75pt;z-index:251763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" filled="f" stroked="f">
                <v:textbox>
                  <w:txbxContent>
                    <w:p w14:paraId="0DF6F0C5" w14:textId="77777777" w:rsidR="002B32A0" w:rsidRDefault="002B32A0" w:rsidP="002B32A0">
                      <w:pPr>
                        <w:spacing w:line="204" w:lineRule="auto"/>
                        <w:rPr>
                          <w:rFonts w:asciiTheme="minorHAnsi" w:eastAsia="Yu Gothic UI Semibold" w:cstheme="minorBidi"/>
                          <w:b/>
                          <w:bCs/>
                          <w:color w:val="000000" w:themeColor="text1"/>
                          <w:kern w:val="24"/>
                          <w:sz w:val="36"/>
                          <w:szCs w:val="36"/>
                        </w:rPr>
                      </w:pPr>
                      <w:bookmarkStart w:id="341" w:name="_Hlk129078033"/>
                      <w:bookmarkStart w:id="342" w:name="_Hlk129078034"/>
                      <w:r w:rsidRPr="007555AB">
                        <w:rPr>
                          <w:rFonts w:asciiTheme="minorHAnsi" w:eastAsia="Yu Gothic UI Semibold" w:cstheme="minorBidi"/>
                          <w:b/>
                          <w:bCs/>
                          <w:color w:val="000000" w:themeColor="text1"/>
                          <w:kern w:val="24"/>
                          <w:sz w:val="36"/>
                          <w:szCs w:val="36"/>
                        </w:rPr>
                        <w:t xml:space="preserve">$2.8m </w:t>
                      </w:r>
                      <w:r w:rsidRPr="007555AB">
                        <w:rPr>
                          <w:rFonts w:asciiTheme="minorHAnsi" w:eastAsia="Yu Gothic UI Semibold" w:cstheme="minorBidi"/>
                          <w:b/>
                          <w:bCs/>
                          <w:color w:val="000000" w:themeColor="text1"/>
                          <w:kern w:val="24"/>
                        </w:rPr>
                        <w:t>invested</w:t>
                      </w:r>
                      <w:r>
                        <w:rPr>
                          <w:rFonts w:asciiTheme="minorHAnsi" w:eastAsia="Yu Gothic UI Semibold" w:cstheme="minorBidi"/>
                          <w:b/>
                          <w:bCs/>
                          <w:color w:val="000000" w:themeColor="text1"/>
                          <w:kern w:val="24"/>
                        </w:rPr>
                        <w:t xml:space="preserve"> by ARC </w:t>
                      </w:r>
                      <w:r w:rsidRPr="007555AB">
                        <w:rPr>
                          <w:rFonts w:asciiTheme="minorHAnsi" w:eastAsia="Yu Gothic UI Semibold" w:cstheme="minorBidi"/>
                          <w:b/>
                          <w:bCs/>
                          <w:color w:val="000000" w:themeColor="text1"/>
                          <w:kern w:val="24"/>
                        </w:rPr>
                        <w:t xml:space="preserve">and </w:t>
                      </w:r>
                      <w:r w:rsidRPr="007555AB">
                        <w:rPr>
                          <w:rFonts w:asciiTheme="minorHAnsi" w:eastAsia="Yu Gothic UI Semibold" w:cstheme="minorBidi"/>
                          <w:b/>
                          <w:bCs/>
                          <w:color w:val="000000" w:themeColor="text1"/>
                          <w:kern w:val="24"/>
                          <w:sz w:val="32"/>
                          <w:szCs w:val="32"/>
                        </w:rPr>
                        <w:t xml:space="preserve">$6.8m </w:t>
                      </w:r>
                      <w:r w:rsidRPr="007555AB">
                        <w:rPr>
                          <w:rFonts w:asciiTheme="minorHAnsi" w:eastAsia="Yu Gothic UI Semibold" w:cstheme="minorBidi"/>
                          <w:b/>
                          <w:bCs/>
                          <w:color w:val="000000" w:themeColor="text1"/>
                          <w:kern w:val="24"/>
                        </w:rPr>
                        <w:t>by</w:t>
                      </w:r>
                      <w:r>
                        <w:rPr>
                          <w:rFonts w:asciiTheme="minorHAnsi" w:eastAsia="Yu Gothic UI Semibold" w:cstheme="minorBidi"/>
                          <w:b/>
                          <w:bCs/>
                          <w:color w:val="000000" w:themeColor="text1"/>
                          <w:kern w:val="24"/>
                        </w:rPr>
                        <w:t xml:space="preserve"> </w:t>
                      </w:r>
                      <w:r w:rsidRPr="001C4217">
                        <w:rPr>
                          <w:rFonts w:asciiTheme="minorHAnsi" w:eastAsia="Yu Gothic UI Semibold" w:cstheme="minorBidi"/>
                          <w:b/>
                          <w:bCs/>
                          <w:color w:val="000000" w:themeColor="text1"/>
                          <w:kern w:val="24"/>
                        </w:rPr>
                        <w:t>participating organisation</w:t>
                      </w:r>
                      <w:r>
                        <w:rPr>
                          <w:rFonts w:asciiTheme="minorHAnsi" w:eastAsia="Yu Gothic UI Semibold" w:cstheme="minorBidi"/>
                          <w:b/>
                          <w:bCs/>
                          <w:color w:val="000000" w:themeColor="text1"/>
                          <w:kern w:val="24"/>
                        </w:rPr>
                        <w:t>s</w:t>
                      </w:r>
                      <w:bookmarkEnd w:id="341"/>
                      <w:bookmarkEnd w:id="342"/>
                    </w:p>
                  </w:txbxContent>
                </v:textbox>
              </v:shape>
            </w:pict>
          </mc:Fallback>
        </mc:AlternateContent>
      </w:r>
      <w:r w:rsidRPr="00CE1D7F">
        <w:rPr>
          <w:noProof/>
        </w:rPr>
        <mc:AlternateContent>
          <mc:Choice Requires="wps">
            <w:drawing>
              <wp:anchor distT="0" distB="0" distL="114300" distR="114300" simplePos="0" relativeHeight="251767808" behindDoc="0" locked="0" layoutInCell="1" allowOverlap="1" wp14:anchorId="37209DAF" wp14:editId="794E18BD">
                <wp:simplePos x="0" y="0"/>
                <wp:positionH relativeFrom="column">
                  <wp:posOffset>2537460</wp:posOffset>
                </wp:positionH>
                <wp:positionV relativeFrom="paragraph">
                  <wp:posOffset>21590</wp:posOffset>
                </wp:positionV>
                <wp:extent cx="1703705" cy="842645"/>
                <wp:effectExtent l="0" t="0" r="0" b="0"/>
                <wp:wrapNone/>
                <wp:docPr id="245" name="Text Box 24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703705" cy="842645"/>
                        </a:xfrm>
                        <a:prstGeom prst="rect">
                          <a:avLst/>
                        </a:prstGeom>
                        <a:noFill/>
                      </wps:spPr>
                      <wps:txbx>
                        <w:txbxContent>
                          <w:p w14:paraId="16717FB4" w14:textId="77777777" w:rsidR="002B32A0" w:rsidRDefault="002B32A0" w:rsidP="002B32A0">
                            <w:pPr>
                              <w:spacing w:line="204" w:lineRule="auto"/>
                              <w:rPr>
                                <w:rFonts w:asciiTheme="minorHAnsi" w:eastAsia="Yu Gothic UI Semibold" w:cstheme="minorBidi"/>
                                <w:b/>
                                <w:bCs/>
                                <w:color w:val="000000" w:themeColor="text1"/>
                                <w:kern w:val="24"/>
                                <w:sz w:val="36"/>
                                <w:szCs w:val="36"/>
                              </w:rPr>
                            </w:pPr>
                            <w:r>
                              <w:rPr>
                                <w:rFonts w:asciiTheme="minorHAnsi" w:eastAsia="Yu Gothic UI Semibold" w:cstheme="minorBidi"/>
                                <w:b/>
                                <w:bCs/>
                                <w:color w:val="000000" w:themeColor="text1"/>
                                <w:kern w:val="24"/>
                                <w:sz w:val="36"/>
                                <w:szCs w:val="36"/>
                              </w:rPr>
                              <w:t>$9.7</w:t>
                            </w:r>
                            <w:r>
                              <w:rPr>
                                <w:rFonts w:asciiTheme="minorHAnsi" w:eastAsia="Yu Gothic UI Semibold" w:cstheme="minorBidi"/>
                                <w:b/>
                                <w:bCs/>
                                <w:color w:val="000000" w:themeColor="text1"/>
                                <w:kern w:val="24"/>
                                <w:sz w:val="36"/>
                                <w:szCs w:val="36"/>
                              </w:rPr>
                              <w:t> </w:t>
                            </w:r>
                            <w:r>
                              <w:rPr>
                                <w:rFonts w:asciiTheme="minorHAnsi" w:eastAsia="Yu Gothic UI Semibold" w:cstheme="minorBidi"/>
                                <w:b/>
                                <w:bCs/>
                                <w:color w:val="000000" w:themeColor="text1"/>
                                <w:kern w:val="24"/>
                                <w:sz w:val="36"/>
                                <w:szCs w:val="36"/>
                              </w:rPr>
                              <w:t xml:space="preserve">billion </w:t>
                            </w:r>
                            <w:r w:rsidRPr="00105EEA">
                              <w:rPr>
                                <w:rFonts w:cstheme="minorBidi"/>
                                <w:b/>
                                <w:bCs/>
                                <w:color w:val="000000" w:themeColor="text1"/>
                                <w:kern w:val="24"/>
                              </w:rPr>
                              <w:t xml:space="preserve">NPV </w:t>
                            </w:r>
                            <w:r>
                              <w:rPr>
                                <w:rFonts w:cstheme="minorBidi"/>
                                <w:b/>
                                <w:bCs/>
                                <w:color w:val="000000" w:themeColor="text1"/>
                                <w:kern w:val="24"/>
                              </w:rPr>
                              <w:t xml:space="preserve">of </w:t>
                            </w:r>
                            <w:r w:rsidRPr="00A33855">
                              <w:rPr>
                                <w:rFonts w:cstheme="minorBidi"/>
                                <w:b/>
                                <w:bCs/>
                                <w:color w:val="000000" w:themeColor="text1"/>
                                <w:kern w:val="24"/>
                                <w:u w:val="single"/>
                              </w:rPr>
                              <w:t xml:space="preserve">unattributed </w:t>
                            </w:r>
                            <w:r>
                              <w:rPr>
                                <w:rFonts w:cstheme="minorBidi"/>
                                <w:b/>
                                <w:bCs/>
                                <w:color w:val="000000" w:themeColor="text1"/>
                                <w:kern w:val="24"/>
                              </w:rPr>
                              <w:t>present and anticipated economic impacts. BCR of 2.94.</w:t>
                            </w:r>
                          </w:p>
                        </w:txbxContent>
                      </wps:txbx>
                      <wps:bodyPr wrap="square" rtlCol="0">
                        <a:noAutofit/>
                      </wps:bodyPr>
                    </wps:wsp>
                  </a:graphicData>
                </a:graphic>
                <wp14:sizeRelV relativeFrom="margin">
                  <wp14:pctHeight>0</wp14:pctHeight>
                </wp14:sizeRelV>
              </wp:anchor>
            </w:drawing>
          </mc:Choice>
          <mc:Fallback>
            <w:pict>
              <v:shape w14:anchorId="37209DAF" id="Text Box 245" o:spid="_x0000_s1060" type="#_x0000_t202" alt="&quot;&quot;" style="position:absolute;margin-left:199.8pt;margin-top:1.7pt;width:134.15pt;height:66.35pt;z-index:251767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" filled="f" stroked="f">
                <v:textbox>
                  <w:txbxContent>
                    <w:p w14:paraId="16717FB4" w14:textId="77777777" w:rsidR="002B32A0" w:rsidRDefault="002B32A0" w:rsidP="002B32A0">
                      <w:pPr>
                        <w:spacing w:line="204" w:lineRule="auto"/>
                        <w:rPr>
                          <w:rFonts w:asciiTheme="minorHAnsi" w:eastAsia="Yu Gothic UI Semibold" w:cstheme="minorBidi"/>
                          <w:b/>
                          <w:bCs/>
                          <w:color w:val="000000" w:themeColor="text1"/>
                          <w:kern w:val="24"/>
                          <w:sz w:val="36"/>
                          <w:szCs w:val="36"/>
                        </w:rPr>
                      </w:pPr>
                      <w:r>
                        <w:rPr>
                          <w:rFonts w:asciiTheme="minorHAnsi" w:eastAsia="Yu Gothic UI Semibold" w:cstheme="minorBidi"/>
                          <w:b/>
                          <w:bCs/>
                          <w:color w:val="000000" w:themeColor="text1"/>
                          <w:kern w:val="24"/>
                          <w:sz w:val="36"/>
                          <w:szCs w:val="36"/>
                        </w:rPr>
                        <w:t>$9.7</w:t>
                      </w:r>
                      <w:r>
                        <w:rPr>
                          <w:rFonts w:asciiTheme="minorHAnsi" w:eastAsia="Yu Gothic UI Semibold" w:cstheme="minorBidi"/>
                          <w:b/>
                          <w:bCs/>
                          <w:color w:val="000000" w:themeColor="text1"/>
                          <w:kern w:val="24"/>
                          <w:sz w:val="36"/>
                          <w:szCs w:val="36"/>
                        </w:rPr>
                        <w:t> </w:t>
                      </w:r>
                      <w:r>
                        <w:rPr>
                          <w:rFonts w:asciiTheme="minorHAnsi" w:eastAsia="Yu Gothic UI Semibold" w:cstheme="minorBidi"/>
                          <w:b/>
                          <w:bCs/>
                          <w:color w:val="000000" w:themeColor="text1"/>
                          <w:kern w:val="24"/>
                          <w:sz w:val="36"/>
                          <w:szCs w:val="36"/>
                        </w:rPr>
                        <w:t xml:space="preserve">billion </w:t>
                      </w:r>
                      <w:r w:rsidRPr="00105EEA">
                        <w:rPr>
                          <w:rFonts w:cstheme="minorBidi"/>
                          <w:b/>
                          <w:bCs/>
                          <w:color w:val="000000" w:themeColor="text1"/>
                          <w:kern w:val="24"/>
                        </w:rPr>
                        <w:t xml:space="preserve">NPV </w:t>
                      </w:r>
                      <w:r>
                        <w:rPr>
                          <w:rFonts w:cstheme="minorBidi"/>
                          <w:b/>
                          <w:bCs/>
                          <w:color w:val="000000" w:themeColor="text1"/>
                          <w:kern w:val="24"/>
                        </w:rPr>
                        <w:t xml:space="preserve">of </w:t>
                      </w:r>
                      <w:r w:rsidRPr="00A33855">
                        <w:rPr>
                          <w:rFonts w:cstheme="minorBidi"/>
                          <w:b/>
                          <w:bCs/>
                          <w:color w:val="000000" w:themeColor="text1"/>
                          <w:kern w:val="24"/>
                          <w:u w:val="single"/>
                        </w:rPr>
                        <w:t xml:space="preserve">unattributed </w:t>
                      </w:r>
                      <w:r>
                        <w:rPr>
                          <w:rFonts w:cstheme="minorBidi"/>
                          <w:b/>
                          <w:bCs/>
                          <w:color w:val="000000" w:themeColor="text1"/>
                          <w:kern w:val="24"/>
                        </w:rPr>
                        <w:t>present and anticipated economic impacts. BCR of 2.94.</w:t>
                      </w:r>
                    </w:p>
                  </w:txbxContent>
                </v:textbox>
              </v:shape>
            </w:pict>
          </mc:Fallback>
        </mc:AlternateContent>
      </w:r>
      <w:r w:rsidRPr="00CE1D7F">
        <w:rPr>
          <w:noProof/>
        </w:rPr>
        <w:drawing>
          <wp:anchor distT="0" distB="0" distL="114300" distR="114300" simplePos="0" relativeHeight="251762688" behindDoc="0" locked="0" layoutInCell="1" allowOverlap="1" wp14:anchorId="44180684" wp14:editId="68BED988">
            <wp:simplePos x="0" y="0"/>
            <wp:positionH relativeFrom="column">
              <wp:posOffset>-1111885</wp:posOffset>
            </wp:positionH>
            <wp:positionV relativeFrom="paragraph">
              <wp:posOffset>46990</wp:posOffset>
            </wp:positionV>
            <wp:extent cx="555625" cy="566420"/>
            <wp:effectExtent l="0" t="0" r="0" b="0"/>
            <wp:wrapNone/>
            <wp:docPr id="702" name="Picture 70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Picture 556" descr="Icon&#10;&#10;Description automatically generated"/>
                    <pic:cNvPicPr>
                      <a:picLocks noChangeAspect="1"/>
                    </pic:cNvPicPr>
                  </pic:nvPicPr>
                  <pic:blipFill>
                    <a:blip r:embed="rId140" cstate="print">
                      <a:extLst>
                        <a:ext uri="{BEBA8EAE-BF5A-486C-A8C5-ECC9F3942E4B}">
                          <a14:imgProps xmlns:a14="http://schemas.microsoft.com/office/drawing/2010/main">
                            <a14:imgLayer r:embed="rId141">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555625" cy="566420"/>
                    </a:xfrm>
                    <a:prstGeom prst="rect">
                      <a:avLst/>
                    </a:prstGeom>
                  </pic:spPr>
                </pic:pic>
              </a:graphicData>
            </a:graphic>
          </wp:anchor>
        </w:drawing>
      </w:r>
      <w:r w:rsidRPr="00CE1D7F">
        <w:rPr>
          <w:noProof/>
        </w:rPr>
        <w:drawing>
          <wp:anchor distT="0" distB="0" distL="114300" distR="114300" simplePos="0" relativeHeight="251770880" behindDoc="0" locked="0" layoutInCell="1" allowOverlap="1" wp14:anchorId="7CAC1F9A" wp14:editId="7245580B">
            <wp:simplePos x="0" y="0"/>
            <wp:positionH relativeFrom="column">
              <wp:posOffset>-1175385</wp:posOffset>
            </wp:positionH>
            <wp:positionV relativeFrom="paragraph">
              <wp:posOffset>802640</wp:posOffset>
            </wp:positionV>
            <wp:extent cx="682625" cy="683260"/>
            <wp:effectExtent l="0" t="0" r="0" b="0"/>
            <wp:wrapNone/>
            <wp:docPr id="703" name="Picture 70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descr="Icon&#10;&#10;Description automatically generated"/>
                    <pic:cNvPicPr>
                      <a:picLocks noChangeAspect="1"/>
                    </pic:cNvPicPr>
                  </pic:nvPicPr>
                  <pic:blipFill>
                    <a:blip r:embed="rId148" cstate="print">
                      <a:extLst>
                        <a:ext uri="{BEBA8EAE-BF5A-486C-A8C5-ECC9F3942E4B}">
                          <a14:imgProps xmlns:a14="http://schemas.microsoft.com/office/drawing/2010/main">
                            <a14:imgLayer r:embed="rId149">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682625" cy="683260"/>
                    </a:xfrm>
                    <a:prstGeom prst="rect">
                      <a:avLst/>
                    </a:prstGeom>
                  </pic:spPr>
                </pic:pic>
              </a:graphicData>
            </a:graphic>
          </wp:anchor>
        </w:drawing>
      </w:r>
      <w:r w:rsidRPr="00CE1D7F">
        <w:rPr>
          <w:noProof/>
        </w:rPr>
        <w:drawing>
          <wp:anchor distT="0" distB="0" distL="114300" distR="114300" simplePos="0" relativeHeight="251764736" behindDoc="0" locked="0" layoutInCell="1" allowOverlap="1" wp14:anchorId="694F9CFF" wp14:editId="2E46DE58">
            <wp:simplePos x="0" y="0"/>
            <wp:positionH relativeFrom="column">
              <wp:posOffset>1828800</wp:posOffset>
            </wp:positionH>
            <wp:positionV relativeFrom="paragraph">
              <wp:posOffset>886460</wp:posOffset>
            </wp:positionV>
            <wp:extent cx="572135" cy="572770"/>
            <wp:effectExtent l="0" t="0" r="0" b="0"/>
            <wp:wrapNone/>
            <wp:docPr id="704" name="Picture 70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98" descr="Logo&#10;&#10;Description automatically generated"/>
                    <pic:cNvPicPr>
                      <a:picLocks noChangeAspect="1"/>
                    </pic:cNvPicPr>
                  </pic:nvPicPr>
                  <pic:blipFill>
                    <a:blip r:embed="rId150" cstate="print">
                      <a:extLst>
                        <a:ext uri="{BEBA8EAE-BF5A-486C-A8C5-ECC9F3942E4B}">
                          <a14:imgProps xmlns:a14="http://schemas.microsoft.com/office/drawing/2010/main">
                            <a14:imgLayer r:embed="rId151">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572135" cy="572770"/>
                    </a:xfrm>
                    <a:prstGeom prst="rect">
                      <a:avLst/>
                    </a:prstGeom>
                  </pic:spPr>
                </pic:pic>
              </a:graphicData>
            </a:graphic>
          </wp:anchor>
        </w:drawing>
      </w:r>
      <w:r w:rsidRPr="00CE1D7F">
        <w:rPr>
          <w:noProof/>
        </w:rPr>
        <mc:AlternateContent>
          <mc:Choice Requires="wps">
            <w:drawing>
              <wp:anchor distT="0" distB="0" distL="114300" distR="114300" simplePos="0" relativeHeight="251765760" behindDoc="0" locked="0" layoutInCell="1" allowOverlap="1" wp14:anchorId="6FCCAB89" wp14:editId="19DD913F">
                <wp:simplePos x="0" y="0"/>
                <wp:positionH relativeFrom="margin">
                  <wp:posOffset>2568575</wp:posOffset>
                </wp:positionH>
                <wp:positionV relativeFrom="paragraph">
                  <wp:posOffset>840105</wp:posOffset>
                </wp:positionV>
                <wp:extent cx="1666875" cy="610870"/>
                <wp:effectExtent l="0" t="0" r="0" b="0"/>
                <wp:wrapNone/>
                <wp:docPr id="246" name="Text Box 2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666875" cy="610870"/>
                        </a:xfrm>
                        <a:prstGeom prst="rect">
                          <a:avLst/>
                        </a:prstGeom>
                        <a:noFill/>
                      </wps:spPr>
                      <wps:txbx>
                        <w:txbxContent>
                          <w:p w14:paraId="06920E3D" w14:textId="77777777" w:rsidR="002B32A0" w:rsidRDefault="002B32A0" w:rsidP="002B32A0">
                            <w:pPr>
                              <w:spacing w:line="216" w:lineRule="auto"/>
                              <w:rPr>
                                <w:rFonts w:cstheme="minorBidi"/>
                                <w:b/>
                                <w:bCs/>
                                <w:color w:val="000000" w:themeColor="text1"/>
                                <w:kern w:val="24"/>
                                <w:sz w:val="36"/>
                                <w:szCs w:val="36"/>
                              </w:rPr>
                            </w:pPr>
                            <w:r>
                              <w:rPr>
                                <w:rFonts w:cstheme="minorBidi"/>
                                <w:b/>
                                <w:bCs/>
                                <w:color w:val="000000" w:themeColor="text1"/>
                                <w:kern w:val="24"/>
                                <w:sz w:val="36"/>
                                <w:szCs w:val="36"/>
                              </w:rPr>
                              <w:t xml:space="preserve">10 </w:t>
                            </w:r>
                            <w:r w:rsidRPr="001E7DB9">
                              <w:rPr>
                                <w:rFonts w:cstheme="minorBidi"/>
                                <w:b/>
                                <w:bCs/>
                                <w:color w:val="000000" w:themeColor="text1"/>
                                <w:kern w:val="24"/>
                                <w:sz w:val="24"/>
                                <w:szCs w:val="24"/>
                              </w:rPr>
                              <w:t xml:space="preserve">full time equivalent </w:t>
                            </w:r>
                            <w:r>
                              <w:rPr>
                                <w:rFonts w:cstheme="minorBidi"/>
                                <w:b/>
                                <w:bCs/>
                                <w:color w:val="000000" w:themeColor="text1"/>
                                <w:kern w:val="24"/>
                              </w:rPr>
                              <w:t>jobs created at the University of Melbourne</w:t>
                            </w:r>
                          </w:p>
                        </w:txbxContent>
                      </wps:txbx>
                      <wps:bodyPr wrap="square" rtlCol="0">
                        <a:spAutoFit/>
                      </wps:bodyPr>
                    </wps:wsp>
                  </a:graphicData>
                </a:graphic>
                <wp14:sizeRelH relativeFrom="margin">
                  <wp14:pctWidth>0</wp14:pctWidth>
                </wp14:sizeRelH>
              </wp:anchor>
            </w:drawing>
          </mc:Choice>
          <mc:Fallback>
            <w:pict>
              <v:shape w14:anchorId="6FCCAB89" id="Text Box 246" o:spid="_x0000_s1061" type="#_x0000_t202" alt="&quot;&quot;" style="position:absolute;margin-left:202.25pt;margin-top:66.15pt;width:131.25pt;height:48.1pt;z-index:25176576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" filled="f" stroked="f">
                <v:textbox style="mso-fit-shape-to-text:t">
                  <w:txbxContent>
                    <w:p w14:paraId="06920E3D" w14:textId="77777777" w:rsidR="002B32A0" w:rsidRDefault="002B32A0" w:rsidP="002B32A0">
                      <w:pPr>
                        <w:spacing w:line="216" w:lineRule="auto"/>
                        <w:rPr>
                          <w:rFonts w:cstheme="minorBidi"/>
                          <w:b/>
                          <w:bCs/>
                          <w:color w:val="000000" w:themeColor="text1"/>
                          <w:kern w:val="24"/>
                          <w:sz w:val="36"/>
                          <w:szCs w:val="36"/>
                        </w:rPr>
                      </w:pPr>
                      <w:r>
                        <w:rPr>
                          <w:rFonts w:cstheme="minorBidi"/>
                          <w:b/>
                          <w:bCs/>
                          <w:color w:val="000000" w:themeColor="text1"/>
                          <w:kern w:val="24"/>
                          <w:sz w:val="36"/>
                          <w:szCs w:val="36"/>
                        </w:rPr>
                        <w:t xml:space="preserve">10 </w:t>
                      </w:r>
                      <w:r w:rsidRPr="001E7DB9">
                        <w:rPr>
                          <w:rFonts w:cstheme="minorBidi"/>
                          <w:b/>
                          <w:bCs/>
                          <w:color w:val="000000" w:themeColor="text1"/>
                          <w:kern w:val="24"/>
                          <w:sz w:val="24"/>
                          <w:szCs w:val="24"/>
                        </w:rPr>
                        <w:t xml:space="preserve">full time equivalent </w:t>
                      </w:r>
                      <w:r>
                        <w:rPr>
                          <w:rFonts w:cstheme="minorBidi"/>
                          <w:b/>
                          <w:bCs/>
                          <w:color w:val="000000" w:themeColor="text1"/>
                          <w:kern w:val="24"/>
                        </w:rPr>
                        <w:t>jobs created at the University of Melbourne</w:t>
                      </w:r>
                    </w:p>
                  </w:txbxContent>
                </v:textbox>
                <w10:wrap anchorx="margin"/>
              </v:shape>
            </w:pict>
          </mc:Fallback>
        </mc:AlternateContent>
      </w:r>
      <w:r w:rsidRPr="00CE1D7F">
        <w:rPr>
          <w:noProof/>
        </w:rPr>
        <w:drawing>
          <wp:anchor distT="0" distB="0" distL="114300" distR="114300" simplePos="0" relativeHeight="251773952" behindDoc="0" locked="0" layoutInCell="1" allowOverlap="1" wp14:anchorId="6419D5B5" wp14:editId="4E2866F5">
            <wp:simplePos x="0" y="0"/>
            <wp:positionH relativeFrom="column">
              <wp:posOffset>1828800</wp:posOffset>
            </wp:positionH>
            <wp:positionV relativeFrom="paragraph">
              <wp:posOffset>1644015</wp:posOffset>
            </wp:positionV>
            <wp:extent cx="582295" cy="593725"/>
            <wp:effectExtent l="0" t="0" r="0" b="0"/>
            <wp:wrapNone/>
            <wp:docPr id="705" name="Picture 70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Picture 555" descr="Icon&#10;&#10;Description automatically generated"/>
                    <pic:cNvPicPr>
                      <a:picLocks noChangeAspect="1"/>
                    </pic:cNvPicPr>
                  </pic:nvPicPr>
                  <pic:blipFill>
                    <a:blip r:embed="rId138" cstate="print">
                      <a:extLst>
                        <a:ext uri="{BEBA8EAE-BF5A-486C-A8C5-ECC9F3942E4B}">
                          <a14:imgProps xmlns:a14="http://schemas.microsoft.com/office/drawing/2010/main">
                            <a14:imgLayer r:embed="rId139">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582295" cy="593725"/>
                    </a:xfrm>
                    <a:prstGeom prst="rect">
                      <a:avLst/>
                    </a:prstGeom>
                  </pic:spPr>
                </pic:pic>
              </a:graphicData>
            </a:graphic>
          </wp:anchor>
        </w:drawing>
      </w:r>
      <w:r w:rsidRPr="00CE1D7F">
        <w:rPr>
          <w:noProof/>
        </w:rPr>
        <mc:AlternateContent>
          <mc:Choice Requires="wps">
            <w:drawing>
              <wp:anchor distT="0" distB="0" distL="114300" distR="114300" simplePos="0" relativeHeight="251774976" behindDoc="0" locked="0" layoutInCell="1" allowOverlap="1" wp14:anchorId="7F02958C" wp14:editId="2130262E">
                <wp:simplePos x="0" y="0"/>
                <wp:positionH relativeFrom="column">
                  <wp:posOffset>2598420</wp:posOffset>
                </wp:positionH>
                <wp:positionV relativeFrom="paragraph">
                  <wp:posOffset>1581150</wp:posOffset>
                </wp:positionV>
                <wp:extent cx="2235200" cy="800100"/>
                <wp:effectExtent l="0" t="0" r="0" b="0"/>
                <wp:wrapNone/>
                <wp:docPr id="247" name="Text Box 2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235200" cy="800100"/>
                        </a:xfrm>
                        <a:prstGeom prst="rect">
                          <a:avLst/>
                        </a:prstGeom>
                        <a:noFill/>
                      </wps:spPr>
                      <wps:txbx>
                        <w:txbxContent>
                          <w:p w14:paraId="1F68D33C" w14:textId="77777777" w:rsidR="002B32A0" w:rsidRDefault="002B32A0" w:rsidP="002B32A0">
                            <w:pPr>
                              <w:spacing w:line="204" w:lineRule="auto"/>
                              <w:rPr>
                                <w:rFonts w:asciiTheme="minorHAnsi" w:eastAsia="Yu Gothic UI Semibold" w:cstheme="minorBidi"/>
                                <w:b/>
                                <w:bCs/>
                                <w:color w:val="000000" w:themeColor="text1"/>
                                <w:kern w:val="24"/>
                                <w:lang w:val="en-US"/>
                              </w:rPr>
                            </w:pPr>
                            <w:r w:rsidRPr="00E36638">
                              <w:rPr>
                                <w:rFonts w:asciiTheme="minorHAnsi" w:eastAsia="Yu Gothic UI Semibold" w:cstheme="minorBidi"/>
                                <w:b/>
                                <w:bCs/>
                                <w:color w:val="000000" w:themeColor="text1"/>
                                <w:kern w:val="24"/>
                                <w:lang w:val="en-US"/>
                              </w:rPr>
                              <w:t xml:space="preserve">Alignment with Government </w:t>
                            </w:r>
                            <w:r>
                              <w:rPr>
                                <w:rFonts w:asciiTheme="minorHAnsi" w:eastAsia="Yu Gothic UI Semibold" w:cstheme="minorBidi"/>
                                <w:b/>
                                <w:bCs/>
                                <w:color w:val="000000" w:themeColor="text1"/>
                                <w:kern w:val="24"/>
                                <w:lang w:val="en-US"/>
                              </w:rPr>
                              <w:t>priorities</w:t>
                            </w:r>
                          </w:p>
                          <w:p w14:paraId="137C5CEC" w14:textId="77777777" w:rsidR="002B32A0" w:rsidRPr="00E36638" w:rsidRDefault="002B32A0" w:rsidP="002B32A0">
                            <w:pPr>
                              <w:spacing w:line="204" w:lineRule="auto"/>
                              <w:rPr>
                                <w:rFonts w:asciiTheme="minorHAnsi" w:eastAsia="Yu Gothic UI Semibold" w:cstheme="minorBidi"/>
                                <w:b/>
                                <w:bCs/>
                                <w:color w:val="000000" w:themeColor="text1"/>
                                <w:kern w:val="24"/>
                                <w:sz w:val="28"/>
                                <w:szCs w:val="28"/>
                                <w:lang w:val="en-US"/>
                              </w:rPr>
                            </w:pPr>
                            <w:r w:rsidRPr="007555AB">
                              <w:rPr>
                                <w:rFonts w:asciiTheme="minorHAnsi" w:eastAsia="Yu Gothic UI Semibold" w:cstheme="minorBidi"/>
                                <w:b/>
                                <w:bCs/>
                                <w:color w:val="000000" w:themeColor="text1"/>
                                <w:kern w:val="24"/>
                                <w:lang w:val="en-US"/>
                              </w:rPr>
                              <w:t>Soil and Water Science and Research Priority</w:t>
                            </w:r>
                            <w:r>
                              <w:rPr>
                                <w:rFonts w:asciiTheme="minorHAnsi" w:eastAsia="Yu Gothic UI Semibold" w:cstheme="minorBidi"/>
                                <w:color w:val="000000" w:themeColor="text1"/>
                                <w:kern w:val="24"/>
                                <w:lang w:val="en-US"/>
                              </w:rPr>
                              <w:t xml:space="preserve">, and </w:t>
                            </w:r>
                            <w:r w:rsidRPr="007555AB">
                              <w:rPr>
                                <w:rFonts w:asciiTheme="minorHAnsi" w:eastAsia="Yu Gothic UI Semibold" w:cstheme="minorBidi"/>
                                <w:b/>
                                <w:bCs/>
                                <w:color w:val="000000" w:themeColor="text1"/>
                                <w:kern w:val="24"/>
                                <w:lang w:val="en-US"/>
                              </w:rPr>
                              <w:t>Water for Australia Plan</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F02958C" id="Text Box 247" o:spid="_x0000_s1062" type="#_x0000_t202" alt="&quot;&quot;" style="position:absolute;margin-left:204.6pt;margin-top:124.5pt;width:176pt;height:63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" filled="f" stroked="f">
                <v:textbox>
                  <w:txbxContent>
                    <w:p w14:paraId="1F68D33C" w14:textId="77777777" w:rsidR="002B32A0" w:rsidRDefault="002B32A0" w:rsidP="002B32A0">
                      <w:pPr>
                        <w:spacing w:line="204" w:lineRule="auto"/>
                        <w:rPr>
                          <w:rFonts w:asciiTheme="minorHAnsi" w:eastAsia="Yu Gothic UI Semibold" w:cstheme="minorBidi"/>
                          <w:b/>
                          <w:bCs/>
                          <w:color w:val="000000" w:themeColor="text1"/>
                          <w:kern w:val="24"/>
                          <w:lang w:val="en-US"/>
                        </w:rPr>
                      </w:pPr>
                      <w:r w:rsidRPr="00E36638">
                        <w:rPr>
                          <w:rFonts w:asciiTheme="minorHAnsi" w:eastAsia="Yu Gothic UI Semibold" w:cstheme="minorBidi"/>
                          <w:b/>
                          <w:bCs/>
                          <w:color w:val="000000" w:themeColor="text1"/>
                          <w:kern w:val="24"/>
                          <w:lang w:val="en-US"/>
                        </w:rPr>
                        <w:t xml:space="preserve">Alignment with Government </w:t>
                      </w:r>
                      <w:r>
                        <w:rPr>
                          <w:rFonts w:asciiTheme="minorHAnsi" w:eastAsia="Yu Gothic UI Semibold" w:cstheme="minorBidi"/>
                          <w:b/>
                          <w:bCs/>
                          <w:color w:val="000000" w:themeColor="text1"/>
                          <w:kern w:val="24"/>
                          <w:lang w:val="en-US"/>
                        </w:rPr>
                        <w:t>priorities</w:t>
                      </w:r>
                    </w:p>
                    <w:p w14:paraId="137C5CEC" w14:textId="77777777" w:rsidR="002B32A0" w:rsidRPr="00E36638" w:rsidRDefault="002B32A0" w:rsidP="002B32A0">
                      <w:pPr>
                        <w:spacing w:line="204" w:lineRule="auto"/>
                        <w:rPr>
                          <w:rFonts w:asciiTheme="minorHAnsi" w:eastAsia="Yu Gothic UI Semibold" w:cstheme="minorBidi"/>
                          <w:b/>
                          <w:bCs/>
                          <w:color w:val="000000" w:themeColor="text1"/>
                          <w:kern w:val="24"/>
                          <w:sz w:val="28"/>
                          <w:szCs w:val="28"/>
                          <w:lang w:val="en-US"/>
                        </w:rPr>
                      </w:pPr>
                      <w:r w:rsidRPr="007555AB">
                        <w:rPr>
                          <w:rFonts w:asciiTheme="minorHAnsi" w:eastAsia="Yu Gothic UI Semibold" w:cstheme="minorBidi"/>
                          <w:b/>
                          <w:bCs/>
                          <w:color w:val="000000" w:themeColor="text1"/>
                          <w:kern w:val="24"/>
                          <w:lang w:val="en-US"/>
                        </w:rPr>
                        <w:t>Soil and Water Science and Research Priority</w:t>
                      </w:r>
                      <w:r>
                        <w:rPr>
                          <w:rFonts w:asciiTheme="minorHAnsi" w:eastAsia="Yu Gothic UI Semibold" w:cstheme="minorBidi"/>
                          <w:color w:val="000000" w:themeColor="text1"/>
                          <w:kern w:val="24"/>
                          <w:lang w:val="en-US"/>
                        </w:rPr>
                        <w:t xml:space="preserve">, and </w:t>
                      </w:r>
                      <w:r w:rsidRPr="007555AB">
                        <w:rPr>
                          <w:rFonts w:asciiTheme="minorHAnsi" w:eastAsia="Yu Gothic UI Semibold" w:cstheme="minorBidi"/>
                          <w:b/>
                          <w:bCs/>
                          <w:color w:val="000000" w:themeColor="text1"/>
                          <w:kern w:val="24"/>
                          <w:lang w:val="en-US"/>
                        </w:rPr>
                        <w:t>Water for Australia Plan</w:t>
                      </w:r>
                    </w:p>
                  </w:txbxContent>
                </v:textbox>
              </v:shape>
            </w:pict>
          </mc:Fallback>
        </mc:AlternateContent>
      </w:r>
      <w:r w:rsidRPr="00CE1D7F">
        <w:rPr>
          <w:noProof/>
        </w:rPr>
        <w:drawing>
          <wp:anchor distT="0" distB="0" distL="114300" distR="114300" simplePos="0" relativeHeight="251766784" behindDoc="0" locked="0" layoutInCell="1" allowOverlap="1" wp14:anchorId="4F35722D" wp14:editId="5069FC6B">
            <wp:simplePos x="0" y="0"/>
            <wp:positionH relativeFrom="page">
              <wp:posOffset>3828415</wp:posOffset>
            </wp:positionH>
            <wp:positionV relativeFrom="paragraph">
              <wp:posOffset>59690</wp:posOffset>
            </wp:positionV>
            <wp:extent cx="514418" cy="514877"/>
            <wp:effectExtent l="0" t="0" r="0" b="0"/>
            <wp:wrapNone/>
            <wp:docPr id="706" name="Picture 70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192" descr="Icon&#10;&#10;Description automatically generated"/>
                    <pic:cNvPicPr>
                      <a:picLocks noChangeAspect="1"/>
                    </pic:cNvPicPr>
                  </pic:nvPicPr>
                  <pic:blipFill>
                    <a:blip r:embed="rId136" cstate="print">
                      <a:extLst>
                        <a:ext uri="{BEBA8EAE-BF5A-486C-A8C5-ECC9F3942E4B}">
                          <a14:imgProps xmlns:a14="http://schemas.microsoft.com/office/drawing/2010/main">
                            <a14:imgLayer r:embed="rId137">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514418" cy="514877"/>
                    </a:xfrm>
                    <a:prstGeom prst="rect">
                      <a:avLst/>
                    </a:prstGeom>
                  </pic:spPr>
                </pic:pic>
              </a:graphicData>
            </a:graphic>
          </wp:anchor>
        </w:drawing>
      </w:r>
    </w:p>
    <w:p w14:paraId="26FEF811" w14:textId="77777777" w:rsidR="002B32A0" w:rsidRPr="00CE1D7F" w:rsidRDefault="002B32A0" w:rsidP="002B32A0">
      <w:pPr>
        <w:pStyle w:val="BodyText"/>
      </w:pPr>
    </w:p>
    <w:p w14:paraId="1E7F5DB9" w14:textId="77777777" w:rsidR="002B32A0" w:rsidRPr="00CE1D7F" w:rsidRDefault="002B32A0" w:rsidP="002B32A0">
      <w:pPr>
        <w:pStyle w:val="BodyText"/>
      </w:pPr>
    </w:p>
    <w:p w14:paraId="173B48DE" w14:textId="77777777" w:rsidR="002B32A0" w:rsidRPr="00CE1D7F" w:rsidRDefault="002B32A0" w:rsidP="002B32A0">
      <w:pPr>
        <w:pStyle w:val="BodyText"/>
      </w:pPr>
    </w:p>
    <w:p w14:paraId="58672B23" w14:textId="77777777" w:rsidR="002B32A0" w:rsidRPr="00CE1D7F" w:rsidRDefault="002B32A0" w:rsidP="002B32A0">
      <w:pPr>
        <w:pStyle w:val="BodyText"/>
      </w:pPr>
    </w:p>
    <w:p w14:paraId="08EECA4A" w14:textId="77777777" w:rsidR="002B32A0" w:rsidRPr="00CE1D7F" w:rsidRDefault="002B32A0" w:rsidP="002B32A0">
      <w:pPr>
        <w:pStyle w:val="BodyText"/>
      </w:pPr>
      <w:r w:rsidRPr="00CE1D7F">
        <w:rPr>
          <w:noProof/>
        </w:rPr>
        <mc:AlternateContent>
          <mc:Choice Requires="wpg">
            <w:drawing>
              <wp:anchor distT="0" distB="0" distL="114300" distR="114300" simplePos="0" relativeHeight="251768832" behindDoc="0" locked="0" layoutInCell="1" allowOverlap="1" wp14:anchorId="0D056712" wp14:editId="038D3FFE">
                <wp:simplePos x="0" y="0"/>
                <wp:positionH relativeFrom="column">
                  <wp:posOffset>-1154312</wp:posOffset>
                </wp:positionH>
                <wp:positionV relativeFrom="paragraph">
                  <wp:posOffset>257810</wp:posOffset>
                </wp:positionV>
                <wp:extent cx="790575" cy="752475"/>
                <wp:effectExtent l="0" t="0" r="0" b="0"/>
                <wp:wrapNone/>
                <wp:docPr id="248" name="Group 248" descr="Icon&#10;&#10;Description automatically generated"/>
                <wp:cNvGraphicFramePr/>
                <a:graphic xmlns:a="http://schemas.openxmlformats.org/drawingml/2006/main">
                  <a:graphicData uri="http://schemas.microsoft.com/office/word/2010/wordprocessingGroup">
                    <wpg:wgp>
                      <wpg:cNvGrpSpPr/>
                      <wpg:grpSpPr>
                        <a:xfrm>
                          <a:off x="0" y="0"/>
                          <a:ext cx="790575" cy="752475"/>
                          <a:chOff x="0" y="0"/>
                          <a:chExt cx="790575" cy="752475"/>
                        </a:xfrm>
                      </wpg:grpSpPr>
                      <pic:pic xmlns:pic="http://schemas.openxmlformats.org/drawingml/2006/picture">
                        <pic:nvPicPr>
                          <pic:cNvPr id="249" name="Graphic 249" descr="Diploma roll with solid fill"/>
                          <pic:cNvPicPr>
                            <a:picLocks noChangeAspect="1"/>
                          </pic:cNvPicPr>
                        </pic:nvPicPr>
                        <pic:blipFill>
                          <a:blip r:embed="rId142">
                            <a:extLst>
                              <a:ext uri="{28A0092B-C50C-407E-A947-70E740481C1C}">
                                <a14:useLocalDpi xmlns:a14="http://schemas.microsoft.com/office/drawing/2010/main" val="0"/>
                              </a:ext>
                              <a:ext uri="{96DAC541-7B7A-43D3-8B79-37D633B846F1}">
                                <asvg:svgBlip xmlns:asvg="http://schemas.microsoft.com/office/drawing/2016/SVG/main" r:embed="rId143"/>
                              </a:ext>
                            </a:extLst>
                          </a:blip>
                          <a:stretch>
                            <a:fillRect/>
                          </a:stretch>
                        </pic:blipFill>
                        <pic:spPr>
                          <a:xfrm rot="19117289">
                            <a:off x="257175" y="219075"/>
                            <a:ext cx="533400" cy="533400"/>
                          </a:xfrm>
                          <a:prstGeom prst="rect">
                            <a:avLst/>
                          </a:prstGeom>
                        </pic:spPr>
                      </pic:pic>
                      <pic:pic xmlns:pic="http://schemas.openxmlformats.org/drawingml/2006/picture">
                        <pic:nvPicPr>
                          <pic:cNvPr id="250" name="Graphic 250" descr="Graduation cap with solid fill"/>
                          <pic:cNvPicPr>
                            <a:picLocks noChangeAspect="1"/>
                          </pic:cNvPicPr>
                        </pic:nvPicPr>
                        <pic:blipFill>
                          <a:blip r:embed="rId144">
                            <a:extLst>
                              <a:ext uri="{28A0092B-C50C-407E-A947-70E740481C1C}">
                                <a14:useLocalDpi xmlns:a14="http://schemas.microsoft.com/office/drawing/2010/main" val="0"/>
                              </a:ext>
                              <a:ext uri="{96DAC541-7B7A-43D3-8B79-37D633B846F1}">
                                <asvg:svgBlip xmlns:asvg="http://schemas.microsoft.com/office/drawing/2016/SVG/main" r:embed="rId145"/>
                              </a:ext>
                            </a:extLst>
                          </a:blip>
                          <a:stretch>
                            <a:fillRect/>
                          </a:stretch>
                        </pic:blipFill>
                        <pic:spPr>
                          <a:xfrm>
                            <a:off x="0" y="0"/>
                            <a:ext cx="619125" cy="619125"/>
                          </a:xfrm>
                          <a:prstGeom prst="rect">
                            <a:avLst/>
                          </a:prstGeom>
                        </pic:spPr>
                      </pic:pic>
                    </wpg:wgp>
                  </a:graphicData>
                </a:graphic>
              </wp:anchor>
            </w:drawing>
          </mc:Choice>
          <mc:Fallback>
            <w:pict>
              <v:group w14:anchorId="72E48FC4" id="Group 248" o:spid="_x0000_s1026" alt="Icon&#10;&#10;Description automatically generated" style="position:absolute;margin-left:-90.9pt;margin-top:20.3pt;width:62.25pt;height:59.25pt;z-index:251768832" coordsize="7905,752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">
                <v:shape id="Graphic 249" o:spid="_x0000_s1027" type="#_x0000_t75" alt="Diploma roll with solid fill" style="position:absolute;left:2571;top:2190;width:5334;height:5334;rotation:-271178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">
                  <v:imagedata r:id="rId146" o:title="Diploma roll with solid fill"/>
                </v:shape>
                <v:shape id="Graphic 250" o:spid="_x0000_s1028" type="#_x0000_t75" alt="Graduation cap with solid fill" style="position:absolute;width:6191;height:6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">
                  <v:imagedata r:id="rId147" o:title="Graduation cap with solid fill"/>
                </v:shape>
              </v:group>
            </w:pict>
          </mc:Fallback>
        </mc:AlternateContent>
      </w:r>
    </w:p>
    <w:p w14:paraId="4BD333ED" w14:textId="77777777" w:rsidR="002B32A0" w:rsidRPr="00CE1D7F" w:rsidRDefault="002B32A0" w:rsidP="002B32A0">
      <w:pPr>
        <w:pStyle w:val="BodyText"/>
      </w:pPr>
      <w:r w:rsidRPr="00CE1D7F">
        <w:rPr>
          <w:noProof/>
        </w:rPr>
        <mc:AlternateContent>
          <mc:Choice Requires="wps">
            <w:drawing>
              <wp:anchor distT="0" distB="0" distL="114300" distR="114300" simplePos="0" relativeHeight="251769856" behindDoc="0" locked="0" layoutInCell="1" allowOverlap="1" wp14:anchorId="4990A6ED" wp14:editId="4D60A079">
                <wp:simplePos x="0" y="0"/>
                <wp:positionH relativeFrom="column">
                  <wp:posOffset>-390407</wp:posOffset>
                </wp:positionH>
                <wp:positionV relativeFrom="paragraph">
                  <wp:posOffset>127635</wp:posOffset>
                </wp:positionV>
                <wp:extent cx="1703705" cy="664210"/>
                <wp:effectExtent l="0" t="0" r="0" b="0"/>
                <wp:wrapNone/>
                <wp:docPr id="251" name="Text Box 25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703705" cy="664210"/>
                        </a:xfrm>
                        <a:prstGeom prst="rect">
                          <a:avLst/>
                        </a:prstGeom>
                        <a:noFill/>
                      </wps:spPr>
                      <wps:txbx>
                        <w:txbxContent>
                          <w:p w14:paraId="5EE92F0E" w14:textId="77777777" w:rsidR="002B32A0" w:rsidRDefault="002B32A0" w:rsidP="002B32A0">
                            <w:pPr>
                              <w:spacing w:line="204" w:lineRule="auto"/>
                              <w:rPr>
                                <w:rFonts w:asciiTheme="minorHAnsi" w:eastAsia="Yu Gothic UI Semibold" w:cstheme="minorBidi"/>
                                <w:b/>
                                <w:bCs/>
                                <w:color w:val="000000" w:themeColor="text1"/>
                                <w:kern w:val="24"/>
                                <w:sz w:val="36"/>
                                <w:szCs w:val="36"/>
                              </w:rPr>
                            </w:pPr>
                            <w:r>
                              <w:rPr>
                                <w:rFonts w:asciiTheme="minorHAnsi" w:eastAsia="Yu Gothic UI Semibold" w:cstheme="minorBidi"/>
                                <w:b/>
                                <w:bCs/>
                                <w:color w:val="000000" w:themeColor="text1"/>
                                <w:kern w:val="24"/>
                                <w:sz w:val="36"/>
                                <w:szCs w:val="36"/>
                              </w:rPr>
                              <w:t xml:space="preserve">20 </w:t>
                            </w:r>
                            <w:r>
                              <w:rPr>
                                <w:rFonts w:cstheme="minorBidi"/>
                                <w:b/>
                                <w:bCs/>
                                <w:color w:val="000000" w:themeColor="text1"/>
                                <w:kern w:val="24"/>
                              </w:rPr>
                              <w:t>students impacted by the research</w:t>
                            </w:r>
                          </w:p>
                        </w:txbxContent>
                      </wps:txbx>
                      <wps:bodyPr wrap="square" rtlCol="0">
                        <a:noAutofit/>
                      </wps:bodyPr>
                    </wps:wsp>
                  </a:graphicData>
                </a:graphic>
              </wp:anchor>
            </w:drawing>
          </mc:Choice>
          <mc:Fallback>
            <w:pict>
              <v:shape w14:anchorId="4990A6ED" id="Text Box 251" o:spid="_x0000_s1063" type="#_x0000_t202" alt="&quot;&quot;" style="position:absolute;margin-left:-30.75pt;margin-top:10.05pt;width:134.15pt;height:52.3pt;z-index:251769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" filled="f" stroked="f">
                <v:textbox>
                  <w:txbxContent>
                    <w:p w14:paraId="5EE92F0E" w14:textId="77777777" w:rsidR="002B32A0" w:rsidRDefault="002B32A0" w:rsidP="002B32A0">
                      <w:pPr>
                        <w:spacing w:line="204" w:lineRule="auto"/>
                        <w:rPr>
                          <w:rFonts w:asciiTheme="minorHAnsi" w:eastAsia="Yu Gothic UI Semibold" w:cstheme="minorBidi"/>
                          <w:b/>
                          <w:bCs/>
                          <w:color w:val="000000" w:themeColor="text1"/>
                          <w:kern w:val="24"/>
                          <w:sz w:val="36"/>
                          <w:szCs w:val="36"/>
                        </w:rPr>
                      </w:pPr>
                      <w:r>
                        <w:rPr>
                          <w:rFonts w:asciiTheme="minorHAnsi" w:eastAsia="Yu Gothic UI Semibold" w:cstheme="minorBidi"/>
                          <w:b/>
                          <w:bCs/>
                          <w:color w:val="000000" w:themeColor="text1"/>
                          <w:kern w:val="24"/>
                          <w:sz w:val="36"/>
                          <w:szCs w:val="36"/>
                        </w:rPr>
                        <w:t xml:space="preserve">20 </w:t>
                      </w:r>
                      <w:r>
                        <w:rPr>
                          <w:rFonts w:cstheme="minorBidi"/>
                          <w:b/>
                          <w:bCs/>
                          <w:color w:val="000000" w:themeColor="text1"/>
                          <w:kern w:val="24"/>
                        </w:rPr>
                        <w:t>students impacted by the research</w:t>
                      </w:r>
                    </w:p>
                  </w:txbxContent>
                </v:textbox>
              </v:shape>
            </w:pict>
          </mc:Fallback>
        </mc:AlternateContent>
      </w:r>
    </w:p>
    <w:p w14:paraId="007BEA09" w14:textId="77777777" w:rsidR="002B32A0" w:rsidRPr="00CE1D7F" w:rsidRDefault="002B32A0" w:rsidP="002B32A0">
      <w:pPr>
        <w:pStyle w:val="BodyText"/>
      </w:pPr>
    </w:p>
    <w:p w14:paraId="2CCE1411" w14:textId="77777777" w:rsidR="002B32A0" w:rsidRPr="00CE1D7F" w:rsidRDefault="002B32A0" w:rsidP="002B32A0">
      <w:pPr>
        <w:pStyle w:val="BodyText"/>
      </w:pPr>
    </w:p>
    <w:p w14:paraId="78E49DE0" w14:textId="77777777" w:rsidR="002B32A0" w:rsidRPr="00CE1D7F" w:rsidRDefault="002B32A0" w:rsidP="002B32A0">
      <w:pPr>
        <w:pStyle w:val="BodyText"/>
      </w:pPr>
    </w:p>
    <w:p w14:paraId="75898D93" w14:textId="77777777" w:rsidR="002B32A0" w:rsidRPr="00CE1D7F" w:rsidRDefault="002B32A0" w:rsidP="002475B9">
      <w:pPr>
        <w:pStyle w:val="Heading2"/>
        <w:spacing w:before="480"/>
      </w:pPr>
      <w:bookmarkStart w:id="343" w:name="_Toc129964026"/>
      <w:bookmarkStart w:id="344" w:name="_Toc131174664"/>
      <w:bookmarkStart w:id="345" w:name="_Toc132970685"/>
      <w:bookmarkStart w:id="346" w:name="_Toc135323724"/>
      <w:r w:rsidRPr="00CE1D7F">
        <w:t>Case study framework</w:t>
      </w:r>
      <w:bookmarkEnd w:id="343"/>
      <w:bookmarkEnd w:id="344"/>
      <w:bookmarkEnd w:id="345"/>
      <w:bookmarkEnd w:id="346"/>
    </w:p>
    <w:p w14:paraId="390937EA" w14:textId="282FCB05" w:rsidR="00D419AB" w:rsidRDefault="002B32A0" w:rsidP="002B32A0">
      <w:pPr>
        <w:pStyle w:val="BodyText"/>
      </w:pPr>
      <w:r w:rsidRPr="00CE1D7F">
        <w:t>This case study uses an evaluation framework</w:t>
      </w:r>
      <w:r>
        <w:t xml:space="preserve"> that ACIL Allen has used</w:t>
      </w:r>
      <w:r w:rsidRPr="00CE1D7F">
        <w:t xml:space="preserve"> to assess the impact and value of research undertaken by many organisations.</w:t>
      </w:r>
      <w:r w:rsidRPr="00CE1D7F">
        <w:rPr>
          <w:rStyle w:val="FootnoteReference"/>
        </w:rPr>
        <w:footnoteReference w:id="149"/>
      </w:r>
      <w:r w:rsidRPr="00CE1D7F">
        <w:t xml:space="preserve"> The results from </w:t>
      </w:r>
      <w:r>
        <w:t>applying that</w:t>
      </w:r>
      <w:r w:rsidRPr="00CE1D7F">
        <w:t xml:space="preserve"> framework </w:t>
      </w:r>
      <w:r>
        <w:t>to the I</w:t>
      </w:r>
      <w:r w:rsidRPr="00CE1D7F">
        <w:t xml:space="preserve">rrigation </w:t>
      </w:r>
      <w:r>
        <w:t>A</w:t>
      </w:r>
      <w:r w:rsidRPr="00CE1D7F">
        <w:t xml:space="preserve">utomation case study are summarised in </w:t>
      </w:r>
      <w:r w:rsidRPr="00F87D0E">
        <w:fldChar w:fldCharType="begin"/>
      </w:r>
      <w:r w:rsidRPr="00F87D0E">
        <w:instrText xml:space="preserve"> REF _Ref129348753 \h  \* MERGEFORMAT </w:instrText>
      </w:r>
      <w:r w:rsidRPr="00F87D0E">
        <w:fldChar w:fldCharType="separate"/>
      </w:r>
      <w:r w:rsidR="000B0AC7" w:rsidRPr="000B0AC7">
        <w:t>Figure 9.1</w:t>
      </w:r>
      <w:r w:rsidRPr="00F87D0E">
        <w:fldChar w:fldCharType="end"/>
      </w:r>
      <w:r w:rsidRPr="00CE1D7F">
        <w:t>.</w:t>
      </w:r>
    </w:p>
    <w:p w14:paraId="4C8C4EB1" w14:textId="77777777" w:rsidR="00D419AB" w:rsidRDefault="00D419AB">
      <w:pPr>
        <w:spacing w:before="0" w:after="160" w:line="259" w:lineRule="auto"/>
      </w:pPr>
      <w:r>
        <w:br w:type="page"/>
      </w:r>
    </w:p>
    <w:p w14:paraId="31B2DB0F" w14:textId="46B20DFC" w:rsidR="002B32A0" w:rsidRPr="00CE1D7F" w:rsidRDefault="002B32A0" w:rsidP="002B32A0">
      <w:pPr>
        <w:pStyle w:val="Caption"/>
        <w:ind w:left="-1202"/>
      </w:pPr>
      <w:bookmarkStart w:id="347" w:name="_Ref129348753"/>
      <w:r w:rsidRPr="00CE1D7F">
        <w:rPr>
          <w:rStyle w:val="CaptionLabel"/>
        </w:rPr>
        <w:t>Figure </w:t>
      </w:r>
      <w:r w:rsidRPr="00CE1D7F">
        <w:rPr>
          <w:rStyle w:val="CaptionLabel"/>
        </w:rPr>
        <w:fldChar w:fldCharType="begin"/>
      </w:r>
      <w:r w:rsidRPr="00CE1D7F">
        <w:rPr>
          <w:rStyle w:val="CaptionLabel"/>
        </w:rPr>
        <w:instrText xml:space="preserve"> STYLEREF 1 \S \* MERGEFORMAT </w:instrText>
      </w:r>
      <w:r w:rsidRPr="00CE1D7F">
        <w:rPr>
          <w:rStyle w:val="CaptionLabel"/>
        </w:rPr>
        <w:fldChar w:fldCharType="separate"/>
      </w:r>
      <w:r w:rsidR="000B0AC7">
        <w:rPr>
          <w:rStyle w:val="CaptionLabel"/>
          <w:noProof/>
        </w:rPr>
        <w:t>9</w:t>
      </w:r>
      <w:r w:rsidRPr="00CE1D7F">
        <w:rPr>
          <w:rStyle w:val="CaptionLabel"/>
        </w:rPr>
        <w:fldChar w:fldCharType="end"/>
      </w:r>
      <w:r w:rsidRPr="00CE1D7F">
        <w:rPr>
          <w:rStyle w:val="CaptionLabel"/>
        </w:rPr>
        <w:t>.</w:t>
      </w:r>
      <w:r w:rsidRPr="00CE1D7F">
        <w:rPr>
          <w:rStyle w:val="CaptionLabel"/>
        </w:rPr>
        <w:fldChar w:fldCharType="begin"/>
      </w:r>
      <w:r w:rsidRPr="00CE1D7F">
        <w:rPr>
          <w:rStyle w:val="CaptionLabel"/>
        </w:rPr>
        <w:instrText xml:space="preserve"> SEQ Figure \* ARABIC \S 1 \* MERGEFORMAT </w:instrText>
      </w:r>
      <w:r w:rsidRPr="00CE1D7F">
        <w:rPr>
          <w:rStyle w:val="CaptionLabel"/>
        </w:rPr>
        <w:fldChar w:fldCharType="separate"/>
      </w:r>
      <w:r w:rsidR="000B0AC7">
        <w:rPr>
          <w:rStyle w:val="CaptionLabel"/>
          <w:noProof/>
        </w:rPr>
        <w:t>1</w:t>
      </w:r>
      <w:r w:rsidRPr="00CE1D7F">
        <w:rPr>
          <w:rStyle w:val="CaptionLabel"/>
        </w:rPr>
        <w:fldChar w:fldCharType="end"/>
      </w:r>
      <w:bookmarkEnd w:id="347"/>
      <w:r w:rsidRPr="00CE1D7F">
        <w:tab/>
        <w:t>Irrigation automation – Impact Framework Diagram</w:t>
      </w:r>
    </w:p>
    <w:tbl>
      <w:tblPr>
        <w:tblW w:w="6531" w:type="pct"/>
        <w:tblInd w:w="-2410" w:type="dxa"/>
        <w:tblBorders>
          <w:top w:val="single" w:sz="4" w:space="0" w:color="auto"/>
          <w:bottom w:val="single" w:sz="4" w:space="0" w:color="auto"/>
        </w:tblBorders>
        <w:tblLayout w:type="fixed"/>
        <w:tblCellMar>
          <w:left w:w="0" w:type="dxa"/>
          <w:right w:w="0" w:type="dxa"/>
        </w:tblCellMar>
        <w:tblLook w:val="0000" w:firstRow="0" w:lastRow="0" w:firstColumn="0" w:lastColumn="0" w:noHBand="0" w:noVBand="0"/>
        <w:tblCaption w:val="Figure 9.1"/>
        <w:tblDescription w:val="Irrigation automation – Impact Framework Diagram"/>
      </w:tblPr>
      <w:tblGrid>
        <w:gridCol w:w="1701"/>
        <w:gridCol w:w="142"/>
        <w:gridCol w:w="2127"/>
        <w:gridCol w:w="141"/>
        <w:gridCol w:w="2127"/>
        <w:gridCol w:w="141"/>
        <w:gridCol w:w="1985"/>
        <w:gridCol w:w="142"/>
        <w:gridCol w:w="1861"/>
      </w:tblGrid>
      <w:tr w:rsidR="002B32A0" w:rsidRPr="00CE1D7F" w14:paraId="03F4FDA1" w14:textId="77777777" w:rsidTr="00D419AB">
        <w:trPr>
          <w:trHeight w:val="591"/>
        </w:trPr>
        <w:tc>
          <w:tcPr>
            <w:tcW w:w="1701" w:type="dxa"/>
            <w:tcBorders>
              <w:top w:val="nil"/>
              <w:left w:val="nil"/>
              <w:bottom w:val="nil"/>
              <w:right w:val="nil"/>
            </w:tcBorders>
            <w:shd w:val="clear" w:color="auto" w:fill="140034" w:themeFill="background2"/>
            <w:vAlign w:val="center"/>
          </w:tcPr>
          <w:p w14:paraId="358A9A21" w14:textId="77777777" w:rsidR="002B32A0" w:rsidRPr="00CE1D7F" w:rsidRDefault="002B32A0" w:rsidP="006258ED">
            <w:pPr>
              <w:keepNext/>
              <w:spacing w:after="0" w:line="240" w:lineRule="auto"/>
              <w:jc w:val="center"/>
              <w:rPr>
                <w:rFonts w:cstheme="majorHAnsi"/>
                <w:b/>
                <w:color w:val="FFFFFF" w:themeColor="background1"/>
              </w:rPr>
            </w:pPr>
            <w:r w:rsidRPr="00CE1D7F">
              <w:rPr>
                <w:rFonts w:cstheme="majorHAnsi"/>
                <w:b/>
                <w:color w:val="FFFFFF" w:themeColor="background1"/>
              </w:rPr>
              <w:t>INPUTS</w:t>
            </w:r>
          </w:p>
        </w:tc>
        <w:tc>
          <w:tcPr>
            <w:tcW w:w="142" w:type="dxa"/>
            <w:tcBorders>
              <w:top w:val="nil"/>
              <w:left w:val="nil"/>
              <w:bottom w:val="nil"/>
              <w:right w:val="nil"/>
            </w:tcBorders>
            <w:shd w:val="clear" w:color="auto" w:fill="auto"/>
            <w:vAlign w:val="center"/>
          </w:tcPr>
          <w:p w14:paraId="2147A900" w14:textId="77777777" w:rsidR="002B32A0" w:rsidRPr="00CE1D7F" w:rsidRDefault="002B32A0" w:rsidP="006258ED">
            <w:pPr>
              <w:keepNext/>
              <w:spacing w:after="0" w:line="240" w:lineRule="auto"/>
              <w:jc w:val="center"/>
              <w:rPr>
                <w:rFonts w:cstheme="majorHAnsi"/>
                <w:b/>
                <w:color w:val="FFFFFF" w:themeColor="background1"/>
              </w:rPr>
            </w:pPr>
          </w:p>
        </w:tc>
        <w:tc>
          <w:tcPr>
            <w:tcW w:w="2127" w:type="dxa"/>
            <w:tcBorders>
              <w:top w:val="nil"/>
              <w:left w:val="nil"/>
              <w:bottom w:val="nil"/>
              <w:right w:val="nil"/>
            </w:tcBorders>
            <w:shd w:val="clear" w:color="auto" w:fill="140034" w:themeFill="background2"/>
            <w:vAlign w:val="center"/>
          </w:tcPr>
          <w:p w14:paraId="552B23A4" w14:textId="77777777" w:rsidR="002B32A0" w:rsidRPr="00CE1D7F" w:rsidRDefault="002B32A0" w:rsidP="006258ED">
            <w:pPr>
              <w:keepNext/>
              <w:spacing w:after="0" w:line="240" w:lineRule="auto"/>
              <w:jc w:val="center"/>
              <w:rPr>
                <w:rFonts w:cstheme="majorHAnsi"/>
                <w:b/>
                <w:color w:val="FFFFFF" w:themeColor="background1"/>
              </w:rPr>
            </w:pPr>
            <w:r w:rsidRPr="00CE1D7F">
              <w:rPr>
                <w:rFonts w:cstheme="majorHAnsi"/>
                <w:b/>
                <w:color w:val="FFFFFF" w:themeColor="background1"/>
              </w:rPr>
              <w:t>ACTIVITIES</w:t>
            </w:r>
          </w:p>
        </w:tc>
        <w:tc>
          <w:tcPr>
            <w:tcW w:w="141" w:type="dxa"/>
            <w:tcBorders>
              <w:top w:val="nil"/>
              <w:left w:val="nil"/>
              <w:bottom w:val="nil"/>
              <w:right w:val="nil"/>
            </w:tcBorders>
            <w:shd w:val="clear" w:color="auto" w:fill="auto"/>
            <w:vAlign w:val="center"/>
          </w:tcPr>
          <w:p w14:paraId="73031EB8" w14:textId="77777777" w:rsidR="002B32A0" w:rsidRPr="00CE1D7F" w:rsidRDefault="002B32A0" w:rsidP="006258ED">
            <w:pPr>
              <w:keepNext/>
              <w:spacing w:after="0" w:line="240" w:lineRule="auto"/>
              <w:ind w:firstLine="34"/>
              <w:jc w:val="center"/>
              <w:rPr>
                <w:rFonts w:cstheme="majorHAnsi"/>
                <w:b/>
                <w:color w:val="FFFFFF" w:themeColor="background1"/>
              </w:rPr>
            </w:pPr>
          </w:p>
        </w:tc>
        <w:tc>
          <w:tcPr>
            <w:tcW w:w="2127" w:type="dxa"/>
            <w:tcBorders>
              <w:top w:val="nil"/>
              <w:left w:val="nil"/>
              <w:bottom w:val="nil"/>
              <w:right w:val="nil"/>
            </w:tcBorders>
            <w:shd w:val="clear" w:color="auto" w:fill="140034" w:themeFill="background2"/>
            <w:vAlign w:val="center"/>
          </w:tcPr>
          <w:p w14:paraId="59BE785F" w14:textId="77777777" w:rsidR="002B32A0" w:rsidRPr="00CE1D7F" w:rsidRDefault="002B32A0" w:rsidP="006258ED">
            <w:pPr>
              <w:keepNext/>
              <w:spacing w:after="0" w:line="240" w:lineRule="auto"/>
              <w:ind w:left="118"/>
              <w:jc w:val="center"/>
              <w:rPr>
                <w:rFonts w:cstheme="majorHAnsi"/>
                <w:b/>
                <w:color w:val="FFFFFF" w:themeColor="background1"/>
              </w:rPr>
            </w:pPr>
            <w:r w:rsidRPr="00CE1D7F">
              <w:rPr>
                <w:rFonts w:cstheme="majorHAnsi"/>
                <w:b/>
                <w:color w:val="FFFFFF" w:themeColor="background1"/>
              </w:rPr>
              <w:t>OUTPUTS</w:t>
            </w:r>
          </w:p>
        </w:tc>
        <w:tc>
          <w:tcPr>
            <w:tcW w:w="141" w:type="dxa"/>
            <w:tcBorders>
              <w:top w:val="nil"/>
              <w:left w:val="nil"/>
              <w:bottom w:val="nil"/>
              <w:right w:val="nil"/>
            </w:tcBorders>
            <w:shd w:val="clear" w:color="auto" w:fill="auto"/>
            <w:vAlign w:val="center"/>
          </w:tcPr>
          <w:p w14:paraId="7B1CB457" w14:textId="77777777" w:rsidR="002B32A0" w:rsidRPr="00CE1D7F" w:rsidRDefault="002B32A0" w:rsidP="006258ED">
            <w:pPr>
              <w:keepNext/>
              <w:spacing w:after="0" w:line="240" w:lineRule="auto"/>
              <w:ind w:firstLine="32"/>
              <w:jc w:val="center"/>
              <w:rPr>
                <w:rFonts w:cstheme="majorHAnsi"/>
                <w:b/>
                <w:color w:val="FFFFFF" w:themeColor="background1"/>
              </w:rPr>
            </w:pPr>
          </w:p>
        </w:tc>
        <w:tc>
          <w:tcPr>
            <w:tcW w:w="1985" w:type="dxa"/>
            <w:tcBorders>
              <w:top w:val="nil"/>
              <w:left w:val="nil"/>
              <w:bottom w:val="nil"/>
              <w:right w:val="nil"/>
            </w:tcBorders>
            <w:shd w:val="clear" w:color="auto" w:fill="140034" w:themeFill="background2"/>
            <w:vAlign w:val="center"/>
          </w:tcPr>
          <w:p w14:paraId="173F7A06" w14:textId="77777777" w:rsidR="002B32A0" w:rsidRPr="00CE1D7F" w:rsidRDefault="002B32A0" w:rsidP="006258ED">
            <w:pPr>
              <w:spacing w:after="0" w:line="240" w:lineRule="auto"/>
              <w:ind w:left="61"/>
              <w:jc w:val="center"/>
              <w:rPr>
                <w:rFonts w:cstheme="majorHAnsi"/>
                <w:b/>
                <w:color w:val="FFFFFF" w:themeColor="background1"/>
                <w:lang w:eastAsia="en-AU"/>
              </w:rPr>
            </w:pPr>
            <w:r w:rsidRPr="00CE1D7F">
              <w:rPr>
                <w:rFonts w:cstheme="majorHAnsi"/>
                <w:b/>
                <w:color w:val="FFFFFF" w:themeColor="background1"/>
                <w:lang w:eastAsia="en-AU"/>
              </w:rPr>
              <w:t>OUTCOMES</w:t>
            </w:r>
          </w:p>
        </w:tc>
        <w:tc>
          <w:tcPr>
            <w:tcW w:w="142" w:type="dxa"/>
            <w:tcBorders>
              <w:top w:val="nil"/>
              <w:left w:val="nil"/>
              <w:bottom w:val="nil"/>
              <w:right w:val="nil"/>
            </w:tcBorders>
            <w:shd w:val="clear" w:color="auto" w:fill="auto"/>
            <w:vAlign w:val="center"/>
          </w:tcPr>
          <w:p w14:paraId="7938FAF0" w14:textId="77777777" w:rsidR="002B32A0" w:rsidRPr="00CE1D7F" w:rsidRDefault="002B32A0" w:rsidP="006258ED">
            <w:pPr>
              <w:keepNext/>
              <w:spacing w:after="0" w:line="240" w:lineRule="auto"/>
              <w:ind w:left="-65" w:firstLine="32"/>
              <w:jc w:val="center"/>
              <w:rPr>
                <w:rFonts w:cstheme="majorHAnsi"/>
                <w:b/>
                <w:color w:val="FFFFFF" w:themeColor="background1"/>
              </w:rPr>
            </w:pPr>
          </w:p>
        </w:tc>
        <w:tc>
          <w:tcPr>
            <w:tcW w:w="1861" w:type="dxa"/>
            <w:tcBorders>
              <w:top w:val="nil"/>
              <w:left w:val="nil"/>
              <w:bottom w:val="nil"/>
              <w:right w:val="nil"/>
            </w:tcBorders>
            <w:shd w:val="clear" w:color="auto" w:fill="140034" w:themeFill="background2"/>
            <w:vAlign w:val="center"/>
          </w:tcPr>
          <w:p w14:paraId="19FFC353" w14:textId="77777777" w:rsidR="002B32A0" w:rsidRPr="00CE1D7F" w:rsidRDefault="002B32A0" w:rsidP="006258ED">
            <w:pPr>
              <w:spacing w:after="0" w:line="240" w:lineRule="auto"/>
              <w:ind w:left="61"/>
              <w:jc w:val="center"/>
              <w:rPr>
                <w:rFonts w:cstheme="majorHAnsi"/>
                <w:b/>
                <w:color w:val="FFFFFF" w:themeColor="background1"/>
                <w:lang w:eastAsia="en-AU"/>
              </w:rPr>
            </w:pPr>
            <w:r w:rsidRPr="00CE1D7F">
              <w:rPr>
                <w:rFonts w:cstheme="majorHAnsi"/>
                <w:b/>
                <w:color w:val="FFFFFF" w:themeColor="background1"/>
                <w:lang w:eastAsia="en-AU"/>
              </w:rPr>
              <w:t>IMPACTS</w:t>
            </w:r>
          </w:p>
        </w:tc>
      </w:tr>
      <w:tr w:rsidR="002B32A0" w:rsidRPr="00CE1D7F" w14:paraId="5BA1B56E" w14:textId="77777777" w:rsidTr="00D419AB">
        <w:trPr>
          <w:trHeight w:hRule="exact" w:val="170"/>
        </w:trPr>
        <w:tc>
          <w:tcPr>
            <w:tcW w:w="1701" w:type="dxa"/>
            <w:tcBorders>
              <w:top w:val="nil"/>
              <w:bottom w:val="nil"/>
              <w:right w:val="single" w:sz="12" w:space="0" w:color="FFFFFF" w:themeColor="background1"/>
            </w:tcBorders>
          </w:tcPr>
          <w:p w14:paraId="68B2BEFC" w14:textId="77777777" w:rsidR="002B32A0" w:rsidRPr="00CE1D7F" w:rsidRDefault="002B32A0" w:rsidP="006258ED">
            <w:pPr>
              <w:keepNext/>
              <w:spacing w:after="0" w:line="240" w:lineRule="auto"/>
              <w:ind w:hanging="3402"/>
              <w:jc w:val="center"/>
              <w:rPr>
                <w:rFonts w:ascii="Calibri" w:hAnsi="Calibri"/>
                <w:sz w:val="16"/>
                <w:szCs w:val="16"/>
              </w:rPr>
            </w:pPr>
          </w:p>
        </w:tc>
        <w:tc>
          <w:tcPr>
            <w:tcW w:w="142" w:type="dxa"/>
            <w:tcBorders>
              <w:top w:val="nil"/>
              <w:left w:val="single" w:sz="12" w:space="0" w:color="FFFFFF" w:themeColor="background1"/>
              <w:bottom w:val="single" w:sz="12" w:space="0" w:color="FFFFFF" w:themeColor="background1"/>
              <w:right w:val="single" w:sz="12" w:space="0" w:color="FFFFFF" w:themeColor="background1"/>
            </w:tcBorders>
          </w:tcPr>
          <w:p w14:paraId="2C55BDE9" w14:textId="77777777" w:rsidR="002B32A0" w:rsidRPr="00CE1D7F" w:rsidRDefault="002B32A0" w:rsidP="006258ED">
            <w:pPr>
              <w:keepNext/>
              <w:spacing w:after="0" w:line="240" w:lineRule="auto"/>
              <w:jc w:val="center"/>
              <w:rPr>
                <w:rFonts w:ascii="Calibri" w:hAnsi="Calibri"/>
                <w:sz w:val="16"/>
                <w:szCs w:val="16"/>
              </w:rPr>
            </w:pPr>
          </w:p>
        </w:tc>
        <w:tc>
          <w:tcPr>
            <w:tcW w:w="2127" w:type="dxa"/>
            <w:tcBorders>
              <w:top w:val="nil"/>
              <w:left w:val="single" w:sz="12" w:space="0" w:color="FFFFFF" w:themeColor="background1"/>
              <w:bottom w:val="nil"/>
              <w:right w:val="single" w:sz="12" w:space="0" w:color="FFFFFF" w:themeColor="background1"/>
            </w:tcBorders>
          </w:tcPr>
          <w:p w14:paraId="706370DA" w14:textId="77777777" w:rsidR="002B32A0" w:rsidRPr="00CE1D7F" w:rsidRDefault="002B32A0" w:rsidP="006258ED">
            <w:pPr>
              <w:keepNext/>
              <w:spacing w:after="0" w:line="240" w:lineRule="auto"/>
              <w:ind w:left="-108"/>
              <w:jc w:val="center"/>
              <w:rPr>
                <w:rFonts w:ascii="Calibri" w:hAnsi="Calibri"/>
                <w:sz w:val="16"/>
                <w:szCs w:val="16"/>
              </w:rPr>
            </w:pPr>
          </w:p>
        </w:tc>
        <w:tc>
          <w:tcPr>
            <w:tcW w:w="141" w:type="dxa"/>
            <w:tcBorders>
              <w:top w:val="nil"/>
              <w:left w:val="single" w:sz="12" w:space="0" w:color="FFFFFF" w:themeColor="background1"/>
              <w:bottom w:val="nil"/>
              <w:right w:val="single" w:sz="12" w:space="0" w:color="FFFFFF" w:themeColor="background1"/>
            </w:tcBorders>
          </w:tcPr>
          <w:p w14:paraId="31ED59E6" w14:textId="77777777" w:rsidR="002B32A0" w:rsidRPr="00CE1D7F" w:rsidRDefault="002B32A0" w:rsidP="006258ED">
            <w:pPr>
              <w:keepNext/>
              <w:spacing w:after="0" w:line="240" w:lineRule="auto"/>
              <w:ind w:firstLine="34"/>
              <w:jc w:val="center"/>
              <w:rPr>
                <w:rFonts w:ascii="Calibri" w:hAnsi="Calibri"/>
                <w:sz w:val="16"/>
                <w:szCs w:val="16"/>
              </w:rPr>
            </w:pPr>
          </w:p>
        </w:tc>
        <w:tc>
          <w:tcPr>
            <w:tcW w:w="2127" w:type="dxa"/>
            <w:tcBorders>
              <w:top w:val="nil"/>
              <w:left w:val="single" w:sz="12" w:space="0" w:color="FFFFFF" w:themeColor="background1"/>
              <w:bottom w:val="nil"/>
              <w:right w:val="single" w:sz="12" w:space="0" w:color="FFFFFF" w:themeColor="background1"/>
            </w:tcBorders>
          </w:tcPr>
          <w:p w14:paraId="799EAC63" w14:textId="77777777" w:rsidR="002B32A0" w:rsidRPr="00CE1D7F" w:rsidRDefault="002B32A0" w:rsidP="006258ED">
            <w:pPr>
              <w:pStyle w:val="Tablelistbullet"/>
              <w:numPr>
                <w:ilvl w:val="0"/>
                <w:numId w:val="0"/>
              </w:numPr>
              <w:rPr>
                <w:rFonts w:ascii="Calibri" w:hAnsi="Calibri" w:cs="Arial"/>
                <w:sz w:val="16"/>
                <w:szCs w:val="16"/>
              </w:rPr>
            </w:pPr>
          </w:p>
        </w:tc>
        <w:tc>
          <w:tcPr>
            <w:tcW w:w="141" w:type="dxa"/>
            <w:tcBorders>
              <w:top w:val="nil"/>
              <w:left w:val="single" w:sz="12" w:space="0" w:color="FFFFFF" w:themeColor="background1"/>
              <w:bottom w:val="nil"/>
              <w:right w:val="single" w:sz="12" w:space="0" w:color="FFFFFF" w:themeColor="background1"/>
            </w:tcBorders>
          </w:tcPr>
          <w:p w14:paraId="57483804" w14:textId="77777777" w:rsidR="002B32A0" w:rsidRPr="00CE1D7F" w:rsidRDefault="002B32A0" w:rsidP="006258ED">
            <w:pPr>
              <w:keepNext/>
              <w:spacing w:after="0" w:line="240" w:lineRule="auto"/>
              <w:ind w:hanging="3402"/>
              <w:jc w:val="center"/>
              <w:rPr>
                <w:rFonts w:ascii="Calibri" w:hAnsi="Calibri"/>
                <w:sz w:val="16"/>
                <w:szCs w:val="16"/>
              </w:rPr>
            </w:pPr>
          </w:p>
        </w:tc>
        <w:tc>
          <w:tcPr>
            <w:tcW w:w="1985" w:type="dxa"/>
            <w:tcBorders>
              <w:top w:val="nil"/>
              <w:left w:val="single" w:sz="12" w:space="0" w:color="FFFFFF" w:themeColor="background1"/>
              <w:bottom w:val="nil"/>
              <w:right w:val="single" w:sz="12" w:space="0" w:color="FFFFFF" w:themeColor="background1"/>
            </w:tcBorders>
          </w:tcPr>
          <w:p w14:paraId="0899DA95" w14:textId="77777777" w:rsidR="002B32A0" w:rsidRPr="00CE1D7F" w:rsidRDefault="002B32A0" w:rsidP="006258ED">
            <w:pPr>
              <w:keepNext/>
              <w:spacing w:after="0" w:line="240" w:lineRule="auto"/>
              <w:jc w:val="center"/>
              <w:rPr>
                <w:rFonts w:ascii="Calibri" w:hAnsi="Calibri"/>
                <w:sz w:val="16"/>
                <w:szCs w:val="16"/>
              </w:rPr>
            </w:pPr>
          </w:p>
        </w:tc>
        <w:tc>
          <w:tcPr>
            <w:tcW w:w="142" w:type="dxa"/>
            <w:tcBorders>
              <w:top w:val="nil"/>
              <w:left w:val="single" w:sz="12" w:space="0" w:color="FFFFFF" w:themeColor="background1"/>
              <w:bottom w:val="nil"/>
              <w:right w:val="single" w:sz="12" w:space="0" w:color="FFFFFF" w:themeColor="background1"/>
            </w:tcBorders>
          </w:tcPr>
          <w:p w14:paraId="1163338A" w14:textId="77777777" w:rsidR="002B32A0" w:rsidRPr="00CE1D7F" w:rsidRDefault="002B32A0" w:rsidP="006258ED">
            <w:pPr>
              <w:keepNext/>
              <w:spacing w:after="0" w:line="240" w:lineRule="auto"/>
              <w:ind w:left="-17" w:firstLine="32"/>
              <w:jc w:val="center"/>
              <w:rPr>
                <w:rFonts w:ascii="Calibri" w:hAnsi="Calibri"/>
                <w:sz w:val="16"/>
                <w:szCs w:val="16"/>
              </w:rPr>
            </w:pPr>
          </w:p>
        </w:tc>
        <w:tc>
          <w:tcPr>
            <w:tcW w:w="1861" w:type="dxa"/>
            <w:tcBorders>
              <w:top w:val="nil"/>
              <w:left w:val="single" w:sz="12" w:space="0" w:color="FFFFFF" w:themeColor="background1"/>
              <w:bottom w:val="nil"/>
              <w:right w:val="single" w:sz="12" w:space="0" w:color="FFFFFF" w:themeColor="background1"/>
            </w:tcBorders>
          </w:tcPr>
          <w:p w14:paraId="25BCEB75" w14:textId="77777777" w:rsidR="002B32A0" w:rsidRPr="00CE1D7F" w:rsidRDefault="002B32A0" w:rsidP="006258ED">
            <w:pPr>
              <w:keepNext/>
              <w:spacing w:after="0" w:line="240" w:lineRule="auto"/>
              <w:ind w:left="96"/>
              <w:jc w:val="center"/>
              <w:rPr>
                <w:rFonts w:ascii="Calibri" w:hAnsi="Calibri"/>
                <w:sz w:val="16"/>
                <w:szCs w:val="16"/>
              </w:rPr>
            </w:pPr>
          </w:p>
        </w:tc>
      </w:tr>
      <w:tr w:rsidR="002B32A0" w:rsidRPr="00CE1D7F" w14:paraId="6B48D6FD" w14:textId="77777777" w:rsidTr="00D419AB">
        <w:trPr>
          <w:trHeight w:val="390"/>
        </w:trPr>
        <w:tc>
          <w:tcPr>
            <w:tcW w:w="1701" w:type="dxa"/>
            <w:tcBorders>
              <w:top w:val="nil"/>
              <w:left w:val="nil"/>
              <w:bottom w:val="nil"/>
              <w:right w:val="nil"/>
            </w:tcBorders>
            <w:shd w:val="clear" w:color="auto" w:fill="DEDEDE" w:themeFill="accent3" w:themeFillTint="99"/>
          </w:tcPr>
          <w:p w14:paraId="65BA1334" w14:textId="77777777" w:rsidR="002B32A0" w:rsidRPr="00CE1D7F" w:rsidRDefault="002B32A0" w:rsidP="002B32A0">
            <w:pPr>
              <w:pStyle w:val="Tablelistbullet"/>
              <w:numPr>
                <w:ilvl w:val="0"/>
                <w:numId w:val="64"/>
              </w:numPr>
              <w:spacing w:before="60" w:after="0"/>
              <w:ind w:right="120"/>
            </w:pPr>
            <w:r w:rsidRPr="00CE1D7F">
              <w:t>$2</w:t>
            </w:r>
            <w:r>
              <w:t>.</w:t>
            </w:r>
            <w:r w:rsidRPr="00CE1D7F">
              <w:t>8</w:t>
            </w:r>
            <w:r>
              <w:t>m</w:t>
            </w:r>
            <w:r w:rsidRPr="00CE1D7F">
              <w:t xml:space="preserve"> cash from ARC</w:t>
            </w:r>
          </w:p>
          <w:p w14:paraId="2E7F8E5B" w14:textId="75846DF0" w:rsidR="002B32A0" w:rsidRPr="00CE1D7F" w:rsidRDefault="002B32A0" w:rsidP="002B32A0">
            <w:pPr>
              <w:pStyle w:val="Tablelistbullet"/>
              <w:numPr>
                <w:ilvl w:val="0"/>
                <w:numId w:val="64"/>
              </w:numPr>
              <w:spacing w:before="60" w:after="0"/>
              <w:ind w:right="120"/>
            </w:pPr>
            <w:r>
              <w:t xml:space="preserve">$6.8m in </w:t>
            </w:r>
            <w:r w:rsidR="00054253">
              <w:t>cash</w:t>
            </w:r>
            <w:r>
              <w:t xml:space="preserve"> and in-kind support from </w:t>
            </w:r>
            <w:r w:rsidRPr="00240D8D">
              <w:rPr>
                <w:rFonts w:asciiTheme="minorHAnsi" w:eastAsia="Yu Gothic UI Semibold"/>
                <w:color w:val="000000" w:themeColor="text1"/>
                <w:kern w:val="24"/>
              </w:rPr>
              <w:t>other organisations</w:t>
            </w:r>
          </w:p>
        </w:tc>
        <w:tc>
          <w:tcPr>
            <w:tcW w:w="142" w:type="dxa"/>
            <w:tcBorders>
              <w:top w:val="single" w:sz="12" w:space="0" w:color="FFFFFF" w:themeColor="background1"/>
              <w:left w:val="nil"/>
              <w:bottom w:val="nil"/>
              <w:right w:val="nil"/>
            </w:tcBorders>
          </w:tcPr>
          <w:p w14:paraId="6E84F214" w14:textId="77777777" w:rsidR="002B32A0" w:rsidRPr="00CE1D7F" w:rsidRDefault="002B32A0" w:rsidP="006258ED">
            <w:pPr>
              <w:pStyle w:val="BodyText"/>
            </w:pPr>
          </w:p>
        </w:tc>
        <w:tc>
          <w:tcPr>
            <w:tcW w:w="2127" w:type="dxa"/>
            <w:tcBorders>
              <w:top w:val="nil"/>
              <w:left w:val="nil"/>
              <w:bottom w:val="nil"/>
              <w:right w:val="nil"/>
            </w:tcBorders>
            <w:shd w:val="clear" w:color="auto" w:fill="DEDEDE" w:themeFill="accent3" w:themeFillTint="99"/>
          </w:tcPr>
          <w:p w14:paraId="7D47CBDE" w14:textId="77777777" w:rsidR="002B32A0" w:rsidRPr="00CE1D7F" w:rsidRDefault="002B32A0" w:rsidP="002B32A0">
            <w:pPr>
              <w:pStyle w:val="Tablelistbullet"/>
              <w:numPr>
                <w:ilvl w:val="0"/>
                <w:numId w:val="64"/>
              </w:numPr>
              <w:spacing w:before="60" w:after="0"/>
              <w:ind w:right="120"/>
            </w:pPr>
            <w:r w:rsidRPr="00CE1D7F">
              <w:t>Continuous partnership between the University of Melbourne and Rubicon Water since 1998</w:t>
            </w:r>
          </w:p>
          <w:p w14:paraId="46650559" w14:textId="77777777" w:rsidR="002B32A0" w:rsidRPr="00CE1D7F" w:rsidRDefault="002B32A0" w:rsidP="002B32A0">
            <w:pPr>
              <w:pStyle w:val="Tablelistbullet"/>
              <w:numPr>
                <w:ilvl w:val="0"/>
                <w:numId w:val="64"/>
              </w:numPr>
              <w:spacing w:before="60" w:after="0"/>
              <w:ind w:right="120"/>
            </w:pPr>
            <w:r w:rsidRPr="00CE1D7F">
              <w:t>Rubicon designed Total Channel Control, a fully automated system for controlling irrigation, based on the first project in 1998</w:t>
            </w:r>
          </w:p>
          <w:p w14:paraId="2C8B115B" w14:textId="77777777" w:rsidR="002B32A0" w:rsidRPr="00CE1D7F" w:rsidRDefault="002B32A0" w:rsidP="002B32A0">
            <w:pPr>
              <w:pStyle w:val="Tablelistbullet"/>
              <w:numPr>
                <w:ilvl w:val="0"/>
                <w:numId w:val="64"/>
              </w:numPr>
              <w:spacing w:before="60" w:after="0"/>
              <w:ind w:right="120"/>
            </w:pPr>
            <w:r w:rsidRPr="00CE1D7F">
              <w:t>University and industry partner have been involved in several Linkage projects from 2003, each</w:t>
            </w:r>
            <w:r>
              <w:t xml:space="preserve"> of which</w:t>
            </w:r>
            <w:r w:rsidRPr="00CE1D7F">
              <w:t xml:space="preserve"> had different research objectives to advance Rubicon Water’s irrigation automation processes</w:t>
            </w:r>
          </w:p>
        </w:tc>
        <w:tc>
          <w:tcPr>
            <w:tcW w:w="141" w:type="dxa"/>
            <w:tcBorders>
              <w:top w:val="nil"/>
              <w:left w:val="nil"/>
              <w:bottom w:val="nil"/>
              <w:right w:val="nil"/>
            </w:tcBorders>
          </w:tcPr>
          <w:p w14:paraId="6E25AAB8" w14:textId="77777777" w:rsidR="002B32A0" w:rsidRPr="00CE1D7F" w:rsidRDefault="002B32A0" w:rsidP="006258ED">
            <w:pPr>
              <w:pStyle w:val="Tabletext"/>
            </w:pPr>
          </w:p>
        </w:tc>
        <w:tc>
          <w:tcPr>
            <w:tcW w:w="2127" w:type="dxa"/>
            <w:tcBorders>
              <w:top w:val="nil"/>
              <w:left w:val="nil"/>
              <w:bottom w:val="nil"/>
              <w:right w:val="nil"/>
            </w:tcBorders>
            <w:shd w:val="clear" w:color="auto" w:fill="DEDEDE" w:themeFill="accent3" w:themeFillTint="99"/>
          </w:tcPr>
          <w:p w14:paraId="36134CCE" w14:textId="77777777" w:rsidR="002B32A0" w:rsidRPr="00CE1D7F" w:rsidRDefault="002B32A0" w:rsidP="002B32A0">
            <w:pPr>
              <w:pStyle w:val="Tablelistbullet"/>
              <w:numPr>
                <w:ilvl w:val="0"/>
                <w:numId w:val="64"/>
              </w:numPr>
              <w:spacing w:before="60" w:after="0"/>
              <w:ind w:right="120"/>
            </w:pPr>
            <w:r w:rsidRPr="00CE1D7F">
              <w:t>In September 2021 Rubicon Water debuted on the Australian Stock Exchange, aiming to raise $42.6</w:t>
            </w:r>
            <w:r>
              <w:t> million</w:t>
            </w:r>
            <w:r w:rsidRPr="00CE1D7F">
              <w:t xml:space="preserve"> at a market capitalisation of $171.9</w:t>
            </w:r>
            <w:r>
              <w:t> million</w:t>
            </w:r>
            <w:r w:rsidRPr="00CE1D7F">
              <w:t>.</w:t>
            </w:r>
          </w:p>
          <w:p w14:paraId="1D764D56" w14:textId="77777777" w:rsidR="002B32A0" w:rsidRPr="00CE1D7F" w:rsidRDefault="002B32A0" w:rsidP="002B32A0">
            <w:pPr>
              <w:pStyle w:val="Tablelistbullet"/>
              <w:numPr>
                <w:ilvl w:val="0"/>
                <w:numId w:val="64"/>
              </w:numPr>
              <w:spacing w:before="60" w:after="0"/>
              <w:ind w:right="120"/>
            </w:pPr>
            <w:r w:rsidRPr="00CE1D7F">
              <w:t>Comprehensive suite of 218 patents</w:t>
            </w:r>
          </w:p>
          <w:p w14:paraId="5E818F31" w14:textId="77777777" w:rsidR="002B32A0" w:rsidRPr="00CE1D7F" w:rsidRDefault="002B32A0" w:rsidP="002B32A0">
            <w:pPr>
              <w:pStyle w:val="Tablelistbullet"/>
              <w:numPr>
                <w:ilvl w:val="0"/>
                <w:numId w:val="64"/>
              </w:numPr>
              <w:spacing w:before="60" w:after="0"/>
              <w:ind w:right="120"/>
            </w:pPr>
            <w:r w:rsidRPr="00CE1D7F">
              <w:t>Numerous awards, including Australian Academy of Technological Sciences and Engineering Clunies Ross Award (2008)</w:t>
            </w:r>
          </w:p>
          <w:p w14:paraId="2B5F386C" w14:textId="77777777" w:rsidR="002B32A0" w:rsidRPr="00CE1D7F" w:rsidRDefault="002B32A0" w:rsidP="002B32A0">
            <w:pPr>
              <w:pStyle w:val="Tablelistbullet"/>
              <w:numPr>
                <w:ilvl w:val="0"/>
                <w:numId w:val="64"/>
              </w:numPr>
              <w:spacing w:before="60" w:after="0"/>
              <w:ind w:right="120"/>
            </w:pPr>
            <w:r w:rsidRPr="00CE1D7F">
              <w:t>Publications and invitations to international conferences</w:t>
            </w:r>
          </w:p>
        </w:tc>
        <w:tc>
          <w:tcPr>
            <w:tcW w:w="141" w:type="dxa"/>
            <w:tcBorders>
              <w:top w:val="nil"/>
              <w:left w:val="nil"/>
              <w:bottom w:val="nil"/>
              <w:right w:val="nil"/>
            </w:tcBorders>
          </w:tcPr>
          <w:p w14:paraId="7F04571B" w14:textId="77777777" w:rsidR="002B32A0" w:rsidRPr="00CE1D7F" w:rsidRDefault="002B32A0" w:rsidP="006258ED">
            <w:pPr>
              <w:pStyle w:val="Tabletext"/>
            </w:pPr>
          </w:p>
        </w:tc>
        <w:tc>
          <w:tcPr>
            <w:tcW w:w="1985" w:type="dxa"/>
            <w:tcBorders>
              <w:top w:val="nil"/>
              <w:left w:val="nil"/>
              <w:bottom w:val="nil"/>
              <w:right w:val="nil"/>
            </w:tcBorders>
            <w:shd w:val="clear" w:color="auto" w:fill="DEDEDE" w:themeFill="accent3" w:themeFillTint="99"/>
          </w:tcPr>
          <w:p w14:paraId="648E98C6" w14:textId="77777777" w:rsidR="002B32A0" w:rsidRPr="00CE1D7F" w:rsidRDefault="002B32A0" w:rsidP="002B32A0">
            <w:pPr>
              <w:pStyle w:val="Tablelistbullet"/>
              <w:numPr>
                <w:ilvl w:val="0"/>
                <w:numId w:val="64"/>
              </w:numPr>
              <w:spacing w:before="60" w:after="0"/>
              <w:ind w:right="120"/>
            </w:pPr>
            <w:r w:rsidRPr="00CE1D7F">
              <w:t>Rubicon’s irrigation system addresses many of the issues with manual systems, e.g., through eliminating spills, improving the reliability and timeliness of water supply, and enabling precise application to crops.</w:t>
            </w:r>
          </w:p>
          <w:p w14:paraId="4D87C868" w14:textId="77777777" w:rsidR="002B32A0" w:rsidRPr="00CE1D7F" w:rsidRDefault="002B32A0" w:rsidP="002B32A0">
            <w:pPr>
              <w:pStyle w:val="Tablelistbullet"/>
              <w:numPr>
                <w:ilvl w:val="0"/>
                <w:numId w:val="64"/>
              </w:numPr>
              <w:spacing w:before="60" w:after="0"/>
              <w:ind w:right="120"/>
            </w:pPr>
            <w:r w:rsidRPr="00CE1D7F">
              <w:t>Examples of adoption of Rubicon Water’s technology includes the Goulburn-Murray Irrigation District</w:t>
            </w:r>
            <w:r>
              <w:t xml:space="preserve"> </w:t>
            </w:r>
            <w:r w:rsidRPr="00CE1D7F">
              <w:t>Connections Project, and the Karnataka irrigation modernisation project in India.</w:t>
            </w:r>
          </w:p>
        </w:tc>
        <w:tc>
          <w:tcPr>
            <w:tcW w:w="142" w:type="dxa"/>
            <w:tcBorders>
              <w:top w:val="nil"/>
              <w:left w:val="nil"/>
              <w:bottom w:val="nil"/>
              <w:right w:val="nil"/>
            </w:tcBorders>
          </w:tcPr>
          <w:p w14:paraId="6D202DDF" w14:textId="77777777" w:rsidR="002B32A0" w:rsidRPr="00CE1D7F" w:rsidRDefault="002B32A0" w:rsidP="006258ED">
            <w:pPr>
              <w:pStyle w:val="Tabletext"/>
            </w:pPr>
          </w:p>
        </w:tc>
        <w:tc>
          <w:tcPr>
            <w:tcW w:w="1861" w:type="dxa"/>
            <w:tcBorders>
              <w:top w:val="nil"/>
              <w:left w:val="nil"/>
              <w:bottom w:val="nil"/>
              <w:right w:val="nil"/>
            </w:tcBorders>
            <w:shd w:val="clear" w:color="auto" w:fill="DEDEDE" w:themeFill="accent3" w:themeFillTint="99"/>
          </w:tcPr>
          <w:p w14:paraId="068CBA07" w14:textId="77777777" w:rsidR="002B32A0" w:rsidRPr="00CE1D7F" w:rsidRDefault="002B32A0" w:rsidP="002B32A0">
            <w:pPr>
              <w:pStyle w:val="Tablelistbullet"/>
              <w:numPr>
                <w:ilvl w:val="0"/>
                <w:numId w:val="64"/>
              </w:numPr>
            </w:pPr>
            <w:r w:rsidRPr="00CE1D7F">
              <w:t>$9.7</w:t>
            </w:r>
            <w:r>
              <w:t> billion</w:t>
            </w:r>
            <w:r w:rsidRPr="00CE1D7F">
              <w:t xml:space="preserve"> NPV of unattributed economic impacts as a result of the Connections Project </w:t>
            </w:r>
          </w:p>
          <w:p w14:paraId="5FC95550" w14:textId="77777777" w:rsidR="002B32A0" w:rsidRPr="00CE1D7F" w:rsidRDefault="002B32A0" w:rsidP="002B32A0">
            <w:pPr>
              <w:pStyle w:val="Tablelistbullet"/>
              <w:numPr>
                <w:ilvl w:val="0"/>
                <w:numId w:val="64"/>
              </w:numPr>
            </w:pPr>
            <w:r w:rsidRPr="00CE1D7F">
              <w:t>Impacts have not been attributed due to commercial sensitivities; however, Rubicon Water has stated that the ARC funding has supported the development of the Total Channel Control algorithm, which is part of the system responsible for delivering benefits under the Connections Project</w:t>
            </w:r>
          </w:p>
          <w:p w14:paraId="49DAD5CC" w14:textId="77777777" w:rsidR="002B32A0" w:rsidRPr="00CE1D7F" w:rsidRDefault="002B32A0" w:rsidP="002B32A0">
            <w:pPr>
              <w:pStyle w:val="Tablelistbullet"/>
              <w:numPr>
                <w:ilvl w:val="0"/>
                <w:numId w:val="64"/>
              </w:numPr>
            </w:pPr>
            <w:r w:rsidRPr="00CE1D7F">
              <w:t>BCR of 2.94.</w:t>
            </w:r>
          </w:p>
        </w:tc>
      </w:tr>
      <w:tr w:rsidR="002B32A0" w:rsidRPr="00CE1D7F" w14:paraId="32754C04" w14:textId="77777777" w:rsidTr="00D419AB">
        <w:tblPrEx>
          <w:tblBorders>
            <w:top w:val="none" w:sz="0" w:space="0" w:color="auto"/>
            <w:bottom w:val="none" w:sz="0" w:space="0" w:color="auto"/>
          </w:tblBorders>
        </w:tblPrEx>
        <w:trPr>
          <w:trHeight w:val="135"/>
        </w:trPr>
        <w:tc>
          <w:tcPr>
            <w:tcW w:w="10367" w:type="dxa"/>
            <w:gridSpan w:val="9"/>
            <w:tcBorders>
              <w:bottom w:val="single" w:sz="4" w:space="0" w:color="000100"/>
            </w:tcBorders>
            <w:shd w:val="clear" w:color="auto" w:fill="auto"/>
            <w:tcMar>
              <w:top w:w="12" w:type="dxa"/>
              <w:bottom w:w="113" w:type="dxa"/>
            </w:tcMar>
          </w:tcPr>
          <w:p w14:paraId="646C869E" w14:textId="77777777" w:rsidR="002B32A0" w:rsidRPr="00CE1D7F" w:rsidRDefault="002B32A0" w:rsidP="006258ED">
            <w:pPr>
              <w:pStyle w:val="Source"/>
            </w:pPr>
            <w:r w:rsidRPr="00CE1D7F">
              <w:t>Source: ACIL Allen</w:t>
            </w:r>
          </w:p>
        </w:tc>
      </w:tr>
      <w:tr w:rsidR="002B32A0" w:rsidRPr="00CE1D7F" w14:paraId="594A2187" w14:textId="77777777" w:rsidTr="00D419AB">
        <w:tblPrEx>
          <w:tblBorders>
            <w:top w:val="none" w:sz="0" w:space="0" w:color="auto"/>
            <w:bottom w:val="none" w:sz="0" w:space="0" w:color="auto"/>
          </w:tblBorders>
        </w:tblPrEx>
        <w:trPr>
          <w:trHeight w:hRule="exact" w:val="160"/>
        </w:trPr>
        <w:tc>
          <w:tcPr>
            <w:tcW w:w="10367" w:type="dxa"/>
            <w:gridSpan w:val="9"/>
            <w:tcBorders>
              <w:top w:val="single" w:sz="4" w:space="0" w:color="000100"/>
            </w:tcBorders>
            <w:shd w:val="clear" w:color="auto" w:fill="auto"/>
            <w:tcMar>
              <w:top w:w="0" w:type="dxa"/>
              <w:bottom w:w="40" w:type="dxa"/>
            </w:tcMar>
          </w:tcPr>
          <w:p w14:paraId="58F20F84" w14:textId="77777777" w:rsidR="002B32A0" w:rsidRPr="00CE1D7F" w:rsidRDefault="002B32A0" w:rsidP="006258ED">
            <w:pPr>
              <w:pStyle w:val="spacer"/>
            </w:pPr>
          </w:p>
        </w:tc>
      </w:tr>
    </w:tbl>
    <w:p w14:paraId="0BF52B70" w14:textId="77777777" w:rsidR="002B32A0" w:rsidRPr="00CE1D7F" w:rsidRDefault="002B32A0" w:rsidP="002475B9">
      <w:pPr>
        <w:pStyle w:val="Heading2"/>
      </w:pPr>
      <w:bookmarkStart w:id="348" w:name="_Toc129964027"/>
      <w:bookmarkStart w:id="349" w:name="_Toc131174665"/>
      <w:bookmarkStart w:id="350" w:name="_Toc132970686"/>
      <w:bookmarkStart w:id="351" w:name="_Toc135323725"/>
      <w:r w:rsidRPr="00CE1D7F">
        <w:t>Background</w:t>
      </w:r>
      <w:bookmarkEnd w:id="348"/>
      <w:bookmarkEnd w:id="349"/>
      <w:bookmarkEnd w:id="350"/>
      <w:bookmarkEnd w:id="351"/>
    </w:p>
    <w:p w14:paraId="579010AC" w14:textId="77777777" w:rsidR="002B32A0" w:rsidRPr="00CE1D7F" w:rsidRDefault="002B32A0" w:rsidP="002B32A0">
      <w:pPr>
        <w:pStyle w:val="BodyText"/>
      </w:pPr>
      <w:r w:rsidRPr="00CE1D7F">
        <w:t xml:space="preserve">This case study relates to projects funded under the following </w:t>
      </w:r>
      <w:r>
        <w:t xml:space="preserve">ARC </w:t>
      </w:r>
      <w:r w:rsidRPr="00CE1D7F">
        <w:t>schemes:</w:t>
      </w:r>
    </w:p>
    <w:p w14:paraId="4CDC7E09" w14:textId="77777777" w:rsidR="002B32A0" w:rsidRPr="00CE1D7F" w:rsidRDefault="002B32A0" w:rsidP="002475B9">
      <w:pPr>
        <w:pStyle w:val="ListBullet"/>
      </w:pPr>
      <w:r w:rsidRPr="00CE1D7F">
        <w:t>Linkage Program</w:t>
      </w:r>
      <w:r>
        <w:t xml:space="preserve">: </w:t>
      </w:r>
      <w:r w:rsidRPr="00DD5811">
        <w:rPr>
          <w:b/>
          <w:bCs/>
        </w:rPr>
        <w:t>Linkage Projects</w:t>
      </w:r>
      <w:r w:rsidRPr="00CE1D7F">
        <w:t>.</w:t>
      </w:r>
    </w:p>
    <w:p w14:paraId="41DBFA28" w14:textId="77777777" w:rsidR="002B32A0" w:rsidRPr="00CE1D7F" w:rsidRDefault="002B32A0" w:rsidP="002475B9">
      <w:pPr>
        <w:pStyle w:val="Heading3"/>
      </w:pPr>
      <w:r w:rsidRPr="00CE1D7F">
        <w:t>The project</w:t>
      </w:r>
    </w:p>
    <w:p w14:paraId="2F18B709" w14:textId="77777777" w:rsidR="002B32A0" w:rsidRPr="00CE1D7F" w:rsidRDefault="002B32A0" w:rsidP="002B32A0">
      <w:r w:rsidRPr="00CE1D7F">
        <w:t>Irrigation accounts for more than 70% of the global demand for fresh water. This water comes primarily from purpose-built reservoirs, which are supplied by rivers. However, less than 70% of distributed irrigation water generally</w:t>
      </w:r>
      <w:r w:rsidRPr="00CE1D7F">
        <w:rPr>
          <w:lang w:eastAsia="ja-JP"/>
        </w:rPr>
        <w:t xml:space="preserve"> reaches farms. In some countries, such as China, water efficiency can be as low as 30%. Water is lost in transit through leakage, seepage, evaporation, system spills, unauthorised use, inability to control and measurement errors. To avoid poor service to irrigators located in these manually managed open-channel irrigation systems, the operators tend to supply excess water, often resulting in substantial end-of-system spills.</w:t>
      </w:r>
    </w:p>
    <w:p w14:paraId="62329A53" w14:textId="77777777" w:rsidR="002B32A0" w:rsidRPr="00CE1D7F" w:rsidRDefault="002B32A0" w:rsidP="002B32A0">
      <w:pPr>
        <w:rPr>
          <w:lang w:eastAsia="ja-JP"/>
        </w:rPr>
      </w:pPr>
      <w:r w:rsidRPr="00CE1D7F">
        <w:rPr>
          <w:lang w:eastAsia="ja-JP"/>
        </w:rPr>
        <w:t>Pressure on water supplies is increasing, due to climate change, a growing global population and urbanisation. People are also eating more meat, which can take up to 10 times more water to produce per kilogram, than grains, fruit and vegetables. To safeguard water resources and ensure food security, irrigation infrastructure needs to be modernised. Improving the efficiency of existing open-channel systems is more cost-effective than installing new water irrigation infrastructure such as pressurised pipelines. Developing efficient, automated open-channel irrigation systems was the focus of the University of Melbourne and industry partner Rubicon Water’s research projects.</w:t>
      </w:r>
    </w:p>
    <w:p w14:paraId="4A575BFC" w14:textId="77777777" w:rsidR="002B32A0" w:rsidRPr="00CE1D7F" w:rsidRDefault="002B32A0" w:rsidP="002B32A0">
      <w:pPr>
        <w:rPr>
          <w:lang w:eastAsia="ja-JP"/>
        </w:rPr>
      </w:pPr>
      <w:r w:rsidRPr="00CE1D7F">
        <w:t xml:space="preserve">Rubicon Water is a Melbourne-based manufacturer that improves the efficiency of large-scale, gravity-fed irrigation systems. Rubicon Water’s flagship solution, Total Channel Control (TCC), leverages intelligent control devices, software and communications to accurately measure and control the flow of water from the source (such as a river or reservoir) to the farm in real-time. TCC combines information from the sensors integrated into the control devices to inform operators of system status in real-time across the entire modernised irrigation network. These sensors measure water levels and flow at distinct </w:t>
      </w:r>
      <w:r w:rsidRPr="00CE1D7F">
        <w:rPr>
          <w:lang w:eastAsia="ja-JP"/>
        </w:rPr>
        <w:t>points in open channels. Based on these data, the system can automatically adjust the gates and valves to deliver the amount of water each farm requests. System operators can leverage the sensory data communicated by each site to identify parts of the network that are losing water through leaks, seepage or other factors. Combined with Rubicon products for on-farm surface irrigation automation, TCC allows farmers to monitor and manage their irrigation remotely, enabling water to be applied on-farm efficiently and precisely when crops need it.</w:t>
      </w:r>
    </w:p>
    <w:p w14:paraId="604D9DCF" w14:textId="7CDC65AD" w:rsidR="000B0AC7" w:rsidRPr="00CE1D7F" w:rsidRDefault="000B0AC7" w:rsidP="000B0AC7">
      <w:pPr>
        <w:pStyle w:val="Caption"/>
        <w:ind w:left="1308" w:hanging="1308"/>
        <w:rPr>
          <w:lang w:eastAsia="ja-JP"/>
        </w:rPr>
      </w:pPr>
      <w:r w:rsidRPr="00CE1D7F">
        <w:rPr>
          <w:rStyle w:val="CaptionLabel"/>
        </w:rPr>
        <w:t>Figure </w:t>
      </w:r>
      <w:r w:rsidRPr="00CE1D7F">
        <w:rPr>
          <w:rStyle w:val="CaptionLabel"/>
        </w:rPr>
        <w:fldChar w:fldCharType="begin"/>
      </w:r>
      <w:r w:rsidRPr="00CE1D7F">
        <w:rPr>
          <w:rStyle w:val="CaptionLabel"/>
        </w:rPr>
        <w:instrText xml:space="preserve"> STYLEREF 1 \S \* MERGEFORMAT </w:instrText>
      </w:r>
      <w:r w:rsidRPr="00CE1D7F">
        <w:rPr>
          <w:rStyle w:val="CaptionLabel"/>
        </w:rPr>
        <w:fldChar w:fldCharType="separate"/>
      </w:r>
      <w:r>
        <w:rPr>
          <w:rStyle w:val="CaptionLabel"/>
          <w:noProof/>
        </w:rPr>
        <w:t>9</w:t>
      </w:r>
      <w:r w:rsidRPr="00CE1D7F">
        <w:rPr>
          <w:rStyle w:val="CaptionLabel"/>
        </w:rPr>
        <w:fldChar w:fldCharType="end"/>
      </w:r>
      <w:r w:rsidRPr="00CE1D7F">
        <w:rPr>
          <w:rStyle w:val="CaptionLabel"/>
        </w:rPr>
        <w:t>.</w:t>
      </w:r>
      <w:r w:rsidRPr="00CE1D7F">
        <w:rPr>
          <w:rStyle w:val="CaptionLabel"/>
        </w:rPr>
        <w:fldChar w:fldCharType="begin"/>
      </w:r>
      <w:r w:rsidRPr="00CE1D7F">
        <w:rPr>
          <w:rStyle w:val="CaptionLabel"/>
        </w:rPr>
        <w:instrText xml:space="preserve"> SEQ Figure \* ARABIC \S 1 \* MERGEFORMAT </w:instrText>
      </w:r>
      <w:r w:rsidRPr="00CE1D7F">
        <w:rPr>
          <w:rStyle w:val="CaptionLabel"/>
        </w:rPr>
        <w:fldChar w:fldCharType="separate"/>
      </w:r>
      <w:r>
        <w:rPr>
          <w:rStyle w:val="CaptionLabel"/>
          <w:noProof/>
        </w:rPr>
        <w:t>2</w:t>
      </w:r>
      <w:r w:rsidRPr="00CE1D7F">
        <w:rPr>
          <w:rStyle w:val="CaptionLabel"/>
        </w:rPr>
        <w:fldChar w:fldCharType="end"/>
      </w:r>
      <w:r w:rsidRPr="00CE1D7F">
        <w:rPr>
          <w:lang w:eastAsia="ja-JP"/>
        </w:rPr>
        <w:tab/>
        <w:t>Rubicon Water’s FlumeGates are a key component of the TCC solution</w:t>
      </w:r>
    </w:p>
    <w:tbl>
      <w:tblPr>
        <w:tblStyle w:val="aacTableFigure"/>
        <w:tblW w:w="5000" w:type="pct"/>
        <w:tblBorders>
          <w:top w:val="single" w:sz="4" w:space="0" w:color="000000"/>
          <w:bottom w:val="single" w:sz="4" w:space="0" w:color="000000"/>
        </w:tblBorders>
        <w:tblLook w:val="04A0" w:firstRow="1" w:lastRow="0" w:firstColumn="1" w:lastColumn="0" w:noHBand="0" w:noVBand="1"/>
      </w:tblPr>
      <w:tblGrid>
        <w:gridCol w:w="7937"/>
      </w:tblGrid>
      <w:tr w:rsidR="002B32A0" w:rsidRPr="00CE1D7F" w14:paraId="47B6B5A0" w14:textId="77777777" w:rsidTr="000B0AC7">
        <w:tc>
          <w:tcPr>
            <w:tcW w:w="5000" w:type="pct"/>
            <w:shd w:val="clear" w:color="auto" w:fill="auto"/>
          </w:tcPr>
          <w:p w14:paraId="4B639E24" w14:textId="77777777" w:rsidR="002B32A0" w:rsidRPr="00CE1D7F" w:rsidRDefault="002B32A0" w:rsidP="002475B9">
            <w:pPr>
              <w:pStyle w:val="Figure"/>
              <w:spacing w:before="120"/>
              <w:jc w:val="center"/>
              <w:rPr>
                <w:lang w:eastAsia="ja-JP"/>
              </w:rPr>
            </w:pPr>
            <w:r w:rsidRPr="00CE1D7F">
              <w:rPr>
                <w:noProof/>
              </w:rPr>
              <w:drawing>
                <wp:inline distT="0" distB="0" distL="0" distR="0" wp14:anchorId="0EF91BA6" wp14:editId="05A6730B">
                  <wp:extent cx="3662867" cy="2538484"/>
                  <wp:effectExtent l="0" t="0" r="0" b="0"/>
                  <wp:docPr id="707" name="Picture 707" descr="Rubicon Water’s FlumeGates are a key component of the TCC sol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 name="Picture 707" descr="Rubicon Water’s FlumeGates are a key component of the TCC solution"/>
                          <pic:cNvPicPr/>
                        </pic:nvPicPr>
                        <pic:blipFill>
                          <a:blip r:embed="rId174"/>
                          <a:stretch>
                            <a:fillRect/>
                          </a:stretch>
                        </pic:blipFill>
                        <pic:spPr>
                          <a:xfrm>
                            <a:off x="0" y="0"/>
                            <a:ext cx="3708759" cy="2570289"/>
                          </a:xfrm>
                          <a:prstGeom prst="rect">
                            <a:avLst/>
                          </a:prstGeom>
                        </pic:spPr>
                      </pic:pic>
                    </a:graphicData>
                  </a:graphic>
                </wp:inline>
              </w:drawing>
            </w:r>
          </w:p>
        </w:tc>
      </w:tr>
    </w:tbl>
    <w:p w14:paraId="5B956167" w14:textId="77777777" w:rsidR="000B0AC7" w:rsidRPr="00CE1D7F" w:rsidRDefault="000B0AC7" w:rsidP="000B0AC7">
      <w:pPr>
        <w:pStyle w:val="Source"/>
        <w:ind w:left="1308" w:hanging="1308"/>
        <w:rPr>
          <w:lang w:eastAsia="ja-JP"/>
        </w:rPr>
      </w:pPr>
      <w:r w:rsidRPr="00CE1D7F">
        <w:rPr>
          <w:lang w:eastAsia="ja-JP"/>
        </w:rPr>
        <w:t>Source: University of Melbourne, 2021, available at: https://www.unimelb.edu.au/newsroom/news/2021/september/rubicon-water-debuts-on-the-asx</w:t>
      </w:r>
    </w:p>
    <w:p w14:paraId="3EC0E968" w14:textId="77777777" w:rsidR="002B32A0" w:rsidRPr="00CE1D7F" w:rsidRDefault="002B32A0" w:rsidP="002B32A0">
      <w:pPr>
        <w:rPr>
          <w:lang w:eastAsia="ja-JP"/>
        </w:rPr>
      </w:pPr>
      <w:r w:rsidRPr="00CE1D7F">
        <w:rPr>
          <w:lang w:eastAsia="ja-JP"/>
        </w:rPr>
        <w:t>Rubicon Water and the University of Melbourne have a long-standing partnership that has been in place for over 20 years. During this time, they have completed 4 Linkage Projects (LP0349134, LP0989497, LP130100605, and LP160100666) and are currently involved in an active Linkage Project (LP200200917) related to irrigation automation research. The University of Melbourne researchers have brought their expertise in systems engineering, mathematical modelling and control theory to the Linkage Projects.</w:t>
      </w:r>
    </w:p>
    <w:p w14:paraId="09C71AD8" w14:textId="77777777" w:rsidR="002B32A0" w:rsidRPr="00CE1D7F" w:rsidRDefault="002B32A0" w:rsidP="002475B9">
      <w:pPr>
        <w:pStyle w:val="Heading2"/>
      </w:pPr>
      <w:bookmarkStart w:id="352" w:name="_Ref128668331"/>
      <w:bookmarkStart w:id="353" w:name="_Toc129964028"/>
      <w:bookmarkStart w:id="354" w:name="_Toc131174666"/>
      <w:bookmarkStart w:id="355" w:name="_Toc132970687"/>
      <w:bookmarkStart w:id="356" w:name="_Toc135323726"/>
      <w:r w:rsidRPr="00CE1D7F">
        <w:t>Inputs</w:t>
      </w:r>
      <w:bookmarkEnd w:id="352"/>
      <w:bookmarkEnd w:id="353"/>
      <w:bookmarkEnd w:id="354"/>
      <w:bookmarkEnd w:id="355"/>
      <w:bookmarkEnd w:id="356"/>
    </w:p>
    <w:p w14:paraId="365D7EB3" w14:textId="38286D8C" w:rsidR="002B32A0" w:rsidRPr="00CE1D7F" w:rsidRDefault="002B32A0" w:rsidP="002475B9">
      <w:pPr>
        <w:pStyle w:val="BodyText"/>
      </w:pPr>
      <w:bookmarkStart w:id="357" w:name="_Hlk129077997"/>
      <w:r w:rsidRPr="00CE1D7F">
        <w:t>ARC, the University of Melbourne and Rubicon Water provided $9.6</w:t>
      </w:r>
      <w:r>
        <w:t> million</w:t>
      </w:r>
      <w:r w:rsidRPr="00CE1D7F">
        <w:t xml:space="preserve"> in cash and in-kind contributions for this project </w:t>
      </w:r>
      <w:bookmarkEnd w:id="357"/>
      <w:r w:rsidRPr="00CE1D7F">
        <w:t xml:space="preserve">(see </w:t>
      </w:r>
      <w:r w:rsidRPr="00F87D0E">
        <w:fldChar w:fldCharType="begin"/>
      </w:r>
      <w:r w:rsidRPr="00F87D0E">
        <w:instrText xml:space="preserve"> REF _Ref129348928 \h  \* MERGEFORMAT </w:instrText>
      </w:r>
      <w:r w:rsidRPr="00F87D0E">
        <w:fldChar w:fldCharType="separate"/>
      </w:r>
      <w:r w:rsidR="000B0AC7" w:rsidRPr="000B0AC7">
        <w:t>Table 9.1</w:t>
      </w:r>
      <w:r w:rsidRPr="00F87D0E">
        <w:fldChar w:fldCharType="end"/>
      </w:r>
      <w:r w:rsidRPr="00CE1D7F">
        <w:t xml:space="preserve">). </w:t>
      </w:r>
    </w:p>
    <w:p w14:paraId="3BD275A4" w14:textId="7555BEC0" w:rsidR="002B32A0" w:rsidRPr="00CE1D7F" w:rsidRDefault="002B32A0" w:rsidP="000B0AC7">
      <w:pPr>
        <w:pStyle w:val="Caption"/>
        <w:ind w:left="-297" w:hanging="1308"/>
      </w:pPr>
      <w:bookmarkStart w:id="358" w:name="_Ref129348928"/>
      <w:bookmarkStart w:id="359" w:name="_Hlk128738171"/>
      <w:r w:rsidRPr="00CE1D7F">
        <w:rPr>
          <w:rStyle w:val="CaptionLabel"/>
        </w:rPr>
        <w:t>Table </w:t>
      </w:r>
      <w:r w:rsidRPr="00CE1D7F">
        <w:rPr>
          <w:rStyle w:val="CaptionLabel"/>
        </w:rPr>
        <w:fldChar w:fldCharType="begin"/>
      </w:r>
      <w:r w:rsidRPr="00CE1D7F">
        <w:rPr>
          <w:rStyle w:val="CaptionLabel"/>
        </w:rPr>
        <w:instrText xml:space="preserve"> STYLEREF 1 \S \* MERGEFORMAT </w:instrText>
      </w:r>
      <w:r w:rsidRPr="00CE1D7F">
        <w:rPr>
          <w:rStyle w:val="CaptionLabel"/>
        </w:rPr>
        <w:fldChar w:fldCharType="separate"/>
      </w:r>
      <w:r w:rsidR="000B0AC7">
        <w:rPr>
          <w:rStyle w:val="CaptionLabel"/>
          <w:noProof/>
        </w:rPr>
        <w:t>9</w:t>
      </w:r>
      <w:r w:rsidRPr="00CE1D7F">
        <w:rPr>
          <w:rStyle w:val="CaptionLabel"/>
        </w:rPr>
        <w:fldChar w:fldCharType="end"/>
      </w:r>
      <w:r w:rsidRPr="00CE1D7F">
        <w:rPr>
          <w:rStyle w:val="CaptionLabel"/>
        </w:rPr>
        <w:t>.</w:t>
      </w:r>
      <w:r w:rsidRPr="00CE1D7F">
        <w:rPr>
          <w:rStyle w:val="CaptionLabel"/>
        </w:rPr>
        <w:fldChar w:fldCharType="begin"/>
      </w:r>
      <w:r w:rsidRPr="00CE1D7F">
        <w:rPr>
          <w:rStyle w:val="CaptionLabel"/>
        </w:rPr>
        <w:instrText xml:space="preserve"> SEQ Table \* ARABIC \S 1 \* MERGEFORMAT </w:instrText>
      </w:r>
      <w:r w:rsidRPr="00CE1D7F">
        <w:rPr>
          <w:rStyle w:val="CaptionLabel"/>
        </w:rPr>
        <w:fldChar w:fldCharType="separate"/>
      </w:r>
      <w:r w:rsidR="000B0AC7">
        <w:rPr>
          <w:rStyle w:val="CaptionLabel"/>
          <w:noProof/>
        </w:rPr>
        <w:t>1</w:t>
      </w:r>
      <w:r w:rsidRPr="00CE1D7F">
        <w:rPr>
          <w:rStyle w:val="CaptionLabel"/>
        </w:rPr>
        <w:fldChar w:fldCharType="end"/>
      </w:r>
      <w:bookmarkEnd w:id="358"/>
      <w:r w:rsidRPr="00CE1D7F">
        <w:tab/>
        <w:t>Support for the project</w:t>
      </w:r>
    </w:p>
    <w:tbl>
      <w:tblPr>
        <w:tblStyle w:val="aacTableBasic"/>
        <w:tblW w:w="6526" w:type="pct"/>
        <w:tblInd w:w="-2410" w:type="dxa"/>
        <w:tblLayout w:type="fixed"/>
        <w:tblLook w:val="04A0" w:firstRow="1" w:lastRow="0" w:firstColumn="1" w:lastColumn="0" w:noHBand="0" w:noVBand="1"/>
        <w:tblCaption w:val="Table 9.1 "/>
        <w:tblDescription w:val="Support for the project"/>
      </w:tblPr>
      <w:tblGrid>
        <w:gridCol w:w="2931"/>
        <w:gridCol w:w="1237"/>
        <w:gridCol w:w="1237"/>
        <w:gridCol w:w="1237"/>
        <w:gridCol w:w="1237"/>
        <w:gridCol w:w="1237"/>
        <w:gridCol w:w="1243"/>
      </w:tblGrid>
      <w:tr w:rsidR="000B0AC7" w:rsidRPr="00CE1D7F" w14:paraId="74EB888F" w14:textId="77777777" w:rsidTr="00163772">
        <w:trPr>
          <w:cnfStyle w:val="100000000000" w:firstRow="1" w:lastRow="0" w:firstColumn="0" w:lastColumn="0" w:oddVBand="0" w:evenVBand="0" w:oddHBand="0" w:evenHBand="0" w:firstRowFirstColumn="0" w:firstRowLastColumn="0" w:lastRowFirstColumn="0" w:lastRowLastColumn="0"/>
        </w:trPr>
        <w:tc>
          <w:tcPr>
            <w:tcW w:w="1415" w:type="pct"/>
            <w:tcBorders>
              <w:top w:val="nil"/>
            </w:tcBorders>
            <w:shd w:val="solid" w:color="140034" w:fill="140034"/>
            <w:tcMar>
              <w:left w:w="80" w:type="dxa"/>
            </w:tcMar>
          </w:tcPr>
          <w:bookmarkEnd w:id="359"/>
          <w:p w14:paraId="13F7DB8A" w14:textId="77777777" w:rsidR="002B32A0" w:rsidRPr="00CE1D7F" w:rsidRDefault="002B32A0" w:rsidP="006258ED">
            <w:pPr>
              <w:pStyle w:val="Tablecolumnheadings"/>
              <w:keepLines/>
              <w:rPr>
                <w:rStyle w:val="CaptionLabel"/>
                <w:b/>
                <w:bCs/>
              </w:rPr>
            </w:pPr>
            <w:r w:rsidRPr="00CE1D7F">
              <w:t>Contributor / Type of support</w:t>
            </w:r>
          </w:p>
        </w:tc>
        <w:tc>
          <w:tcPr>
            <w:tcW w:w="597" w:type="pct"/>
            <w:tcBorders>
              <w:top w:val="nil"/>
            </w:tcBorders>
            <w:shd w:val="solid" w:color="140034" w:fill="140034"/>
          </w:tcPr>
          <w:p w14:paraId="26ADF123" w14:textId="77777777" w:rsidR="002B32A0" w:rsidRPr="00CE1D7F" w:rsidRDefault="002B32A0" w:rsidP="006258ED">
            <w:pPr>
              <w:pStyle w:val="Tablecolumnheadings"/>
              <w:keepLines/>
              <w:rPr>
                <w:rStyle w:val="CaptionLabel"/>
                <w:b/>
                <w:bCs/>
              </w:rPr>
            </w:pPr>
            <w:r w:rsidRPr="00CE1D7F">
              <w:t>2003-2008</w:t>
            </w:r>
          </w:p>
        </w:tc>
        <w:tc>
          <w:tcPr>
            <w:tcW w:w="597" w:type="pct"/>
            <w:tcBorders>
              <w:top w:val="nil"/>
            </w:tcBorders>
            <w:shd w:val="solid" w:color="140034" w:fill="140034"/>
          </w:tcPr>
          <w:p w14:paraId="7A08816F" w14:textId="77777777" w:rsidR="002B32A0" w:rsidRPr="00CE1D7F" w:rsidRDefault="002B32A0" w:rsidP="006258ED">
            <w:pPr>
              <w:pStyle w:val="Tablecolumnheadings"/>
              <w:keepLines/>
              <w:rPr>
                <w:rStyle w:val="CaptionLabel"/>
                <w:b/>
                <w:bCs/>
              </w:rPr>
            </w:pPr>
            <w:r w:rsidRPr="00CE1D7F">
              <w:t>2009-2012</w:t>
            </w:r>
          </w:p>
        </w:tc>
        <w:tc>
          <w:tcPr>
            <w:tcW w:w="597" w:type="pct"/>
            <w:tcBorders>
              <w:top w:val="nil"/>
            </w:tcBorders>
            <w:shd w:val="solid" w:color="140034" w:fill="140034"/>
          </w:tcPr>
          <w:p w14:paraId="335A8898" w14:textId="77777777" w:rsidR="002B32A0" w:rsidRPr="00CE1D7F" w:rsidRDefault="002B32A0" w:rsidP="006258ED">
            <w:pPr>
              <w:pStyle w:val="Tablecolumnheadings"/>
              <w:keepLines/>
              <w:rPr>
                <w:rStyle w:val="CaptionLabel"/>
                <w:b/>
                <w:bCs/>
              </w:rPr>
            </w:pPr>
            <w:r w:rsidRPr="00CE1D7F">
              <w:t>2013-2016</w:t>
            </w:r>
          </w:p>
        </w:tc>
        <w:tc>
          <w:tcPr>
            <w:tcW w:w="597" w:type="pct"/>
            <w:tcBorders>
              <w:top w:val="nil"/>
            </w:tcBorders>
            <w:shd w:val="solid" w:color="140034" w:fill="140034"/>
          </w:tcPr>
          <w:p w14:paraId="33370011" w14:textId="77777777" w:rsidR="002B32A0" w:rsidRPr="00CE1D7F" w:rsidRDefault="002B32A0" w:rsidP="006258ED">
            <w:pPr>
              <w:pStyle w:val="Tablecolumnheadings"/>
              <w:keepLines/>
              <w:rPr>
                <w:rStyle w:val="CaptionLabel"/>
                <w:b/>
                <w:bCs/>
              </w:rPr>
            </w:pPr>
            <w:r w:rsidRPr="00CE1D7F">
              <w:t>2017-2020</w:t>
            </w:r>
          </w:p>
        </w:tc>
        <w:tc>
          <w:tcPr>
            <w:tcW w:w="597" w:type="pct"/>
            <w:tcBorders>
              <w:top w:val="nil"/>
            </w:tcBorders>
            <w:shd w:val="solid" w:color="140034" w:fill="140034"/>
          </w:tcPr>
          <w:p w14:paraId="600A65A3" w14:textId="77777777" w:rsidR="002B32A0" w:rsidRPr="00CE1D7F" w:rsidRDefault="002B32A0" w:rsidP="006258ED">
            <w:pPr>
              <w:pStyle w:val="Tablecolumnheadings"/>
              <w:keepLines/>
              <w:rPr>
                <w:rStyle w:val="CaptionLabel"/>
                <w:b/>
                <w:bCs/>
              </w:rPr>
            </w:pPr>
            <w:r w:rsidRPr="00CE1D7F">
              <w:t>2021-2024</w:t>
            </w:r>
          </w:p>
        </w:tc>
        <w:tc>
          <w:tcPr>
            <w:tcW w:w="598" w:type="pct"/>
            <w:tcBorders>
              <w:top w:val="nil"/>
            </w:tcBorders>
            <w:shd w:val="solid" w:color="140034" w:fill="140034"/>
          </w:tcPr>
          <w:p w14:paraId="09EA19C6" w14:textId="77777777" w:rsidR="002B32A0" w:rsidRPr="00CE1D7F" w:rsidRDefault="002B32A0" w:rsidP="006258ED">
            <w:pPr>
              <w:pStyle w:val="Tablecolumnheadings"/>
              <w:keepLines/>
              <w:rPr>
                <w:rStyle w:val="CaptionLabel"/>
                <w:b/>
                <w:bCs/>
              </w:rPr>
            </w:pPr>
            <w:r w:rsidRPr="00CE1D7F">
              <w:t>Total Contributions</w:t>
            </w:r>
          </w:p>
        </w:tc>
      </w:tr>
      <w:tr w:rsidR="002B32A0" w:rsidRPr="00CE1D7F" w14:paraId="3938FF32" w14:textId="77777777" w:rsidTr="00163772">
        <w:tc>
          <w:tcPr>
            <w:tcW w:w="5000" w:type="pct"/>
            <w:gridSpan w:val="7"/>
            <w:tcMar>
              <w:left w:w="80" w:type="dxa"/>
            </w:tcMar>
          </w:tcPr>
          <w:p w14:paraId="0AE2C8AB" w14:textId="77777777" w:rsidR="002B32A0" w:rsidRPr="00CE1D7F" w:rsidRDefault="002B32A0" w:rsidP="006258ED">
            <w:pPr>
              <w:pStyle w:val="Tabletext"/>
              <w:keepNext/>
              <w:keepLines/>
              <w:rPr>
                <w:rStyle w:val="CaptionLabel"/>
              </w:rPr>
            </w:pPr>
            <w:r w:rsidRPr="00CE1D7F">
              <w:rPr>
                <w:rStyle w:val="CaptionLabel"/>
              </w:rPr>
              <w:t>Cash</w:t>
            </w:r>
          </w:p>
        </w:tc>
      </w:tr>
      <w:tr w:rsidR="002B32A0" w:rsidRPr="00CE1D7F" w14:paraId="36ACE7C1" w14:textId="77777777" w:rsidTr="00163772">
        <w:tc>
          <w:tcPr>
            <w:tcW w:w="5000" w:type="pct"/>
            <w:gridSpan w:val="7"/>
            <w:tcMar>
              <w:left w:w="80" w:type="dxa"/>
            </w:tcMar>
          </w:tcPr>
          <w:p w14:paraId="5AA2E80C" w14:textId="77777777" w:rsidR="002B32A0" w:rsidRPr="00CE1D7F" w:rsidRDefault="002B32A0" w:rsidP="006258ED">
            <w:pPr>
              <w:pStyle w:val="Tabletext"/>
              <w:keepNext/>
              <w:keepLines/>
              <w:rPr>
                <w:rStyle w:val="CaptionLabel"/>
                <w:b w:val="0"/>
              </w:rPr>
            </w:pPr>
            <w:r w:rsidRPr="00CE1D7F">
              <w:rPr>
                <w:b/>
                <w:lang w:eastAsia="en-AU"/>
              </w:rPr>
              <w:t>LP0349134 – Control and safety monitoring systems for large-scale irrigation networks</w:t>
            </w:r>
          </w:p>
        </w:tc>
      </w:tr>
      <w:tr w:rsidR="002B32A0" w:rsidRPr="00CE1D7F" w14:paraId="074D7EE4" w14:textId="77777777" w:rsidTr="00163772">
        <w:tc>
          <w:tcPr>
            <w:tcW w:w="1415" w:type="pct"/>
            <w:tcMar>
              <w:left w:w="80" w:type="dxa"/>
            </w:tcMar>
          </w:tcPr>
          <w:p w14:paraId="2243B753" w14:textId="77777777" w:rsidR="002B32A0" w:rsidRPr="00CE1D7F" w:rsidRDefault="002B32A0" w:rsidP="006258ED">
            <w:pPr>
              <w:pStyle w:val="Tabletext"/>
              <w:keepNext/>
              <w:keepLines/>
              <w:rPr>
                <w:rStyle w:val="CaptionLabel"/>
                <w:b w:val="0"/>
                <w:bCs/>
              </w:rPr>
            </w:pPr>
            <w:r w:rsidRPr="00CE1D7F">
              <w:t xml:space="preserve">Academic partner </w:t>
            </w:r>
          </w:p>
        </w:tc>
        <w:tc>
          <w:tcPr>
            <w:tcW w:w="597" w:type="pct"/>
          </w:tcPr>
          <w:p w14:paraId="1ADCA753" w14:textId="77777777" w:rsidR="002B32A0" w:rsidRPr="00CE1D7F" w:rsidRDefault="002B32A0" w:rsidP="006258ED">
            <w:pPr>
              <w:pStyle w:val="Tabletext"/>
              <w:keepNext/>
              <w:keepLines/>
              <w:rPr>
                <w:rStyle w:val="CaptionLabel"/>
                <w:b w:val="0"/>
                <w:bCs/>
              </w:rPr>
            </w:pPr>
            <w:r w:rsidRPr="00CE1D7F">
              <w:t>$307,867</w:t>
            </w:r>
          </w:p>
        </w:tc>
        <w:tc>
          <w:tcPr>
            <w:tcW w:w="597" w:type="pct"/>
          </w:tcPr>
          <w:p w14:paraId="1E0BC929" w14:textId="77777777" w:rsidR="002B32A0" w:rsidRPr="00CE1D7F" w:rsidRDefault="002B32A0" w:rsidP="006258ED">
            <w:pPr>
              <w:pStyle w:val="Tabletext"/>
              <w:keepNext/>
              <w:keepLines/>
              <w:rPr>
                <w:rStyle w:val="CaptionLabel"/>
                <w:b w:val="0"/>
                <w:bCs/>
              </w:rPr>
            </w:pPr>
            <w:r w:rsidRPr="00CE1D7F">
              <w:t>$102,622</w:t>
            </w:r>
          </w:p>
        </w:tc>
        <w:tc>
          <w:tcPr>
            <w:tcW w:w="597" w:type="pct"/>
          </w:tcPr>
          <w:p w14:paraId="4530F19A" w14:textId="77777777" w:rsidR="002B32A0" w:rsidRPr="00CE1D7F" w:rsidRDefault="002B32A0" w:rsidP="006258ED">
            <w:pPr>
              <w:pStyle w:val="Tabletext"/>
              <w:keepNext/>
              <w:keepLines/>
              <w:rPr>
                <w:rStyle w:val="CaptionLabel"/>
                <w:b w:val="0"/>
                <w:bCs/>
              </w:rPr>
            </w:pPr>
          </w:p>
        </w:tc>
        <w:tc>
          <w:tcPr>
            <w:tcW w:w="597" w:type="pct"/>
          </w:tcPr>
          <w:p w14:paraId="01B17445" w14:textId="77777777" w:rsidR="002B32A0" w:rsidRPr="00CE1D7F" w:rsidRDefault="002B32A0" w:rsidP="006258ED">
            <w:pPr>
              <w:pStyle w:val="Tabletext"/>
              <w:keepNext/>
              <w:keepLines/>
              <w:rPr>
                <w:rStyle w:val="CaptionLabel"/>
                <w:b w:val="0"/>
                <w:bCs/>
              </w:rPr>
            </w:pPr>
          </w:p>
        </w:tc>
        <w:tc>
          <w:tcPr>
            <w:tcW w:w="597" w:type="pct"/>
          </w:tcPr>
          <w:p w14:paraId="0FC62DF2" w14:textId="77777777" w:rsidR="002B32A0" w:rsidRPr="00CE1D7F" w:rsidRDefault="002B32A0" w:rsidP="006258ED">
            <w:pPr>
              <w:pStyle w:val="Tabletext"/>
              <w:keepNext/>
              <w:keepLines/>
              <w:rPr>
                <w:rStyle w:val="CaptionLabel"/>
                <w:b w:val="0"/>
                <w:bCs/>
              </w:rPr>
            </w:pPr>
          </w:p>
        </w:tc>
        <w:tc>
          <w:tcPr>
            <w:tcW w:w="598" w:type="pct"/>
          </w:tcPr>
          <w:p w14:paraId="40DD5D35" w14:textId="77777777" w:rsidR="002B32A0" w:rsidRPr="00CE1D7F" w:rsidRDefault="002B32A0" w:rsidP="006258ED">
            <w:pPr>
              <w:pStyle w:val="Tabletext"/>
              <w:keepNext/>
              <w:keepLines/>
              <w:rPr>
                <w:rStyle w:val="CaptionLabel"/>
                <w:b w:val="0"/>
                <w:bCs/>
              </w:rPr>
            </w:pPr>
            <w:r w:rsidRPr="00CE1D7F">
              <w:t>$410,489</w:t>
            </w:r>
          </w:p>
        </w:tc>
      </w:tr>
      <w:tr w:rsidR="002B32A0" w:rsidRPr="00CE1D7F" w14:paraId="706F1ECE" w14:textId="77777777" w:rsidTr="00163772">
        <w:tc>
          <w:tcPr>
            <w:tcW w:w="1415" w:type="pct"/>
            <w:tcMar>
              <w:left w:w="80" w:type="dxa"/>
            </w:tcMar>
          </w:tcPr>
          <w:p w14:paraId="4309B2FD" w14:textId="77777777" w:rsidR="002B32A0" w:rsidRPr="00CE1D7F" w:rsidRDefault="002B32A0" w:rsidP="006258ED">
            <w:pPr>
              <w:pStyle w:val="Tabletext"/>
              <w:keepNext/>
              <w:keepLines/>
              <w:rPr>
                <w:rStyle w:val="CaptionLabel"/>
                <w:b w:val="0"/>
                <w:bCs/>
              </w:rPr>
            </w:pPr>
            <w:r w:rsidRPr="00CE1D7F">
              <w:t>Non-academic partner</w:t>
            </w:r>
          </w:p>
        </w:tc>
        <w:tc>
          <w:tcPr>
            <w:tcW w:w="597" w:type="pct"/>
          </w:tcPr>
          <w:p w14:paraId="66247CA8" w14:textId="77777777" w:rsidR="002B32A0" w:rsidRPr="00CE1D7F" w:rsidRDefault="002B32A0" w:rsidP="006258ED">
            <w:pPr>
              <w:pStyle w:val="Tabletext"/>
              <w:keepNext/>
              <w:keepLines/>
              <w:rPr>
                <w:rStyle w:val="CaptionLabel"/>
                <w:b w:val="0"/>
                <w:bCs/>
              </w:rPr>
            </w:pPr>
            <w:r w:rsidRPr="00CE1D7F">
              <w:t>$111,563</w:t>
            </w:r>
          </w:p>
        </w:tc>
        <w:tc>
          <w:tcPr>
            <w:tcW w:w="597" w:type="pct"/>
          </w:tcPr>
          <w:p w14:paraId="20CF36B0" w14:textId="77777777" w:rsidR="002B32A0" w:rsidRPr="00CE1D7F" w:rsidRDefault="002B32A0" w:rsidP="006258ED">
            <w:pPr>
              <w:pStyle w:val="Tabletext"/>
              <w:keepNext/>
              <w:keepLines/>
              <w:rPr>
                <w:rStyle w:val="CaptionLabel"/>
                <w:b w:val="0"/>
                <w:bCs/>
              </w:rPr>
            </w:pPr>
            <w:r w:rsidRPr="00CE1D7F">
              <w:t>$37,188</w:t>
            </w:r>
          </w:p>
        </w:tc>
        <w:tc>
          <w:tcPr>
            <w:tcW w:w="597" w:type="pct"/>
          </w:tcPr>
          <w:p w14:paraId="4871C8DE" w14:textId="77777777" w:rsidR="002B32A0" w:rsidRPr="00CE1D7F" w:rsidRDefault="002B32A0" w:rsidP="006258ED">
            <w:pPr>
              <w:pStyle w:val="Tabletext"/>
              <w:keepNext/>
              <w:keepLines/>
              <w:rPr>
                <w:rStyle w:val="CaptionLabel"/>
                <w:b w:val="0"/>
                <w:bCs/>
              </w:rPr>
            </w:pPr>
          </w:p>
        </w:tc>
        <w:tc>
          <w:tcPr>
            <w:tcW w:w="597" w:type="pct"/>
          </w:tcPr>
          <w:p w14:paraId="5033B8B3" w14:textId="77777777" w:rsidR="002B32A0" w:rsidRPr="00CE1D7F" w:rsidRDefault="002B32A0" w:rsidP="006258ED">
            <w:pPr>
              <w:pStyle w:val="Tabletext"/>
              <w:keepNext/>
              <w:keepLines/>
              <w:rPr>
                <w:rStyle w:val="CaptionLabel"/>
                <w:b w:val="0"/>
                <w:bCs/>
              </w:rPr>
            </w:pPr>
          </w:p>
        </w:tc>
        <w:tc>
          <w:tcPr>
            <w:tcW w:w="597" w:type="pct"/>
          </w:tcPr>
          <w:p w14:paraId="6B4192E0" w14:textId="77777777" w:rsidR="002B32A0" w:rsidRPr="00CE1D7F" w:rsidRDefault="002B32A0" w:rsidP="006258ED">
            <w:pPr>
              <w:pStyle w:val="Tabletext"/>
              <w:keepNext/>
              <w:keepLines/>
              <w:rPr>
                <w:rStyle w:val="CaptionLabel"/>
                <w:b w:val="0"/>
                <w:bCs/>
              </w:rPr>
            </w:pPr>
          </w:p>
        </w:tc>
        <w:tc>
          <w:tcPr>
            <w:tcW w:w="598" w:type="pct"/>
          </w:tcPr>
          <w:p w14:paraId="4DAC9223" w14:textId="77777777" w:rsidR="002B32A0" w:rsidRPr="00CE1D7F" w:rsidRDefault="002B32A0" w:rsidP="006258ED">
            <w:pPr>
              <w:pStyle w:val="Tabletext"/>
              <w:keepNext/>
              <w:keepLines/>
              <w:rPr>
                <w:rStyle w:val="CaptionLabel"/>
                <w:b w:val="0"/>
                <w:bCs/>
              </w:rPr>
            </w:pPr>
            <w:r w:rsidRPr="00CE1D7F">
              <w:t>$148,750</w:t>
            </w:r>
          </w:p>
        </w:tc>
      </w:tr>
      <w:tr w:rsidR="002B32A0" w:rsidRPr="00CE1D7F" w14:paraId="24B6B0BF" w14:textId="77777777" w:rsidTr="00163772">
        <w:tc>
          <w:tcPr>
            <w:tcW w:w="1415" w:type="pct"/>
            <w:tcMar>
              <w:left w:w="80" w:type="dxa"/>
            </w:tcMar>
          </w:tcPr>
          <w:p w14:paraId="71FDB9B9" w14:textId="77777777" w:rsidR="002B32A0" w:rsidRPr="00CE1D7F" w:rsidRDefault="002B32A0" w:rsidP="006258ED">
            <w:pPr>
              <w:pStyle w:val="Tabletext"/>
              <w:keepNext/>
              <w:keepLines/>
            </w:pPr>
            <w:r w:rsidRPr="00CE1D7F">
              <w:t>ARC</w:t>
            </w:r>
          </w:p>
        </w:tc>
        <w:tc>
          <w:tcPr>
            <w:tcW w:w="597" w:type="pct"/>
          </w:tcPr>
          <w:p w14:paraId="2DCAD5D6" w14:textId="77777777" w:rsidR="002B32A0" w:rsidRPr="00CE1D7F" w:rsidRDefault="002B32A0" w:rsidP="006258ED">
            <w:pPr>
              <w:pStyle w:val="Tabletext"/>
              <w:keepNext/>
              <w:keepLines/>
              <w:rPr>
                <w:lang w:eastAsia="en-AU"/>
              </w:rPr>
            </w:pPr>
            <w:r w:rsidRPr="00CE1D7F">
              <w:t>$550,000</w:t>
            </w:r>
          </w:p>
        </w:tc>
        <w:tc>
          <w:tcPr>
            <w:tcW w:w="597" w:type="pct"/>
          </w:tcPr>
          <w:p w14:paraId="597A2E4F" w14:textId="77777777" w:rsidR="002B32A0" w:rsidRPr="00CE1D7F" w:rsidRDefault="002B32A0" w:rsidP="006258ED">
            <w:pPr>
              <w:pStyle w:val="Tabletext"/>
              <w:keepNext/>
              <w:keepLines/>
              <w:rPr>
                <w:rStyle w:val="CaptionLabel"/>
                <w:b w:val="0"/>
                <w:bCs/>
              </w:rPr>
            </w:pPr>
          </w:p>
        </w:tc>
        <w:tc>
          <w:tcPr>
            <w:tcW w:w="597" w:type="pct"/>
          </w:tcPr>
          <w:p w14:paraId="3F4F760C" w14:textId="77777777" w:rsidR="002B32A0" w:rsidRPr="00CE1D7F" w:rsidRDefault="002B32A0" w:rsidP="006258ED">
            <w:pPr>
              <w:pStyle w:val="Tabletext"/>
              <w:keepNext/>
              <w:keepLines/>
              <w:rPr>
                <w:rStyle w:val="CaptionLabel"/>
                <w:b w:val="0"/>
                <w:bCs/>
              </w:rPr>
            </w:pPr>
          </w:p>
        </w:tc>
        <w:tc>
          <w:tcPr>
            <w:tcW w:w="597" w:type="pct"/>
          </w:tcPr>
          <w:p w14:paraId="66709308" w14:textId="77777777" w:rsidR="002B32A0" w:rsidRPr="00CE1D7F" w:rsidRDefault="002B32A0" w:rsidP="006258ED">
            <w:pPr>
              <w:pStyle w:val="Tabletext"/>
              <w:keepNext/>
              <w:keepLines/>
              <w:rPr>
                <w:rStyle w:val="CaptionLabel"/>
                <w:b w:val="0"/>
                <w:bCs/>
              </w:rPr>
            </w:pPr>
          </w:p>
        </w:tc>
        <w:tc>
          <w:tcPr>
            <w:tcW w:w="597" w:type="pct"/>
          </w:tcPr>
          <w:p w14:paraId="07C59099" w14:textId="77777777" w:rsidR="002B32A0" w:rsidRPr="00CE1D7F" w:rsidRDefault="002B32A0" w:rsidP="006258ED">
            <w:pPr>
              <w:pStyle w:val="Tabletext"/>
              <w:keepNext/>
              <w:keepLines/>
              <w:rPr>
                <w:rStyle w:val="CaptionLabel"/>
                <w:b w:val="0"/>
                <w:bCs/>
              </w:rPr>
            </w:pPr>
          </w:p>
        </w:tc>
        <w:tc>
          <w:tcPr>
            <w:tcW w:w="598" w:type="pct"/>
          </w:tcPr>
          <w:p w14:paraId="4148E645" w14:textId="77777777" w:rsidR="002B32A0" w:rsidRPr="00CE1D7F" w:rsidRDefault="002B32A0" w:rsidP="006258ED">
            <w:pPr>
              <w:pStyle w:val="Tabletext"/>
              <w:keepNext/>
              <w:keepLines/>
              <w:rPr>
                <w:lang w:eastAsia="en-AU"/>
              </w:rPr>
            </w:pPr>
            <w:r w:rsidRPr="00CE1D7F">
              <w:t>$550,000</w:t>
            </w:r>
          </w:p>
        </w:tc>
      </w:tr>
      <w:tr w:rsidR="002B32A0" w:rsidRPr="00CE1D7F" w14:paraId="1CC4FFD0" w14:textId="77777777" w:rsidTr="00163772">
        <w:tc>
          <w:tcPr>
            <w:tcW w:w="5000" w:type="pct"/>
            <w:gridSpan w:val="7"/>
            <w:tcMar>
              <w:left w:w="80" w:type="dxa"/>
            </w:tcMar>
          </w:tcPr>
          <w:p w14:paraId="0FA75466" w14:textId="77777777" w:rsidR="002B32A0" w:rsidRPr="00CE1D7F" w:rsidRDefault="002B32A0" w:rsidP="006258ED">
            <w:pPr>
              <w:pStyle w:val="Tabletext"/>
              <w:keepNext/>
              <w:keepLines/>
              <w:rPr>
                <w:b/>
                <w:bCs/>
                <w:lang w:eastAsia="en-AU"/>
              </w:rPr>
            </w:pPr>
            <w:r w:rsidRPr="00CE1D7F">
              <w:rPr>
                <w:b/>
                <w:bCs/>
                <w:lang w:eastAsia="en-AU"/>
              </w:rPr>
              <w:t xml:space="preserve">LP0989497 </w:t>
            </w:r>
            <w:r w:rsidRPr="005C152F">
              <w:rPr>
                <w:b/>
                <w:bCs/>
                <w:shd w:val="clear" w:color="auto" w:fill="EBE6F2" w:themeFill="accent1" w:themeFillTint="33"/>
                <w:lang w:eastAsia="en-AU"/>
              </w:rPr>
              <w:t>– Managing Australia's water resources: Automated demand scheduling and supply control systems for</w:t>
            </w:r>
          </w:p>
          <w:p w14:paraId="215D8BB2" w14:textId="77777777" w:rsidR="002B32A0" w:rsidRPr="00CE1D7F" w:rsidRDefault="002B32A0" w:rsidP="006258ED">
            <w:pPr>
              <w:pStyle w:val="Tabletext"/>
              <w:keepNext/>
              <w:keepLines/>
              <w:rPr>
                <w:rStyle w:val="CaptionLabel"/>
                <w:b w:val="0"/>
                <w:bCs/>
              </w:rPr>
            </w:pPr>
            <w:r w:rsidRPr="00CE1D7F">
              <w:rPr>
                <w:b/>
                <w:bCs/>
                <w:lang w:eastAsia="en-AU"/>
              </w:rPr>
              <w:t>large scale irrigation networks</w:t>
            </w:r>
          </w:p>
        </w:tc>
      </w:tr>
      <w:tr w:rsidR="002B32A0" w:rsidRPr="00CE1D7F" w14:paraId="016F9404" w14:textId="77777777" w:rsidTr="00163772">
        <w:tc>
          <w:tcPr>
            <w:tcW w:w="1415" w:type="pct"/>
            <w:tcMar>
              <w:left w:w="80" w:type="dxa"/>
            </w:tcMar>
          </w:tcPr>
          <w:p w14:paraId="4C96815D" w14:textId="77777777" w:rsidR="002B32A0" w:rsidRPr="00CE1D7F" w:rsidRDefault="002B32A0" w:rsidP="006258ED">
            <w:pPr>
              <w:pStyle w:val="Tabletext"/>
              <w:keepNext/>
              <w:keepLines/>
              <w:rPr>
                <w:rStyle w:val="CaptionLabel"/>
              </w:rPr>
            </w:pPr>
            <w:r w:rsidRPr="00CE1D7F">
              <w:t xml:space="preserve">Academic partner </w:t>
            </w:r>
          </w:p>
        </w:tc>
        <w:tc>
          <w:tcPr>
            <w:tcW w:w="597" w:type="pct"/>
          </w:tcPr>
          <w:p w14:paraId="44EDAC78" w14:textId="77777777" w:rsidR="002B32A0" w:rsidRPr="00CE1D7F" w:rsidRDefault="002B32A0" w:rsidP="006258ED">
            <w:pPr>
              <w:pStyle w:val="Tabletext"/>
              <w:keepNext/>
              <w:keepLines/>
              <w:rPr>
                <w:rStyle w:val="CaptionLabel"/>
              </w:rPr>
            </w:pPr>
          </w:p>
        </w:tc>
        <w:tc>
          <w:tcPr>
            <w:tcW w:w="597" w:type="pct"/>
          </w:tcPr>
          <w:p w14:paraId="6CFE4FB5" w14:textId="77777777" w:rsidR="002B32A0" w:rsidRPr="00CE1D7F" w:rsidRDefault="002B32A0" w:rsidP="006258ED">
            <w:pPr>
              <w:pStyle w:val="Tabletext"/>
              <w:keepNext/>
              <w:keepLines/>
              <w:rPr>
                <w:rStyle w:val="CaptionLabel"/>
              </w:rPr>
            </w:pPr>
            <w:r w:rsidRPr="00CE1D7F">
              <w:t>$268,878</w:t>
            </w:r>
          </w:p>
        </w:tc>
        <w:tc>
          <w:tcPr>
            <w:tcW w:w="597" w:type="pct"/>
          </w:tcPr>
          <w:p w14:paraId="7344C3F8" w14:textId="77777777" w:rsidR="002B32A0" w:rsidRPr="00CE1D7F" w:rsidRDefault="002B32A0" w:rsidP="006258ED">
            <w:pPr>
              <w:pStyle w:val="Tabletext"/>
              <w:keepNext/>
              <w:keepLines/>
              <w:rPr>
                <w:rStyle w:val="CaptionLabel"/>
              </w:rPr>
            </w:pPr>
            <w:r w:rsidRPr="00CE1D7F">
              <w:t>$201,658</w:t>
            </w:r>
          </w:p>
        </w:tc>
        <w:tc>
          <w:tcPr>
            <w:tcW w:w="597" w:type="pct"/>
          </w:tcPr>
          <w:p w14:paraId="301EEC9E" w14:textId="77777777" w:rsidR="002B32A0" w:rsidRPr="00CE1D7F" w:rsidRDefault="002B32A0" w:rsidP="006258ED">
            <w:pPr>
              <w:pStyle w:val="Tabletext"/>
              <w:keepNext/>
              <w:keepLines/>
              <w:rPr>
                <w:rStyle w:val="CaptionLabel"/>
              </w:rPr>
            </w:pPr>
          </w:p>
        </w:tc>
        <w:tc>
          <w:tcPr>
            <w:tcW w:w="597" w:type="pct"/>
          </w:tcPr>
          <w:p w14:paraId="2D68360D" w14:textId="77777777" w:rsidR="002B32A0" w:rsidRPr="00CE1D7F" w:rsidRDefault="002B32A0" w:rsidP="006258ED">
            <w:pPr>
              <w:pStyle w:val="Tabletext"/>
              <w:keepNext/>
              <w:keepLines/>
              <w:rPr>
                <w:rStyle w:val="CaptionLabel"/>
              </w:rPr>
            </w:pPr>
          </w:p>
        </w:tc>
        <w:tc>
          <w:tcPr>
            <w:tcW w:w="598" w:type="pct"/>
          </w:tcPr>
          <w:p w14:paraId="11EE6399" w14:textId="77777777" w:rsidR="002B32A0" w:rsidRPr="00CE1D7F" w:rsidRDefault="002B32A0" w:rsidP="006258ED">
            <w:pPr>
              <w:pStyle w:val="Tabletext"/>
              <w:keepNext/>
              <w:keepLines/>
              <w:rPr>
                <w:rStyle w:val="CaptionLabel"/>
              </w:rPr>
            </w:pPr>
            <w:r w:rsidRPr="00CE1D7F">
              <w:t>$470,536</w:t>
            </w:r>
          </w:p>
        </w:tc>
      </w:tr>
      <w:tr w:rsidR="002B32A0" w:rsidRPr="00CE1D7F" w14:paraId="6E25474D" w14:textId="77777777" w:rsidTr="00163772">
        <w:tc>
          <w:tcPr>
            <w:tcW w:w="1415" w:type="pct"/>
            <w:tcMar>
              <w:left w:w="80" w:type="dxa"/>
            </w:tcMar>
          </w:tcPr>
          <w:p w14:paraId="308E101B" w14:textId="77777777" w:rsidR="002B32A0" w:rsidRPr="00CE1D7F" w:rsidRDefault="002B32A0" w:rsidP="006258ED">
            <w:pPr>
              <w:pStyle w:val="Tabletext"/>
              <w:keepNext/>
              <w:keepLines/>
              <w:rPr>
                <w:rStyle w:val="CaptionLabel"/>
                <w:b w:val="0"/>
                <w:bCs/>
              </w:rPr>
            </w:pPr>
            <w:r w:rsidRPr="00CE1D7F">
              <w:t>Non-academic partner</w:t>
            </w:r>
          </w:p>
        </w:tc>
        <w:tc>
          <w:tcPr>
            <w:tcW w:w="597" w:type="pct"/>
          </w:tcPr>
          <w:p w14:paraId="550CAD8E" w14:textId="77777777" w:rsidR="002B32A0" w:rsidRPr="00CE1D7F" w:rsidRDefault="002B32A0" w:rsidP="006258ED">
            <w:pPr>
              <w:pStyle w:val="Tabletext"/>
              <w:keepNext/>
              <w:keepLines/>
              <w:rPr>
                <w:rStyle w:val="CaptionLabel"/>
                <w:b w:val="0"/>
                <w:bCs/>
              </w:rPr>
            </w:pPr>
          </w:p>
        </w:tc>
        <w:tc>
          <w:tcPr>
            <w:tcW w:w="597" w:type="pct"/>
          </w:tcPr>
          <w:p w14:paraId="626B0C72" w14:textId="77777777" w:rsidR="002B32A0" w:rsidRPr="00CE1D7F" w:rsidRDefault="002B32A0" w:rsidP="006258ED">
            <w:pPr>
              <w:pStyle w:val="Tabletext"/>
              <w:keepNext/>
              <w:keepLines/>
              <w:rPr>
                <w:rStyle w:val="CaptionLabel"/>
                <w:b w:val="0"/>
                <w:bCs/>
              </w:rPr>
            </w:pPr>
            <w:r w:rsidRPr="00CE1D7F">
              <w:t>$185,714</w:t>
            </w:r>
          </w:p>
        </w:tc>
        <w:tc>
          <w:tcPr>
            <w:tcW w:w="597" w:type="pct"/>
          </w:tcPr>
          <w:p w14:paraId="3FC94A21" w14:textId="77777777" w:rsidR="002B32A0" w:rsidRPr="00CE1D7F" w:rsidRDefault="002B32A0" w:rsidP="006258ED">
            <w:pPr>
              <w:pStyle w:val="Tabletext"/>
              <w:keepNext/>
              <w:keepLines/>
              <w:rPr>
                <w:rStyle w:val="CaptionLabel"/>
                <w:b w:val="0"/>
                <w:bCs/>
              </w:rPr>
            </w:pPr>
            <w:r w:rsidRPr="00CE1D7F">
              <w:t>$139,286</w:t>
            </w:r>
          </w:p>
        </w:tc>
        <w:tc>
          <w:tcPr>
            <w:tcW w:w="597" w:type="pct"/>
          </w:tcPr>
          <w:p w14:paraId="282DB03A" w14:textId="77777777" w:rsidR="002B32A0" w:rsidRPr="00CE1D7F" w:rsidRDefault="002B32A0" w:rsidP="006258ED">
            <w:pPr>
              <w:pStyle w:val="Tabletext"/>
              <w:keepNext/>
              <w:keepLines/>
              <w:rPr>
                <w:rStyle w:val="CaptionLabel"/>
                <w:b w:val="0"/>
                <w:bCs/>
              </w:rPr>
            </w:pPr>
          </w:p>
        </w:tc>
        <w:tc>
          <w:tcPr>
            <w:tcW w:w="597" w:type="pct"/>
          </w:tcPr>
          <w:p w14:paraId="7BCE6B8C" w14:textId="77777777" w:rsidR="002B32A0" w:rsidRPr="00CE1D7F" w:rsidRDefault="002B32A0" w:rsidP="006258ED">
            <w:pPr>
              <w:pStyle w:val="Tabletext"/>
              <w:keepNext/>
              <w:keepLines/>
              <w:rPr>
                <w:rStyle w:val="CaptionLabel"/>
                <w:b w:val="0"/>
                <w:bCs/>
              </w:rPr>
            </w:pPr>
          </w:p>
        </w:tc>
        <w:tc>
          <w:tcPr>
            <w:tcW w:w="598" w:type="pct"/>
          </w:tcPr>
          <w:p w14:paraId="3900C8D4" w14:textId="77777777" w:rsidR="002B32A0" w:rsidRPr="00CE1D7F" w:rsidRDefault="002B32A0" w:rsidP="006258ED">
            <w:pPr>
              <w:pStyle w:val="Tabletext"/>
              <w:keepNext/>
              <w:keepLines/>
              <w:rPr>
                <w:rStyle w:val="CaptionLabel"/>
                <w:b w:val="0"/>
                <w:bCs/>
              </w:rPr>
            </w:pPr>
            <w:r w:rsidRPr="00CE1D7F">
              <w:t>$325,000</w:t>
            </w:r>
          </w:p>
        </w:tc>
      </w:tr>
      <w:tr w:rsidR="002B32A0" w:rsidRPr="00CE1D7F" w14:paraId="60957F17" w14:textId="77777777" w:rsidTr="00163772">
        <w:tc>
          <w:tcPr>
            <w:tcW w:w="1415" w:type="pct"/>
            <w:tcMar>
              <w:left w:w="80" w:type="dxa"/>
            </w:tcMar>
          </w:tcPr>
          <w:p w14:paraId="272D5075" w14:textId="77777777" w:rsidR="002B32A0" w:rsidRPr="00CE1D7F" w:rsidRDefault="002B32A0" w:rsidP="006258ED">
            <w:pPr>
              <w:pStyle w:val="Tabletext"/>
              <w:keepNext/>
              <w:keepLines/>
              <w:rPr>
                <w:rStyle w:val="CaptionLabel"/>
                <w:b w:val="0"/>
                <w:bCs/>
              </w:rPr>
            </w:pPr>
            <w:r w:rsidRPr="00CE1D7F">
              <w:t>ARC</w:t>
            </w:r>
          </w:p>
        </w:tc>
        <w:tc>
          <w:tcPr>
            <w:tcW w:w="597" w:type="pct"/>
          </w:tcPr>
          <w:p w14:paraId="1074592C" w14:textId="77777777" w:rsidR="002B32A0" w:rsidRPr="00CE1D7F" w:rsidRDefault="002B32A0" w:rsidP="006258ED">
            <w:pPr>
              <w:pStyle w:val="Tabletext"/>
              <w:keepNext/>
              <w:keepLines/>
              <w:rPr>
                <w:rStyle w:val="CaptionLabel"/>
                <w:b w:val="0"/>
                <w:bCs/>
              </w:rPr>
            </w:pPr>
          </w:p>
        </w:tc>
        <w:tc>
          <w:tcPr>
            <w:tcW w:w="597" w:type="pct"/>
          </w:tcPr>
          <w:p w14:paraId="5A8D9718" w14:textId="77777777" w:rsidR="002B32A0" w:rsidRPr="00CE1D7F" w:rsidRDefault="002B32A0" w:rsidP="006258ED">
            <w:pPr>
              <w:pStyle w:val="Tabletext"/>
              <w:keepNext/>
              <w:keepLines/>
              <w:rPr>
                <w:rStyle w:val="CaptionLabel"/>
                <w:b w:val="0"/>
                <w:bCs/>
              </w:rPr>
            </w:pPr>
            <w:r w:rsidRPr="00CE1D7F">
              <w:t>$600,000</w:t>
            </w:r>
          </w:p>
        </w:tc>
        <w:tc>
          <w:tcPr>
            <w:tcW w:w="597" w:type="pct"/>
          </w:tcPr>
          <w:p w14:paraId="04EA50B5" w14:textId="77777777" w:rsidR="002B32A0" w:rsidRPr="00CE1D7F" w:rsidRDefault="002B32A0" w:rsidP="006258ED">
            <w:pPr>
              <w:pStyle w:val="Tabletext"/>
              <w:keepNext/>
              <w:keepLines/>
              <w:rPr>
                <w:rStyle w:val="CaptionLabel"/>
                <w:b w:val="0"/>
                <w:bCs/>
              </w:rPr>
            </w:pPr>
          </w:p>
        </w:tc>
        <w:tc>
          <w:tcPr>
            <w:tcW w:w="597" w:type="pct"/>
          </w:tcPr>
          <w:p w14:paraId="2C26F331" w14:textId="77777777" w:rsidR="002B32A0" w:rsidRPr="00CE1D7F" w:rsidRDefault="002B32A0" w:rsidP="006258ED">
            <w:pPr>
              <w:pStyle w:val="Tabletext"/>
              <w:keepNext/>
              <w:keepLines/>
              <w:rPr>
                <w:rStyle w:val="CaptionLabel"/>
                <w:b w:val="0"/>
                <w:bCs/>
              </w:rPr>
            </w:pPr>
          </w:p>
        </w:tc>
        <w:tc>
          <w:tcPr>
            <w:tcW w:w="597" w:type="pct"/>
          </w:tcPr>
          <w:p w14:paraId="6D4C648E" w14:textId="77777777" w:rsidR="002B32A0" w:rsidRPr="00CE1D7F" w:rsidRDefault="002B32A0" w:rsidP="006258ED">
            <w:pPr>
              <w:pStyle w:val="Tabletext"/>
              <w:keepNext/>
              <w:keepLines/>
              <w:rPr>
                <w:rStyle w:val="CaptionLabel"/>
                <w:b w:val="0"/>
                <w:bCs/>
              </w:rPr>
            </w:pPr>
          </w:p>
        </w:tc>
        <w:tc>
          <w:tcPr>
            <w:tcW w:w="598" w:type="pct"/>
          </w:tcPr>
          <w:p w14:paraId="26BA9FE9" w14:textId="77777777" w:rsidR="002B32A0" w:rsidRPr="00CE1D7F" w:rsidRDefault="002B32A0" w:rsidP="006258ED">
            <w:pPr>
              <w:pStyle w:val="Tabletext"/>
              <w:keepNext/>
              <w:keepLines/>
              <w:rPr>
                <w:rStyle w:val="CaptionLabel"/>
                <w:b w:val="0"/>
                <w:bCs/>
              </w:rPr>
            </w:pPr>
            <w:r w:rsidRPr="00CE1D7F">
              <w:t>$600,000</w:t>
            </w:r>
          </w:p>
        </w:tc>
      </w:tr>
      <w:tr w:rsidR="002B32A0" w:rsidRPr="00CE1D7F" w14:paraId="52F8257A" w14:textId="77777777" w:rsidTr="00163772">
        <w:tc>
          <w:tcPr>
            <w:tcW w:w="5000" w:type="pct"/>
            <w:gridSpan w:val="7"/>
            <w:tcMar>
              <w:left w:w="80" w:type="dxa"/>
            </w:tcMar>
          </w:tcPr>
          <w:p w14:paraId="62398034" w14:textId="77777777" w:rsidR="002B32A0" w:rsidRPr="00CE1D7F" w:rsidRDefault="002B32A0" w:rsidP="006258ED">
            <w:pPr>
              <w:pStyle w:val="Tabletext"/>
              <w:keepNext/>
              <w:keepLines/>
              <w:rPr>
                <w:rStyle w:val="CaptionLabel"/>
                <w:b w:val="0"/>
              </w:rPr>
            </w:pPr>
            <w:r w:rsidRPr="00CE1D7F">
              <w:rPr>
                <w:b/>
                <w:lang w:eastAsia="en-AU"/>
              </w:rPr>
              <w:t>LP130100605 – Improving the operation of large-scale irrigation networks through automation</w:t>
            </w:r>
          </w:p>
        </w:tc>
      </w:tr>
      <w:tr w:rsidR="002B32A0" w:rsidRPr="00CE1D7F" w14:paraId="4A4E5A1A" w14:textId="77777777" w:rsidTr="00163772">
        <w:tc>
          <w:tcPr>
            <w:tcW w:w="1415" w:type="pct"/>
            <w:tcMar>
              <w:left w:w="80" w:type="dxa"/>
            </w:tcMar>
          </w:tcPr>
          <w:p w14:paraId="14C2AA51" w14:textId="77777777" w:rsidR="002B32A0" w:rsidRPr="00CE1D7F" w:rsidRDefault="002B32A0" w:rsidP="006258ED">
            <w:pPr>
              <w:pStyle w:val="Tabletext"/>
              <w:keepNext/>
              <w:keepLines/>
              <w:rPr>
                <w:rStyle w:val="CaptionLabel"/>
                <w:b w:val="0"/>
                <w:bCs/>
              </w:rPr>
            </w:pPr>
            <w:r w:rsidRPr="00CE1D7F">
              <w:t>Non-academic partner</w:t>
            </w:r>
          </w:p>
        </w:tc>
        <w:tc>
          <w:tcPr>
            <w:tcW w:w="597" w:type="pct"/>
          </w:tcPr>
          <w:p w14:paraId="0B0C959C" w14:textId="77777777" w:rsidR="002B32A0" w:rsidRPr="00CE1D7F" w:rsidRDefault="002B32A0" w:rsidP="006258ED">
            <w:pPr>
              <w:pStyle w:val="Tabletext"/>
              <w:keepNext/>
              <w:keepLines/>
              <w:rPr>
                <w:rStyle w:val="CaptionLabel"/>
                <w:b w:val="0"/>
                <w:bCs/>
              </w:rPr>
            </w:pPr>
          </w:p>
        </w:tc>
        <w:tc>
          <w:tcPr>
            <w:tcW w:w="597" w:type="pct"/>
          </w:tcPr>
          <w:p w14:paraId="7CD42D47" w14:textId="77777777" w:rsidR="002B32A0" w:rsidRPr="00CE1D7F" w:rsidRDefault="002B32A0" w:rsidP="006258ED">
            <w:pPr>
              <w:pStyle w:val="Tabletext"/>
              <w:keepNext/>
              <w:keepLines/>
              <w:rPr>
                <w:rStyle w:val="CaptionLabel"/>
                <w:b w:val="0"/>
                <w:bCs/>
              </w:rPr>
            </w:pPr>
          </w:p>
        </w:tc>
        <w:tc>
          <w:tcPr>
            <w:tcW w:w="597" w:type="pct"/>
          </w:tcPr>
          <w:p w14:paraId="72D9F20E" w14:textId="77777777" w:rsidR="002B32A0" w:rsidRPr="00CE1D7F" w:rsidRDefault="002B32A0" w:rsidP="006258ED">
            <w:pPr>
              <w:pStyle w:val="Tabletext"/>
              <w:keepNext/>
              <w:keepLines/>
              <w:rPr>
                <w:rStyle w:val="CaptionLabel"/>
                <w:b w:val="0"/>
                <w:bCs/>
              </w:rPr>
            </w:pPr>
            <w:r w:rsidRPr="00CE1D7F">
              <w:t>$136,543</w:t>
            </w:r>
          </w:p>
        </w:tc>
        <w:tc>
          <w:tcPr>
            <w:tcW w:w="597" w:type="pct"/>
          </w:tcPr>
          <w:p w14:paraId="2E27E744" w14:textId="77777777" w:rsidR="002B32A0" w:rsidRPr="00CE1D7F" w:rsidRDefault="002B32A0" w:rsidP="006258ED">
            <w:pPr>
              <w:pStyle w:val="Tabletext"/>
              <w:keepNext/>
              <w:keepLines/>
              <w:rPr>
                <w:rStyle w:val="CaptionLabel"/>
                <w:b w:val="0"/>
                <w:bCs/>
              </w:rPr>
            </w:pPr>
            <w:r w:rsidRPr="00CE1D7F">
              <w:t>$102,407</w:t>
            </w:r>
          </w:p>
        </w:tc>
        <w:tc>
          <w:tcPr>
            <w:tcW w:w="597" w:type="pct"/>
          </w:tcPr>
          <w:p w14:paraId="4BDFEFFF" w14:textId="77777777" w:rsidR="002B32A0" w:rsidRPr="00CE1D7F" w:rsidRDefault="002B32A0" w:rsidP="006258ED">
            <w:pPr>
              <w:pStyle w:val="Tabletext"/>
              <w:keepNext/>
              <w:keepLines/>
              <w:rPr>
                <w:rStyle w:val="CaptionLabel"/>
                <w:b w:val="0"/>
                <w:bCs/>
              </w:rPr>
            </w:pPr>
          </w:p>
        </w:tc>
        <w:tc>
          <w:tcPr>
            <w:tcW w:w="598" w:type="pct"/>
          </w:tcPr>
          <w:p w14:paraId="6906F0BC" w14:textId="77777777" w:rsidR="002B32A0" w:rsidRPr="00CE1D7F" w:rsidRDefault="002B32A0" w:rsidP="006258ED">
            <w:pPr>
              <w:pStyle w:val="Tabletext"/>
              <w:keepNext/>
              <w:keepLines/>
              <w:rPr>
                <w:rStyle w:val="CaptionLabel"/>
                <w:b w:val="0"/>
                <w:bCs/>
              </w:rPr>
            </w:pPr>
            <w:r w:rsidRPr="00CE1D7F">
              <w:t>$238,950</w:t>
            </w:r>
          </w:p>
        </w:tc>
      </w:tr>
      <w:tr w:rsidR="002B32A0" w:rsidRPr="00CE1D7F" w14:paraId="64423764" w14:textId="77777777" w:rsidTr="00163772">
        <w:tc>
          <w:tcPr>
            <w:tcW w:w="1415" w:type="pct"/>
            <w:tcMar>
              <w:left w:w="80" w:type="dxa"/>
            </w:tcMar>
          </w:tcPr>
          <w:p w14:paraId="3AE37050" w14:textId="77777777" w:rsidR="002B32A0" w:rsidRPr="00CE1D7F" w:rsidRDefault="002B32A0" w:rsidP="006258ED">
            <w:pPr>
              <w:pStyle w:val="Tabletext"/>
              <w:keepNext/>
              <w:keepLines/>
              <w:rPr>
                <w:rStyle w:val="CaptionLabel"/>
                <w:b w:val="0"/>
                <w:bCs/>
              </w:rPr>
            </w:pPr>
            <w:r w:rsidRPr="00CE1D7F">
              <w:t>ARC</w:t>
            </w:r>
          </w:p>
        </w:tc>
        <w:tc>
          <w:tcPr>
            <w:tcW w:w="597" w:type="pct"/>
          </w:tcPr>
          <w:p w14:paraId="425870DF" w14:textId="77777777" w:rsidR="002B32A0" w:rsidRPr="00CE1D7F" w:rsidRDefault="002B32A0" w:rsidP="006258ED">
            <w:pPr>
              <w:pStyle w:val="Tabletext"/>
              <w:keepNext/>
              <w:keepLines/>
              <w:rPr>
                <w:rStyle w:val="CaptionLabel"/>
                <w:b w:val="0"/>
                <w:bCs/>
              </w:rPr>
            </w:pPr>
          </w:p>
        </w:tc>
        <w:tc>
          <w:tcPr>
            <w:tcW w:w="597" w:type="pct"/>
          </w:tcPr>
          <w:p w14:paraId="55EF039C" w14:textId="77777777" w:rsidR="002B32A0" w:rsidRPr="00CE1D7F" w:rsidRDefault="002B32A0" w:rsidP="006258ED">
            <w:pPr>
              <w:pStyle w:val="Tabletext"/>
              <w:keepNext/>
              <w:keepLines/>
              <w:rPr>
                <w:rStyle w:val="CaptionLabel"/>
                <w:b w:val="0"/>
                <w:bCs/>
              </w:rPr>
            </w:pPr>
          </w:p>
        </w:tc>
        <w:tc>
          <w:tcPr>
            <w:tcW w:w="597" w:type="pct"/>
          </w:tcPr>
          <w:p w14:paraId="4D6A6764" w14:textId="77777777" w:rsidR="002B32A0" w:rsidRPr="00CE1D7F" w:rsidRDefault="002B32A0" w:rsidP="006258ED">
            <w:pPr>
              <w:pStyle w:val="Tabletext"/>
              <w:keepNext/>
              <w:keepLines/>
              <w:rPr>
                <w:rStyle w:val="CaptionLabel"/>
                <w:b w:val="0"/>
                <w:bCs/>
              </w:rPr>
            </w:pPr>
            <w:r w:rsidRPr="00CE1D7F">
              <w:t>$615,000</w:t>
            </w:r>
          </w:p>
        </w:tc>
        <w:tc>
          <w:tcPr>
            <w:tcW w:w="597" w:type="pct"/>
          </w:tcPr>
          <w:p w14:paraId="060D3A81" w14:textId="77777777" w:rsidR="002B32A0" w:rsidRPr="00CE1D7F" w:rsidRDefault="002B32A0" w:rsidP="006258ED">
            <w:pPr>
              <w:pStyle w:val="Tabletext"/>
              <w:keepNext/>
              <w:keepLines/>
              <w:rPr>
                <w:rStyle w:val="CaptionLabel"/>
                <w:b w:val="0"/>
                <w:bCs/>
              </w:rPr>
            </w:pPr>
          </w:p>
        </w:tc>
        <w:tc>
          <w:tcPr>
            <w:tcW w:w="597" w:type="pct"/>
          </w:tcPr>
          <w:p w14:paraId="448A0BCE" w14:textId="77777777" w:rsidR="002B32A0" w:rsidRPr="00CE1D7F" w:rsidRDefault="002B32A0" w:rsidP="006258ED">
            <w:pPr>
              <w:pStyle w:val="Tabletext"/>
              <w:keepNext/>
              <w:keepLines/>
              <w:rPr>
                <w:rStyle w:val="CaptionLabel"/>
                <w:b w:val="0"/>
                <w:bCs/>
              </w:rPr>
            </w:pPr>
          </w:p>
        </w:tc>
        <w:tc>
          <w:tcPr>
            <w:tcW w:w="598" w:type="pct"/>
          </w:tcPr>
          <w:p w14:paraId="7EF3A65D" w14:textId="77777777" w:rsidR="002B32A0" w:rsidRPr="00CE1D7F" w:rsidRDefault="002B32A0" w:rsidP="006258ED">
            <w:pPr>
              <w:pStyle w:val="Tabletext"/>
              <w:keepNext/>
              <w:keepLines/>
              <w:rPr>
                <w:rStyle w:val="CaptionLabel"/>
                <w:b w:val="0"/>
                <w:bCs/>
              </w:rPr>
            </w:pPr>
            <w:r w:rsidRPr="00CE1D7F">
              <w:t>$615,000</w:t>
            </w:r>
          </w:p>
        </w:tc>
      </w:tr>
      <w:tr w:rsidR="002B32A0" w:rsidRPr="00CE1D7F" w14:paraId="3E2C7B03" w14:textId="77777777" w:rsidTr="00163772">
        <w:tc>
          <w:tcPr>
            <w:tcW w:w="5000" w:type="pct"/>
            <w:gridSpan w:val="7"/>
            <w:tcMar>
              <w:left w:w="80" w:type="dxa"/>
            </w:tcMar>
          </w:tcPr>
          <w:p w14:paraId="5B53F009" w14:textId="77777777" w:rsidR="002B32A0" w:rsidRPr="00CE1D7F" w:rsidRDefault="002B32A0" w:rsidP="006258ED">
            <w:pPr>
              <w:pStyle w:val="Tabletext"/>
              <w:keepNext/>
              <w:keepLines/>
              <w:rPr>
                <w:rStyle w:val="CaptionLabel"/>
                <w:b w:val="0"/>
              </w:rPr>
            </w:pPr>
            <w:r w:rsidRPr="00CE1D7F">
              <w:rPr>
                <w:b/>
                <w:lang w:eastAsia="en-AU"/>
              </w:rPr>
              <w:t>LP160100666 – Automatic control systems for low-energy pipelines in irrigation networks</w:t>
            </w:r>
          </w:p>
        </w:tc>
      </w:tr>
      <w:tr w:rsidR="002B32A0" w:rsidRPr="00CE1D7F" w14:paraId="3013129E" w14:textId="77777777" w:rsidTr="00163772">
        <w:tc>
          <w:tcPr>
            <w:tcW w:w="1415" w:type="pct"/>
            <w:tcMar>
              <w:left w:w="80" w:type="dxa"/>
            </w:tcMar>
          </w:tcPr>
          <w:p w14:paraId="4B77F197" w14:textId="77777777" w:rsidR="002B32A0" w:rsidRPr="00CE1D7F" w:rsidRDefault="002B32A0" w:rsidP="006258ED">
            <w:pPr>
              <w:pStyle w:val="Tabletext"/>
              <w:keepNext/>
              <w:keepLines/>
              <w:rPr>
                <w:rStyle w:val="CaptionLabel"/>
                <w:b w:val="0"/>
                <w:bCs/>
              </w:rPr>
            </w:pPr>
            <w:r w:rsidRPr="00CE1D7F">
              <w:t>Non-academic partner</w:t>
            </w:r>
          </w:p>
        </w:tc>
        <w:tc>
          <w:tcPr>
            <w:tcW w:w="597" w:type="pct"/>
          </w:tcPr>
          <w:p w14:paraId="537BFCFB" w14:textId="77777777" w:rsidR="002B32A0" w:rsidRPr="00CE1D7F" w:rsidRDefault="002B32A0" w:rsidP="006258ED">
            <w:pPr>
              <w:pStyle w:val="Tabletext"/>
              <w:keepNext/>
              <w:keepLines/>
              <w:rPr>
                <w:rStyle w:val="CaptionLabel"/>
                <w:b w:val="0"/>
                <w:bCs/>
              </w:rPr>
            </w:pPr>
          </w:p>
        </w:tc>
        <w:tc>
          <w:tcPr>
            <w:tcW w:w="597" w:type="pct"/>
          </w:tcPr>
          <w:p w14:paraId="56A4FBD4" w14:textId="77777777" w:rsidR="002B32A0" w:rsidRPr="00CE1D7F" w:rsidRDefault="002B32A0" w:rsidP="006258ED">
            <w:pPr>
              <w:pStyle w:val="Tabletext"/>
              <w:keepNext/>
              <w:keepLines/>
              <w:rPr>
                <w:rStyle w:val="CaptionLabel"/>
                <w:b w:val="0"/>
                <w:bCs/>
              </w:rPr>
            </w:pPr>
          </w:p>
        </w:tc>
        <w:tc>
          <w:tcPr>
            <w:tcW w:w="597" w:type="pct"/>
          </w:tcPr>
          <w:p w14:paraId="125DDB45" w14:textId="77777777" w:rsidR="002B32A0" w:rsidRPr="00CE1D7F" w:rsidRDefault="002B32A0" w:rsidP="006258ED">
            <w:pPr>
              <w:pStyle w:val="Tabletext"/>
              <w:keepNext/>
              <w:keepLines/>
              <w:rPr>
                <w:rStyle w:val="CaptionLabel"/>
                <w:b w:val="0"/>
                <w:bCs/>
              </w:rPr>
            </w:pPr>
            <w:r w:rsidRPr="00CE1D7F">
              <w:t>$41,617</w:t>
            </w:r>
          </w:p>
        </w:tc>
        <w:tc>
          <w:tcPr>
            <w:tcW w:w="597" w:type="pct"/>
          </w:tcPr>
          <w:p w14:paraId="35B1A515" w14:textId="77777777" w:rsidR="002B32A0" w:rsidRPr="00CE1D7F" w:rsidRDefault="002B32A0" w:rsidP="006258ED">
            <w:pPr>
              <w:pStyle w:val="Tabletext"/>
              <w:keepNext/>
              <w:keepLines/>
              <w:rPr>
                <w:rStyle w:val="CaptionLabel"/>
                <w:b w:val="0"/>
                <w:bCs/>
              </w:rPr>
            </w:pPr>
            <w:r w:rsidRPr="00CE1D7F">
              <w:t>$166,467</w:t>
            </w:r>
          </w:p>
        </w:tc>
        <w:tc>
          <w:tcPr>
            <w:tcW w:w="597" w:type="pct"/>
          </w:tcPr>
          <w:p w14:paraId="7B16E740" w14:textId="77777777" w:rsidR="002B32A0" w:rsidRPr="00CE1D7F" w:rsidRDefault="002B32A0" w:rsidP="006258ED">
            <w:pPr>
              <w:pStyle w:val="Tabletext"/>
              <w:keepNext/>
              <w:keepLines/>
              <w:rPr>
                <w:rStyle w:val="CaptionLabel"/>
                <w:b w:val="0"/>
                <w:bCs/>
              </w:rPr>
            </w:pPr>
            <w:r w:rsidRPr="00CE1D7F">
              <w:t>$41,617</w:t>
            </w:r>
          </w:p>
        </w:tc>
        <w:tc>
          <w:tcPr>
            <w:tcW w:w="598" w:type="pct"/>
          </w:tcPr>
          <w:p w14:paraId="38B26D2C" w14:textId="77777777" w:rsidR="002B32A0" w:rsidRPr="00CE1D7F" w:rsidRDefault="002B32A0" w:rsidP="006258ED">
            <w:pPr>
              <w:pStyle w:val="Tabletext"/>
              <w:keepNext/>
              <w:keepLines/>
              <w:rPr>
                <w:rStyle w:val="CaptionLabel"/>
                <w:b w:val="0"/>
                <w:bCs/>
              </w:rPr>
            </w:pPr>
            <w:r w:rsidRPr="00CE1D7F">
              <w:t>$249,700</w:t>
            </w:r>
          </w:p>
        </w:tc>
      </w:tr>
      <w:tr w:rsidR="002B32A0" w:rsidRPr="00CE1D7F" w14:paraId="713EF618" w14:textId="77777777" w:rsidTr="00163772">
        <w:tc>
          <w:tcPr>
            <w:tcW w:w="1415" w:type="pct"/>
            <w:tcMar>
              <w:left w:w="80" w:type="dxa"/>
            </w:tcMar>
          </w:tcPr>
          <w:p w14:paraId="66BE04DF" w14:textId="77777777" w:rsidR="002B32A0" w:rsidRPr="00CE1D7F" w:rsidRDefault="002B32A0" w:rsidP="006258ED">
            <w:pPr>
              <w:pStyle w:val="Tabletext"/>
              <w:keepNext/>
              <w:keepLines/>
              <w:rPr>
                <w:rFonts w:eastAsia="Times New Roman" w:cs="Calibri"/>
                <w:szCs w:val="20"/>
                <w:lang w:eastAsia="en-AU"/>
              </w:rPr>
            </w:pPr>
            <w:r w:rsidRPr="00CE1D7F">
              <w:rPr>
                <w:rFonts w:eastAsia="Times New Roman" w:cs="Calibri"/>
                <w:szCs w:val="20"/>
                <w:lang w:eastAsia="en-AU"/>
              </w:rPr>
              <w:t>ARC</w:t>
            </w:r>
          </w:p>
        </w:tc>
        <w:tc>
          <w:tcPr>
            <w:tcW w:w="597" w:type="pct"/>
          </w:tcPr>
          <w:p w14:paraId="22CDD82C" w14:textId="77777777" w:rsidR="002B32A0" w:rsidRPr="00CE1D7F" w:rsidRDefault="002B32A0" w:rsidP="006258ED">
            <w:pPr>
              <w:pStyle w:val="Tabletext"/>
              <w:keepNext/>
              <w:keepLines/>
              <w:rPr>
                <w:rStyle w:val="CaptionLabel"/>
                <w:b w:val="0"/>
                <w:bCs/>
              </w:rPr>
            </w:pPr>
          </w:p>
        </w:tc>
        <w:tc>
          <w:tcPr>
            <w:tcW w:w="597" w:type="pct"/>
          </w:tcPr>
          <w:p w14:paraId="4DEADECF" w14:textId="77777777" w:rsidR="002B32A0" w:rsidRPr="00CE1D7F" w:rsidRDefault="002B32A0" w:rsidP="006258ED">
            <w:pPr>
              <w:pStyle w:val="Tabletext"/>
              <w:keepNext/>
              <w:keepLines/>
              <w:rPr>
                <w:rStyle w:val="CaptionLabel"/>
                <w:b w:val="0"/>
                <w:bCs/>
              </w:rPr>
            </w:pPr>
          </w:p>
        </w:tc>
        <w:tc>
          <w:tcPr>
            <w:tcW w:w="597" w:type="pct"/>
          </w:tcPr>
          <w:p w14:paraId="46728856" w14:textId="77777777" w:rsidR="002B32A0" w:rsidRPr="00CE1D7F" w:rsidRDefault="002B32A0" w:rsidP="006258ED">
            <w:pPr>
              <w:pStyle w:val="Tabletext"/>
              <w:keepNext/>
              <w:keepLines/>
              <w:rPr>
                <w:lang w:eastAsia="en-AU"/>
              </w:rPr>
            </w:pPr>
            <w:r w:rsidRPr="00CE1D7F">
              <w:t>$65,000</w:t>
            </w:r>
          </w:p>
        </w:tc>
        <w:tc>
          <w:tcPr>
            <w:tcW w:w="597" w:type="pct"/>
          </w:tcPr>
          <w:p w14:paraId="32E51C9E" w14:textId="77777777" w:rsidR="002B32A0" w:rsidRPr="00CE1D7F" w:rsidRDefault="002B32A0" w:rsidP="006258ED">
            <w:pPr>
              <w:pStyle w:val="Tabletext"/>
              <w:keepNext/>
              <w:keepLines/>
              <w:rPr>
                <w:rStyle w:val="CaptionLabel"/>
                <w:b w:val="0"/>
                <w:bCs/>
              </w:rPr>
            </w:pPr>
            <w:r w:rsidRPr="00CE1D7F">
              <w:t>$405,000</w:t>
            </w:r>
          </w:p>
        </w:tc>
        <w:tc>
          <w:tcPr>
            <w:tcW w:w="597" w:type="pct"/>
          </w:tcPr>
          <w:p w14:paraId="1A8796EB" w14:textId="77777777" w:rsidR="002B32A0" w:rsidRPr="00CE1D7F" w:rsidRDefault="002B32A0" w:rsidP="006258ED">
            <w:pPr>
              <w:pStyle w:val="Tabletext"/>
              <w:keepNext/>
              <w:keepLines/>
              <w:rPr>
                <w:rStyle w:val="CaptionLabel"/>
                <w:b w:val="0"/>
                <w:bCs/>
              </w:rPr>
            </w:pPr>
          </w:p>
        </w:tc>
        <w:tc>
          <w:tcPr>
            <w:tcW w:w="598" w:type="pct"/>
          </w:tcPr>
          <w:p w14:paraId="5EB56DB7" w14:textId="77777777" w:rsidR="002B32A0" w:rsidRPr="00CE1D7F" w:rsidRDefault="002B32A0" w:rsidP="006258ED">
            <w:pPr>
              <w:pStyle w:val="Tabletext"/>
              <w:keepNext/>
              <w:keepLines/>
              <w:rPr>
                <w:lang w:eastAsia="en-AU"/>
              </w:rPr>
            </w:pPr>
            <w:r w:rsidRPr="00CE1D7F">
              <w:t>$470,000</w:t>
            </w:r>
          </w:p>
        </w:tc>
      </w:tr>
      <w:tr w:rsidR="002B32A0" w:rsidRPr="00CE1D7F" w14:paraId="56DD2D2B" w14:textId="77777777" w:rsidTr="00163772">
        <w:tc>
          <w:tcPr>
            <w:tcW w:w="5000" w:type="pct"/>
            <w:gridSpan w:val="7"/>
            <w:tcMar>
              <w:left w:w="80" w:type="dxa"/>
            </w:tcMar>
          </w:tcPr>
          <w:p w14:paraId="1773F726" w14:textId="77777777" w:rsidR="002B32A0" w:rsidRPr="00CE1D7F" w:rsidRDefault="002B32A0" w:rsidP="006258ED">
            <w:pPr>
              <w:pStyle w:val="Tabletext"/>
              <w:keepNext/>
              <w:keepLines/>
              <w:rPr>
                <w:rStyle w:val="CaptionLabel"/>
                <w:b w:val="0"/>
              </w:rPr>
            </w:pPr>
            <w:r w:rsidRPr="00CE1D7F">
              <w:rPr>
                <w:b/>
                <w:lang w:eastAsia="en-AU"/>
              </w:rPr>
              <w:t>LP200200917 – Control systems for irrigation networks in storage critical operations</w:t>
            </w:r>
          </w:p>
        </w:tc>
      </w:tr>
      <w:tr w:rsidR="002B32A0" w:rsidRPr="00CE1D7F" w14:paraId="3A373995" w14:textId="77777777" w:rsidTr="00163772">
        <w:tc>
          <w:tcPr>
            <w:tcW w:w="1415" w:type="pct"/>
            <w:tcMar>
              <w:left w:w="80" w:type="dxa"/>
            </w:tcMar>
          </w:tcPr>
          <w:p w14:paraId="7E1AA595" w14:textId="77777777" w:rsidR="002B32A0" w:rsidRPr="00CE1D7F" w:rsidRDefault="002B32A0" w:rsidP="006258ED">
            <w:pPr>
              <w:pStyle w:val="Tabletext"/>
              <w:keepNext/>
              <w:keepLines/>
              <w:rPr>
                <w:rStyle w:val="CaptionLabel"/>
                <w:b w:val="0"/>
                <w:bCs/>
              </w:rPr>
            </w:pPr>
            <w:r w:rsidRPr="00CE1D7F">
              <w:t>Non-academic partner</w:t>
            </w:r>
          </w:p>
        </w:tc>
        <w:tc>
          <w:tcPr>
            <w:tcW w:w="597" w:type="pct"/>
          </w:tcPr>
          <w:p w14:paraId="5F4F3299" w14:textId="77777777" w:rsidR="002B32A0" w:rsidRPr="00CE1D7F" w:rsidRDefault="002B32A0" w:rsidP="006258ED">
            <w:pPr>
              <w:pStyle w:val="Tabletext"/>
              <w:keepNext/>
              <w:keepLines/>
              <w:rPr>
                <w:rStyle w:val="CaptionLabel"/>
                <w:b w:val="0"/>
                <w:bCs/>
              </w:rPr>
            </w:pPr>
          </w:p>
        </w:tc>
        <w:tc>
          <w:tcPr>
            <w:tcW w:w="597" w:type="pct"/>
          </w:tcPr>
          <w:p w14:paraId="7C54FFF4" w14:textId="77777777" w:rsidR="002B32A0" w:rsidRPr="00CE1D7F" w:rsidRDefault="002B32A0" w:rsidP="006258ED">
            <w:pPr>
              <w:pStyle w:val="Tabletext"/>
              <w:keepNext/>
              <w:keepLines/>
              <w:rPr>
                <w:rStyle w:val="CaptionLabel"/>
                <w:b w:val="0"/>
                <w:bCs/>
              </w:rPr>
            </w:pPr>
          </w:p>
        </w:tc>
        <w:tc>
          <w:tcPr>
            <w:tcW w:w="597" w:type="pct"/>
          </w:tcPr>
          <w:p w14:paraId="63EC34D1" w14:textId="77777777" w:rsidR="002B32A0" w:rsidRPr="00CE1D7F" w:rsidRDefault="002B32A0" w:rsidP="006258ED">
            <w:pPr>
              <w:pStyle w:val="Tabletext"/>
              <w:keepNext/>
              <w:keepLines/>
              <w:rPr>
                <w:rStyle w:val="CaptionLabel"/>
                <w:b w:val="0"/>
                <w:bCs/>
              </w:rPr>
            </w:pPr>
          </w:p>
        </w:tc>
        <w:tc>
          <w:tcPr>
            <w:tcW w:w="597" w:type="pct"/>
          </w:tcPr>
          <w:p w14:paraId="77B31575" w14:textId="77777777" w:rsidR="002B32A0" w:rsidRPr="00CE1D7F" w:rsidRDefault="002B32A0" w:rsidP="006258ED">
            <w:pPr>
              <w:pStyle w:val="Tabletext"/>
              <w:keepNext/>
              <w:keepLines/>
              <w:rPr>
                <w:rStyle w:val="CaptionLabel"/>
                <w:b w:val="0"/>
                <w:bCs/>
              </w:rPr>
            </w:pPr>
          </w:p>
        </w:tc>
        <w:tc>
          <w:tcPr>
            <w:tcW w:w="597" w:type="pct"/>
          </w:tcPr>
          <w:p w14:paraId="2C4B1A0C" w14:textId="77777777" w:rsidR="002B32A0" w:rsidRPr="00CE1D7F" w:rsidRDefault="002B32A0" w:rsidP="006258ED">
            <w:pPr>
              <w:pStyle w:val="Tabletext"/>
              <w:keepNext/>
              <w:keepLines/>
              <w:rPr>
                <w:rStyle w:val="CaptionLabel"/>
                <w:b w:val="0"/>
                <w:bCs/>
              </w:rPr>
            </w:pPr>
            <w:r w:rsidRPr="00CE1D7F">
              <w:t>$183,050</w:t>
            </w:r>
          </w:p>
        </w:tc>
        <w:tc>
          <w:tcPr>
            <w:tcW w:w="598" w:type="pct"/>
          </w:tcPr>
          <w:p w14:paraId="5833119B" w14:textId="77777777" w:rsidR="002B32A0" w:rsidRPr="00CE1D7F" w:rsidRDefault="002B32A0" w:rsidP="006258ED">
            <w:pPr>
              <w:pStyle w:val="Tabletext"/>
              <w:keepNext/>
              <w:keepLines/>
              <w:rPr>
                <w:rStyle w:val="CaptionLabel"/>
                <w:b w:val="0"/>
                <w:bCs/>
              </w:rPr>
            </w:pPr>
            <w:r w:rsidRPr="00CE1D7F">
              <w:t>$183,050</w:t>
            </w:r>
          </w:p>
        </w:tc>
      </w:tr>
      <w:tr w:rsidR="002B32A0" w:rsidRPr="00CE1D7F" w14:paraId="4D5223BE" w14:textId="77777777" w:rsidTr="00163772">
        <w:tc>
          <w:tcPr>
            <w:tcW w:w="1415" w:type="pct"/>
            <w:tcMar>
              <w:left w:w="80" w:type="dxa"/>
            </w:tcMar>
          </w:tcPr>
          <w:p w14:paraId="73A8CD89" w14:textId="77777777" w:rsidR="002B32A0" w:rsidRPr="00CE1D7F" w:rsidRDefault="002B32A0" w:rsidP="006258ED">
            <w:pPr>
              <w:pStyle w:val="Tabletext"/>
              <w:keepNext/>
              <w:keepLines/>
              <w:rPr>
                <w:rStyle w:val="CaptionLabel"/>
                <w:b w:val="0"/>
                <w:bCs/>
              </w:rPr>
            </w:pPr>
            <w:r w:rsidRPr="00CE1D7F">
              <w:t xml:space="preserve">Academic partner </w:t>
            </w:r>
          </w:p>
        </w:tc>
        <w:tc>
          <w:tcPr>
            <w:tcW w:w="597" w:type="pct"/>
          </w:tcPr>
          <w:p w14:paraId="2DE1FAC1" w14:textId="77777777" w:rsidR="002B32A0" w:rsidRPr="00CE1D7F" w:rsidRDefault="002B32A0" w:rsidP="006258ED">
            <w:pPr>
              <w:pStyle w:val="Tabletext"/>
              <w:keepNext/>
              <w:keepLines/>
              <w:rPr>
                <w:rStyle w:val="CaptionLabel"/>
                <w:b w:val="0"/>
                <w:bCs/>
              </w:rPr>
            </w:pPr>
          </w:p>
        </w:tc>
        <w:tc>
          <w:tcPr>
            <w:tcW w:w="597" w:type="pct"/>
          </w:tcPr>
          <w:p w14:paraId="515D8CDD" w14:textId="77777777" w:rsidR="002B32A0" w:rsidRPr="00CE1D7F" w:rsidRDefault="002B32A0" w:rsidP="006258ED">
            <w:pPr>
              <w:pStyle w:val="Tabletext"/>
              <w:keepNext/>
              <w:keepLines/>
              <w:rPr>
                <w:rStyle w:val="CaptionLabel"/>
                <w:b w:val="0"/>
                <w:bCs/>
              </w:rPr>
            </w:pPr>
          </w:p>
        </w:tc>
        <w:tc>
          <w:tcPr>
            <w:tcW w:w="597" w:type="pct"/>
          </w:tcPr>
          <w:p w14:paraId="0CF1D075" w14:textId="77777777" w:rsidR="002B32A0" w:rsidRPr="00CE1D7F" w:rsidRDefault="002B32A0" w:rsidP="006258ED">
            <w:pPr>
              <w:pStyle w:val="Tabletext"/>
              <w:keepNext/>
              <w:keepLines/>
              <w:rPr>
                <w:rStyle w:val="CaptionLabel"/>
                <w:b w:val="0"/>
                <w:bCs/>
              </w:rPr>
            </w:pPr>
          </w:p>
        </w:tc>
        <w:tc>
          <w:tcPr>
            <w:tcW w:w="597" w:type="pct"/>
          </w:tcPr>
          <w:p w14:paraId="33D6C7A3" w14:textId="77777777" w:rsidR="002B32A0" w:rsidRPr="00CE1D7F" w:rsidRDefault="002B32A0" w:rsidP="006258ED">
            <w:pPr>
              <w:pStyle w:val="Tabletext"/>
              <w:keepNext/>
              <w:keepLines/>
              <w:rPr>
                <w:rStyle w:val="CaptionLabel"/>
                <w:b w:val="0"/>
                <w:bCs/>
              </w:rPr>
            </w:pPr>
          </w:p>
        </w:tc>
        <w:tc>
          <w:tcPr>
            <w:tcW w:w="597" w:type="pct"/>
          </w:tcPr>
          <w:p w14:paraId="51B5755B" w14:textId="77777777" w:rsidR="002B32A0" w:rsidRPr="00CE1D7F" w:rsidRDefault="002B32A0" w:rsidP="006258ED">
            <w:pPr>
              <w:pStyle w:val="Tabletext"/>
              <w:keepNext/>
              <w:keepLines/>
              <w:rPr>
                <w:rStyle w:val="CaptionLabel"/>
                <w:b w:val="0"/>
                <w:bCs/>
              </w:rPr>
            </w:pPr>
            <w:r w:rsidRPr="00CE1D7F">
              <w:t>$100,239</w:t>
            </w:r>
          </w:p>
        </w:tc>
        <w:tc>
          <w:tcPr>
            <w:tcW w:w="598" w:type="pct"/>
          </w:tcPr>
          <w:p w14:paraId="3964064A" w14:textId="77777777" w:rsidR="002B32A0" w:rsidRPr="00CE1D7F" w:rsidRDefault="002B32A0" w:rsidP="006258ED">
            <w:pPr>
              <w:pStyle w:val="Tabletext"/>
              <w:keepNext/>
              <w:keepLines/>
              <w:rPr>
                <w:rStyle w:val="CaptionLabel"/>
                <w:b w:val="0"/>
                <w:bCs/>
              </w:rPr>
            </w:pPr>
            <w:r w:rsidRPr="00CE1D7F">
              <w:t>$100,239</w:t>
            </w:r>
          </w:p>
        </w:tc>
      </w:tr>
      <w:tr w:rsidR="002B32A0" w:rsidRPr="00CE1D7F" w14:paraId="4E3D533A" w14:textId="77777777" w:rsidTr="00163772">
        <w:tc>
          <w:tcPr>
            <w:tcW w:w="1415" w:type="pct"/>
            <w:tcMar>
              <w:left w:w="80" w:type="dxa"/>
            </w:tcMar>
          </w:tcPr>
          <w:p w14:paraId="63320836" w14:textId="77777777" w:rsidR="002B32A0" w:rsidRPr="00CE1D7F" w:rsidRDefault="002B32A0" w:rsidP="006258ED">
            <w:pPr>
              <w:pStyle w:val="Tabletext"/>
              <w:keepNext/>
              <w:keepLines/>
              <w:rPr>
                <w:rStyle w:val="CaptionLabel"/>
                <w:b w:val="0"/>
                <w:bCs/>
              </w:rPr>
            </w:pPr>
            <w:r w:rsidRPr="00CE1D7F">
              <w:t>ARC</w:t>
            </w:r>
          </w:p>
        </w:tc>
        <w:tc>
          <w:tcPr>
            <w:tcW w:w="597" w:type="pct"/>
          </w:tcPr>
          <w:p w14:paraId="1171F7CE" w14:textId="77777777" w:rsidR="002B32A0" w:rsidRPr="00CE1D7F" w:rsidRDefault="002B32A0" w:rsidP="006258ED">
            <w:pPr>
              <w:pStyle w:val="Tabletext"/>
              <w:keepNext/>
              <w:keepLines/>
              <w:rPr>
                <w:rStyle w:val="CaptionLabel"/>
                <w:b w:val="0"/>
                <w:bCs/>
              </w:rPr>
            </w:pPr>
          </w:p>
        </w:tc>
        <w:tc>
          <w:tcPr>
            <w:tcW w:w="597" w:type="pct"/>
          </w:tcPr>
          <w:p w14:paraId="5C3C5ACC" w14:textId="77777777" w:rsidR="002B32A0" w:rsidRPr="00CE1D7F" w:rsidRDefault="002B32A0" w:rsidP="006258ED">
            <w:pPr>
              <w:pStyle w:val="Tabletext"/>
              <w:keepNext/>
              <w:keepLines/>
              <w:rPr>
                <w:rStyle w:val="CaptionLabel"/>
                <w:b w:val="0"/>
                <w:bCs/>
              </w:rPr>
            </w:pPr>
          </w:p>
        </w:tc>
        <w:tc>
          <w:tcPr>
            <w:tcW w:w="597" w:type="pct"/>
          </w:tcPr>
          <w:p w14:paraId="12743075" w14:textId="77777777" w:rsidR="002B32A0" w:rsidRPr="00CE1D7F" w:rsidRDefault="002B32A0" w:rsidP="006258ED">
            <w:pPr>
              <w:pStyle w:val="Tabletext"/>
              <w:keepNext/>
              <w:keepLines/>
              <w:rPr>
                <w:rStyle w:val="CaptionLabel"/>
                <w:b w:val="0"/>
                <w:bCs/>
              </w:rPr>
            </w:pPr>
          </w:p>
        </w:tc>
        <w:tc>
          <w:tcPr>
            <w:tcW w:w="597" w:type="pct"/>
          </w:tcPr>
          <w:p w14:paraId="0E73C502" w14:textId="77777777" w:rsidR="002B32A0" w:rsidRPr="00CE1D7F" w:rsidRDefault="002B32A0" w:rsidP="006258ED">
            <w:pPr>
              <w:pStyle w:val="Tabletext"/>
              <w:keepNext/>
              <w:keepLines/>
              <w:rPr>
                <w:rStyle w:val="CaptionLabel"/>
                <w:b w:val="0"/>
                <w:bCs/>
              </w:rPr>
            </w:pPr>
          </w:p>
        </w:tc>
        <w:tc>
          <w:tcPr>
            <w:tcW w:w="597" w:type="pct"/>
          </w:tcPr>
          <w:p w14:paraId="0A59A2AA" w14:textId="77777777" w:rsidR="002B32A0" w:rsidRPr="00CE1D7F" w:rsidRDefault="002B32A0" w:rsidP="006258ED">
            <w:pPr>
              <w:pStyle w:val="Tabletext"/>
              <w:keepNext/>
              <w:keepLines/>
              <w:rPr>
                <w:rStyle w:val="CaptionLabel"/>
                <w:b w:val="0"/>
                <w:bCs/>
              </w:rPr>
            </w:pPr>
            <w:r w:rsidRPr="00CE1D7F">
              <w:t>$593,636</w:t>
            </w:r>
          </w:p>
        </w:tc>
        <w:tc>
          <w:tcPr>
            <w:tcW w:w="598" w:type="pct"/>
          </w:tcPr>
          <w:p w14:paraId="2BC20B6E" w14:textId="77777777" w:rsidR="002B32A0" w:rsidRPr="00CE1D7F" w:rsidRDefault="002B32A0" w:rsidP="006258ED">
            <w:pPr>
              <w:pStyle w:val="Tabletext"/>
              <w:keepNext/>
              <w:keepLines/>
              <w:rPr>
                <w:rStyle w:val="CaptionLabel"/>
                <w:b w:val="0"/>
                <w:bCs/>
              </w:rPr>
            </w:pPr>
            <w:r w:rsidRPr="00CE1D7F">
              <w:t>$593,636</w:t>
            </w:r>
          </w:p>
        </w:tc>
      </w:tr>
      <w:tr w:rsidR="002B32A0" w:rsidRPr="00CE1D7F" w14:paraId="45C3CB20" w14:textId="77777777" w:rsidTr="00163772">
        <w:tc>
          <w:tcPr>
            <w:tcW w:w="5000" w:type="pct"/>
            <w:gridSpan w:val="7"/>
            <w:tcMar>
              <w:left w:w="80" w:type="dxa"/>
            </w:tcMar>
          </w:tcPr>
          <w:p w14:paraId="21AEB0DD" w14:textId="77777777" w:rsidR="002B32A0" w:rsidRPr="00CE1D7F" w:rsidRDefault="002B32A0" w:rsidP="006258ED">
            <w:pPr>
              <w:pStyle w:val="Tabletext"/>
              <w:keepNext/>
              <w:keepLines/>
              <w:rPr>
                <w:rStyle w:val="CaptionLabel"/>
              </w:rPr>
            </w:pPr>
            <w:r w:rsidRPr="00CE1D7F">
              <w:rPr>
                <w:rStyle w:val="CaptionLabel"/>
              </w:rPr>
              <w:t>In-kind</w:t>
            </w:r>
          </w:p>
        </w:tc>
      </w:tr>
      <w:tr w:rsidR="002B32A0" w:rsidRPr="00CE1D7F" w14:paraId="5A735A50" w14:textId="77777777" w:rsidTr="00163772">
        <w:tc>
          <w:tcPr>
            <w:tcW w:w="5000" w:type="pct"/>
            <w:gridSpan w:val="7"/>
            <w:tcMar>
              <w:left w:w="80" w:type="dxa"/>
            </w:tcMar>
          </w:tcPr>
          <w:p w14:paraId="0354775A" w14:textId="77777777" w:rsidR="002B32A0" w:rsidRPr="00CE1D7F" w:rsidRDefault="002B32A0" w:rsidP="006258ED">
            <w:pPr>
              <w:pStyle w:val="Tabletext"/>
              <w:keepNext/>
              <w:keepLines/>
              <w:rPr>
                <w:rStyle w:val="CaptionLabel"/>
                <w:b w:val="0"/>
              </w:rPr>
            </w:pPr>
            <w:r w:rsidRPr="00CE1D7F">
              <w:rPr>
                <w:b/>
                <w:lang w:eastAsia="en-AU"/>
              </w:rPr>
              <w:t>LP0349134 – Control and safety monitoring systems for large-scale irrigation networks</w:t>
            </w:r>
          </w:p>
        </w:tc>
      </w:tr>
      <w:tr w:rsidR="002B32A0" w:rsidRPr="00CE1D7F" w14:paraId="63654485" w14:textId="77777777" w:rsidTr="00163772">
        <w:tc>
          <w:tcPr>
            <w:tcW w:w="1415" w:type="pct"/>
            <w:tcMar>
              <w:left w:w="80" w:type="dxa"/>
            </w:tcMar>
          </w:tcPr>
          <w:p w14:paraId="165C85C2" w14:textId="77777777" w:rsidR="002B32A0" w:rsidRPr="00CE1D7F" w:rsidRDefault="002B32A0" w:rsidP="006258ED">
            <w:pPr>
              <w:keepNext/>
              <w:keepLines/>
              <w:spacing w:before="0" w:after="0" w:line="240" w:lineRule="auto"/>
              <w:rPr>
                <w:rStyle w:val="CaptionLabel"/>
                <w:rFonts w:cs="Times New Roman"/>
                <w:b w:val="0"/>
                <w:sz w:val="20"/>
                <w:szCs w:val="20"/>
              </w:rPr>
            </w:pPr>
            <w:r w:rsidRPr="00CE1D7F">
              <w:rPr>
                <w:color w:val="000100"/>
                <w:sz w:val="20"/>
                <w:szCs w:val="20"/>
              </w:rPr>
              <w:t>Non-academic partner</w:t>
            </w:r>
          </w:p>
        </w:tc>
        <w:tc>
          <w:tcPr>
            <w:tcW w:w="597" w:type="pct"/>
          </w:tcPr>
          <w:p w14:paraId="76843405" w14:textId="77777777" w:rsidR="002B32A0" w:rsidRPr="00CE1D7F" w:rsidRDefault="002B32A0" w:rsidP="006258ED">
            <w:pPr>
              <w:pStyle w:val="Tabletext"/>
              <w:keepNext/>
              <w:keepLines/>
              <w:rPr>
                <w:rStyle w:val="CaptionLabel"/>
                <w:b w:val="0"/>
                <w:bCs/>
              </w:rPr>
            </w:pPr>
            <w:r w:rsidRPr="00CE1D7F">
              <w:t>$748,125</w:t>
            </w:r>
          </w:p>
        </w:tc>
        <w:tc>
          <w:tcPr>
            <w:tcW w:w="597" w:type="pct"/>
          </w:tcPr>
          <w:p w14:paraId="48CCAE22" w14:textId="77777777" w:rsidR="002B32A0" w:rsidRPr="00CE1D7F" w:rsidRDefault="002B32A0" w:rsidP="006258ED">
            <w:pPr>
              <w:pStyle w:val="Tabletext"/>
              <w:keepNext/>
              <w:keepLines/>
              <w:rPr>
                <w:rStyle w:val="CaptionLabel"/>
                <w:b w:val="0"/>
                <w:bCs/>
              </w:rPr>
            </w:pPr>
            <w:r w:rsidRPr="00CE1D7F">
              <w:t>$249,375</w:t>
            </w:r>
          </w:p>
        </w:tc>
        <w:tc>
          <w:tcPr>
            <w:tcW w:w="597" w:type="pct"/>
          </w:tcPr>
          <w:p w14:paraId="6F41342D" w14:textId="77777777" w:rsidR="002B32A0" w:rsidRPr="00CE1D7F" w:rsidRDefault="002B32A0" w:rsidP="006258ED">
            <w:pPr>
              <w:pStyle w:val="Tabletext"/>
              <w:keepNext/>
              <w:keepLines/>
              <w:rPr>
                <w:rStyle w:val="CaptionLabel"/>
                <w:b w:val="0"/>
                <w:bCs/>
              </w:rPr>
            </w:pPr>
          </w:p>
        </w:tc>
        <w:tc>
          <w:tcPr>
            <w:tcW w:w="597" w:type="pct"/>
          </w:tcPr>
          <w:p w14:paraId="337B9CC8" w14:textId="77777777" w:rsidR="002B32A0" w:rsidRPr="00CE1D7F" w:rsidRDefault="002B32A0" w:rsidP="006258ED">
            <w:pPr>
              <w:pStyle w:val="Tabletext"/>
              <w:keepNext/>
              <w:keepLines/>
              <w:rPr>
                <w:rStyle w:val="CaptionLabel"/>
                <w:b w:val="0"/>
                <w:bCs/>
              </w:rPr>
            </w:pPr>
          </w:p>
        </w:tc>
        <w:tc>
          <w:tcPr>
            <w:tcW w:w="597" w:type="pct"/>
          </w:tcPr>
          <w:p w14:paraId="283A7701" w14:textId="77777777" w:rsidR="002B32A0" w:rsidRPr="00CE1D7F" w:rsidRDefault="002B32A0" w:rsidP="006258ED">
            <w:pPr>
              <w:pStyle w:val="Tabletext"/>
              <w:keepNext/>
              <w:keepLines/>
              <w:rPr>
                <w:rStyle w:val="CaptionLabel"/>
                <w:b w:val="0"/>
                <w:bCs/>
              </w:rPr>
            </w:pPr>
          </w:p>
        </w:tc>
        <w:tc>
          <w:tcPr>
            <w:tcW w:w="598" w:type="pct"/>
          </w:tcPr>
          <w:p w14:paraId="65F42CBD" w14:textId="77777777" w:rsidR="002B32A0" w:rsidRPr="00CE1D7F" w:rsidRDefault="002B32A0" w:rsidP="006258ED">
            <w:pPr>
              <w:pStyle w:val="Tabletext"/>
              <w:keepNext/>
              <w:keepLines/>
              <w:rPr>
                <w:rStyle w:val="CaptionLabel"/>
                <w:b w:val="0"/>
                <w:bCs/>
              </w:rPr>
            </w:pPr>
            <w:r w:rsidRPr="00CE1D7F">
              <w:t>$997,500</w:t>
            </w:r>
          </w:p>
        </w:tc>
      </w:tr>
      <w:tr w:rsidR="002B32A0" w:rsidRPr="00CE1D7F" w14:paraId="01C831F0" w14:textId="77777777" w:rsidTr="00163772">
        <w:tc>
          <w:tcPr>
            <w:tcW w:w="5000" w:type="pct"/>
            <w:gridSpan w:val="7"/>
            <w:tcMar>
              <w:left w:w="80" w:type="dxa"/>
            </w:tcMar>
          </w:tcPr>
          <w:p w14:paraId="3F0297CE" w14:textId="77777777" w:rsidR="002B32A0" w:rsidRPr="00CE1D7F" w:rsidRDefault="002B32A0" w:rsidP="006258ED">
            <w:pPr>
              <w:pStyle w:val="Tabletext"/>
              <w:keepNext/>
              <w:keepLines/>
              <w:rPr>
                <w:b/>
                <w:bCs/>
                <w:lang w:eastAsia="en-AU"/>
              </w:rPr>
            </w:pPr>
            <w:r w:rsidRPr="00CE1D7F">
              <w:rPr>
                <w:b/>
                <w:bCs/>
                <w:lang w:eastAsia="en-AU"/>
              </w:rPr>
              <w:t>LP0989497 – Managing Australia's water resources: Automated demand scheduling and supply control systems for</w:t>
            </w:r>
          </w:p>
          <w:p w14:paraId="61868C7B" w14:textId="77777777" w:rsidR="002B32A0" w:rsidRPr="00CE1D7F" w:rsidRDefault="002B32A0" w:rsidP="006258ED">
            <w:pPr>
              <w:pStyle w:val="Tabletext"/>
              <w:keepNext/>
              <w:keepLines/>
              <w:rPr>
                <w:rStyle w:val="CaptionLabel"/>
                <w:b w:val="0"/>
              </w:rPr>
            </w:pPr>
            <w:r w:rsidRPr="00CE1D7F">
              <w:rPr>
                <w:b/>
                <w:bCs/>
                <w:lang w:eastAsia="en-AU"/>
              </w:rPr>
              <w:t>Large-scale irrigation networks</w:t>
            </w:r>
          </w:p>
        </w:tc>
      </w:tr>
      <w:tr w:rsidR="002B32A0" w:rsidRPr="00CE1D7F" w14:paraId="063B2145" w14:textId="77777777" w:rsidTr="00163772">
        <w:tc>
          <w:tcPr>
            <w:tcW w:w="1415" w:type="pct"/>
            <w:tcMar>
              <w:left w:w="80" w:type="dxa"/>
            </w:tcMar>
          </w:tcPr>
          <w:p w14:paraId="78308333" w14:textId="77777777" w:rsidR="002B32A0" w:rsidRPr="00CE1D7F" w:rsidRDefault="002B32A0" w:rsidP="006258ED">
            <w:pPr>
              <w:keepNext/>
              <w:keepLines/>
              <w:spacing w:before="0" w:after="0" w:line="240" w:lineRule="auto"/>
              <w:rPr>
                <w:rStyle w:val="CaptionLabel"/>
                <w:rFonts w:cs="Times New Roman"/>
                <w:b w:val="0"/>
                <w:sz w:val="20"/>
                <w:szCs w:val="20"/>
              </w:rPr>
            </w:pPr>
            <w:r w:rsidRPr="00CE1D7F">
              <w:rPr>
                <w:color w:val="000100"/>
                <w:sz w:val="20"/>
                <w:szCs w:val="20"/>
              </w:rPr>
              <w:t>Non-academic partner</w:t>
            </w:r>
          </w:p>
        </w:tc>
        <w:tc>
          <w:tcPr>
            <w:tcW w:w="597" w:type="pct"/>
          </w:tcPr>
          <w:p w14:paraId="78263283" w14:textId="77777777" w:rsidR="002B32A0" w:rsidRPr="00CE1D7F" w:rsidRDefault="002B32A0" w:rsidP="006258ED">
            <w:pPr>
              <w:pStyle w:val="Tabletext"/>
              <w:keepNext/>
              <w:keepLines/>
              <w:rPr>
                <w:rStyle w:val="CaptionLabel"/>
                <w:b w:val="0"/>
                <w:bCs/>
              </w:rPr>
            </w:pPr>
          </w:p>
        </w:tc>
        <w:tc>
          <w:tcPr>
            <w:tcW w:w="597" w:type="pct"/>
          </w:tcPr>
          <w:p w14:paraId="6C6CCD97" w14:textId="77777777" w:rsidR="002B32A0" w:rsidRPr="00CE1D7F" w:rsidRDefault="002B32A0" w:rsidP="006258ED">
            <w:pPr>
              <w:pStyle w:val="Tabletext"/>
              <w:keepNext/>
              <w:keepLines/>
              <w:rPr>
                <w:rStyle w:val="CaptionLabel"/>
                <w:b w:val="0"/>
                <w:bCs/>
              </w:rPr>
            </w:pPr>
            <w:r w:rsidRPr="00CE1D7F">
              <w:t>$447,571</w:t>
            </w:r>
          </w:p>
        </w:tc>
        <w:tc>
          <w:tcPr>
            <w:tcW w:w="597" w:type="pct"/>
          </w:tcPr>
          <w:p w14:paraId="2517F964" w14:textId="77777777" w:rsidR="002B32A0" w:rsidRPr="00CE1D7F" w:rsidRDefault="002B32A0" w:rsidP="006258ED">
            <w:pPr>
              <w:pStyle w:val="Tabletext"/>
              <w:keepNext/>
              <w:keepLines/>
              <w:rPr>
                <w:rStyle w:val="CaptionLabel"/>
                <w:b w:val="0"/>
                <w:bCs/>
              </w:rPr>
            </w:pPr>
            <w:r w:rsidRPr="00CE1D7F">
              <w:t>$335,679</w:t>
            </w:r>
          </w:p>
        </w:tc>
        <w:tc>
          <w:tcPr>
            <w:tcW w:w="597" w:type="pct"/>
          </w:tcPr>
          <w:p w14:paraId="23C73B96" w14:textId="77777777" w:rsidR="002B32A0" w:rsidRPr="00CE1D7F" w:rsidRDefault="002B32A0" w:rsidP="006258ED">
            <w:pPr>
              <w:pStyle w:val="Tabletext"/>
              <w:keepNext/>
              <w:keepLines/>
              <w:rPr>
                <w:rStyle w:val="CaptionLabel"/>
                <w:b w:val="0"/>
                <w:bCs/>
              </w:rPr>
            </w:pPr>
          </w:p>
        </w:tc>
        <w:tc>
          <w:tcPr>
            <w:tcW w:w="597" w:type="pct"/>
          </w:tcPr>
          <w:p w14:paraId="2D459D32" w14:textId="77777777" w:rsidR="002B32A0" w:rsidRPr="00CE1D7F" w:rsidRDefault="002B32A0" w:rsidP="006258ED">
            <w:pPr>
              <w:pStyle w:val="Tabletext"/>
              <w:keepNext/>
              <w:keepLines/>
              <w:rPr>
                <w:rStyle w:val="CaptionLabel"/>
                <w:b w:val="0"/>
                <w:bCs/>
              </w:rPr>
            </w:pPr>
          </w:p>
        </w:tc>
        <w:tc>
          <w:tcPr>
            <w:tcW w:w="598" w:type="pct"/>
          </w:tcPr>
          <w:p w14:paraId="62AC4760" w14:textId="77777777" w:rsidR="002B32A0" w:rsidRPr="00CE1D7F" w:rsidRDefault="002B32A0" w:rsidP="006258ED">
            <w:pPr>
              <w:pStyle w:val="Tabletext"/>
              <w:keepNext/>
              <w:keepLines/>
              <w:rPr>
                <w:rStyle w:val="CaptionLabel"/>
                <w:b w:val="0"/>
                <w:bCs/>
              </w:rPr>
            </w:pPr>
            <w:r w:rsidRPr="00CE1D7F">
              <w:t>$783,250</w:t>
            </w:r>
          </w:p>
        </w:tc>
      </w:tr>
      <w:tr w:rsidR="002B32A0" w:rsidRPr="00CE1D7F" w14:paraId="0733C347" w14:textId="77777777" w:rsidTr="00163772">
        <w:tc>
          <w:tcPr>
            <w:tcW w:w="5000" w:type="pct"/>
            <w:gridSpan w:val="7"/>
            <w:tcMar>
              <w:left w:w="80" w:type="dxa"/>
            </w:tcMar>
          </w:tcPr>
          <w:p w14:paraId="2577FD0E" w14:textId="77777777" w:rsidR="002B32A0" w:rsidRPr="00CE1D7F" w:rsidRDefault="002B32A0" w:rsidP="006258ED">
            <w:pPr>
              <w:pStyle w:val="Tabletext"/>
              <w:keepNext/>
              <w:keepLines/>
              <w:rPr>
                <w:rStyle w:val="CaptionLabel"/>
                <w:b w:val="0"/>
              </w:rPr>
            </w:pPr>
            <w:r w:rsidRPr="00CE1D7F">
              <w:rPr>
                <w:b/>
                <w:lang w:eastAsia="en-AU"/>
              </w:rPr>
              <w:t>LP130100605 – Improving the operation of large-scale irrigation networks through automation</w:t>
            </w:r>
          </w:p>
        </w:tc>
      </w:tr>
      <w:tr w:rsidR="002B32A0" w:rsidRPr="00CE1D7F" w14:paraId="1039B911" w14:textId="77777777" w:rsidTr="00163772">
        <w:tc>
          <w:tcPr>
            <w:tcW w:w="1415" w:type="pct"/>
            <w:tcMar>
              <w:left w:w="80" w:type="dxa"/>
            </w:tcMar>
          </w:tcPr>
          <w:p w14:paraId="67D72F51" w14:textId="77777777" w:rsidR="002B32A0" w:rsidRPr="00CE1D7F" w:rsidRDefault="002B32A0" w:rsidP="006258ED">
            <w:pPr>
              <w:pStyle w:val="Tabletext"/>
              <w:keepNext/>
              <w:keepLines/>
              <w:rPr>
                <w:rStyle w:val="CaptionLabel"/>
                <w:b w:val="0"/>
                <w:bCs/>
              </w:rPr>
            </w:pPr>
            <w:r w:rsidRPr="00CE1D7F">
              <w:rPr>
                <w:rFonts w:eastAsia="Times New Roman" w:cs="Calibri"/>
                <w:szCs w:val="20"/>
                <w:lang w:eastAsia="en-AU"/>
              </w:rPr>
              <w:t>Non-academic partner</w:t>
            </w:r>
          </w:p>
        </w:tc>
        <w:tc>
          <w:tcPr>
            <w:tcW w:w="597" w:type="pct"/>
          </w:tcPr>
          <w:p w14:paraId="453F1CED" w14:textId="77777777" w:rsidR="002B32A0" w:rsidRPr="00CE1D7F" w:rsidRDefault="002B32A0" w:rsidP="006258ED">
            <w:pPr>
              <w:pStyle w:val="Tabletext"/>
              <w:keepNext/>
              <w:keepLines/>
              <w:rPr>
                <w:rStyle w:val="CaptionLabel"/>
                <w:b w:val="0"/>
                <w:bCs/>
              </w:rPr>
            </w:pPr>
          </w:p>
        </w:tc>
        <w:tc>
          <w:tcPr>
            <w:tcW w:w="597" w:type="pct"/>
          </w:tcPr>
          <w:p w14:paraId="21459C85" w14:textId="77777777" w:rsidR="002B32A0" w:rsidRPr="00CE1D7F" w:rsidRDefault="002B32A0" w:rsidP="006258ED">
            <w:pPr>
              <w:pStyle w:val="Tabletext"/>
              <w:keepNext/>
              <w:keepLines/>
              <w:rPr>
                <w:rStyle w:val="CaptionLabel"/>
                <w:b w:val="0"/>
                <w:bCs/>
              </w:rPr>
            </w:pPr>
          </w:p>
        </w:tc>
        <w:tc>
          <w:tcPr>
            <w:tcW w:w="597" w:type="pct"/>
          </w:tcPr>
          <w:p w14:paraId="06926DCA" w14:textId="77777777" w:rsidR="002B32A0" w:rsidRPr="00CE1D7F" w:rsidRDefault="002B32A0" w:rsidP="006258ED">
            <w:pPr>
              <w:pStyle w:val="Tabletext"/>
              <w:keepNext/>
              <w:keepLines/>
              <w:rPr>
                <w:rStyle w:val="CaptionLabel"/>
                <w:b w:val="0"/>
                <w:bCs/>
              </w:rPr>
            </w:pPr>
            <w:r w:rsidRPr="00CE1D7F">
              <w:t>$351,429</w:t>
            </w:r>
          </w:p>
        </w:tc>
        <w:tc>
          <w:tcPr>
            <w:tcW w:w="597" w:type="pct"/>
          </w:tcPr>
          <w:p w14:paraId="3A8A9F32" w14:textId="77777777" w:rsidR="002B32A0" w:rsidRPr="00CE1D7F" w:rsidRDefault="002B32A0" w:rsidP="006258ED">
            <w:pPr>
              <w:pStyle w:val="Tabletext"/>
              <w:keepNext/>
              <w:keepLines/>
              <w:rPr>
                <w:rStyle w:val="CaptionLabel"/>
                <w:b w:val="0"/>
                <w:bCs/>
              </w:rPr>
            </w:pPr>
            <w:r w:rsidRPr="00CE1D7F">
              <w:t>$263,571</w:t>
            </w:r>
          </w:p>
        </w:tc>
        <w:tc>
          <w:tcPr>
            <w:tcW w:w="597" w:type="pct"/>
          </w:tcPr>
          <w:p w14:paraId="730A1F92" w14:textId="77777777" w:rsidR="002B32A0" w:rsidRPr="00CE1D7F" w:rsidRDefault="002B32A0" w:rsidP="006258ED">
            <w:pPr>
              <w:pStyle w:val="Tabletext"/>
              <w:keepNext/>
              <w:keepLines/>
              <w:rPr>
                <w:rStyle w:val="CaptionLabel"/>
                <w:b w:val="0"/>
                <w:bCs/>
              </w:rPr>
            </w:pPr>
          </w:p>
        </w:tc>
        <w:tc>
          <w:tcPr>
            <w:tcW w:w="598" w:type="pct"/>
          </w:tcPr>
          <w:p w14:paraId="666A1F25" w14:textId="77777777" w:rsidR="002B32A0" w:rsidRPr="00CE1D7F" w:rsidRDefault="002B32A0" w:rsidP="006258ED">
            <w:pPr>
              <w:pStyle w:val="Tabletext"/>
              <w:keepNext/>
              <w:keepLines/>
              <w:rPr>
                <w:rStyle w:val="CaptionLabel"/>
                <w:b w:val="0"/>
                <w:bCs/>
              </w:rPr>
            </w:pPr>
            <w:r w:rsidRPr="00CE1D7F">
              <w:t>$615,000</w:t>
            </w:r>
          </w:p>
        </w:tc>
      </w:tr>
      <w:tr w:rsidR="002B32A0" w:rsidRPr="00CE1D7F" w14:paraId="529B6C6B" w14:textId="77777777" w:rsidTr="00163772">
        <w:tc>
          <w:tcPr>
            <w:tcW w:w="1415" w:type="pct"/>
            <w:tcMar>
              <w:left w:w="80" w:type="dxa"/>
            </w:tcMar>
          </w:tcPr>
          <w:p w14:paraId="117D86DD" w14:textId="77777777" w:rsidR="002B32A0" w:rsidRPr="00CE1D7F" w:rsidRDefault="002B32A0" w:rsidP="006258ED">
            <w:pPr>
              <w:pStyle w:val="Tabletext"/>
              <w:keepNext/>
              <w:keepLines/>
              <w:rPr>
                <w:rStyle w:val="CaptionLabel"/>
                <w:b w:val="0"/>
                <w:bCs/>
              </w:rPr>
            </w:pPr>
            <w:r w:rsidRPr="00CE1D7F">
              <w:rPr>
                <w:rFonts w:eastAsia="Times New Roman" w:cs="Calibri"/>
                <w:szCs w:val="20"/>
                <w:lang w:eastAsia="en-AU"/>
              </w:rPr>
              <w:t>Academic partner</w:t>
            </w:r>
          </w:p>
        </w:tc>
        <w:tc>
          <w:tcPr>
            <w:tcW w:w="597" w:type="pct"/>
          </w:tcPr>
          <w:p w14:paraId="17AB7CEB" w14:textId="77777777" w:rsidR="002B32A0" w:rsidRPr="00CE1D7F" w:rsidRDefault="002B32A0" w:rsidP="006258ED">
            <w:pPr>
              <w:pStyle w:val="Tabletext"/>
              <w:keepNext/>
              <w:keepLines/>
              <w:rPr>
                <w:rStyle w:val="CaptionLabel"/>
                <w:b w:val="0"/>
                <w:bCs/>
              </w:rPr>
            </w:pPr>
          </w:p>
        </w:tc>
        <w:tc>
          <w:tcPr>
            <w:tcW w:w="597" w:type="pct"/>
          </w:tcPr>
          <w:p w14:paraId="28E3F26E" w14:textId="77777777" w:rsidR="002B32A0" w:rsidRPr="00CE1D7F" w:rsidRDefault="002B32A0" w:rsidP="006258ED">
            <w:pPr>
              <w:pStyle w:val="Tabletext"/>
              <w:keepNext/>
              <w:keepLines/>
              <w:rPr>
                <w:rStyle w:val="CaptionLabel"/>
                <w:b w:val="0"/>
                <w:bCs/>
              </w:rPr>
            </w:pPr>
          </w:p>
        </w:tc>
        <w:tc>
          <w:tcPr>
            <w:tcW w:w="597" w:type="pct"/>
          </w:tcPr>
          <w:p w14:paraId="4BD81C22" w14:textId="77777777" w:rsidR="002B32A0" w:rsidRPr="00CE1D7F" w:rsidRDefault="002B32A0" w:rsidP="006258ED">
            <w:pPr>
              <w:pStyle w:val="Tabletext"/>
              <w:keepNext/>
              <w:keepLines/>
              <w:rPr>
                <w:rStyle w:val="CaptionLabel"/>
                <w:b w:val="0"/>
                <w:bCs/>
              </w:rPr>
            </w:pPr>
            <w:r w:rsidRPr="00CE1D7F">
              <w:t>$268,927</w:t>
            </w:r>
          </w:p>
        </w:tc>
        <w:tc>
          <w:tcPr>
            <w:tcW w:w="597" w:type="pct"/>
          </w:tcPr>
          <w:p w14:paraId="3CBC2AB4" w14:textId="77777777" w:rsidR="002B32A0" w:rsidRPr="00CE1D7F" w:rsidRDefault="002B32A0" w:rsidP="006258ED">
            <w:pPr>
              <w:pStyle w:val="Tabletext"/>
              <w:keepNext/>
              <w:keepLines/>
              <w:rPr>
                <w:rStyle w:val="CaptionLabel"/>
                <w:b w:val="0"/>
                <w:bCs/>
              </w:rPr>
            </w:pPr>
            <w:r w:rsidRPr="00CE1D7F">
              <w:t>$201,695</w:t>
            </w:r>
          </w:p>
        </w:tc>
        <w:tc>
          <w:tcPr>
            <w:tcW w:w="597" w:type="pct"/>
          </w:tcPr>
          <w:p w14:paraId="19BF19E1" w14:textId="77777777" w:rsidR="002B32A0" w:rsidRPr="00CE1D7F" w:rsidRDefault="002B32A0" w:rsidP="006258ED">
            <w:pPr>
              <w:pStyle w:val="Tabletext"/>
              <w:keepNext/>
              <w:keepLines/>
              <w:rPr>
                <w:rStyle w:val="CaptionLabel"/>
                <w:b w:val="0"/>
                <w:bCs/>
              </w:rPr>
            </w:pPr>
          </w:p>
        </w:tc>
        <w:tc>
          <w:tcPr>
            <w:tcW w:w="598" w:type="pct"/>
          </w:tcPr>
          <w:p w14:paraId="53508216" w14:textId="77777777" w:rsidR="002B32A0" w:rsidRPr="00CE1D7F" w:rsidRDefault="002B32A0" w:rsidP="006258ED">
            <w:pPr>
              <w:pStyle w:val="Tabletext"/>
              <w:keepNext/>
              <w:keepLines/>
              <w:rPr>
                <w:rStyle w:val="CaptionLabel"/>
                <w:b w:val="0"/>
                <w:bCs/>
              </w:rPr>
            </w:pPr>
            <w:r w:rsidRPr="00CE1D7F">
              <w:t>$470,622</w:t>
            </w:r>
          </w:p>
        </w:tc>
      </w:tr>
      <w:tr w:rsidR="002B32A0" w:rsidRPr="00CE1D7F" w14:paraId="6EB389BE" w14:textId="77777777" w:rsidTr="00163772">
        <w:tc>
          <w:tcPr>
            <w:tcW w:w="5000" w:type="pct"/>
            <w:gridSpan w:val="7"/>
            <w:tcMar>
              <w:left w:w="80" w:type="dxa"/>
            </w:tcMar>
          </w:tcPr>
          <w:p w14:paraId="2F9B2A53" w14:textId="77777777" w:rsidR="002B32A0" w:rsidRPr="00CE1D7F" w:rsidRDefault="002B32A0" w:rsidP="006258ED">
            <w:pPr>
              <w:pStyle w:val="Tabletext"/>
              <w:keepNext/>
              <w:keepLines/>
              <w:rPr>
                <w:rStyle w:val="CaptionLabel"/>
                <w:b w:val="0"/>
              </w:rPr>
            </w:pPr>
            <w:r w:rsidRPr="00CE1D7F">
              <w:rPr>
                <w:b/>
                <w:lang w:eastAsia="en-AU"/>
              </w:rPr>
              <w:t>LP160100666 – Automatic control systems for low-energy pipelines in irrigation networks</w:t>
            </w:r>
          </w:p>
        </w:tc>
      </w:tr>
      <w:tr w:rsidR="002B32A0" w:rsidRPr="00CE1D7F" w14:paraId="65E57423" w14:textId="77777777" w:rsidTr="00163772">
        <w:tc>
          <w:tcPr>
            <w:tcW w:w="1415" w:type="pct"/>
            <w:tcMar>
              <w:left w:w="80" w:type="dxa"/>
            </w:tcMar>
          </w:tcPr>
          <w:p w14:paraId="78B824D2" w14:textId="77777777" w:rsidR="002B32A0" w:rsidRPr="00CE1D7F" w:rsidRDefault="002B32A0" w:rsidP="006258ED">
            <w:pPr>
              <w:pStyle w:val="Tabletext"/>
              <w:keepNext/>
              <w:keepLines/>
              <w:rPr>
                <w:rStyle w:val="CaptionLabel"/>
                <w:b w:val="0"/>
                <w:bCs/>
              </w:rPr>
            </w:pPr>
            <w:r w:rsidRPr="00CE1D7F">
              <w:rPr>
                <w:rFonts w:eastAsia="Times New Roman" w:cs="Calibri"/>
                <w:szCs w:val="20"/>
                <w:lang w:eastAsia="en-AU"/>
              </w:rPr>
              <w:t>Non-academic partner</w:t>
            </w:r>
          </w:p>
        </w:tc>
        <w:tc>
          <w:tcPr>
            <w:tcW w:w="597" w:type="pct"/>
          </w:tcPr>
          <w:p w14:paraId="4B699495" w14:textId="77777777" w:rsidR="002B32A0" w:rsidRPr="00CE1D7F" w:rsidRDefault="002B32A0" w:rsidP="006258ED">
            <w:pPr>
              <w:pStyle w:val="Tabletext"/>
              <w:keepNext/>
              <w:keepLines/>
              <w:rPr>
                <w:rStyle w:val="CaptionLabel"/>
                <w:b w:val="0"/>
                <w:bCs/>
              </w:rPr>
            </w:pPr>
          </w:p>
        </w:tc>
        <w:tc>
          <w:tcPr>
            <w:tcW w:w="597" w:type="pct"/>
          </w:tcPr>
          <w:p w14:paraId="2C76018E" w14:textId="77777777" w:rsidR="002B32A0" w:rsidRPr="00CE1D7F" w:rsidRDefault="002B32A0" w:rsidP="006258ED">
            <w:pPr>
              <w:pStyle w:val="Tabletext"/>
              <w:keepNext/>
              <w:keepLines/>
              <w:rPr>
                <w:rStyle w:val="CaptionLabel"/>
                <w:b w:val="0"/>
                <w:bCs/>
              </w:rPr>
            </w:pPr>
          </w:p>
        </w:tc>
        <w:tc>
          <w:tcPr>
            <w:tcW w:w="597" w:type="pct"/>
          </w:tcPr>
          <w:p w14:paraId="46266DDE" w14:textId="77777777" w:rsidR="002B32A0" w:rsidRPr="00CE1D7F" w:rsidRDefault="002B32A0" w:rsidP="006258ED">
            <w:pPr>
              <w:pStyle w:val="Tabletext"/>
              <w:keepNext/>
              <w:keepLines/>
              <w:rPr>
                <w:rStyle w:val="CaptionLabel"/>
                <w:b w:val="0"/>
                <w:bCs/>
              </w:rPr>
            </w:pPr>
            <w:r w:rsidRPr="00CE1D7F">
              <w:t>$104,500</w:t>
            </w:r>
          </w:p>
        </w:tc>
        <w:tc>
          <w:tcPr>
            <w:tcW w:w="597" w:type="pct"/>
          </w:tcPr>
          <w:p w14:paraId="4B51A9DA" w14:textId="77777777" w:rsidR="002B32A0" w:rsidRPr="00CE1D7F" w:rsidRDefault="002B32A0" w:rsidP="006258ED">
            <w:pPr>
              <w:pStyle w:val="Tabletext"/>
              <w:keepNext/>
              <w:keepLines/>
              <w:rPr>
                <w:rStyle w:val="CaptionLabel"/>
                <w:b w:val="0"/>
                <w:bCs/>
              </w:rPr>
            </w:pPr>
            <w:r w:rsidRPr="00CE1D7F">
              <w:t>$418,000</w:t>
            </w:r>
          </w:p>
        </w:tc>
        <w:tc>
          <w:tcPr>
            <w:tcW w:w="597" w:type="pct"/>
          </w:tcPr>
          <w:p w14:paraId="16EDDF9F" w14:textId="77777777" w:rsidR="002B32A0" w:rsidRPr="00CE1D7F" w:rsidRDefault="002B32A0" w:rsidP="006258ED">
            <w:pPr>
              <w:pStyle w:val="Tabletext"/>
              <w:keepNext/>
              <w:keepLines/>
              <w:rPr>
                <w:rStyle w:val="CaptionLabel"/>
                <w:b w:val="0"/>
                <w:bCs/>
              </w:rPr>
            </w:pPr>
            <w:r w:rsidRPr="00CE1D7F">
              <w:t>$104,500</w:t>
            </w:r>
          </w:p>
        </w:tc>
        <w:tc>
          <w:tcPr>
            <w:tcW w:w="598" w:type="pct"/>
          </w:tcPr>
          <w:p w14:paraId="3EA89EEB" w14:textId="77777777" w:rsidR="002B32A0" w:rsidRPr="00CE1D7F" w:rsidRDefault="002B32A0" w:rsidP="006258ED">
            <w:pPr>
              <w:pStyle w:val="Tabletext"/>
              <w:keepNext/>
              <w:keepLines/>
              <w:rPr>
                <w:rStyle w:val="CaptionLabel"/>
                <w:b w:val="0"/>
                <w:bCs/>
              </w:rPr>
            </w:pPr>
            <w:r w:rsidRPr="00CE1D7F">
              <w:t>$627,000</w:t>
            </w:r>
          </w:p>
        </w:tc>
      </w:tr>
      <w:tr w:rsidR="002B32A0" w:rsidRPr="00CE1D7F" w14:paraId="34D57FAD" w14:textId="77777777" w:rsidTr="00163772">
        <w:tc>
          <w:tcPr>
            <w:tcW w:w="1415" w:type="pct"/>
            <w:tcMar>
              <w:left w:w="80" w:type="dxa"/>
            </w:tcMar>
          </w:tcPr>
          <w:p w14:paraId="2EA54998" w14:textId="77777777" w:rsidR="002B32A0" w:rsidRPr="00CE1D7F" w:rsidRDefault="002B32A0" w:rsidP="006258ED">
            <w:pPr>
              <w:pStyle w:val="Tabletext"/>
              <w:keepNext/>
              <w:keepLines/>
              <w:rPr>
                <w:rStyle w:val="CaptionLabel"/>
                <w:b w:val="0"/>
                <w:bCs/>
              </w:rPr>
            </w:pPr>
            <w:r w:rsidRPr="00CE1D7F">
              <w:rPr>
                <w:rFonts w:eastAsia="Times New Roman" w:cs="Calibri"/>
                <w:szCs w:val="20"/>
                <w:lang w:eastAsia="en-AU"/>
              </w:rPr>
              <w:t>Academic partner</w:t>
            </w:r>
          </w:p>
        </w:tc>
        <w:tc>
          <w:tcPr>
            <w:tcW w:w="597" w:type="pct"/>
          </w:tcPr>
          <w:p w14:paraId="16050EC2" w14:textId="77777777" w:rsidR="002B32A0" w:rsidRPr="00CE1D7F" w:rsidRDefault="002B32A0" w:rsidP="006258ED">
            <w:pPr>
              <w:pStyle w:val="Tabletext"/>
              <w:keepNext/>
              <w:keepLines/>
              <w:rPr>
                <w:rStyle w:val="CaptionLabel"/>
                <w:b w:val="0"/>
                <w:bCs/>
              </w:rPr>
            </w:pPr>
          </w:p>
        </w:tc>
        <w:tc>
          <w:tcPr>
            <w:tcW w:w="597" w:type="pct"/>
          </w:tcPr>
          <w:p w14:paraId="5B13E757" w14:textId="77777777" w:rsidR="002B32A0" w:rsidRPr="00CE1D7F" w:rsidRDefault="002B32A0" w:rsidP="006258ED">
            <w:pPr>
              <w:pStyle w:val="Tabletext"/>
              <w:keepNext/>
              <w:keepLines/>
              <w:rPr>
                <w:rStyle w:val="CaptionLabel"/>
                <w:b w:val="0"/>
                <w:bCs/>
              </w:rPr>
            </w:pPr>
          </w:p>
        </w:tc>
        <w:tc>
          <w:tcPr>
            <w:tcW w:w="597" w:type="pct"/>
          </w:tcPr>
          <w:p w14:paraId="259EDDA8" w14:textId="77777777" w:rsidR="002B32A0" w:rsidRPr="00CE1D7F" w:rsidRDefault="002B32A0" w:rsidP="006258ED">
            <w:pPr>
              <w:pStyle w:val="Tabletext"/>
              <w:keepNext/>
              <w:keepLines/>
              <w:rPr>
                <w:rStyle w:val="CaptionLabel"/>
                <w:b w:val="0"/>
                <w:bCs/>
              </w:rPr>
            </w:pPr>
            <w:r w:rsidRPr="00CE1D7F">
              <w:t>$47,875</w:t>
            </w:r>
          </w:p>
        </w:tc>
        <w:tc>
          <w:tcPr>
            <w:tcW w:w="597" w:type="pct"/>
          </w:tcPr>
          <w:p w14:paraId="5AAA42D5" w14:textId="77777777" w:rsidR="002B32A0" w:rsidRPr="00CE1D7F" w:rsidRDefault="002B32A0" w:rsidP="006258ED">
            <w:pPr>
              <w:pStyle w:val="Tabletext"/>
              <w:keepNext/>
              <w:keepLines/>
              <w:rPr>
                <w:rStyle w:val="CaptionLabel"/>
                <w:b w:val="0"/>
                <w:bCs/>
              </w:rPr>
            </w:pPr>
            <w:r w:rsidRPr="00CE1D7F">
              <w:t>$191,499</w:t>
            </w:r>
          </w:p>
        </w:tc>
        <w:tc>
          <w:tcPr>
            <w:tcW w:w="597" w:type="pct"/>
          </w:tcPr>
          <w:p w14:paraId="50D2C630" w14:textId="77777777" w:rsidR="002B32A0" w:rsidRPr="00CE1D7F" w:rsidRDefault="002B32A0" w:rsidP="006258ED">
            <w:pPr>
              <w:pStyle w:val="Tabletext"/>
              <w:keepNext/>
              <w:keepLines/>
              <w:rPr>
                <w:rStyle w:val="CaptionLabel"/>
                <w:b w:val="0"/>
                <w:bCs/>
              </w:rPr>
            </w:pPr>
            <w:r w:rsidRPr="00CE1D7F">
              <w:t>$47,875</w:t>
            </w:r>
          </w:p>
        </w:tc>
        <w:tc>
          <w:tcPr>
            <w:tcW w:w="598" w:type="pct"/>
          </w:tcPr>
          <w:p w14:paraId="4109ECFD" w14:textId="77777777" w:rsidR="002B32A0" w:rsidRPr="00CE1D7F" w:rsidRDefault="002B32A0" w:rsidP="006258ED">
            <w:pPr>
              <w:pStyle w:val="Tabletext"/>
              <w:keepNext/>
              <w:keepLines/>
              <w:rPr>
                <w:rStyle w:val="CaptionLabel"/>
                <w:b w:val="0"/>
                <w:bCs/>
              </w:rPr>
            </w:pPr>
            <w:r w:rsidRPr="00CE1D7F">
              <w:t>$287,248</w:t>
            </w:r>
          </w:p>
        </w:tc>
      </w:tr>
      <w:tr w:rsidR="002B32A0" w:rsidRPr="00CE1D7F" w14:paraId="12C030BC" w14:textId="77777777" w:rsidTr="00163772">
        <w:tc>
          <w:tcPr>
            <w:tcW w:w="5000" w:type="pct"/>
            <w:gridSpan w:val="7"/>
            <w:tcMar>
              <w:left w:w="80" w:type="dxa"/>
            </w:tcMar>
          </w:tcPr>
          <w:p w14:paraId="7D8FDA8C" w14:textId="77777777" w:rsidR="002B32A0" w:rsidRPr="00CE1D7F" w:rsidRDefault="002B32A0" w:rsidP="006258ED">
            <w:pPr>
              <w:pStyle w:val="Tabletext"/>
              <w:keepNext/>
              <w:keepLines/>
              <w:rPr>
                <w:b/>
                <w:bCs/>
                <w:lang w:eastAsia="en-AU"/>
              </w:rPr>
            </w:pPr>
            <w:r w:rsidRPr="00CE1D7F">
              <w:rPr>
                <w:b/>
                <w:lang w:eastAsia="en-AU"/>
              </w:rPr>
              <w:t>LP200200917 – Control systems for irrigation networks in storage critical operations</w:t>
            </w:r>
          </w:p>
        </w:tc>
      </w:tr>
      <w:tr w:rsidR="002B32A0" w:rsidRPr="00CE1D7F" w14:paraId="3AB1F4C3" w14:textId="77777777" w:rsidTr="00163772">
        <w:tc>
          <w:tcPr>
            <w:tcW w:w="1415" w:type="pct"/>
            <w:tcMar>
              <w:left w:w="80" w:type="dxa"/>
            </w:tcMar>
          </w:tcPr>
          <w:p w14:paraId="721A6A25" w14:textId="77777777" w:rsidR="002B32A0" w:rsidRPr="00CE1D7F" w:rsidRDefault="002B32A0" w:rsidP="006258ED">
            <w:pPr>
              <w:pStyle w:val="Tabletext"/>
              <w:keepNext/>
              <w:keepLines/>
              <w:rPr>
                <w:rFonts w:eastAsia="Times New Roman" w:cs="Calibri"/>
                <w:szCs w:val="20"/>
                <w:lang w:eastAsia="en-AU"/>
              </w:rPr>
            </w:pPr>
            <w:r w:rsidRPr="00CE1D7F">
              <w:rPr>
                <w:rFonts w:eastAsia="Times New Roman" w:cs="Calibri"/>
                <w:szCs w:val="20"/>
                <w:lang w:eastAsia="en-AU"/>
              </w:rPr>
              <w:t>Non-academic partners</w:t>
            </w:r>
          </w:p>
        </w:tc>
        <w:tc>
          <w:tcPr>
            <w:tcW w:w="597" w:type="pct"/>
          </w:tcPr>
          <w:p w14:paraId="7A670313" w14:textId="77777777" w:rsidR="002B32A0" w:rsidRPr="00CE1D7F" w:rsidRDefault="002B32A0" w:rsidP="006258ED">
            <w:pPr>
              <w:pStyle w:val="Tabletext"/>
              <w:keepNext/>
              <w:keepLines/>
              <w:rPr>
                <w:rStyle w:val="CaptionLabel"/>
                <w:b w:val="0"/>
                <w:bCs/>
              </w:rPr>
            </w:pPr>
          </w:p>
        </w:tc>
        <w:tc>
          <w:tcPr>
            <w:tcW w:w="597" w:type="pct"/>
          </w:tcPr>
          <w:p w14:paraId="5CEDF6FF" w14:textId="77777777" w:rsidR="002B32A0" w:rsidRPr="00CE1D7F" w:rsidRDefault="002B32A0" w:rsidP="006258ED">
            <w:pPr>
              <w:pStyle w:val="Tabletext"/>
              <w:keepNext/>
              <w:keepLines/>
              <w:rPr>
                <w:rStyle w:val="CaptionLabel"/>
                <w:b w:val="0"/>
                <w:bCs/>
              </w:rPr>
            </w:pPr>
          </w:p>
        </w:tc>
        <w:tc>
          <w:tcPr>
            <w:tcW w:w="597" w:type="pct"/>
          </w:tcPr>
          <w:p w14:paraId="302981A9" w14:textId="77777777" w:rsidR="002B32A0" w:rsidRPr="00CE1D7F" w:rsidRDefault="002B32A0" w:rsidP="006258ED">
            <w:pPr>
              <w:pStyle w:val="Tabletext"/>
              <w:keepNext/>
              <w:keepLines/>
              <w:rPr>
                <w:rStyle w:val="CaptionLabel"/>
                <w:b w:val="0"/>
                <w:bCs/>
              </w:rPr>
            </w:pPr>
          </w:p>
        </w:tc>
        <w:tc>
          <w:tcPr>
            <w:tcW w:w="597" w:type="pct"/>
          </w:tcPr>
          <w:p w14:paraId="435FEEE3" w14:textId="77777777" w:rsidR="002B32A0" w:rsidRPr="00CE1D7F" w:rsidRDefault="002B32A0" w:rsidP="006258ED">
            <w:pPr>
              <w:pStyle w:val="Tabletext"/>
              <w:keepNext/>
              <w:keepLines/>
              <w:rPr>
                <w:rStyle w:val="CaptionLabel"/>
                <w:b w:val="0"/>
                <w:bCs/>
              </w:rPr>
            </w:pPr>
          </w:p>
        </w:tc>
        <w:tc>
          <w:tcPr>
            <w:tcW w:w="597" w:type="pct"/>
          </w:tcPr>
          <w:p w14:paraId="525C40AC" w14:textId="77777777" w:rsidR="002B32A0" w:rsidRPr="00CE1D7F" w:rsidRDefault="002B32A0" w:rsidP="006258ED">
            <w:pPr>
              <w:pStyle w:val="Tabletext"/>
              <w:keepNext/>
              <w:keepLines/>
              <w:rPr>
                <w:lang w:eastAsia="en-AU"/>
              </w:rPr>
            </w:pPr>
            <w:r w:rsidRPr="00CE1D7F">
              <w:t>$538,500</w:t>
            </w:r>
          </w:p>
        </w:tc>
        <w:tc>
          <w:tcPr>
            <w:tcW w:w="598" w:type="pct"/>
          </w:tcPr>
          <w:p w14:paraId="3829E7E4" w14:textId="77777777" w:rsidR="002B32A0" w:rsidRPr="00CE1D7F" w:rsidRDefault="002B32A0" w:rsidP="006258ED">
            <w:pPr>
              <w:pStyle w:val="Tabletext"/>
              <w:keepNext/>
              <w:keepLines/>
              <w:rPr>
                <w:lang w:eastAsia="en-AU"/>
              </w:rPr>
            </w:pPr>
            <w:r w:rsidRPr="00CE1D7F">
              <w:t>$538,500</w:t>
            </w:r>
          </w:p>
        </w:tc>
      </w:tr>
      <w:tr w:rsidR="002B32A0" w:rsidRPr="00CE1D7F" w14:paraId="7D9CE13C" w14:textId="77777777" w:rsidTr="00163772">
        <w:tc>
          <w:tcPr>
            <w:tcW w:w="1415" w:type="pct"/>
            <w:tcMar>
              <w:left w:w="80" w:type="dxa"/>
            </w:tcMar>
          </w:tcPr>
          <w:p w14:paraId="5807BBFF" w14:textId="77777777" w:rsidR="002B32A0" w:rsidRPr="00CE1D7F" w:rsidRDefault="002B32A0" w:rsidP="006258ED">
            <w:pPr>
              <w:pStyle w:val="Tabletext"/>
              <w:keepNext/>
              <w:keepLines/>
              <w:rPr>
                <w:rFonts w:eastAsia="Times New Roman" w:cs="Calibri"/>
                <w:szCs w:val="20"/>
                <w:lang w:eastAsia="en-AU"/>
              </w:rPr>
            </w:pPr>
            <w:r w:rsidRPr="00CE1D7F">
              <w:rPr>
                <w:rFonts w:eastAsia="Times New Roman" w:cs="Calibri"/>
                <w:szCs w:val="20"/>
                <w:lang w:eastAsia="en-AU"/>
              </w:rPr>
              <w:t>Academic partners</w:t>
            </w:r>
          </w:p>
        </w:tc>
        <w:tc>
          <w:tcPr>
            <w:tcW w:w="597" w:type="pct"/>
          </w:tcPr>
          <w:p w14:paraId="3BC419B4" w14:textId="77777777" w:rsidR="002B32A0" w:rsidRPr="00CE1D7F" w:rsidRDefault="002B32A0" w:rsidP="006258ED">
            <w:pPr>
              <w:pStyle w:val="Tabletext"/>
              <w:keepNext/>
              <w:keepLines/>
              <w:rPr>
                <w:rStyle w:val="CaptionLabel"/>
                <w:b w:val="0"/>
                <w:bCs/>
              </w:rPr>
            </w:pPr>
          </w:p>
        </w:tc>
        <w:tc>
          <w:tcPr>
            <w:tcW w:w="597" w:type="pct"/>
          </w:tcPr>
          <w:p w14:paraId="6D1ACFBA" w14:textId="77777777" w:rsidR="002B32A0" w:rsidRPr="00CE1D7F" w:rsidRDefault="002B32A0" w:rsidP="006258ED">
            <w:pPr>
              <w:pStyle w:val="Tabletext"/>
              <w:keepNext/>
              <w:keepLines/>
              <w:rPr>
                <w:rStyle w:val="CaptionLabel"/>
                <w:b w:val="0"/>
                <w:bCs/>
              </w:rPr>
            </w:pPr>
          </w:p>
        </w:tc>
        <w:tc>
          <w:tcPr>
            <w:tcW w:w="597" w:type="pct"/>
          </w:tcPr>
          <w:p w14:paraId="389FFB65" w14:textId="77777777" w:rsidR="002B32A0" w:rsidRPr="00CE1D7F" w:rsidRDefault="002B32A0" w:rsidP="006258ED">
            <w:pPr>
              <w:pStyle w:val="Tabletext"/>
              <w:keepNext/>
              <w:keepLines/>
              <w:rPr>
                <w:rStyle w:val="CaptionLabel"/>
                <w:b w:val="0"/>
                <w:bCs/>
              </w:rPr>
            </w:pPr>
          </w:p>
        </w:tc>
        <w:tc>
          <w:tcPr>
            <w:tcW w:w="597" w:type="pct"/>
          </w:tcPr>
          <w:p w14:paraId="6C7C3006" w14:textId="77777777" w:rsidR="002B32A0" w:rsidRPr="00CE1D7F" w:rsidRDefault="002B32A0" w:rsidP="006258ED">
            <w:pPr>
              <w:pStyle w:val="Tabletext"/>
              <w:keepNext/>
              <w:keepLines/>
              <w:rPr>
                <w:rStyle w:val="CaptionLabel"/>
                <w:b w:val="0"/>
                <w:bCs/>
              </w:rPr>
            </w:pPr>
          </w:p>
        </w:tc>
        <w:tc>
          <w:tcPr>
            <w:tcW w:w="597" w:type="pct"/>
          </w:tcPr>
          <w:p w14:paraId="734B4A51" w14:textId="77777777" w:rsidR="002B32A0" w:rsidRPr="00CE1D7F" w:rsidRDefault="002B32A0" w:rsidP="006258ED">
            <w:pPr>
              <w:pStyle w:val="Tabletext"/>
              <w:keepNext/>
              <w:keepLines/>
              <w:rPr>
                <w:lang w:eastAsia="en-AU"/>
              </w:rPr>
            </w:pPr>
            <w:r w:rsidRPr="00CE1D7F">
              <w:t>$311,874</w:t>
            </w:r>
          </w:p>
        </w:tc>
        <w:tc>
          <w:tcPr>
            <w:tcW w:w="598" w:type="pct"/>
          </w:tcPr>
          <w:p w14:paraId="2A6EF43F" w14:textId="77777777" w:rsidR="002B32A0" w:rsidRPr="00CE1D7F" w:rsidRDefault="002B32A0" w:rsidP="006258ED">
            <w:pPr>
              <w:pStyle w:val="Tabletext"/>
              <w:keepNext/>
              <w:keepLines/>
              <w:rPr>
                <w:lang w:eastAsia="en-AU"/>
              </w:rPr>
            </w:pPr>
            <w:r w:rsidRPr="00CE1D7F">
              <w:t>$311,874</w:t>
            </w:r>
          </w:p>
        </w:tc>
      </w:tr>
      <w:tr w:rsidR="002B32A0" w:rsidRPr="00CE1D7F" w14:paraId="30ABDB1B" w14:textId="77777777" w:rsidTr="00163772">
        <w:tc>
          <w:tcPr>
            <w:tcW w:w="1415" w:type="pct"/>
            <w:tcMar>
              <w:left w:w="80" w:type="dxa"/>
            </w:tcMar>
          </w:tcPr>
          <w:p w14:paraId="0679BE86" w14:textId="77777777" w:rsidR="002B32A0" w:rsidRPr="00CE1D7F" w:rsidRDefault="002B32A0" w:rsidP="006258ED">
            <w:pPr>
              <w:pStyle w:val="Tabletext"/>
              <w:keepNext/>
              <w:keepLines/>
              <w:rPr>
                <w:rStyle w:val="CaptionLabel"/>
              </w:rPr>
            </w:pPr>
            <w:r w:rsidRPr="00CE1D7F">
              <w:rPr>
                <w:rStyle w:val="CaptionLabel"/>
              </w:rPr>
              <w:t>Total</w:t>
            </w:r>
          </w:p>
        </w:tc>
        <w:tc>
          <w:tcPr>
            <w:tcW w:w="597" w:type="pct"/>
          </w:tcPr>
          <w:p w14:paraId="078EDABF" w14:textId="77777777" w:rsidR="002B32A0" w:rsidRPr="00CE1D7F" w:rsidRDefault="002B32A0" w:rsidP="006258ED">
            <w:pPr>
              <w:pStyle w:val="Tabletext"/>
              <w:keepNext/>
              <w:keepLines/>
              <w:rPr>
                <w:rStyle w:val="CaptionLabel"/>
                <w:b w:val="0"/>
                <w:bCs/>
              </w:rPr>
            </w:pPr>
            <w:r w:rsidRPr="00CE1D7F">
              <w:rPr>
                <w:b/>
                <w:bCs/>
              </w:rPr>
              <w:t>$1,717,554</w:t>
            </w:r>
          </w:p>
        </w:tc>
        <w:tc>
          <w:tcPr>
            <w:tcW w:w="597" w:type="pct"/>
          </w:tcPr>
          <w:p w14:paraId="0E6A907B" w14:textId="77777777" w:rsidR="002B32A0" w:rsidRPr="00CE1D7F" w:rsidRDefault="002B32A0" w:rsidP="006258ED">
            <w:pPr>
              <w:pStyle w:val="Tabletext"/>
              <w:keepNext/>
              <w:keepLines/>
              <w:rPr>
                <w:rStyle w:val="CaptionLabel"/>
                <w:b w:val="0"/>
                <w:bCs/>
              </w:rPr>
            </w:pPr>
            <w:r w:rsidRPr="00CE1D7F">
              <w:rPr>
                <w:b/>
                <w:bCs/>
              </w:rPr>
              <w:t>$1,891,348</w:t>
            </w:r>
          </w:p>
        </w:tc>
        <w:tc>
          <w:tcPr>
            <w:tcW w:w="597" w:type="pct"/>
          </w:tcPr>
          <w:p w14:paraId="29356FEA" w14:textId="77777777" w:rsidR="002B32A0" w:rsidRPr="00CE1D7F" w:rsidRDefault="002B32A0" w:rsidP="006258ED">
            <w:pPr>
              <w:pStyle w:val="Tabletext"/>
              <w:keepNext/>
              <w:keepLines/>
              <w:rPr>
                <w:rStyle w:val="CaptionLabel"/>
                <w:b w:val="0"/>
                <w:bCs/>
              </w:rPr>
            </w:pPr>
            <w:r w:rsidRPr="00CE1D7F">
              <w:rPr>
                <w:b/>
                <w:bCs/>
              </w:rPr>
              <w:t>$2,307,512</w:t>
            </w:r>
          </w:p>
        </w:tc>
        <w:tc>
          <w:tcPr>
            <w:tcW w:w="597" w:type="pct"/>
          </w:tcPr>
          <w:p w14:paraId="02132473" w14:textId="77777777" w:rsidR="002B32A0" w:rsidRPr="00CE1D7F" w:rsidRDefault="002B32A0" w:rsidP="006258ED">
            <w:pPr>
              <w:pStyle w:val="Tabletext"/>
              <w:keepNext/>
              <w:keepLines/>
              <w:rPr>
                <w:rStyle w:val="CaptionLabel"/>
                <w:b w:val="0"/>
                <w:bCs/>
              </w:rPr>
            </w:pPr>
            <w:r w:rsidRPr="00CE1D7F">
              <w:rPr>
                <w:b/>
                <w:bCs/>
              </w:rPr>
              <w:t>$1,748,639</w:t>
            </w:r>
          </w:p>
        </w:tc>
        <w:tc>
          <w:tcPr>
            <w:tcW w:w="597" w:type="pct"/>
          </w:tcPr>
          <w:p w14:paraId="336A0B59" w14:textId="77777777" w:rsidR="002B32A0" w:rsidRPr="00CE1D7F" w:rsidRDefault="002B32A0" w:rsidP="006258ED">
            <w:pPr>
              <w:pStyle w:val="Tabletext"/>
              <w:keepNext/>
              <w:keepLines/>
              <w:rPr>
                <w:rStyle w:val="CaptionLabel"/>
                <w:b w:val="0"/>
                <w:bCs/>
              </w:rPr>
            </w:pPr>
            <w:r w:rsidRPr="00CE1D7F">
              <w:rPr>
                <w:b/>
                <w:bCs/>
              </w:rPr>
              <w:t>$1,921,290</w:t>
            </w:r>
          </w:p>
        </w:tc>
        <w:tc>
          <w:tcPr>
            <w:tcW w:w="598" w:type="pct"/>
          </w:tcPr>
          <w:p w14:paraId="06421853" w14:textId="77777777" w:rsidR="002B32A0" w:rsidRPr="00CE1D7F" w:rsidRDefault="002B32A0" w:rsidP="006258ED">
            <w:pPr>
              <w:pStyle w:val="Tabletext"/>
              <w:keepNext/>
              <w:keepLines/>
              <w:rPr>
                <w:rStyle w:val="CaptionLabel"/>
                <w:b w:val="0"/>
                <w:bCs/>
              </w:rPr>
            </w:pPr>
            <w:r w:rsidRPr="00CE1D7F">
              <w:rPr>
                <w:b/>
                <w:bCs/>
              </w:rPr>
              <w:t>$9,586,344</w:t>
            </w:r>
          </w:p>
        </w:tc>
      </w:tr>
    </w:tbl>
    <w:p w14:paraId="46345726" w14:textId="77777777" w:rsidR="000B0AC7" w:rsidRDefault="000B0AC7" w:rsidP="000B0AC7">
      <w:pPr>
        <w:pStyle w:val="Source"/>
        <w:keepLines/>
        <w:ind w:left="-1697"/>
        <w:rPr>
          <w:rStyle w:val="CaptionLabel"/>
          <w:b w:val="0"/>
          <w:bCs/>
        </w:rPr>
      </w:pPr>
      <w:r w:rsidRPr="00CE1D7F">
        <w:rPr>
          <w:rStyle w:val="CaptionLabel"/>
          <w:b w:val="0"/>
          <w:bCs/>
        </w:rPr>
        <w:t xml:space="preserve">Source: ACIL Allen, research project applications </w:t>
      </w:r>
    </w:p>
    <w:p w14:paraId="610037BA" w14:textId="77777777" w:rsidR="000B0AC7" w:rsidRPr="00CB19FA" w:rsidRDefault="000B0AC7" w:rsidP="000B0AC7">
      <w:pPr>
        <w:pStyle w:val="Source"/>
        <w:keepLines/>
        <w:ind w:left="-1697"/>
        <w:rPr>
          <w:rStyle w:val="CaptionLabel"/>
          <w:b w:val="0"/>
        </w:rPr>
      </w:pPr>
      <w:r w:rsidRPr="00A014AC">
        <w:rPr>
          <w:rStyle w:val="CaptionLabel"/>
          <w:b w:val="0"/>
        </w:rPr>
        <w:t>Totals may differ due to rounding.</w:t>
      </w:r>
    </w:p>
    <w:p w14:paraId="6066BC20" w14:textId="77777777" w:rsidR="000B0AC7" w:rsidRPr="00CE1D7F" w:rsidRDefault="000B0AC7" w:rsidP="000B0AC7">
      <w:pPr>
        <w:pStyle w:val="spacer"/>
        <w:ind w:left="-1697"/>
        <w:rPr>
          <w:rStyle w:val="CaptionLabel"/>
          <w:b w:val="0"/>
          <w:bCs/>
        </w:rPr>
      </w:pPr>
    </w:p>
    <w:p w14:paraId="066873C8" w14:textId="77777777" w:rsidR="002B32A0" w:rsidRPr="00CE1D7F" w:rsidRDefault="002B32A0" w:rsidP="005C152F">
      <w:pPr>
        <w:pStyle w:val="Heading2"/>
      </w:pPr>
      <w:bookmarkStart w:id="360" w:name="_Toc129964029"/>
      <w:bookmarkStart w:id="361" w:name="_Toc131174667"/>
      <w:bookmarkStart w:id="362" w:name="_Toc132970688"/>
      <w:bookmarkStart w:id="363" w:name="_Toc135323727"/>
      <w:r w:rsidRPr="00CE1D7F">
        <w:t>Activities</w:t>
      </w:r>
      <w:bookmarkEnd w:id="360"/>
      <w:bookmarkEnd w:id="361"/>
      <w:bookmarkEnd w:id="362"/>
      <w:bookmarkEnd w:id="363"/>
    </w:p>
    <w:p w14:paraId="702E765A" w14:textId="5D79776E" w:rsidR="002B32A0" w:rsidRPr="00CE1D7F" w:rsidRDefault="002B32A0" w:rsidP="002B32A0">
      <w:r w:rsidRPr="00CE1D7F">
        <w:t xml:space="preserve">The partnership between the University of Melbourne and Rubicon Water has existed since 1998 and continues today (see </w:t>
      </w:r>
      <w:r w:rsidRPr="00F87D0E">
        <w:fldChar w:fldCharType="begin"/>
      </w:r>
      <w:r w:rsidRPr="00F87D0E">
        <w:instrText xml:space="preserve"> REF _Ref129348981 \h  \* MERGEFORMAT </w:instrText>
      </w:r>
      <w:r w:rsidRPr="00F87D0E">
        <w:fldChar w:fldCharType="separate"/>
      </w:r>
      <w:r w:rsidR="000B0AC7" w:rsidRPr="000B0AC7">
        <w:t>Figure 9.3</w:t>
      </w:r>
      <w:r w:rsidRPr="00F87D0E">
        <w:fldChar w:fldCharType="end"/>
      </w:r>
      <w:r w:rsidRPr="00CE1D7F">
        <w:t>).</w:t>
      </w:r>
    </w:p>
    <w:p w14:paraId="417F4B76" w14:textId="77777777" w:rsidR="002B32A0" w:rsidRPr="00CE1D7F" w:rsidRDefault="002B32A0" w:rsidP="002B32A0">
      <w:r w:rsidRPr="00CE1D7F">
        <w:t>The first project began in 1998 when Rubicon Water approached Professor Iven Mareels to help solve a problem on one of its projects. Professor Mareels is a Redmond Barry Distinguished Professor at the Melbourne School of Engineering. The research team, led by Professor Mareels, began by modelling how water flows through channels. They then investigated how to measure and manage water flow accurately. Based on this work, Rubicon Water designed TCC, a fully automated system for controlling irrigation.</w:t>
      </w:r>
    </w:p>
    <w:p w14:paraId="4B7ED5F1" w14:textId="77777777" w:rsidR="002B32A0" w:rsidRPr="00CE1D7F" w:rsidRDefault="002B32A0" w:rsidP="002B32A0">
      <w:r w:rsidRPr="00CE1D7F">
        <w:t xml:space="preserve">The research team helped trial TCC at the Central Goulburn number 2 channel, which includes a working farm. TCC was also trialled in pilot projects in Coleambally in New South Wales and Victoria in 2002. </w:t>
      </w:r>
    </w:p>
    <w:p w14:paraId="5BE263DA" w14:textId="2B098A5E" w:rsidR="002B32A0" w:rsidRPr="00CE1D7F" w:rsidRDefault="002B32A0" w:rsidP="002B32A0">
      <w:r w:rsidRPr="00CE1D7F">
        <w:t xml:space="preserve">From 2003, Rubicon Water and the University of Melbourne embarked on several Linkage Projects, each with different research objectives to advance Rubicon Water’s irrigation automation processes. These projects' research focus and output are discussed in more detail in </w:t>
      </w:r>
      <w:r>
        <w:t>section </w:t>
      </w:r>
      <w:r w:rsidRPr="00F87D0E">
        <w:fldChar w:fldCharType="begin"/>
      </w:r>
      <w:r w:rsidRPr="00F87D0E">
        <w:instrText xml:space="preserve"> REF _Ref125374881 \n \h  \* MERGEFORMAT </w:instrText>
      </w:r>
      <w:r w:rsidRPr="00F87D0E">
        <w:fldChar w:fldCharType="separate"/>
      </w:r>
      <w:r w:rsidR="000B0AC7">
        <w:t>9.6</w:t>
      </w:r>
      <w:r w:rsidRPr="00F87D0E">
        <w:fldChar w:fldCharType="end"/>
      </w:r>
      <w:r w:rsidRPr="00CE1D7F">
        <w:t xml:space="preserve"> below. </w:t>
      </w:r>
    </w:p>
    <w:p w14:paraId="171D9237" w14:textId="77777777" w:rsidR="002B32A0" w:rsidRPr="00CE1D7F" w:rsidRDefault="002B32A0" w:rsidP="002B32A0">
      <w:r w:rsidRPr="00CE1D7F">
        <w:t>TCC was introduced to the market in 2002 with the initial pilot project. All major irrigation authorities in Australia now use TCC. The solution is now leveraged across international markets, including India, Italy, Central Asia and the USA, with site management solutions in other countries such as Chile, Spain, France, New Zealand and Rwanda. The University of Melbourne now jointly owns the intellectual property of many patents with Rubicon, including the patents associated with the TCC solution, with collaborative research and development still ongoing.</w:t>
      </w:r>
    </w:p>
    <w:p w14:paraId="18EB03B0" w14:textId="5950AB91" w:rsidR="000B0AC7" w:rsidRPr="00CE1D7F" w:rsidRDefault="000B0AC7" w:rsidP="000B0AC7">
      <w:pPr>
        <w:pStyle w:val="Caption"/>
        <w:ind w:left="1308" w:hanging="1308"/>
      </w:pPr>
      <w:bookmarkStart w:id="364" w:name="_Ref129348981"/>
      <w:r w:rsidRPr="00CE1D7F">
        <w:rPr>
          <w:rStyle w:val="CaptionLabel"/>
        </w:rPr>
        <w:t>Figure </w:t>
      </w:r>
      <w:r w:rsidRPr="00CE1D7F">
        <w:rPr>
          <w:rStyle w:val="CaptionLabel"/>
        </w:rPr>
        <w:fldChar w:fldCharType="begin"/>
      </w:r>
      <w:r w:rsidRPr="00CE1D7F">
        <w:rPr>
          <w:rStyle w:val="CaptionLabel"/>
        </w:rPr>
        <w:instrText xml:space="preserve"> STYLEREF 1 \S \* MERGEFORMAT </w:instrText>
      </w:r>
      <w:r w:rsidRPr="00CE1D7F">
        <w:rPr>
          <w:rStyle w:val="CaptionLabel"/>
        </w:rPr>
        <w:fldChar w:fldCharType="separate"/>
      </w:r>
      <w:r>
        <w:rPr>
          <w:rStyle w:val="CaptionLabel"/>
          <w:noProof/>
        </w:rPr>
        <w:t>9</w:t>
      </w:r>
      <w:r w:rsidRPr="00CE1D7F">
        <w:rPr>
          <w:rStyle w:val="CaptionLabel"/>
        </w:rPr>
        <w:fldChar w:fldCharType="end"/>
      </w:r>
      <w:r w:rsidRPr="00CE1D7F">
        <w:rPr>
          <w:rStyle w:val="CaptionLabel"/>
        </w:rPr>
        <w:t>.</w:t>
      </w:r>
      <w:r w:rsidRPr="00CE1D7F">
        <w:rPr>
          <w:rStyle w:val="CaptionLabel"/>
        </w:rPr>
        <w:fldChar w:fldCharType="begin"/>
      </w:r>
      <w:r w:rsidRPr="00CE1D7F">
        <w:rPr>
          <w:rStyle w:val="CaptionLabel"/>
        </w:rPr>
        <w:instrText xml:space="preserve"> SEQ Figure \* ARABIC \S 1 \* MERGEFORMAT </w:instrText>
      </w:r>
      <w:r w:rsidRPr="00CE1D7F">
        <w:rPr>
          <w:rStyle w:val="CaptionLabel"/>
        </w:rPr>
        <w:fldChar w:fldCharType="separate"/>
      </w:r>
      <w:r>
        <w:rPr>
          <w:rStyle w:val="CaptionLabel"/>
          <w:noProof/>
        </w:rPr>
        <w:t>3</w:t>
      </w:r>
      <w:r w:rsidRPr="00CE1D7F">
        <w:rPr>
          <w:rStyle w:val="CaptionLabel"/>
        </w:rPr>
        <w:fldChar w:fldCharType="end"/>
      </w:r>
      <w:bookmarkEnd w:id="364"/>
      <w:r w:rsidRPr="00CE1D7F">
        <w:tab/>
        <w:t>Timelines of Rubicon Water and University of Melbourne research partnership</w:t>
      </w:r>
    </w:p>
    <w:tbl>
      <w:tblPr>
        <w:tblStyle w:val="aacTableFigure"/>
        <w:tblW w:w="4999" w:type="pct"/>
        <w:tblBorders>
          <w:top w:val="single" w:sz="4" w:space="0" w:color="000000"/>
          <w:bottom w:val="single" w:sz="4" w:space="0" w:color="000000"/>
        </w:tblBorders>
        <w:tblLook w:val="04A0" w:firstRow="1" w:lastRow="0" w:firstColumn="1" w:lastColumn="0" w:noHBand="0" w:noVBand="1"/>
      </w:tblPr>
      <w:tblGrid>
        <w:gridCol w:w="7935"/>
      </w:tblGrid>
      <w:tr w:rsidR="002B32A0" w:rsidRPr="00CE1D7F" w14:paraId="63E73644" w14:textId="77777777" w:rsidTr="000B0AC7">
        <w:tc>
          <w:tcPr>
            <w:tcW w:w="5000" w:type="pct"/>
            <w:shd w:val="clear" w:color="auto" w:fill="auto"/>
          </w:tcPr>
          <w:p w14:paraId="4A4F6BCB" w14:textId="77777777" w:rsidR="002B32A0" w:rsidRPr="00CE1D7F" w:rsidRDefault="002B32A0" w:rsidP="006258ED">
            <w:pPr>
              <w:pStyle w:val="Figure"/>
              <w:jc w:val="center"/>
            </w:pPr>
            <w:r w:rsidRPr="00CE1D7F">
              <w:rPr>
                <w:noProof/>
              </w:rPr>
              <w:drawing>
                <wp:inline distT="0" distB="0" distL="0" distR="0" wp14:anchorId="5D982843" wp14:editId="71458889">
                  <wp:extent cx="4995081" cy="5934481"/>
                  <wp:effectExtent l="0" t="0" r="0" b="9525"/>
                  <wp:docPr id="708" name="Picture 708" descr="Timelines of Rubicon Water and University of Melbourne research partnership, see description in text abov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 name="Picture 708" descr="Timelines of Rubicon Water and University of Melbourne research partnership, see description in text above figure."/>
                          <pic:cNvPicPr/>
                        </pic:nvPicPr>
                        <pic:blipFill>
                          <a:blip r:embed="rId175"/>
                          <a:stretch>
                            <a:fillRect/>
                          </a:stretch>
                        </pic:blipFill>
                        <pic:spPr>
                          <a:xfrm>
                            <a:off x="0" y="0"/>
                            <a:ext cx="4997376" cy="5937207"/>
                          </a:xfrm>
                          <a:prstGeom prst="rect">
                            <a:avLst/>
                          </a:prstGeom>
                        </pic:spPr>
                      </pic:pic>
                    </a:graphicData>
                  </a:graphic>
                </wp:inline>
              </w:drawing>
            </w:r>
          </w:p>
        </w:tc>
      </w:tr>
    </w:tbl>
    <w:p w14:paraId="276E1F86" w14:textId="77777777" w:rsidR="000B0AC7" w:rsidRPr="00CE1D7F" w:rsidRDefault="000B0AC7" w:rsidP="000B0AC7">
      <w:pPr>
        <w:pStyle w:val="Source"/>
        <w:ind w:left="1308" w:hanging="1308"/>
      </w:pPr>
      <w:r w:rsidRPr="00CE1D7F">
        <w:t>Source: ACIL Allen</w:t>
      </w:r>
    </w:p>
    <w:p w14:paraId="46BC120C" w14:textId="77777777" w:rsidR="000B0AC7" w:rsidRPr="00CE1D7F" w:rsidRDefault="000B0AC7" w:rsidP="006258ED">
      <w:pPr>
        <w:pStyle w:val="spacer"/>
      </w:pPr>
    </w:p>
    <w:p w14:paraId="4B70A9CB" w14:textId="77777777" w:rsidR="002B32A0" w:rsidRPr="00CE1D7F" w:rsidRDefault="002B32A0" w:rsidP="005C152F">
      <w:pPr>
        <w:pStyle w:val="Heading2"/>
      </w:pPr>
      <w:bookmarkStart w:id="365" w:name="_Ref125374881"/>
      <w:bookmarkStart w:id="366" w:name="_Toc129964030"/>
      <w:bookmarkStart w:id="367" w:name="_Toc131174668"/>
      <w:bookmarkStart w:id="368" w:name="_Toc132970689"/>
      <w:bookmarkStart w:id="369" w:name="_Toc135323728"/>
      <w:r w:rsidRPr="00CE1D7F">
        <w:t>Outputs</w:t>
      </w:r>
      <w:bookmarkEnd w:id="365"/>
      <w:bookmarkEnd w:id="366"/>
      <w:bookmarkEnd w:id="367"/>
      <w:bookmarkEnd w:id="368"/>
      <w:bookmarkEnd w:id="369"/>
    </w:p>
    <w:p w14:paraId="3C2E9F59" w14:textId="77777777" w:rsidR="002B32A0" w:rsidRPr="00CE1D7F" w:rsidRDefault="002B32A0" w:rsidP="002B32A0">
      <w:pPr>
        <w:pStyle w:val="BodyText"/>
      </w:pPr>
      <w:r w:rsidRPr="00CE1D7F">
        <w:t>The research team has been successful in producing the following outputs as part of the 4 completed Linkage Project grants:</w:t>
      </w:r>
    </w:p>
    <w:p w14:paraId="63A3E190" w14:textId="77777777" w:rsidR="002B32A0" w:rsidRPr="00CE1D7F" w:rsidRDefault="002B32A0" w:rsidP="005C152F">
      <w:pPr>
        <w:pStyle w:val="ListBullet"/>
      </w:pPr>
      <w:r w:rsidRPr="00CE1D7F">
        <w:t>The research from the 2003 Linkage Project led to the development of a control parameter that advanced the core functionality of Rubicon Water’s TCC solution. The specific discoveries of the 2003 Linkage Project include new methods for designing controllers for irrigation channels and algorithms for performance monitoring of controllers and demand-driven network control. Deployment of the technologies containing these parameters has resulted in large water savings and an increased level of service to farmers. Aside from the direct agricultural benefits, there are also positive environmental outcomes, with the substantial recovery of water being allocated to controlled and timely environmental flows. The research received international attention, as evidenced by several invited plenary addresses and journal papers.</w:t>
      </w:r>
    </w:p>
    <w:p w14:paraId="21112F0D" w14:textId="77777777" w:rsidR="002B32A0" w:rsidRPr="00CE1D7F" w:rsidRDefault="002B32A0" w:rsidP="005C152F">
      <w:pPr>
        <w:pStyle w:val="ListBullet"/>
      </w:pPr>
      <w:r w:rsidRPr="00CE1D7F">
        <w:t>The research from the 2009 and 2013 Linkage Projects resulted in developing the algorithms underpinning Rubicon Water's Demand-Integrated Network Control Solution.</w:t>
      </w:r>
      <w:r w:rsidRPr="00CE1D7F">
        <w:rPr>
          <w:rStyle w:val="FootnoteReference"/>
        </w:rPr>
        <w:footnoteReference w:id="150"/>
      </w:r>
      <w:r w:rsidRPr="00CE1D7F">
        <w:t xml:space="preserve"> The Demand-Integrated Network Control Solution allows farmers to enter and manage water delivery requests through a web-based interface. When a request is entered, the software checks the farmer’s usage and any other necessary rules and regulations, then calculates whether the channel network can deliver the water. If the order is successful, the request is confirmed with a notification to the farmer or if not, adjacent time slots are offered for immediate selection. At the same time, demand peaks and troughs are smoothed, and orders are linked to better utilise the channel’s capacity and to deliver to more farmers simultaneously.</w:t>
      </w:r>
      <w:r w:rsidRPr="00CE1D7F">
        <w:rPr>
          <w:rStyle w:val="FootnoteReference"/>
        </w:rPr>
        <w:footnoteReference w:id="151"/>
      </w:r>
      <w:r w:rsidRPr="00CE1D7F">
        <w:t xml:space="preserve"> These 2009 and 2013 projects led to the development of a hierarchy of automatic controls for large-scale gravity-fed water distribution systems, which forms the basis of the Demand-Integrated Network Control Solution. The hierarchy consists of 3 layers; a low-level network of feedback controllers to regulate water levels at supply points along the open-water channels; an intermediate layer that plans the references and manages the low-level feedback controllers based on scheduled demand; and a high-level scheduling system. The continuing development of this technology contributes to Rubicon Water’s standing as an international leader and, therefore, an export earner for Australia. Furthermore, large-scale deployment and continued development of Rubicon Water's technologies in Australia have led to substantial reductions in conveyance losses, with corresponding savings for the environment, while improving the quality of service provided to irrigators.</w:t>
      </w:r>
    </w:p>
    <w:p w14:paraId="2B46C21E" w14:textId="77777777" w:rsidR="002B32A0" w:rsidRPr="00CE1D7F" w:rsidRDefault="002B32A0" w:rsidP="005C152F">
      <w:pPr>
        <w:pStyle w:val="ListBullet"/>
      </w:pPr>
      <w:r w:rsidRPr="00CE1D7F">
        <w:t>The research from the 2016 Linkage Project resulted in further improvements to Rubicon’s TCC package through advancements in the optimisation-based methods for reference management and demand scheduling in irrigation networks. This Linkage Project has contributed to the control solution in Rubicon’s single largest international modernisation project in India. Known as the Narayanpur Left Bank Canal (NLBC) Phase II Modernisation project, it included the installation of more than 4,200 automated Rubicon flow control gates, along with sophisticated software and communications infrastructure that will automate approximately 1,500 km of canals to improve the delivery efficiency and equitability of water to farmers located along more than 3,000 km of canals. The project is expected to improve water efficiency within the NLBC network by up to 20% while delivering an equitable service to farmers and supplying water at consistent flow rates to support the production of higher yields and diversification into higher-value crops. Early survey data has already revealed an improvement in crop yield by up to 50%.</w:t>
      </w:r>
    </w:p>
    <w:p w14:paraId="5491BBCF" w14:textId="77777777" w:rsidR="002B32A0" w:rsidRDefault="002B32A0" w:rsidP="005C152F">
      <w:pPr>
        <w:pStyle w:val="ListBullet"/>
      </w:pPr>
      <w:r w:rsidRPr="00CE1D7F">
        <w:t>Rubicon Water is anticipating the award for the subsequent modernisation project for the Narayanpur Right Bank Canal (NRBC), which will have a total project value of approximately $40</w:t>
      </w:r>
      <w:r>
        <w:t> million</w:t>
      </w:r>
      <w:r w:rsidRPr="00CE1D7F">
        <w:t>.</w:t>
      </w:r>
    </w:p>
    <w:p w14:paraId="75DED5E7" w14:textId="77777777" w:rsidR="002B32A0" w:rsidRDefault="002B32A0" w:rsidP="002B32A0">
      <w:pPr>
        <w:spacing w:before="0" w:after="160" w:line="259" w:lineRule="auto"/>
      </w:pPr>
      <w:r>
        <w:br w:type="page"/>
      </w:r>
    </w:p>
    <w:p w14:paraId="00C0F9BB" w14:textId="77777777" w:rsidR="002B32A0" w:rsidRPr="00CE1D7F" w:rsidRDefault="002B32A0" w:rsidP="002B32A0">
      <w:pPr>
        <w:pStyle w:val="Heading4"/>
      </w:pPr>
      <w:r w:rsidRPr="00CE1D7F">
        <w:t>Publications</w:t>
      </w:r>
    </w:p>
    <w:p w14:paraId="06392353" w14:textId="77777777" w:rsidR="002B32A0" w:rsidRPr="00CE1D7F" w:rsidRDefault="002B32A0" w:rsidP="002B32A0">
      <w:pPr>
        <w:pStyle w:val="BodyText"/>
      </w:pPr>
      <w:r w:rsidRPr="00CE1D7F">
        <w:t>A list of the most recent publications resulting from the project are below.</w:t>
      </w:r>
    </w:p>
    <w:p w14:paraId="590CD6F5" w14:textId="77777777" w:rsidR="002B32A0" w:rsidRPr="00CE1D7F" w:rsidRDefault="002B32A0" w:rsidP="005C152F">
      <w:pPr>
        <w:pStyle w:val="ListBullet"/>
        <w:rPr>
          <w:lang w:val="en-US" w:eastAsia="ja-JP"/>
        </w:rPr>
      </w:pPr>
      <w:r w:rsidRPr="00CE1D7F">
        <w:rPr>
          <w:lang w:val="en-US" w:eastAsia="ja-JP"/>
        </w:rPr>
        <w:t xml:space="preserve">Bedjaoui, N, and E. Weyer (2011). Algorithms for leak detection, estimation, isolation and localization in open water channels, Control Engineering Practice, Vol. 19, no. 6, pp. 564-573. </w:t>
      </w:r>
    </w:p>
    <w:p w14:paraId="5C9F55FE" w14:textId="77777777" w:rsidR="002B32A0" w:rsidRPr="00CE1D7F" w:rsidRDefault="002B32A0" w:rsidP="005C152F">
      <w:pPr>
        <w:pStyle w:val="ListBullet"/>
        <w:rPr>
          <w:lang w:val="en-US" w:eastAsia="ja-JP"/>
        </w:rPr>
      </w:pPr>
      <w:r w:rsidRPr="00CE1D7F">
        <w:rPr>
          <w:lang w:val="en-US" w:eastAsia="ja-JP"/>
        </w:rPr>
        <w:t>Cantoni, M., E. Weyer, Y. Li, S.K. Ooi, I. Mareels and M. Ryan (2007). Control of Large-Scale Irrigation Networks, IEEE Proceedings special issue on The Emerging Technology of Networked Control Systems, Vol. 95, no. 1, pp.75-91</w:t>
      </w:r>
    </w:p>
    <w:p w14:paraId="67B2DBD2" w14:textId="77777777" w:rsidR="002B32A0" w:rsidRPr="00CE1D7F" w:rsidRDefault="002B32A0" w:rsidP="005C152F">
      <w:pPr>
        <w:pStyle w:val="ListBullet"/>
        <w:rPr>
          <w:lang w:val="en-US" w:eastAsia="ja-JP"/>
        </w:rPr>
      </w:pPr>
      <w:r w:rsidRPr="00CE1D7F">
        <w:rPr>
          <w:lang w:val="en-US" w:eastAsia="ja-JP"/>
        </w:rPr>
        <w:t>Choy, S., and E. Weyer (2008). Reconfiguration schemes to mitigate faults in automated irrigation channels, Control Engineering Practice, Vol. 16, no. 10, pp. 1184-1194.</w:t>
      </w:r>
    </w:p>
    <w:p w14:paraId="53A7EC5E" w14:textId="77777777" w:rsidR="002B32A0" w:rsidRPr="00CE1D7F" w:rsidRDefault="002B32A0" w:rsidP="005C152F">
      <w:pPr>
        <w:pStyle w:val="ListBullet"/>
        <w:rPr>
          <w:lang w:val="en-US" w:eastAsia="ja-JP"/>
        </w:rPr>
      </w:pPr>
      <w:r w:rsidRPr="00CE1D7F">
        <w:rPr>
          <w:lang w:val="en-US" w:eastAsia="ja-JP"/>
        </w:rPr>
        <w:t>Euren, K. and E. Weyer (2007). System identification of irrigation channels with undershot and overshot gates, Control Engineering Practice, Vol. 15, no. 7, pp. 813-824.</w:t>
      </w:r>
    </w:p>
    <w:p w14:paraId="6C23AD42" w14:textId="77777777" w:rsidR="002B32A0" w:rsidRPr="00CE1D7F" w:rsidRDefault="002B32A0" w:rsidP="005C152F">
      <w:pPr>
        <w:pStyle w:val="ListBullet"/>
        <w:rPr>
          <w:lang w:val="en-US" w:eastAsia="ja-JP"/>
        </w:rPr>
      </w:pPr>
      <w:r w:rsidRPr="00CE1D7F">
        <w:rPr>
          <w:lang w:val="en-US" w:eastAsia="ja-JP"/>
        </w:rPr>
        <w:t>Weyer E. (2008). Control of irrigation channels. IEEE Trans on Control Systems Technology, Vol. 16 no. 4, pp. 664-675</w:t>
      </w:r>
    </w:p>
    <w:p w14:paraId="2FBAB863" w14:textId="77777777" w:rsidR="002B32A0" w:rsidRPr="00CE1D7F" w:rsidRDefault="002B32A0" w:rsidP="005C152F">
      <w:pPr>
        <w:pStyle w:val="ListBullet"/>
        <w:rPr>
          <w:lang w:val="en-US" w:eastAsia="ja-JP"/>
        </w:rPr>
      </w:pPr>
      <w:r w:rsidRPr="00CE1D7F">
        <w:rPr>
          <w:lang w:val="en-US" w:eastAsia="ja-JP"/>
        </w:rPr>
        <w:t>Lang A, Cantoni M, Farokhi F, Shames I (2020). Rigid-profile input scheduling under constrained dynamics with a water network application. IEEE Transactions on Control Systems Technology. 2020 Dec 29;29(6):2457-72.</w:t>
      </w:r>
    </w:p>
    <w:p w14:paraId="294067BC" w14:textId="77777777" w:rsidR="002B32A0" w:rsidRPr="00CE1D7F" w:rsidRDefault="002B32A0" w:rsidP="005C152F">
      <w:pPr>
        <w:pStyle w:val="ListBullet"/>
        <w:rPr>
          <w:lang w:val="en-US" w:eastAsia="ja-JP"/>
        </w:rPr>
      </w:pPr>
      <w:r w:rsidRPr="00CE1D7F">
        <w:rPr>
          <w:lang w:val="en-US" w:eastAsia="ja-JP"/>
        </w:rPr>
        <w:t>Mavkov B, Strecker T, Zecchin AC, Cantoni M, (2022) "Modeling and Control of Pipeline Networks Supplied by Automated Irrigation Channels," Journal of Irrigation and Drainage Engineering. 2022 Jun 1;148(6):04022015.</w:t>
      </w:r>
    </w:p>
    <w:p w14:paraId="26D872DC" w14:textId="77777777" w:rsidR="002B32A0" w:rsidRPr="00CE1D7F" w:rsidRDefault="002B32A0" w:rsidP="005C152F">
      <w:pPr>
        <w:pStyle w:val="ListBullet"/>
        <w:rPr>
          <w:lang w:val="en-US" w:eastAsia="ja-JP"/>
        </w:rPr>
      </w:pPr>
      <w:r w:rsidRPr="00CE1D7F">
        <w:rPr>
          <w:lang w:val="en-US" w:eastAsia="ja-JP"/>
        </w:rPr>
        <w:t>Nasir, H.A., M. Cantoni, Y. Li, and E. Weyer (2019). Stochastic model predictive control based reference planning for automated open-water channels, IEEE Transactions on Control Systems Technology vol. 29 no.2, pp. 607-619.</w:t>
      </w:r>
    </w:p>
    <w:p w14:paraId="58BB3A69" w14:textId="77777777" w:rsidR="002B32A0" w:rsidRPr="00CE1D7F" w:rsidRDefault="002B32A0" w:rsidP="005C152F">
      <w:pPr>
        <w:pStyle w:val="ListBullet"/>
        <w:rPr>
          <w:lang w:val="en-US" w:eastAsia="ja-JP"/>
        </w:rPr>
      </w:pPr>
      <w:r w:rsidRPr="00CE1D7F">
        <w:rPr>
          <w:lang w:val="en-US" w:eastAsia="ja-JP"/>
        </w:rPr>
        <w:t>Soltanian L, Cantoni M (2015). Decentralized string-stability analysis for heterogeneous cascades subject to load-matching requirements. Multidimensional Systems and Signal Processing. 2015 Oct;26(4):985-99.</w:t>
      </w:r>
    </w:p>
    <w:p w14:paraId="21BCBBD7" w14:textId="77777777" w:rsidR="002B32A0" w:rsidRPr="00CE1D7F" w:rsidRDefault="002B32A0" w:rsidP="005C152F">
      <w:pPr>
        <w:pStyle w:val="ListBullet"/>
        <w:rPr>
          <w:lang w:val="en-US" w:eastAsia="ja-JP"/>
        </w:rPr>
      </w:pPr>
      <w:r>
        <w:rPr>
          <w:lang w:val="en-US" w:eastAsia="ja-JP"/>
        </w:rPr>
        <w:t>S</w:t>
      </w:r>
      <w:r w:rsidRPr="00CE1D7F">
        <w:rPr>
          <w:lang w:val="en-US" w:eastAsia="ja-JP"/>
        </w:rPr>
        <w:t xml:space="preserve">trecker, </w:t>
      </w:r>
      <w:r>
        <w:rPr>
          <w:lang w:val="en-US" w:eastAsia="ja-JP"/>
        </w:rPr>
        <w:t xml:space="preserve">T. </w:t>
      </w:r>
      <w:r w:rsidRPr="00CE1D7F">
        <w:rPr>
          <w:lang w:val="en-US" w:eastAsia="ja-JP"/>
        </w:rPr>
        <w:t>Aamo</w:t>
      </w:r>
      <w:r>
        <w:rPr>
          <w:lang w:val="en-US" w:eastAsia="ja-JP"/>
        </w:rPr>
        <w:t>, OM</w:t>
      </w:r>
      <w:r w:rsidRPr="00CE1D7F">
        <w:rPr>
          <w:lang w:val="en-US" w:eastAsia="ja-JP"/>
        </w:rPr>
        <w:t xml:space="preserve"> and Cantoni</w:t>
      </w:r>
      <w:r>
        <w:rPr>
          <w:lang w:val="en-US" w:eastAsia="ja-JP"/>
        </w:rPr>
        <w:t>, M</w:t>
      </w:r>
      <w:r w:rsidRPr="00CE1D7F">
        <w:rPr>
          <w:lang w:val="en-US" w:eastAsia="ja-JP"/>
        </w:rPr>
        <w:t xml:space="preserve"> (2022), "Boundary Feedback Control of 2×2 Quasilinear Hyperbolic Systems: Predictive Synthesis and Robustness Analysis,"</w:t>
      </w:r>
      <w:r>
        <w:rPr>
          <w:lang w:val="en-US" w:eastAsia="ja-JP"/>
        </w:rPr>
        <w:t xml:space="preserve"> </w:t>
      </w:r>
      <w:r w:rsidRPr="00CE1D7F">
        <w:rPr>
          <w:lang w:val="en-US" w:eastAsia="ja-JP"/>
        </w:rPr>
        <w:t>IEEE Transactions on Automatic Control, vol. 67, no. 3, pp. 1397-1413, March 2022</w:t>
      </w:r>
    </w:p>
    <w:p w14:paraId="607EFDF2" w14:textId="77777777" w:rsidR="002B32A0" w:rsidRPr="00CE1D7F" w:rsidRDefault="002B32A0" w:rsidP="002B32A0">
      <w:pPr>
        <w:pStyle w:val="Heading4"/>
        <w:rPr>
          <w:i/>
        </w:rPr>
      </w:pPr>
      <w:r w:rsidRPr="00CE1D7F">
        <w:t>Conference Papers</w:t>
      </w:r>
    </w:p>
    <w:p w14:paraId="02E11AC3" w14:textId="77777777" w:rsidR="002B32A0" w:rsidRPr="00CE1D7F" w:rsidRDefault="002B32A0" w:rsidP="002B32A0">
      <w:pPr>
        <w:pStyle w:val="BodyText"/>
      </w:pPr>
      <w:r w:rsidRPr="00CE1D7F">
        <w:t>A list of the most recent conference papers resulting from the project are below.</w:t>
      </w:r>
    </w:p>
    <w:p w14:paraId="10CC6942" w14:textId="77777777" w:rsidR="002B32A0" w:rsidRPr="00CE1D7F" w:rsidRDefault="002B32A0" w:rsidP="005C152F">
      <w:pPr>
        <w:pStyle w:val="ListBullet"/>
      </w:pPr>
      <w:r w:rsidRPr="00CE1D7F">
        <w:t>Structured Moving Horizon Estimation for Linear System Chains (2019)</w:t>
      </w:r>
    </w:p>
    <w:p w14:paraId="0CEEC839" w14:textId="77777777" w:rsidR="002B32A0" w:rsidRPr="00CE1D7F" w:rsidRDefault="002B32A0" w:rsidP="005C152F">
      <w:pPr>
        <w:pStyle w:val="ListBullet"/>
      </w:pPr>
      <w:r w:rsidRPr="00CE1D7F">
        <w:t>Moving Horizon Estimation for Linear Cascade Systems (2018)</w:t>
      </w:r>
    </w:p>
    <w:p w14:paraId="3F83E283" w14:textId="77777777" w:rsidR="002B32A0" w:rsidRPr="00CE1D7F" w:rsidRDefault="002B32A0" w:rsidP="005C152F">
      <w:pPr>
        <w:pStyle w:val="ListBullet"/>
      </w:pPr>
      <w:r w:rsidRPr="00CE1D7F">
        <w:t>Scalable iterations for solving constrained LQ control problems with cascade dynamics (in Proceedings of 23rd International Symposium on Mathematical Theory of Networks and Systems, Hong Kong) (2018)</w:t>
      </w:r>
    </w:p>
    <w:p w14:paraId="41959115" w14:textId="77777777" w:rsidR="002B32A0" w:rsidRPr="00CE1D7F" w:rsidRDefault="002B32A0" w:rsidP="005C152F">
      <w:pPr>
        <w:pStyle w:val="ListBullet"/>
      </w:pPr>
      <w:r w:rsidRPr="00CE1D7F">
        <w:t>Control system design for concrete irrigation channels (2017)</w:t>
      </w:r>
    </w:p>
    <w:p w14:paraId="21EBB623" w14:textId="77777777" w:rsidR="002B32A0" w:rsidRPr="00CE1D7F" w:rsidRDefault="002B32A0" w:rsidP="002B32A0">
      <w:pPr>
        <w:pStyle w:val="Heading4"/>
      </w:pPr>
      <w:r w:rsidRPr="00CE1D7F">
        <w:t xml:space="preserve">Patents </w:t>
      </w:r>
    </w:p>
    <w:p w14:paraId="6AB71895" w14:textId="77777777" w:rsidR="002B32A0" w:rsidRPr="00CE1D7F" w:rsidRDefault="002B32A0" w:rsidP="002B32A0">
      <w:r w:rsidRPr="00CE1D7F">
        <w:t>Rubicon and the University of Melbourne have built a comprehensive portfolio of 218 patents that focus on agricultural water management from dams right through to the application of water to crops. Rubicon’s IPO is another strong example of the University’s commitment to research commercialisation and building relationships that support this goal.</w:t>
      </w:r>
    </w:p>
    <w:p w14:paraId="0D36EAFE" w14:textId="77777777" w:rsidR="002B32A0" w:rsidRPr="00CE1D7F" w:rsidRDefault="002B32A0" w:rsidP="005C152F">
      <w:pPr>
        <w:keepNext/>
        <w:keepLines/>
      </w:pPr>
      <w:r w:rsidRPr="00CE1D7F">
        <w:t>Some of the key patents in Australia are:</w:t>
      </w:r>
    </w:p>
    <w:p w14:paraId="0EE1C41B" w14:textId="77777777" w:rsidR="002B32A0" w:rsidRPr="00CE1D7F" w:rsidRDefault="002B32A0" w:rsidP="005C152F">
      <w:pPr>
        <w:pStyle w:val="ListBullet"/>
        <w:rPr>
          <w:lang w:eastAsia="ja-JP"/>
        </w:rPr>
      </w:pPr>
      <w:r w:rsidRPr="00CE1D7F">
        <w:rPr>
          <w:lang w:eastAsia="ja-JP"/>
        </w:rPr>
        <w:t>AU2008201858 (Control gates), filed 21 August 2001</w:t>
      </w:r>
      <w:r>
        <w:rPr>
          <w:lang w:eastAsia="ja-JP"/>
        </w:rPr>
        <w:t>.</w:t>
      </w:r>
    </w:p>
    <w:p w14:paraId="062CEB45" w14:textId="77777777" w:rsidR="002B32A0" w:rsidRPr="00CE1D7F" w:rsidRDefault="002B32A0" w:rsidP="005C152F">
      <w:pPr>
        <w:pStyle w:val="ListBullet"/>
        <w:rPr>
          <w:lang w:eastAsia="ja-JP"/>
        </w:rPr>
      </w:pPr>
      <w:r w:rsidRPr="00CE1D7F">
        <w:rPr>
          <w:lang w:eastAsia="ja-JP"/>
        </w:rPr>
        <w:t>AU2010201936 (Control gates), filed 21 August 2001</w:t>
      </w:r>
      <w:r>
        <w:rPr>
          <w:lang w:eastAsia="ja-JP"/>
        </w:rPr>
        <w:t>.</w:t>
      </w:r>
    </w:p>
    <w:p w14:paraId="044A7709" w14:textId="77777777" w:rsidR="002B32A0" w:rsidRPr="00CE1D7F" w:rsidRDefault="002B32A0" w:rsidP="005C152F">
      <w:pPr>
        <w:pStyle w:val="ListBullet"/>
        <w:rPr>
          <w:lang w:eastAsia="ja-JP"/>
        </w:rPr>
      </w:pPr>
      <w:r w:rsidRPr="00CE1D7F">
        <w:rPr>
          <w:lang w:eastAsia="ja-JP"/>
        </w:rPr>
        <w:t>AU2010201935 (Fluid regulation), filed 1 March 2002</w:t>
      </w:r>
      <w:r>
        <w:rPr>
          <w:lang w:eastAsia="ja-JP"/>
        </w:rPr>
        <w:t>.</w:t>
      </w:r>
    </w:p>
    <w:p w14:paraId="37C533E4" w14:textId="77777777" w:rsidR="002B32A0" w:rsidRPr="00CE1D7F" w:rsidRDefault="002B32A0" w:rsidP="005C152F">
      <w:pPr>
        <w:pStyle w:val="ListBullet"/>
        <w:rPr>
          <w:lang w:eastAsia="ja-JP"/>
        </w:rPr>
      </w:pPr>
      <w:r w:rsidRPr="00CE1D7F">
        <w:rPr>
          <w:lang w:eastAsia="ja-JP"/>
        </w:rPr>
        <w:t>AU2011200645 (Control gates – slidable frame), filed 21 August 2001</w:t>
      </w:r>
      <w:r>
        <w:rPr>
          <w:lang w:eastAsia="ja-JP"/>
        </w:rPr>
        <w:t>.</w:t>
      </w:r>
    </w:p>
    <w:p w14:paraId="23647E55" w14:textId="77777777" w:rsidR="002B32A0" w:rsidRPr="00CE1D7F" w:rsidRDefault="002B32A0" w:rsidP="005C152F">
      <w:pPr>
        <w:pStyle w:val="ListBullet"/>
        <w:rPr>
          <w:lang w:eastAsia="ja-JP"/>
        </w:rPr>
      </w:pPr>
      <w:r w:rsidRPr="00CE1D7F">
        <w:rPr>
          <w:lang w:eastAsia="ja-JP"/>
        </w:rPr>
        <w:t>US9952601B2 (Supervisory control of automated irrigation channels), filed 4 May 2013</w:t>
      </w:r>
      <w:r>
        <w:rPr>
          <w:lang w:eastAsia="ja-JP"/>
        </w:rPr>
        <w:t>.</w:t>
      </w:r>
      <w:r w:rsidRPr="00CE1D7F">
        <w:rPr>
          <w:rStyle w:val="FootnoteReference"/>
          <w:lang w:eastAsia="ja-JP"/>
        </w:rPr>
        <w:footnoteReference w:id="152"/>
      </w:r>
    </w:p>
    <w:p w14:paraId="614F47D0" w14:textId="77777777" w:rsidR="002B32A0" w:rsidRPr="00CE1D7F" w:rsidRDefault="002B32A0" w:rsidP="005C152F">
      <w:pPr>
        <w:pStyle w:val="ListBullet"/>
        <w:rPr>
          <w:lang w:eastAsia="ja-JP"/>
        </w:rPr>
      </w:pPr>
      <w:r w:rsidRPr="00CE1D7F">
        <w:rPr>
          <w:lang w:eastAsia="ja-JP"/>
        </w:rPr>
        <w:t>AU2018317494 (Method and system for water distribution and soil moisture determination), filed 14 August 2018</w:t>
      </w:r>
      <w:r>
        <w:rPr>
          <w:lang w:eastAsia="ja-JP"/>
        </w:rPr>
        <w:t>.</w:t>
      </w:r>
      <w:r w:rsidRPr="00DD5811">
        <w:rPr>
          <w:rStyle w:val="FootnoteReference"/>
          <w:rFonts w:ascii="Source Sans Pro" w:eastAsia="Times New Roman" w:hAnsi="Source Sans Pro" w:cs="Times New Roman"/>
          <w:spacing w:val="3"/>
          <w:sz w:val="24"/>
          <w:szCs w:val="24"/>
          <w:lang w:eastAsia="ja-JP"/>
        </w:rPr>
        <w:footnoteReference w:id="153"/>
      </w:r>
    </w:p>
    <w:p w14:paraId="3982D499" w14:textId="77777777" w:rsidR="002B32A0" w:rsidRPr="00CE1D7F" w:rsidRDefault="002B32A0" w:rsidP="002B32A0">
      <w:pPr>
        <w:pStyle w:val="Heading4"/>
      </w:pPr>
      <w:r w:rsidRPr="00CE1D7F">
        <w:t xml:space="preserve">Awards </w:t>
      </w:r>
    </w:p>
    <w:p w14:paraId="6B22C9D8" w14:textId="77777777" w:rsidR="002B32A0" w:rsidRPr="00CE1D7F" w:rsidRDefault="002B32A0" w:rsidP="005C152F">
      <w:pPr>
        <w:pStyle w:val="ListBullet"/>
      </w:pPr>
      <w:r w:rsidRPr="00CE1D7F">
        <w:t>Australian Academy of Technological Sciences and Engineering Clunies Ross Award (2008)</w:t>
      </w:r>
      <w:r>
        <w:t>.</w:t>
      </w:r>
    </w:p>
    <w:p w14:paraId="30A662A0" w14:textId="77777777" w:rsidR="002B32A0" w:rsidRPr="00CE1D7F" w:rsidRDefault="002B32A0" w:rsidP="005C152F">
      <w:pPr>
        <w:pStyle w:val="ListBullet"/>
      </w:pPr>
      <w:r w:rsidRPr="00CE1D7F">
        <w:t>The Institute of Engineers Australia Engineering Excellence Award for Infrastructure (2009)</w:t>
      </w:r>
      <w:r>
        <w:t>.</w:t>
      </w:r>
    </w:p>
    <w:p w14:paraId="7A22510A" w14:textId="77777777" w:rsidR="002B32A0" w:rsidRPr="00CE1D7F" w:rsidRDefault="002B32A0" w:rsidP="005C152F">
      <w:pPr>
        <w:pStyle w:val="ListBullet"/>
        <w:rPr>
          <w:lang w:val="en-US"/>
        </w:rPr>
      </w:pPr>
      <w:r w:rsidRPr="00CE1D7F">
        <w:rPr>
          <w:lang w:val="en-US"/>
        </w:rPr>
        <w:t>Iven Mareels, Michael Cantoni and Erik Weyer were awarded the 2014 IEEE Control Society Technology Award. For the development and implementation of controls for irrigation channels and water management (2014).</w:t>
      </w:r>
    </w:p>
    <w:p w14:paraId="118BE053" w14:textId="77777777" w:rsidR="002B32A0" w:rsidRPr="00CE1D7F" w:rsidRDefault="002B32A0" w:rsidP="005C152F">
      <w:pPr>
        <w:pStyle w:val="ListBullet"/>
      </w:pPr>
      <w:r w:rsidRPr="00CE1D7F">
        <w:t>The National Export Award for Environmental Solutions by the Australian Government (Rubicon, 2015)</w:t>
      </w:r>
      <w:r>
        <w:t>.</w:t>
      </w:r>
    </w:p>
    <w:p w14:paraId="3E299503" w14:textId="77777777" w:rsidR="002B32A0" w:rsidRPr="00CE1D7F" w:rsidRDefault="002B32A0" w:rsidP="005C152F">
      <w:pPr>
        <w:pStyle w:val="ListBullet"/>
      </w:pPr>
      <w:r w:rsidRPr="00CE1D7F">
        <w:t>The Australian Export Award for Sustainability (Rubicon, 2022)</w:t>
      </w:r>
      <w:r>
        <w:t>.</w:t>
      </w:r>
    </w:p>
    <w:p w14:paraId="5C466B28" w14:textId="77777777" w:rsidR="002B32A0" w:rsidRPr="00CE1D7F" w:rsidRDefault="002B32A0" w:rsidP="005C152F">
      <w:pPr>
        <w:pStyle w:val="ListBullet"/>
      </w:pPr>
      <w:r w:rsidRPr="00CE1D7F">
        <w:t>International Commission of Irrigation and Drainage’s (ICID) WatSave award under the Transformational Technology Category for leveraging canal automation technology to improve Karnataka’s precious water resource (Rubicon, October 2022)</w:t>
      </w:r>
      <w:r>
        <w:t>.</w:t>
      </w:r>
    </w:p>
    <w:p w14:paraId="1489B9EC" w14:textId="77777777" w:rsidR="002B32A0" w:rsidRPr="00CE1D7F" w:rsidRDefault="002B32A0" w:rsidP="005C152F">
      <w:pPr>
        <w:pStyle w:val="ListBullet"/>
      </w:pPr>
      <w:r w:rsidRPr="00CE1D7F">
        <w:t>Finalist for the IABCA Impact Award (ceremony scheduled to be in New Delhi in Q1 2023).</w:t>
      </w:r>
    </w:p>
    <w:p w14:paraId="02AE44CA" w14:textId="77777777" w:rsidR="002B32A0" w:rsidRPr="00CE1D7F" w:rsidRDefault="002B32A0" w:rsidP="002B32A0">
      <w:pPr>
        <w:pStyle w:val="Heading4"/>
      </w:pPr>
      <w:r w:rsidRPr="00CE1D7F">
        <w:t>Innovation / commercialisation (if any)</w:t>
      </w:r>
    </w:p>
    <w:p w14:paraId="7291B9BE" w14:textId="77777777" w:rsidR="002B32A0" w:rsidRPr="00CE1D7F" w:rsidRDefault="002B32A0" w:rsidP="002B32A0">
      <w:r w:rsidRPr="00CE1D7F">
        <w:t>In addition to the commercialisation of TCC described in the sections above, in September 2021, Rubicon Water made its debut on the Australian Stock Exchange, with the aim of raising $42.6</w:t>
      </w:r>
      <w:r>
        <w:t> million</w:t>
      </w:r>
      <w:r w:rsidRPr="00CE1D7F">
        <w:t xml:space="preserve"> at a market capitalisation of $171.9</w:t>
      </w:r>
      <w:r>
        <w:t> million</w:t>
      </w:r>
      <w:r w:rsidRPr="00CE1D7F">
        <w:t>.</w:t>
      </w:r>
    </w:p>
    <w:p w14:paraId="5B8FAF5A" w14:textId="77777777" w:rsidR="002B32A0" w:rsidRPr="00CE1D7F" w:rsidRDefault="002B32A0" w:rsidP="002B32A0">
      <w:pPr>
        <w:rPr>
          <w:rFonts w:ascii="Source Sans Pro" w:hAnsi="Source Sans Pro"/>
          <w:color w:val="094183"/>
          <w:spacing w:val="3"/>
        </w:rPr>
      </w:pPr>
      <w:r w:rsidRPr="00CE1D7F">
        <w:t>Rubicon Water has offices in Australia, USA, New Zealand, Spain, Chile, China and India and agents in many other countries.</w:t>
      </w:r>
    </w:p>
    <w:p w14:paraId="3246EDE2" w14:textId="77777777" w:rsidR="002B32A0" w:rsidRPr="00CE1D7F" w:rsidRDefault="002B32A0" w:rsidP="005C152F">
      <w:pPr>
        <w:pStyle w:val="Heading2"/>
      </w:pPr>
      <w:bookmarkStart w:id="370" w:name="_Toc129964031"/>
      <w:bookmarkStart w:id="371" w:name="_Toc131174669"/>
      <w:bookmarkStart w:id="372" w:name="_Toc132970690"/>
      <w:bookmarkStart w:id="373" w:name="_Toc135323729"/>
      <w:r w:rsidRPr="00CE1D7F">
        <w:t>Outcomes</w:t>
      </w:r>
      <w:bookmarkEnd w:id="370"/>
      <w:bookmarkEnd w:id="371"/>
      <w:bookmarkEnd w:id="372"/>
      <w:bookmarkEnd w:id="373"/>
      <w:r w:rsidRPr="00CE1D7F">
        <w:t xml:space="preserve"> </w:t>
      </w:r>
    </w:p>
    <w:p w14:paraId="6620B6F0" w14:textId="38047D56" w:rsidR="002B32A0" w:rsidRPr="00CE1D7F" w:rsidRDefault="002B32A0" w:rsidP="002B32A0">
      <w:r w:rsidRPr="00CE1D7F">
        <w:t>Studies of Australia’s Murray-Darling Basin canal distribution systems found that most distribution losses came from the source known as ‘spills’ – water that flows out of the system unused. Estimates vary from 20% to 46% of all losses.</w:t>
      </w:r>
      <w:r w:rsidRPr="00CE1D7F">
        <w:rPr>
          <w:rStyle w:val="FootnoteReference"/>
        </w:rPr>
        <w:footnoteReference w:id="154"/>
      </w:r>
      <w:r w:rsidRPr="00CE1D7F">
        <w:t xml:space="preserve"> </w:t>
      </w:r>
      <w:r w:rsidRPr="00F87D0E">
        <w:fldChar w:fldCharType="begin"/>
      </w:r>
      <w:r w:rsidRPr="00F87D0E">
        <w:instrText xml:space="preserve"> REF _Ref129349168 \h  \* MERGEFORMAT </w:instrText>
      </w:r>
      <w:r w:rsidRPr="00F87D0E">
        <w:fldChar w:fldCharType="separate"/>
      </w:r>
      <w:r w:rsidR="000B0AC7" w:rsidRPr="000B0AC7">
        <w:t>Figure 9.4</w:t>
      </w:r>
      <w:r w:rsidRPr="00F87D0E">
        <w:fldChar w:fldCharType="end"/>
      </w:r>
      <w:r w:rsidRPr="00CE1D7F">
        <w:t xml:space="preserve"> shows the typical sources of water losses in irrigation canal systems. Leakage, seepage, evaporation and unauthorised use (theft) were all minor compared to spills. Autonomous control systems target spill losses by precisely matching supply with demand. </w:t>
      </w:r>
    </w:p>
    <w:p w14:paraId="49728F2B" w14:textId="6790BEE5" w:rsidR="000B0AC7" w:rsidRPr="00CE1D7F" w:rsidRDefault="000B0AC7" w:rsidP="000B0AC7">
      <w:pPr>
        <w:pStyle w:val="Caption"/>
        <w:ind w:left="1308" w:hanging="1308"/>
      </w:pPr>
      <w:bookmarkStart w:id="374" w:name="_Ref129349168"/>
      <w:r w:rsidRPr="00CE1D7F">
        <w:rPr>
          <w:rStyle w:val="CaptionLabel"/>
        </w:rPr>
        <w:t>Figure </w:t>
      </w:r>
      <w:r w:rsidRPr="00CE1D7F">
        <w:rPr>
          <w:rStyle w:val="CaptionLabel"/>
        </w:rPr>
        <w:fldChar w:fldCharType="begin"/>
      </w:r>
      <w:r w:rsidRPr="00CE1D7F">
        <w:rPr>
          <w:rStyle w:val="CaptionLabel"/>
        </w:rPr>
        <w:instrText xml:space="preserve"> STYLEREF 1 \S \* MERGEFORMAT </w:instrText>
      </w:r>
      <w:r w:rsidRPr="00CE1D7F">
        <w:rPr>
          <w:rStyle w:val="CaptionLabel"/>
        </w:rPr>
        <w:fldChar w:fldCharType="separate"/>
      </w:r>
      <w:r>
        <w:rPr>
          <w:rStyle w:val="CaptionLabel"/>
          <w:noProof/>
        </w:rPr>
        <w:t>9</w:t>
      </w:r>
      <w:r w:rsidRPr="00CE1D7F">
        <w:rPr>
          <w:rStyle w:val="CaptionLabel"/>
        </w:rPr>
        <w:fldChar w:fldCharType="end"/>
      </w:r>
      <w:r w:rsidRPr="00CE1D7F">
        <w:rPr>
          <w:rStyle w:val="CaptionLabel"/>
        </w:rPr>
        <w:t>.</w:t>
      </w:r>
      <w:r w:rsidRPr="00CE1D7F">
        <w:rPr>
          <w:rStyle w:val="CaptionLabel"/>
        </w:rPr>
        <w:fldChar w:fldCharType="begin"/>
      </w:r>
      <w:r w:rsidRPr="00CE1D7F">
        <w:rPr>
          <w:rStyle w:val="CaptionLabel"/>
        </w:rPr>
        <w:instrText xml:space="preserve"> SEQ Figure \* ARABIC \S 1 \* MERGEFORMAT </w:instrText>
      </w:r>
      <w:r w:rsidRPr="00CE1D7F">
        <w:rPr>
          <w:rStyle w:val="CaptionLabel"/>
        </w:rPr>
        <w:fldChar w:fldCharType="separate"/>
      </w:r>
      <w:r>
        <w:rPr>
          <w:rStyle w:val="CaptionLabel"/>
          <w:noProof/>
        </w:rPr>
        <w:t>4</w:t>
      </w:r>
      <w:r w:rsidRPr="00CE1D7F">
        <w:rPr>
          <w:rStyle w:val="CaptionLabel"/>
        </w:rPr>
        <w:fldChar w:fldCharType="end"/>
      </w:r>
      <w:bookmarkEnd w:id="374"/>
      <w:r w:rsidRPr="00CE1D7F">
        <w:tab/>
        <w:t>Source of losses in canal systems</w:t>
      </w:r>
    </w:p>
    <w:tbl>
      <w:tblPr>
        <w:tblStyle w:val="aacTableFigure"/>
        <w:tblW w:w="5000" w:type="pct"/>
        <w:tblBorders>
          <w:top w:val="single" w:sz="4" w:space="0" w:color="000000"/>
          <w:bottom w:val="single" w:sz="4" w:space="0" w:color="000000"/>
        </w:tblBorders>
        <w:tblLook w:val="04A0" w:firstRow="1" w:lastRow="0" w:firstColumn="1" w:lastColumn="0" w:noHBand="0" w:noVBand="1"/>
      </w:tblPr>
      <w:tblGrid>
        <w:gridCol w:w="7937"/>
      </w:tblGrid>
      <w:tr w:rsidR="002B32A0" w:rsidRPr="00CE1D7F" w14:paraId="67CBED68" w14:textId="77777777" w:rsidTr="000B0AC7">
        <w:tc>
          <w:tcPr>
            <w:tcW w:w="5000" w:type="pct"/>
            <w:shd w:val="clear" w:color="auto" w:fill="auto"/>
          </w:tcPr>
          <w:p w14:paraId="023FE1F4" w14:textId="77777777" w:rsidR="002B32A0" w:rsidRPr="00CE1D7F" w:rsidRDefault="002B32A0" w:rsidP="005C152F">
            <w:pPr>
              <w:pStyle w:val="Figure"/>
              <w:spacing w:before="120"/>
              <w:jc w:val="center"/>
            </w:pPr>
            <w:r w:rsidRPr="00CE1D7F">
              <w:rPr>
                <w:noProof/>
              </w:rPr>
              <w:drawing>
                <wp:inline distT="0" distB="0" distL="0" distR="0" wp14:anchorId="06216583" wp14:editId="0720DDA8">
                  <wp:extent cx="4988560" cy="2489627"/>
                  <wp:effectExtent l="0" t="0" r="2540" b="6350"/>
                  <wp:docPr id="709" name="Picture 709" descr="Source of losses in canal systems, see description in text abov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 name="Picture 709" descr="Source of losses in canal systems, see description in text above figure."/>
                          <pic:cNvPicPr/>
                        </pic:nvPicPr>
                        <pic:blipFill>
                          <a:blip r:embed="rId176"/>
                          <a:stretch>
                            <a:fillRect/>
                          </a:stretch>
                        </pic:blipFill>
                        <pic:spPr>
                          <a:xfrm>
                            <a:off x="0" y="0"/>
                            <a:ext cx="5075593" cy="2533062"/>
                          </a:xfrm>
                          <a:prstGeom prst="rect">
                            <a:avLst/>
                          </a:prstGeom>
                        </pic:spPr>
                      </pic:pic>
                    </a:graphicData>
                  </a:graphic>
                </wp:inline>
              </w:drawing>
            </w:r>
          </w:p>
        </w:tc>
      </w:tr>
    </w:tbl>
    <w:p w14:paraId="72D09A79" w14:textId="77777777" w:rsidR="000B0AC7" w:rsidRPr="00CE1D7F" w:rsidRDefault="000B0AC7" w:rsidP="000B0AC7">
      <w:pPr>
        <w:pStyle w:val="Source"/>
        <w:ind w:left="1308" w:hanging="1308"/>
      </w:pPr>
      <w:r w:rsidRPr="00CE1D7F">
        <w:t>Source: Rubicon Water 2022</w:t>
      </w:r>
    </w:p>
    <w:p w14:paraId="47C2FF67" w14:textId="77777777" w:rsidR="000B0AC7" w:rsidRPr="00CE1D7F" w:rsidRDefault="000B0AC7" w:rsidP="006258ED">
      <w:pPr>
        <w:pStyle w:val="spacer"/>
      </w:pPr>
    </w:p>
    <w:p w14:paraId="39E477A2" w14:textId="77777777" w:rsidR="002B32A0" w:rsidRPr="00CE1D7F" w:rsidRDefault="002B32A0" w:rsidP="002B32A0">
      <w:r w:rsidRPr="00CE1D7F">
        <w:t>Spills are an operational problem that results from an inability to precisely control water in manually-operated canal systems. Under manually-operated systems, farmers need to either receive water according to a pre-planned roster system or, if an ordering system is in place, request water several days in advance to give planners time to schedule and manage the logistics of operating canal regulating gates to move water through the canal network. In unmodernised systems, measurement of basic water attributes (flow rate, volume, canal water levels) at canal regulating gates and farm outlets is generally inaccurate, sporadic, incomplete and unsuitable for operational management purposes. To compensate for the uncertainty this lack of information causes, operators intentionally release more water into the system than is required at farm outlets to smooth out the service problems caused by inadequate measurement and control. These problems include fluctuating canal water levels, canals running dry, low and inconsistent flow rates through farm outlets and late or failed water deliveries.</w:t>
      </w:r>
      <w:r w:rsidRPr="00CE1D7F">
        <w:rPr>
          <w:rStyle w:val="FootnoteReference"/>
        </w:rPr>
        <w:footnoteReference w:id="155"/>
      </w:r>
    </w:p>
    <w:p w14:paraId="0CCE61D7" w14:textId="77777777" w:rsidR="002B32A0" w:rsidRPr="00CE1D7F" w:rsidRDefault="002B32A0" w:rsidP="002B32A0">
      <w:r w:rsidRPr="00CE1D7F">
        <w:t xml:space="preserve">Rubicon’s modernised irrigation automation system addresses many of these issues through accurate measurement and accounting, eliminating spills, improving the reliability and timeliness of water supply, and enabling precise application to crops. Examples of positive outcomes from the adoption of Rubicon Water’s irrigation systems in Australia and abroad are provided in the </w:t>
      </w:r>
      <w:r>
        <w:t>section </w:t>
      </w:r>
      <w:r w:rsidRPr="00CE1D7F">
        <w:t>below. According to the University of Melbourne, farmers have also reported improvements in their general wellbeing and reduced working hours thanks to the ability to irrigate crops remotely.</w:t>
      </w:r>
      <w:r w:rsidRPr="00CE1D7F">
        <w:rPr>
          <w:rStyle w:val="FootnoteReference"/>
        </w:rPr>
        <w:footnoteReference w:id="156"/>
      </w:r>
    </w:p>
    <w:p w14:paraId="648C1C5E" w14:textId="77777777" w:rsidR="002B32A0" w:rsidRPr="00CE1D7F" w:rsidRDefault="002B32A0" w:rsidP="005C152F">
      <w:pPr>
        <w:pStyle w:val="Heading4"/>
        <w:keepNext w:val="0"/>
        <w:keepLines w:val="0"/>
      </w:pPr>
      <w:r w:rsidRPr="00CE1D7F">
        <w:t>Adoption</w:t>
      </w:r>
    </w:p>
    <w:p w14:paraId="6E2922E1" w14:textId="77777777" w:rsidR="002B32A0" w:rsidRPr="00CE1D7F" w:rsidRDefault="002B32A0" w:rsidP="005C152F">
      <w:bookmarkStart w:id="375" w:name="_Ref128064559"/>
      <w:bookmarkStart w:id="376" w:name="_Hlk126242481"/>
      <w:r w:rsidRPr="00CE1D7F">
        <w:t xml:space="preserve">Rubicon Water’s TCC technology has led to significant positive outcomes through its adoption in Australia and international irrigation projects. </w:t>
      </w:r>
    </w:p>
    <w:p w14:paraId="3B2BFEAF" w14:textId="77777777" w:rsidR="002B32A0" w:rsidRPr="00CE1D7F" w:rsidRDefault="002B32A0" w:rsidP="005C152F">
      <w:r w:rsidRPr="00CE1D7F">
        <w:t>One example in Australia is the Mareeba-Dimbulah Efficiency Improvement Project, undertaken by Sunwater in Queensland. The Australian Government jointly funded the project through the National Water Grid Fund and the Queensland Government. The project was completed in January 2022, and the modernised irrigation technology has already led to the recovery of 8000 megalitres of water in the first 12 months of operation</w:t>
      </w:r>
    </w:p>
    <w:p w14:paraId="21D65D9D" w14:textId="77777777" w:rsidR="002B32A0" w:rsidRPr="00CE1D7F" w:rsidRDefault="002B32A0" w:rsidP="005C152F">
      <w:pPr>
        <w:keepNext/>
        <w:keepLines/>
      </w:pPr>
      <w:r w:rsidRPr="00CE1D7F">
        <w:t>Another example in Australia is the Goulburn-Murray Irrigation District Connections Project, one of Australia's most significant irrigation modernisation projects. The project’s objective was to recover 429</w:t>
      </w:r>
      <w:r>
        <w:t> gigalitres</w:t>
      </w:r>
      <w:r w:rsidRPr="00CE1D7F">
        <w:t xml:space="preserve"> of water per year from the modernised system and improve the ability to control water flow through the large-scale network (more detail on this project below).</w:t>
      </w:r>
    </w:p>
    <w:p w14:paraId="37D201F0" w14:textId="77777777" w:rsidR="002B32A0" w:rsidRPr="00CE1D7F" w:rsidRDefault="002B32A0" w:rsidP="005C152F">
      <w:pPr>
        <w:pStyle w:val="Heading3"/>
      </w:pPr>
      <w:bookmarkStart w:id="377" w:name="_Ref131174694"/>
      <w:r w:rsidRPr="00CE1D7F">
        <w:t>Goulburn-Murray Irrigation District Connections Project</w:t>
      </w:r>
      <w:bookmarkEnd w:id="375"/>
      <w:bookmarkEnd w:id="377"/>
    </w:p>
    <w:bookmarkEnd w:id="376"/>
    <w:p w14:paraId="0EA12CFB" w14:textId="77777777" w:rsidR="002B32A0" w:rsidRPr="00CE1D7F" w:rsidRDefault="002B32A0" w:rsidP="002B32A0">
      <w:r w:rsidRPr="00CE1D7F">
        <w:t>On 25 February 2022, Victorian Minister for Water Lisa Neville announced the successful recovery of over 429</w:t>
      </w:r>
      <w:r>
        <w:t> gigalitres</w:t>
      </w:r>
      <w:r w:rsidRPr="00CE1D7F">
        <w:t xml:space="preserve"> of water as part of the Connections Project, the largest irrigation modernisation project in Australian history.</w:t>
      </w:r>
      <w:r w:rsidRPr="00CE1D7F">
        <w:rPr>
          <w:rStyle w:val="FootnoteReference"/>
        </w:rPr>
        <w:footnoteReference w:id="157"/>
      </w:r>
      <w:r w:rsidRPr="00CE1D7F">
        <w:t xml:space="preserve"> Funded by the Victorian and Australian Governments, the world-leading delivery system is expected to support the sustainable future of productive agriculture in the Goulburn-Murray Irrigation District (GMID) for future generations.</w:t>
      </w:r>
    </w:p>
    <w:p w14:paraId="58475606" w14:textId="3509542D" w:rsidR="002B32A0" w:rsidRPr="00CE1D7F" w:rsidRDefault="002B32A0" w:rsidP="002B32A0">
      <w:r w:rsidRPr="00CE1D7F">
        <w:t>The Project was completed by the Connections Project Control Group and Goulburn Murray Water and utilised Rubicon Water’s network control technology to accurately distribute water within the complex system</w:t>
      </w:r>
      <w:r w:rsidRPr="00DC7DF5">
        <w:t xml:space="preserve">, resulting in the </w:t>
      </w:r>
      <w:r w:rsidRPr="00A014AC">
        <w:t xml:space="preserve">water </w:t>
      </w:r>
      <w:r w:rsidRPr="00DC7DF5">
        <w:t>recover</w:t>
      </w:r>
      <w:r w:rsidRPr="00A014AC">
        <w:t>ies mentioned above</w:t>
      </w:r>
      <w:r w:rsidRPr="00DC7DF5">
        <w:rPr>
          <w:rStyle w:val="FootnoteReference"/>
        </w:rPr>
        <w:footnoteReference w:id="158"/>
      </w:r>
      <w:r w:rsidRPr="00DC7DF5">
        <w:t xml:space="preserve"> The</w:t>
      </w:r>
      <w:r w:rsidRPr="00CE1D7F">
        <w:t xml:space="preserve"> automated technology targets system losses through accurate measurement and control of water while providing </w:t>
      </w:r>
      <w:r w:rsidR="00054253" w:rsidRPr="00CE1D7F">
        <w:t>a</w:t>
      </w:r>
      <w:r w:rsidRPr="00CE1D7F">
        <w:t xml:space="preserve"> near on-demand water ordering service to irrigators. The project supports Victoria’s obligations under the Murray Darling Basin Plan to increase water savings without the removal of water entitlements from farmers. </w:t>
      </w:r>
    </w:p>
    <w:p w14:paraId="43BC10E7" w14:textId="77777777" w:rsidR="002B32A0" w:rsidRPr="00CE1D7F" w:rsidRDefault="002B32A0" w:rsidP="002B32A0">
      <w:r w:rsidRPr="00CE1D7F">
        <w:t>In October 2021, irrigators received 77</w:t>
      </w:r>
      <w:r>
        <w:t> gigalitres</w:t>
      </w:r>
      <w:r w:rsidRPr="00CE1D7F">
        <w:t xml:space="preserve"> as part of the irrigation water share distribution, and 279</w:t>
      </w:r>
      <w:r>
        <w:t> gigalitres</w:t>
      </w:r>
      <w:r w:rsidRPr="00CE1D7F">
        <w:t xml:space="preserve"> were recovered for the environment – avoiding the need for buybacks under the Murray Darling Basin Plan. Melbourne water retailers will also receive their full 75</w:t>
      </w:r>
      <w:r>
        <w:t> gigalitres</w:t>
      </w:r>
      <w:r w:rsidRPr="00CE1D7F">
        <w:t xml:space="preserve"> as part of the original agreement. </w:t>
      </w:r>
    </w:p>
    <w:p w14:paraId="20E136E6" w14:textId="77777777" w:rsidR="002B32A0" w:rsidRPr="00CE1D7F" w:rsidRDefault="002B32A0" w:rsidP="002B32A0">
      <w:r w:rsidRPr="00CE1D7F">
        <w:t xml:space="preserve">The remaining </w:t>
      </w:r>
      <w:r>
        <w:t>2 gigalitres</w:t>
      </w:r>
      <w:r w:rsidRPr="00CE1D7F">
        <w:t xml:space="preserve"> will be distributed equally to the original partners in the project – irrigators, the environment – represented by the Victorian Environmental Water Holder (VEWH) – and Melbourne retailers. </w:t>
      </w:r>
    </w:p>
    <w:p w14:paraId="7B03EC3E" w14:textId="77777777" w:rsidR="002B32A0" w:rsidRPr="00CE1D7F" w:rsidRDefault="002B32A0" w:rsidP="002B32A0">
      <w:r w:rsidRPr="00CE1D7F">
        <w:t>Both the VEWH and the Melbourne retailers have agreed their additional water will be set aside for Traditional Owners in northern Victoria – a total of 1.36</w:t>
      </w:r>
      <w:r>
        <w:t> gigalitres</w:t>
      </w:r>
      <w:r w:rsidRPr="00CE1D7F">
        <w:t xml:space="preserve">. </w:t>
      </w:r>
    </w:p>
    <w:p w14:paraId="608B0CCB" w14:textId="77777777" w:rsidR="002B32A0" w:rsidRPr="00CE1D7F" w:rsidRDefault="002B32A0" w:rsidP="002B32A0">
      <w:r w:rsidRPr="00CE1D7F">
        <w:t>This is the first time that Traditional Owners in northern Victoria will receive a water entitlement as part of the Government’s commitment to Aboriginal values and aspirations for water. How that water is distributed will be determined by the Traditional Owner groups.</w:t>
      </w:r>
    </w:p>
    <w:p w14:paraId="5176B4C4" w14:textId="17912B78" w:rsidR="002B32A0" w:rsidRPr="00CE1D7F" w:rsidRDefault="002B32A0" w:rsidP="002B32A0">
      <w:r w:rsidRPr="00CE1D7F">
        <w:t>The resulting modernised irrigation supply system is one of the world’s largest supervisory control and data acquisition systems.</w:t>
      </w:r>
      <w:r w:rsidRPr="00CE1D7F">
        <w:rPr>
          <w:rStyle w:val="FootnoteReference"/>
        </w:rPr>
        <w:footnoteReference w:id="159"/>
      </w:r>
      <w:r w:rsidRPr="00CE1D7F">
        <w:t xml:space="preserve"> The system covers 21,000 km</w:t>
      </w:r>
      <w:r w:rsidRPr="00CE1D7F">
        <w:rPr>
          <w:vertAlign w:val="superscript"/>
        </w:rPr>
        <w:t>2</w:t>
      </w:r>
      <w:r w:rsidRPr="00CE1D7F">
        <w:t xml:space="preserve">, monitors and controls 15 dams and 37 pump stations, and regulates the irrigation channel with over 4,700 FlumeGates. The full complexity of this system is demonstrated in </w:t>
      </w:r>
      <w:r w:rsidRPr="00F87D0E">
        <w:fldChar w:fldCharType="begin"/>
      </w:r>
      <w:r w:rsidRPr="00F87D0E">
        <w:instrText xml:space="preserve"> REF _Ref129349228 \h  \* MERGEFORMAT </w:instrText>
      </w:r>
      <w:r w:rsidRPr="00F87D0E">
        <w:fldChar w:fldCharType="separate"/>
      </w:r>
      <w:r w:rsidR="000B0AC7" w:rsidRPr="000B0AC7">
        <w:t>Figure 9.5</w:t>
      </w:r>
      <w:r w:rsidRPr="00F87D0E">
        <w:fldChar w:fldCharType="end"/>
      </w:r>
      <w:r w:rsidRPr="00CE1D7F">
        <w:t xml:space="preserve"> below.</w:t>
      </w:r>
    </w:p>
    <w:p w14:paraId="5201A80E" w14:textId="77777777" w:rsidR="002B32A0" w:rsidRPr="00CE1D7F" w:rsidRDefault="002B32A0" w:rsidP="002B32A0">
      <w:pPr>
        <w:sectPr w:rsidR="002B32A0" w:rsidRPr="00CE1D7F" w:rsidSect="00327E78">
          <w:headerReference w:type="even" r:id="rId177"/>
          <w:headerReference w:type="default" r:id="rId178"/>
          <w:footerReference w:type="even" r:id="rId179"/>
          <w:footerReference w:type="default" r:id="rId180"/>
          <w:headerReference w:type="first" r:id="rId181"/>
          <w:footerReference w:type="first" r:id="rId182"/>
          <w:pgSz w:w="11907" w:h="16839" w:code="9"/>
          <w:pgMar w:top="1134" w:right="851" w:bottom="1134" w:left="3119" w:header="454" w:footer="159" w:gutter="0"/>
          <w:cols w:space="708"/>
          <w:docGrid w:linePitch="360"/>
        </w:sectPr>
      </w:pPr>
    </w:p>
    <w:p w14:paraId="2137468A" w14:textId="6035ADC2" w:rsidR="000B0AC7" w:rsidRPr="00CE1D7F" w:rsidRDefault="000B0AC7" w:rsidP="000B0AC7">
      <w:pPr>
        <w:pStyle w:val="Caption"/>
        <w:ind w:left="1308" w:hanging="1308"/>
      </w:pPr>
      <w:bookmarkStart w:id="378" w:name="_Ref129349228"/>
      <w:r w:rsidRPr="00CE1D7F">
        <w:rPr>
          <w:rStyle w:val="CaptionLabel"/>
        </w:rPr>
        <w:t>Figure </w:t>
      </w:r>
      <w:r w:rsidRPr="00CE1D7F">
        <w:rPr>
          <w:rStyle w:val="CaptionLabel"/>
        </w:rPr>
        <w:fldChar w:fldCharType="begin"/>
      </w:r>
      <w:r w:rsidRPr="00CE1D7F">
        <w:rPr>
          <w:rStyle w:val="CaptionLabel"/>
        </w:rPr>
        <w:instrText xml:space="preserve"> STYLEREF 1 \S \* MERGEFORMAT </w:instrText>
      </w:r>
      <w:r w:rsidRPr="00CE1D7F">
        <w:rPr>
          <w:rStyle w:val="CaptionLabel"/>
        </w:rPr>
        <w:fldChar w:fldCharType="separate"/>
      </w:r>
      <w:r>
        <w:rPr>
          <w:rStyle w:val="CaptionLabel"/>
          <w:noProof/>
        </w:rPr>
        <w:t>9</w:t>
      </w:r>
      <w:r w:rsidRPr="00CE1D7F">
        <w:rPr>
          <w:rStyle w:val="CaptionLabel"/>
        </w:rPr>
        <w:fldChar w:fldCharType="end"/>
      </w:r>
      <w:r w:rsidRPr="00CE1D7F">
        <w:rPr>
          <w:rStyle w:val="CaptionLabel"/>
        </w:rPr>
        <w:t>.</w:t>
      </w:r>
      <w:r w:rsidRPr="00CE1D7F">
        <w:rPr>
          <w:rStyle w:val="CaptionLabel"/>
        </w:rPr>
        <w:fldChar w:fldCharType="begin"/>
      </w:r>
      <w:r w:rsidRPr="00CE1D7F">
        <w:rPr>
          <w:rStyle w:val="CaptionLabel"/>
        </w:rPr>
        <w:instrText xml:space="preserve"> SEQ Figure \* ARABIC \S 1 \* MERGEFORMAT </w:instrText>
      </w:r>
      <w:r w:rsidRPr="00CE1D7F">
        <w:rPr>
          <w:rStyle w:val="CaptionLabel"/>
        </w:rPr>
        <w:fldChar w:fldCharType="separate"/>
      </w:r>
      <w:r>
        <w:rPr>
          <w:rStyle w:val="CaptionLabel"/>
          <w:noProof/>
        </w:rPr>
        <w:t>5</w:t>
      </w:r>
      <w:r w:rsidRPr="00CE1D7F">
        <w:rPr>
          <w:rStyle w:val="CaptionLabel"/>
        </w:rPr>
        <w:fldChar w:fldCharType="end"/>
      </w:r>
      <w:bookmarkEnd w:id="378"/>
      <w:r w:rsidRPr="00CE1D7F">
        <w:tab/>
        <w:t>Goulburn-Murray Water’s Modernised Irrigation Supply System</w:t>
      </w:r>
    </w:p>
    <w:tbl>
      <w:tblPr>
        <w:tblStyle w:val="aacTableFigure"/>
        <w:tblW w:w="14846" w:type="dxa"/>
        <w:tblBorders>
          <w:top w:val="single" w:sz="4" w:space="0" w:color="000000"/>
          <w:bottom w:val="single" w:sz="4" w:space="0" w:color="000000"/>
        </w:tblBorders>
        <w:tblLayout w:type="fixed"/>
        <w:tblLook w:val="04A0" w:firstRow="1" w:lastRow="0" w:firstColumn="1" w:lastColumn="0" w:noHBand="0" w:noVBand="1"/>
      </w:tblPr>
      <w:tblGrid>
        <w:gridCol w:w="14846"/>
      </w:tblGrid>
      <w:tr w:rsidR="002B32A0" w:rsidRPr="00CE1D7F" w14:paraId="37109CEC" w14:textId="77777777" w:rsidTr="000B0AC7">
        <w:trPr>
          <w:trHeight w:val="7632"/>
        </w:trPr>
        <w:tc>
          <w:tcPr>
            <w:tcW w:w="14846" w:type="dxa"/>
            <w:shd w:val="clear" w:color="auto" w:fill="auto"/>
          </w:tcPr>
          <w:p w14:paraId="0BC8F2A0" w14:textId="77777777" w:rsidR="002B32A0" w:rsidRPr="00CE1D7F" w:rsidRDefault="002B32A0" w:rsidP="006258ED">
            <w:pPr>
              <w:pStyle w:val="Figure"/>
              <w:jc w:val="center"/>
            </w:pPr>
            <w:r w:rsidRPr="00CE1D7F">
              <w:rPr>
                <w:noProof/>
              </w:rPr>
              <w:drawing>
                <wp:inline distT="0" distB="0" distL="0" distR="0" wp14:anchorId="138EFEDD" wp14:editId="6FD40F4B">
                  <wp:extent cx="9020175" cy="5169768"/>
                  <wp:effectExtent l="0" t="0" r="0" b="0"/>
                  <wp:docPr id="710" name="Picture 710" descr="Goulburn-Murray Water’s Modernised Irrigation Supply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 name="Picture 710" descr="Goulburn-Murray Water’s Modernised Irrigation Supply System"/>
                          <pic:cNvPicPr/>
                        </pic:nvPicPr>
                        <pic:blipFill>
                          <a:blip r:embed="rId183"/>
                          <a:stretch>
                            <a:fillRect/>
                          </a:stretch>
                        </pic:blipFill>
                        <pic:spPr>
                          <a:xfrm>
                            <a:off x="0" y="0"/>
                            <a:ext cx="9035258" cy="5178412"/>
                          </a:xfrm>
                          <a:prstGeom prst="rect">
                            <a:avLst/>
                          </a:prstGeom>
                        </pic:spPr>
                      </pic:pic>
                    </a:graphicData>
                  </a:graphic>
                </wp:inline>
              </w:drawing>
            </w:r>
          </w:p>
        </w:tc>
      </w:tr>
    </w:tbl>
    <w:p w14:paraId="68D6BE3C" w14:textId="77777777" w:rsidR="000B0AC7" w:rsidRPr="00CE1D7F" w:rsidRDefault="000B0AC7" w:rsidP="000B0AC7">
      <w:pPr>
        <w:pStyle w:val="Source"/>
        <w:ind w:left="1308" w:hanging="1308"/>
      </w:pPr>
      <w:r w:rsidRPr="00CE1D7F">
        <w:t>Source: Rubicon Water 2022</w:t>
      </w:r>
    </w:p>
    <w:p w14:paraId="114CEC06" w14:textId="77777777" w:rsidR="000B0AC7" w:rsidRPr="00CE1D7F" w:rsidRDefault="000B0AC7" w:rsidP="006258ED">
      <w:pPr>
        <w:pStyle w:val="spacer"/>
      </w:pPr>
    </w:p>
    <w:p w14:paraId="4015F515" w14:textId="77777777" w:rsidR="002B32A0" w:rsidRPr="00CE1D7F" w:rsidRDefault="002B32A0" w:rsidP="002B32A0">
      <w:pPr>
        <w:sectPr w:rsidR="002B32A0" w:rsidRPr="00CE1D7F" w:rsidSect="00327E78">
          <w:headerReference w:type="default" r:id="rId184"/>
          <w:footerReference w:type="default" r:id="rId185"/>
          <w:pgSz w:w="16839" w:h="11907" w:orient="landscape" w:code="9"/>
          <w:pgMar w:top="1162" w:right="1134" w:bottom="851" w:left="1161" w:header="454" w:footer="159" w:gutter="0"/>
          <w:cols w:space="708"/>
          <w:docGrid w:linePitch="360"/>
        </w:sectPr>
      </w:pPr>
      <w:r w:rsidRPr="00CE1D7F">
        <w:br w:type="page"/>
      </w:r>
    </w:p>
    <w:p w14:paraId="256800FF" w14:textId="77777777" w:rsidR="002B32A0" w:rsidRPr="00CE1D7F" w:rsidRDefault="002B32A0" w:rsidP="00C70B7D">
      <w:pPr>
        <w:pStyle w:val="Heading3"/>
      </w:pPr>
      <w:r w:rsidRPr="00CE1D7F">
        <w:t>Global projects</w:t>
      </w:r>
    </w:p>
    <w:p w14:paraId="21FAEC5D" w14:textId="77777777" w:rsidR="002B32A0" w:rsidRPr="00CE1D7F" w:rsidRDefault="002B32A0" w:rsidP="002B32A0">
      <w:r w:rsidRPr="00CE1D7F">
        <w:t>Rubicon Water’s software and hardware technology automates the operation and management of irrigation districts across 6 continents. Today, Rubicon technology is automating the delivery of water servicing an area of more than 2.5</w:t>
      </w:r>
      <w:r>
        <w:t> million</w:t>
      </w:r>
      <w:r w:rsidRPr="00CE1D7F">
        <w:t xml:space="preserve"> hectares worldwide, supporting annual economic output of more than $17</w:t>
      </w:r>
      <w:r>
        <w:t> billion</w:t>
      </w:r>
      <w:r w:rsidRPr="00CE1D7F">
        <w:t>.</w:t>
      </w:r>
      <w:r w:rsidRPr="00CE1D7F">
        <w:rPr>
          <w:rStyle w:val="FootnoteReference"/>
        </w:rPr>
        <w:footnoteReference w:id="160"/>
      </w:r>
    </w:p>
    <w:p w14:paraId="324A6854" w14:textId="77777777" w:rsidR="002B32A0" w:rsidRPr="00CE1D7F" w:rsidRDefault="002B32A0" w:rsidP="002B32A0">
      <w:r w:rsidRPr="00CE1D7F">
        <w:t>For example, in California, the Oakdale Irrigation District uses a century-old gravity distribution system to divert 370</w:t>
      </w:r>
      <w:r>
        <w:t> gigalitres</w:t>
      </w:r>
      <w:r w:rsidRPr="00CE1D7F">
        <w:t xml:space="preserve"> of water annually to around 3,500 farmers and domestic users across a 29,000-hectare area in the San Joaquin Valley. After installing TCC, the district eliminated unintentional water loss, saving up to 16 megalitres of water per day across just one of the upgraded channels. Across the system, initial water savings are estimated to be up to 40</w:t>
      </w:r>
      <w:r>
        <w:t> gigalitres</w:t>
      </w:r>
      <w:r w:rsidRPr="00CE1D7F">
        <w:t xml:space="preserve"> per year – enough for a city of 500,000 people.</w:t>
      </w:r>
      <w:r w:rsidRPr="00CE1D7F">
        <w:rPr>
          <w:rStyle w:val="FootnoteReference"/>
        </w:rPr>
        <w:footnoteReference w:id="161"/>
      </w:r>
    </w:p>
    <w:p w14:paraId="6B912F5C" w14:textId="77777777" w:rsidR="002B32A0" w:rsidRPr="00CE1D7F" w:rsidRDefault="002B32A0" w:rsidP="002B32A0">
      <w:pPr>
        <w:rPr>
          <w:rFonts w:ascii="MyriadPro-Light" w:hAnsi="MyriadPro-Light" w:cs="MyriadPro-Light"/>
          <w:color w:val="1A1A1A"/>
        </w:rPr>
      </w:pPr>
      <w:r w:rsidRPr="00CE1D7F">
        <w:t>Another example is Rubicon Water’s Angeli-Cerese automated canal system project in Italy. This project signifies the first fully automated Total Channel Control (TCC) project that Rubicon deployed in Europe. In February 2023, Rubicon Water announced that the automation of the network had decreased storage pumping costs for the Italian client by 25% within the first 12 months of the project being rolled out.</w:t>
      </w:r>
      <w:r w:rsidRPr="00CE1D7F">
        <w:rPr>
          <w:rStyle w:val="FootnoteReference"/>
        </w:rPr>
        <w:footnoteReference w:id="162"/>
      </w:r>
    </w:p>
    <w:p w14:paraId="3BD2DC40" w14:textId="77777777" w:rsidR="002B32A0" w:rsidRPr="00CE1D7F" w:rsidRDefault="002B32A0" w:rsidP="002B32A0">
      <w:r w:rsidRPr="00CE1D7F">
        <w:t xml:space="preserve">In early 2019 Rubicon commenced the installation of its largest Indian irrigation modernisation project to date </w:t>
      </w:r>
      <w:bookmarkStart w:id="379" w:name="_Hlk129077499"/>
      <w:r w:rsidRPr="00CE1D7F">
        <w:t>in Karnataka stat</w:t>
      </w:r>
      <w:bookmarkEnd w:id="379"/>
      <w:r w:rsidRPr="00CE1D7F">
        <w:t xml:space="preserve">e. The project, known as the </w:t>
      </w:r>
      <w:bookmarkStart w:id="380" w:name="_Hlk129077473"/>
      <w:r w:rsidRPr="00CE1D7F">
        <w:t>Narayanpur Left Bank Canal (NLBC) Phase II Modernisation Project</w:t>
      </w:r>
      <w:bookmarkEnd w:id="380"/>
      <w:r w:rsidRPr="00CE1D7F">
        <w:t>, was a joint venture with local partner Medha Servo Drives for Krishna Bhagya Jala Nigam Ltd. (KBJNL). The project aimed to improve canal distribution efficiency by up to 20%. Such improvements provide farmers with an equitable and consistent service to promote improved crop vitality and boost the region's economic output.</w:t>
      </w:r>
      <w:r w:rsidRPr="00CE1D7F">
        <w:rPr>
          <w:rStyle w:val="FootnoteReference"/>
        </w:rPr>
        <w:footnoteReference w:id="163"/>
      </w:r>
      <w:r w:rsidRPr="00CE1D7F">
        <w:t xml:space="preserve"> The project specified the scope to install more than 4,200 automated gates to accurately distribute water to farmers across approximately 400,000 hectares of irrigated land. The NLBC Phase II Project is now at the stage of practical completion and early benefits are flowing through for farmers, operators and the economy. </w:t>
      </w:r>
    </w:p>
    <w:p w14:paraId="23585898" w14:textId="77777777" w:rsidR="002B32A0" w:rsidRPr="00CE1D7F" w:rsidRDefault="002B32A0" w:rsidP="002B32A0">
      <w:pPr>
        <w:pStyle w:val="Heading4"/>
      </w:pPr>
      <w:r w:rsidRPr="00CE1D7F">
        <w:t>Alignment with government strategic priorities</w:t>
      </w:r>
    </w:p>
    <w:p w14:paraId="0F4B94CA" w14:textId="77777777" w:rsidR="002B32A0" w:rsidRPr="00CE1D7F" w:rsidRDefault="002B32A0" w:rsidP="002B32A0">
      <w:pPr>
        <w:rPr>
          <w:lang w:eastAsia="ja-JP"/>
        </w:rPr>
      </w:pPr>
      <w:r w:rsidRPr="00CE1D7F">
        <w:rPr>
          <w:lang w:eastAsia="ja-JP"/>
        </w:rPr>
        <w:t xml:space="preserve">The Australian Government has identified </w:t>
      </w:r>
      <w:r>
        <w:rPr>
          <w:lang w:eastAsia="ja-JP"/>
        </w:rPr>
        <w:t xml:space="preserve">9 </w:t>
      </w:r>
      <w:r>
        <w:rPr>
          <w:szCs w:val="24"/>
        </w:rPr>
        <w:t>National</w:t>
      </w:r>
      <w:r w:rsidRPr="00CE1D7F">
        <w:rPr>
          <w:lang w:eastAsia="ja-JP"/>
        </w:rPr>
        <w:t xml:space="preserve"> Science and Research Priorities and associated Practical Research Challenges. The priorities, developed in consultation with leaders from industry, research and government, are designed to focus Australian Government support for science and research on Australia's most important challenges. </w:t>
      </w:r>
      <w:r w:rsidRPr="00CE1D7F">
        <w:t xml:space="preserve">The irrigation automation research collaboration between the University of Melbourne and Rubicon Water are aligned with the Soil and Water priorities. </w:t>
      </w:r>
    </w:p>
    <w:p w14:paraId="6197CD7E" w14:textId="77777777" w:rsidR="002B32A0" w:rsidRPr="00CE1D7F" w:rsidRDefault="002B32A0" w:rsidP="002B32A0">
      <w:r w:rsidRPr="00CE1D7F">
        <w:t xml:space="preserve">The research is also aligned with the Australian Government’s commitment to delivering water security. </w:t>
      </w:r>
      <w:r w:rsidRPr="00CE1D7F">
        <w:rPr>
          <w:lang w:eastAsia="ja-JP"/>
        </w:rPr>
        <w:t>The Australian Government is investing in long-term water security through a range of evidence-based science, planning and construction projects.</w:t>
      </w:r>
      <w:r w:rsidRPr="00CE1D7F">
        <w:t xml:space="preserve"> I</w:t>
      </w:r>
      <w:r w:rsidRPr="00CE1D7F">
        <w:rPr>
          <w:lang w:eastAsia="ja-JP"/>
        </w:rPr>
        <w:t>nvestments in critical water infrastructure projects were a key feature of the 2022 Budget</w:t>
      </w:r>
      <w:r w:rsidRPr="00CE1D7F">
        <w:t xml:space="preserve">, with the Government </w:t>
      </w:r>
      <w:r w:rsidRPr="00CE1D7F">
        <w:rPr>
          <w:lang w:eastAsia="ja-JP"/>
        </w:rPr>
        <w:t>delivering more than $2</w:t>
      </w:r>
      <w:r>
        <w:rPr>
          <w:lang w:eastAsia="ja-JP"/>
        </w:rPr>
        <w:t> billion</w:t>
      </w:r>
      <w:r w:rsidRPr="00CE1D7F">
        <w:rPr>
          <w:lang w:eastAsia="ja-JP"/>
        </w:rPr>
        <w:t xml:space="preserve"> for the Water for Australia Plan. Delivering on Murray-Darling Basin Plan</w:t>
      </w:r>
      <w:r w:rsidRPr="00CE1D7F">
        <w:rPr>
          <w:rStyle w:val="FootnoteReference"/>
          <w:lang w:eastAsia="ja-JP"/>
        </w:rPr>
        <w:footnoteReference w:id="164"/>
      </w:r>
      <w:r w:rsidRPr="00CE1D7F">
        <w:rPr>
          <w:lang w:eastAsia="ja-JP"/>
        </w:rPr>
        <w:t xml:space="preserve"> commitments to return water to the environment is part of the Water for Australia Plan.</w:t>
      </w:r>
      <w:r w:rsidRPr="00CE1D7F">
        <w:rPr>
          <w:rStyle w:val="FootnoteReference"/>
          <w:lang w:eastAsia="ja-JP"/>
        </w:rPr>
        <w:footnoteReference w:id="165"/>
      </w:r>
      <w:r w:rsidRPr="00CE1D7F">
        <w:rPr>
          <w:lang w:eastAsia="ja-JP"/>
        </w:rPr>
        <w:t xml:space="preserve"> </w:t>
      </w:r>
    </w:p>
    <w:p w14:paraId="17B338E3" w14:textId="77777777" w:rsidR="002B32A0" w:rsidRPr="00CE1D7F" w:rsidRDefault="002B32A0" w:rsidP="00C70B7D">
      <w:pPr>
        <w:pStyle w:val="Heading2"/>
      </w:pPr>
      <w:bookmarkStart w:id="381" w:name="_Toc129964032"/>
      <w:bookmarkStart w:id="382" w:name="_Toc131174670"/>
      <w:bookmarkStart w:id="383" w:name="_Toc132970691"/>
      <w:bookmarkStart w:id="384" w:name="_Toc135323730"/>
      <w:r w:rsidRPr="00CE1D7F">
        <w:t>Impacts</w:t>
      </w:r>
      <w:bookmarkEnd w:id="381"/>
      <w:bookmarkEnd w:id="382"/>
      <w:bookmarkEnd w:id="383"/>
      <w:bookmarkEnd w:id="384"/>
    </w:p>
    <w:p w14:paraId="519A1556" w14:textId="77777777" w:rsidR="002B32A0" w:rsidRPr="00CE1D7F" w:rsidRDefault="002B32A0" w:rsidP="00C70B7D">
      <w:pPr>
        <w:pStyle w:val="Heading3"/>
      </w:pPr>
      <w:r w:rsidRPr="00CE1D7F">
        <w:t xml:space="preserve">Economic impacts </w:t>
      </w:r>
    </w:p>
    <w:p w14:paraId="1F3158EA" w14:textId="44C68746" w:rsidR="002B32A0" w:rsidRPr="00CE1D7F" w:rsidRDefault="002B32A0" w:rsidP="002B32A0">
      <w:bookmarkStart w:id="385" w:name="_Hlk129077558"/>
      <w:r w:rsidRPr="00CE1D7F">
        <w:t>The University of Melbourne and Rubicon Water’s research partnership has led to Rubicon Water implementing irrigation automation services that have generated significant benefits through better-managed irrigation networks</w:t>
      </w:r>
      <w:bookmarkEnd w:id="385"/>
      <w:r w:rsidRPr="00CE1D7F">
        <w:t xml:space="preserve">. This economic analysis focuses on the water savings achieved through the Goulburn-Murray Irrigation District Connections Project (see </w:t>
      </w:r>
      <w:r>
        <w:t>section </w:t>
      </w:r>
      <w:r w:rsidRPr="00F87D0E">
        <w:fldChar w:fldCharType="begin"/>
      </w:r>
      <w:r w:rsidRPr="00F87D0E">
        <w:instrText xml:space="preserve"> REF _Ref131174694 \r \h  \* MERGEFORMAT </w:instrText>
      </w:r>
      <w:r w:rsidRPr="00F87D0E">
        <w:fldChar w:fldCharType="separate"/>
      </w:r>
      <w:r w:rsidR="000B0AC7">
        <w:t>9.7.2</w:t>
      </w:r>
      <w:r w:rsidRPr="00F87D0E">
        <w:fldChar w:fldCharType="end"/>
      </w:r>
      <w:r w:rsidRPr="00CE1D7F">
        <w:t>).</w:t>
      </w:r>
      <w:r w:rsidRPr="00CE1D7F">
        <w:rPr>
          <w:rStyle w:val="FootnoteReference"/>
        </w:rPr>
        <w:footnoteReference w:id="166"/>
      </w:r>
      <w:r w:rsidRPr="00CE1D7F">
        <w:t xml:space="preserve"> Unlike the other CBAs conducted for the ARC report, this analysis does not consider attribution.</w:t>
      </w:r>
      <w:r w:rsidRPr="00CE1D7F">
        <w:rPr>
          <w:rStyle w:val="FootnoteReference"/>
        </w:rPr>
        <w:footnoteReference w:id="167"/>
      </w:r>
      <w:r w:rsidRPr="00CE1D7F">
        <w:t xml:space="preserve"> Benefits to international water distributors from international projects will not be estimated in this CBA, as the analysis focuses on benefits to the Australian economy only.</w:t>
      </w:r>
    </w:p>
    <w:p w14:paraId="432CC639" w14:textId="77777777" w:rsidR="002B32A0" w:rsidRPr="00CE1D7F" w:rsidRDefault="002B32A0" w:rsidP="002B32A0">
      <w:pPr>
        <w:pStyle w:val="Heading4"/>
      </w:pPr>
      <w:r w:rsidRPr="00CE1D7F">
        <w:t>Counterfactual</w:t>
      </w:r>
    </w:p>
    <w:p w14:paraId="27BD61E8" w14:textId="77777777" w:rsidR="002B32A0" w:rsidRPr="00CE1D7F" w:rsidRDefault="002B32A0" w:rsidP="002B32A0">
      <w:pPr>
        <w:pStyle w:val="BodyText"/>
      </w:pPr>
      <w:r w:rsidRPr="00CE1D7F">
        <w:t xml:space="preserve">The counterfactual scenario for this analysis describes what would have happened if the Goulburn-Murray Irrigation District Connections Project did not go ahead. Without the Project, the Goulburn-Murray Irrigation District would have continued to operate on a manual irrigation network, which is less cost-efficient and leads to significant water loss, including through spillage. </w:t>
      </w:r>
    </w:p>
    <w:p w14:paraId="2761DC05" w14:textId="77777777" w:rsidR="002B32A0" w:rsidRPr="00CE1D7F" w:rsidRDefault="002B32A0" w:rsidP="002B32A0">
      <w:pPr>
        <w:pStyle w:val="Heading4"/>
      </w:pPr>
      <w:bookmarkStart w:id="386" w:name="_Hlk128124412"/>
      <w:r w:rsidRPr="00CE1D7F">
        <w:t>Methodology and key assumptions</w:t>
      </w:r>
      <w:bookmarkEnd w:id="386"/>
    </w:p>
    <w:p w14:paraId="70428461" w14:textId="77777777" w:rsidR="002B32A0" w:rsidRPr="00CE1D7F" w:rsidRDefault="002B32A0" w:rsidP="002B32A0">
      <w:pPr>
        <w:pStyle w:val="BodyText"/>
      </w:pPr>
      <w:bookmarkStart w:id="387" w:name="_Hlk128124598"/>
      <w:r w:rsidRPr="00CE1D7F">
        <w:t>The CBA estimates the costs and identified benefits of the Connections Project, which was made possible through Rubicon Water’s irrigation automation solution. The CBA compares the total capital expenditure costs of the Goulburn-Murray Irrigation District Connections Project, to the benefits realised by the Goulburn–Murray Rural Water Corporation through water savings and operational expenditure savings.</w:t>
      </w:r>
    </w:p>
    <w:p w14:paraId="42DD71E7" w14:textId="77777777" w:rsidR="002B32A0" w:rsidRPr="00CE1D7F" w:rsidRDefault="002B32A0" w:rsidP="00C70B7D">
      <w:pPr>
        <w:pStyle w:val="BodyText"/>
        <w:keepNext/>
        <w:keepLines/>
      </w:pPr>
      <w:bookmarkStart w:id="388" w:name="_Hlk128124940"/>
      <w:bookmarkEnd w:id="387"/>
      <w:r w:rsidRPr="00CE1D7F">
        <w:t>The following assumptions underpin the CBA:</w:t>
      </w:r>
    </w:p>
    <w:p w14:paraId="44677DB7" w14:textId="77777777" w:rsidR="002B32A0" w:rsidRPr="00CE1D7F" w:rsidRDefault="002B32A0" w:rsidP="00C70B7D">
      <w:pPr>
        <w:pStyle w:val="ListBullet"/>
        <w:keepNext/>
        <w:keepLines/>
        <w:numPr>
          <w:ilvl w:val="0"/>
          <w:numId w:val="43"/>
        </w:numPr>
      </w:pPr>
      <w:r w:rsidRPr="00CE1D7F">
        <w:t>The central case uses a 7% discount rate. A discount rate of 3% was used as a lower-bound sensitivity, and a discount rate of 10% was used as an upper-bound sensitivity.</w:t>
      </w:r>
    </w:p>
    <w:p w14:paraId="514EA44E" w14:textId="77777777" w:rsidR="002B32A0" w:rsidRPr="00CE1D7F" w:rsidRDefault="002B32A0" w:rsidP="002B32A0">
      <w:pPr>
        <w:pStyle w:val="ListBullet"/>
        <w:numPr>
          <w:ilvl w:val="0"/>
          <w:numId w:val="43"/>
        </w:numPr>
      </w:pPr>
      <w:r w:rsidRPr="00CE1D7F">
        <w:t>Ongoing water savings of 433,046 megalitres per year for Goulburn–Murray Rural Water Corporation (2020/21 audit report)</w:t>
      </w:r>
      <w:r w:rsidRPr="00CE1D7F">
        <w:rPr>
          <w:rStyle w:val="FootnoteReference"/>
        </w:rPr>
        <w:footnoteReference w:id="168"/>
      </w:r>
    </w:p>
    <w:p w14:paraId="51022179" w14:textId="77777777" w:rsidR="002B32A0" w:rsidRPr="00CE1D7F" w:rsidRDefault="002B32A0" w:rsidP="002B32A0">
      <w:pPr>
        <w:pStyle w:val="ListBullet"/>
        <w:numPr>
          <w:ilvl w:val="0"/>
          <w:numId w:val="43"/>
        </w:numPr>
      </w:pPr>
      <w:r w:rsidRPr="00CE1D7F">
        <w:t>The price of water per kilolitres in Victoria is $2.99. The cost of water prices in Melbourne, Victoria, in 2020-21 was between $2.63 to $3.35 per kilolitre. An average of the 2 prices was selected for this analysis.</w:t>
      </w:r>
    </w:p>
    <w:p w14:paraId="59CAF054" w14:textId="77777777" w:rsidR="002B32A0" w:rsidRPr="00CE1D7F" w:rsidRDefault="002B32A0" w:rsidP="002B32A0">
      <w:pPr>
        <w:pStyle w:val="ListBullet2"/>
        <w:numPr>
          <w:ilvl w:val="1"/>
          <w:numId w:val="43"/>
        </w:numPr>
      </w:pPr>
      <w:r w:rsidRPr="00CE1D7F">
        <w:t>The price of water per megalitres in Victoria is $2,990.</w:t>
      </w:r>
    </w:p>
    <w:p w14:paraId="5972AA65" w14:textId="77777777" w:rsidR="002B32A0" w:rsidRPr="00CE1D7F" w:rsidRDefault="002B32A0" w:rsidP="002B32A0">
      <w:pPr>
        <w:pStyle w:val="ListBullet"/>
        <w:numPr>
          <w:ilvl w:val="0"/>
          <w:numId w:val="43"/>
        </w:numPr>
      </w:pPr>
      <w:r w:rsidRPr="00CE1D7F">
        <w:t>The analysis period is from 2003 (from the start of ARC funding) to 2037 (35-year analysis period, inclusive of starting year). This is consistent across the ARC case study CBAs.</w:t>
      </w:r>
    </w:p>
    <w:p w14:paraId="1EFFC367" w14:textId="77777777" w:rsidR="002B32A0" w:rsidRPr="00CE1D7F" w:rsidRDefault="002B32A0" w:rsidP="002B32A0">
      <w:pPr>
        <w:pStyle w:val="Heading4"/>
      </w:pPr>
      <w:bookmarkStart w:id="389" w:name="_Hlk128124422"/>
      <w:bookmarkEnd w:id="388"/>
      <w:r w:rsidRPr="00CE1D7F">
        <w:t>Costs</w:t>
      </w:r>
    </w:p>
    <w:bookmarkEnd w:id="389"/>
    <w:p w14:paraId="54F810AC" w14:textId="77777777" w:rsidR="002B32A0" w:rsidRPr="00CE1D7F" w:rsidRDefault="002B32A0" w:rsidP="002B32A0">
      <w:pPr>
        <w:pStyle w:val="BodyText"/>
      </w:pPr>
      <w:r w:rsidRPr="00CE1D7F">
        <w:t>The nominal costs included in the CBA are:</w:t>
      </w:r>
    </w:p>
    <w:p w14:paraId="4BA4708C" w14:textId="33182D79" w:rsidR="002B32A0" w:rsidRPr="00CE1D7F" w:rsidRDefault="002B32A0" w:rsidP="00620885">
      <w:pPr>
        <w:pStyle w:val="ListBullet"/>
      </w:pPr>
      <w:r w:rsidRPr="00CE1D7F">
        <w:t xml:space="preserve">The in-kind and cash Linkage Project costs are presented in </w:t>
      </w:r>
      <w:r>
        <w:t>section </w:t>
      </w:r>
      <w:r w:rsidRPr="00F87D0E">
        <w:fldChar w:fldCharType="begin"/>
      </w:r>
      <w:r w:rsidRPr="00F87D0E">
        <w:instrText xml:space="preserve"> REF _Ref128668331 \n \h  \* MERGEFORMAT </w:instrText>
      </w:r>
      <w:r w:rsidRPr="00F87D0E">
        <w:fldChar w:fldCharType="separate"/>
      </w:r>
      <w:r w:rsidR="000B0AC7">
        <w:t>9.4</w:t>
      </w:r>
      <w:r w:rsidRPr="00F87D0E">
        <w:fldChar w:fldCharType="end"/>
      </w:r>
      <w:r w:rsidRPr="00CE1D7F">
        <w:t>.</w:t>
      </w:r>
    </w:p>
    <w:p w14:paraId="7E7E916F" w14:textId="77777777" w:rsidR="002B32A0" w:rsidRPr="00CE1D7F" w:rsidRDefault="002B32A0" w:rsidP="00620885">
      <w:pPr>
        <w:pStyle w:val="ListBullet"/>
      </w:pPr>
      <w:r w:rsidRPr="00CE1D7F">
        <w:t>The capital expenditure for the Goulburn-Murray Irrigation District Connections Project was contributed by the Victorian Government, Commonwealth Government, and Melbourne retail water corporations.</w:t>
      </w:r>
    </w:p>
    <w:p w14:paraId="589E42B6" w14:textId="77777777" w:rsidR="002B32A0" w:rsidRPr="00CE1D7F" w:rsidRDefault="002B32A0" w:rsidP="00620885">
      <w:pPr>
        <w:pStyle w:val="ListBullet"/>
      </w:pPr>
      <w:r w:rsidRPr="00CE1D7F">
        <w:t>These nominal costs are adjusted for inflation using the Consumer Price Index by year, which produces the real costs (2022 dollars). The costs relating to Rubicon’s operation and the Goulburn-Murray Irrigation District Connections Project were adjusted for attribution to ARC.</w:t>
      </w:r>
    </w:p>
    <w:p w14:paraId="4A7235D4" w14:textId="77777777" w:rsidR="002B32A0" w:rsidRPr="00CE1D7F" w:rsidRDefault="002B32A0" w:rsidP="002B32A0">
      <w:pPr>
        <w:pStyle w:val="Heading4"/>
      </w:pPr>
      <w:bookmarkStart w:id="390" w:name="_Hlk128124430"/>
      <w:r w:rsidRPr="00CE1D7F">
        <w:t>Benefits</w:t>
      </w:r>
    </w:p>
    <w:p w14:paraId="1A87ED92" w14:textId="77777777" w:rsidR="002B32A0" w:rsidRPr="00CE1D7F" w:rsidRDefault="002B32A0" w:rsidP="002B32A0">
      <w:pPr>
        <w:pStyle w:val="BodyText"/>
      </w:pPr>
      <w:bookmarkStart w:id="391" w:name="_Hlk128128409"/>
      <w:bookmarkEnd w:id="390"/>
      <w:r w:rsidRPr="00CE1D7F">
        <w:t>The benefits are:</w:t>
      </w:r>
    </w:p>
    <w:p w14:paraId="6BB1AE90" w14:textId="77777777" w:rsidR="002B32A0" w:rsidRPr="00CE1D7F" w:rsidRDefault="002B32A0" w:rsidP="00620885">
      <w:pPr>
        <w:pStyle w:val="ListBullet"/>
      </w:pPr>
      <w:r w:rsidRPr="00CE1D7F">
        <w:t>Value of water savings achieved through the Goulburn-Murray Irrigation District Connections Project.</w:t>
      </w:r>
    </w:p>
    <w:p w14:paraId="1A82B0D1" w14:textId="77777777" w:rsidR="002B32A0" w:rsidRPr="00CE1D7F" w:rsidRDefault="002B32A0" w:rsidP="00620885">
      <w:pPr>
        <w:pStyle w:val="ListBullet"/>
      </w:pPr>
      <w:r w:rsidRPr="00CE1D7F">
        <w:t>Reduced operational expenditure for the Goulburn-Murray Irrigation District due to moving to an automated irrigation system, contributed by Victoria Government</w:t>
      </w:r>
    </w:p>
    <w:p w14:paraId="22C607FC" w14:textId="77777777" w:rsidR="002B32A0" w:rsidRPr="00CE1D7F" w:rsidRDefault="002B32A0" w:rsidP="002B32A0">
      <w:pPr>
        <w:pStyle w:val="BodyText"/>
      </w:pPr>
      <w:r w:rsidRPr="00CE1D7F">
        <w:t>The nominal benefits by year in terms of the value of water savings are calculated by taking the amount of water saved per year (megalitres) multiplied by the value of water (megalitres):</w:t>
      </w:r>
    </w:p>
    <w:p w14:paraId="222D2205" w14:textId="77777777" w:rsidR="002B32A0" w:rsidRPr="00CE1D7F" w:rsidRDefault="002B32A0" w:rsidP="002B32A0">
      <w:pPr>
        <w:pStyle w:val="BodyText"/>
        <w:rPr>
          <w:rFonts w:eastAsiaTheme="minorEastAsia"/>
        </w:rPr>
      </w:pPr>
      <m:oMathPara>
        <m:oMath>
          <m:r>
            <w:rPr>
              <w:rFonts w:ascii="Cambria Math" w:hAnsi="Cambria Math"/>
            </w:rPr>
            <m:t>Quantity of water saved</m:t>
          </m:r>
          <m:d>
            <m:dPr>
              <m:ctrlPr>
                <w:rPr>
                  <w:rFonts w:ascii="Cambria Math" w:hAnsi="Cambria Math"/>
                  <w:i/>
                </w:rPr>
              </m:ctrlPr>
            </m:dPr>
            <m:e>
              <m:r>
                <w:rPr>
                  <w:rFonts w:ascii="Cambria Math" w:hAnsi="Cambria Math"/>
                </w:rPr>
                <m:t>ML</m:t>
              </m:r>
            </m:e>
          </m:d>
          <m:r>
            <w:rPr>
              <w:rFonts w:ascii="Cambria Math" w:hAnsi="Cambria Math"/>
            </w:rPr>
            <m:t xml:space="preserve">×Cost of water </m:t>
          </m:r>
          <m:d>
            <m:dPr>
              <m:ctrlPr>
                <w:rPr>
                  <w:rFonts w:ascii="Cambria Math" w:hAnsi="Cambria Math"/>
                  <w:i/>
                </w:rPr>
              </m:ctrlPr>
            </m:dPr>
            <m:e>
              <m:r>
                <w:rPr>
                  <w:rFonts w:ascii="Cambria Math" w:hAnsi="Cambria Math"/>
                </w:rPr>
                <m:t>$/ML</m:t>
              </m:r>
            </m:e>
          </m:d>
          <m:r>
            <w:rPr>
              <w:rFonts w:ascii="Cambria Math" w:hAnsi="Cambria Math"/>
            </w:rPr>
            <m:t>=Nominal benefit ($)</m:t>
          </m:r>
          <m:r>
            <w:rPr>
              <w:rStyle w:val="FootnoteReference"/>
              <w:rFonts w:ascii="Cambria Math" w:hAnsi="Cambria Math"/>
              <w:i/>
            </w:rPr>
            <w:footnoteReference w:id="169"/>
          </m:r>
        </m:oMath>
      </m:oMathPara>
    </w:p>
    <w:p w14:paraId="387EDAA1" w14:textId="77777777" w:rsidR="002B32A0" w:rsidRPr="00CE1D7F" w:rsidRDefault="002B32A0" w:rsidP="002B32A0">
      <w:pPr>
        <w:pStyle w:val="BodyText"/>
      </w:pPr>
      <w:r w:rsidRPr="00CE1D7F">
        <w:t xml:space="preserve">The nominal benefits by year in terms of the operational expenditure savings are calculated by taking the operational savings per year ($) </w:t>
      </w:r>
    </w:p>
    <w:p w14:paraId="759630E5" w14:textId="77777777" w:rsidR="002B32A0" w:rsidRPr="00CE1D7F" w:rsidRDefault="002B32A0" w:rsidP="002B32A0">
      <w:pPr>
        <w:pStyle w:val="BodyText"/>
        <w:rPr>
          <w:rFonts w:eastAsiaTheme="minorEastAsia"/>
        </w:rPr>
      </w:pPr>
      <m:oMathPara>
        <m:oMath>
          <m:r>
            <w:rPr>
              <w:rFonts w:ascii="Cambria Math" w:hAnsi="Cambria Math"/>
            </w:rPr>
            <m:t xml:space="preserve">Operational expenditure reference case </m:t>
          </m:r>
          <m:d>
            <m:dPr>
              <m:ctrlPr>
                <w:rPr>
                  <w:rFonts w:ascii="Cambria Math" w:hAnsi="Cambria Math"/>
                  <w:i/>
                </w:rPr>
              </m:ctrlPr>
            </m:dPr>
            <m:e>
              <m:r>
                <w:rPr>
                  <w:rFonts w:ascii="Cambria Math" w:hAnsi="Cambria Math"/>
                </w:rPr>
                <m:t>$</m:t>
              </m:r>
            </m:e>
          </m:d>
          <m:r>
            <w:rPr>
              <w:rFonts w:ascii="Cambria Math" w:hAnsi="Cambria Math"/>
            </w:rPr>
            <m:t xml:space="preserve">-operational expenditure counterfactual </m:t>
          </m:r>
          <m:d>
            <m:dPr>
              <m:ctrlPr>
                <w:rPr>
                  <w:rFonts w:ascii="Cambria Math" w:hAnsi="Cambria Math"/>
                  <w:i/>
                </w:rPr>
              </m:ctrlPr>
            </m:dPr>
            <m:e>
              <m:r>
                <w:rPr>
                  <w:rFonts w:ascii="Cambria Math" w:hAnsi="Cambria Math"/>
                </w:rPr>
                <m:t>$</m:t>
              </m:r>
            </m:e>
          </m:d>
          <m:r>
            <w:rPr>
              <w:rFonts w:ascii="Cambria Math" w:hAnsi="Cambria Math"/>
            </w:rPr>
            <m:t>=Operational expenditure savings ($)=Nominal benefit ($)</m:t>
          </m:r>
          <m:r>
            <w:rPr>
              <w:rStyle w:val="FootnoteReference"/>
              <w:rFonts w:ascii="Cambria Math" w:hAnsi="Cambria Math"/>
              <w:i/>
            </w:rPr>
            <w:footnoteReference w:id="170"/>
          </m:r>
        </m:oMath>
      </m:oMathPara>
    </w:p>
    <w:p w14:paraId="1DDEBC4D" w14:textId="77777777" w:rsidR="002B32A0" w:rsidRPr="00CE1D7F" w:rsidRDefault="002B32A0" w:rsidP="002B32A0">
      <w:pPr>
        <w:pStyle w:val="BodyText"/>
      </w:pPr>
      <w:r w:rsidRPr="00CE1D7F">
        <w:t xml:space="preserve">These nominal benefits are adjusted for inflation using the CPI by year, which produces the real benefits (2022 dollars). </w:t>
      </w:r>
    </w:p>
    <w:bookmarkEnd w:id="391"/>
    <w:p w14:paraId="04EA9A3C" w14:textId="77777777" w:rsidR="002B32A0" w:rsidRPr="00CE1D7F" w:rsidRDefault="002B32A0" w:rsidP="002B32A0">
      <w:pPr>
        <w:pStyle w:val="Heading4"/>
      </w:pPr>
      <w:r w:rsidRPr="00CE1D7F">
        <w:t>Calculation of NPV and CBR</w:t>
      </w:r>
    </w:p>
    <w:p w14:paraId="372BB57B" w14:textId="41558880" w:rsidR="002B32A0" w:rsidRPr="00CE1D7F" w:rsidRDefault="002B32A0" w:rsidP="002B32A0">
      <w:pPr>
        <w:pStyle w:val="BodyText"/>
      </w:pPr>
      <w:r w:rsidRPr="00CE1D7F">
        <w:t xml:space="preserve">The estimated benefits and costs are provided in </w:t>
      </w:r>
      <w:r w:rsidRPr="00F87D0E">
        <w:fldChar w:fldCharType="begin"/>
      </w:r>
      <w:r w:rsidRPr="00F87D0E">
        <w:instrText xml:space="preserve"> REF _Ref129349424 \h  \* MERGEFORMAT </w:instrText>
      </w:r>
      <w:r w:rsidRPr="00F87D0E">
        <w:fldChar w:fldCharType="separate"/>
      </w:r>
      <w:r w:rsidR="000B0AC7" w:rsidRPr="000B0AC7">
        <w:t>Table 9.2</w:t>
      </w:r>
      <w:r w:rsidRPr="00F87D0E">
        <w:fldChar w:fldCharType="end"/>
      </w:r>
      <w:r w:rsidRPr="00CE1D7F">
        <w:t xml:space="preserve"> for discount rates of 3, 7 and 10%. </w:t>
      </w:r>
    </w:p>
    <w:p w14:paraId="22DE06AD" w14:textId="77777777" w:rsidR="002B32A0" w:rsidRPr="00CE1D7F" w:rsidRDefault="002B32A0" w:rsidP="002B32A0">
      <w:pPr>
        <w:pStyle w:val="BodyText"/>
      </w:pPr>
      <w:r w:rsidRPr="00CE1D7F">
        <w:t>The benefit-cost ratio (BCR), obtained by dividing the present value of benefits by the present value of costs using a 7% real discount rate, is positive at a value of 2.94. The present value of costs is $4.9</w:t>
      </w:r>
      <w:r>
        <w:t> billion</w:t>
      </w:r>
      <w:r w:rsidRPr="00CE1D7F">
        <w:t>. The benefits are estimated at $14.6</w:t>
      </w:r>
      <w:r>
        <w:t> billion</w:t>
      </w:r>
      <w:r w:rsidRPr="00CE1D7F">
        <w:t>, resulting in an NPV of $9.7</w:t>
      </w:r>
      <w:r>
        <w:t> billion</w:t>
      </w:r>
    </w:p>
    <w:p w14:paraId="3AB2F044" w14:textId="4A24D00B" w:rsidR="002B32A0" w:rsidRPr="00CE1D7F" w:rsidRDefault="002B32A0" w:rsidP="000B0AC7">
      <w:pPr>
        <w:pStyle w:val="Caption"/>
        <w:ind w:left="1227" w:hanging="1308"/>
      </w:pPr>
      <w:bookmarkStart w:id="392" w:name="_Ref129349424"/>
      <w:r w:rsidRPr="00CE1D7F">
        <w:rPr>
          <w:rStyle w:val="CaptionLabel"/>
        </w:rPr>
        <w:t>Table </w:t>
      </w:r>
      <w:r w:rsidRPr="00CE1D7F">
        <w:rPr>
          <w:rStyle w:val="CaptionLabel"/>
        </w:rPr>
        <w:fldChar w:fldCharType="begin"/>
      </w:r>
      <w:r w:rsidRPr="00CE1D7F">
        <w:rPr>
          <w:rStyle w:val="CaptionLabel"/>
        </w:rPr>
        <w:instrText xml:space="preserve"> STYLEREF 1 \S \* MERGEFORMAT </w:instrText>
      </w:r>
      <w:r w:rsidRPr="00CE1D7F">
        <w:rPr>
          <w:rStyle w:val="CaptionLabel"/>
        </w:rPr>
        <w:fldChar w:fldCharType="separate"/>
      </w:r>
      <w:r w:rsidR="000B0AC7">
        <w:rPr>
          <w:rStyle w:val="CaptionLabel"/>
          <w:noProof/>
        </w:rPr>
        <w:t>9</w:t>
      </w:r>
      <w:r w:rsidRPr="00CE1D7F">
        <w:rPr>
          <w:rStyle w:val="CaptionLabel"/>
        </w:rPr>
        <w:fldChar w:fldCharType="end"/>
      </w:r>
      <w:r w:rsidRPr="00CE1D7F">
        <w:rPr>
          <w:rStyle w:val="CaptionLabel"/>
        </w:rPr>
        <w:t>.</w:t>
      </w:r>
      <w:r w:rsidRPr="00CE1D7F">
        <w:rPr>
          <w:rStyle w:val="CaptionLabel"/>
        </w:rPr>
        <w:fldChar w:fldCharType="begin"/>
      </w:r>
      <w:r w:rsidRPr="00CE1D7F">
        <w:rPr>
          <w:rStyle w:val="CaptionLabel"/>
        </w:rPr>
        <w:instrText xml:space="preserve"> SEQ Table \* ARABIC \S 1 \* MERGEFORMAT </w:instrText>
      </w:r>
      <w:r w:rsidRPr="00CE1D7F">
        <w:rPr>
          <w:rStyle w:val="CaptionLabel"/>
        </w:rPr>
        <w:fldChar w:fldCharType="separate"/>
      </w:r>
      <w:r w:rsidR="000B0AC7">
        <w:rPr>
          <w:rStyle w:val="CaptionLabel"/>
          <w:noProof/>
        </w:rPr>
        <w:t>2</w:t>
      </w:r>
      <w:r w:rsidRPr="00CE1D7F">
        <w:rPr>
          <w:rStyle w:val="CaptionLabel"/>
        </w:rPr>
        <w:fldChar w:fldCharType="end"/>
      </w:r>
      <w:bookmarkEnd w:id="392"/>
      <w:r w:rsidRPr="00CE1D7F">
        <w:tab/>
        <w:t>Summary of benefits and costs (2022$)</w:t>
      </w:r>
    </w:p>
    <w:tbl>
      <w:tblPr>
        <w:tblStyle w:val="aacTableBasic"/>
        <w:tblW w:w="8017" w:type="dxa"/>
        <w:tblInd w:w="-81" w:type="dxa"/>
        <w:tblLayout w:type="fixed"/>
        <w:tblLook w:val="04A0" w:firstRow="1" w:lastRow="0" w:firstColumn="1" w:lastColumn="0" w:noHBand="0" w:noVBand="1"/>
        <w:tblCaption w:val="Table 9.2 "/>
        <w:tblDescription w:val="Summary of benefits and costs (2022$)"/>
      </w:tblPr>
      <w:tblGrid>
        <w:gridCol w:w="3092"/>
        <w:gridCol w:w="1641"/>
        <w:gridCol w:w="1641"/>
        <w:gridCol w:w="1643"/>
      </w:tblGrid>
      <w:tr w:rsidR="002B32A0" w:rsidRPr="00CE1D7F" w14:paraId="4D552465" w14:textId="77777777" w:rsidTr="000B0AC7">
        <w:trPr>
          <w:cnfStyle w:val="100000000000" w:firstRow="1" w:lastRow="0" w:firstColumn="0" w:lastColumn="0" w:oddVBand="0" w:evenVBand="0" w:oddHBand="0" w:evenHBand="0" w:firstRowFirstColumn="0" w:firstRowLastColumn="0" w:lastRowFirstColumn="0" w:lastRowLastColumn="0"/>
          <w:trHeight w:val="323"/>
        </w:trPr>
        <w:tc>
          <w:tcPr>
            <w:tcW w:w="3092" w:type="dxa"/>
            <w:tcBorders>
              <w:top w:val="nil"/>
            </w:tcBorders>
            <w:shd w:val="solid" w:color="140034" w:fill="140034"/>
            <w:tcMar>
              <w:left w:w="80" w:type="dxa"/>
            </w:tcMar>
          </w:tcPr>
          <w:p w14:paraId="7DB83D3C" w14:textId="77777777" w:rsidR="002B32A0" w:rsidRPr="00CE1D7F" w:rsidRDefault="002B32A0" w:rsidP="006258ED">
            <w:pPr>
              <w:pStyle w:val="Tablecolumnheadings"/>
            </w:pPr>
          </w:p>
        </w:tc>
        <w:tc>
          <w:tcPr>
            <w:tcW w:w="1641" w:type="dxa"/>
            <w:tcBorders>
              <w:top w:val="nil"/>
            </w:tcBorders>
            <w:shd w:val="solid" w:color="140034" w:fill="140034"/>
            <w:hideMark/>
          </w:tcPr>
          <w:p w14:paraId="20123384" w14:textId="77777777" w:rsidR="002B32A0" w:rsidRPr="00CE1D7F" w:rsidRDefault="002B32A0" w:rsidP="006258ED">
            <w:pPr>
              <w:pStyle w:val="Tablecolumnheadings"/>
              <w:jc w:val="center"/>
            </w:pPr>
            <w:r w:rsidRPr="00CE1D7F">
              <w:t>Discount rate 3%</w:t>
            </w:r>
          </w:p>
        </w:tc>
        <w:tc>
          <w:tcPr>
            <w:tcW w:w="1641" w:type="dxa"/>
            <w:tcBorders>
              <w:top w:val="nil"/>
            </w:tcBorders>
            <w:shd w:val="solid" w:color="140034" w:fill="140034"/>
            <w:hideMark/>
          </w:tcPr>
          <w:p w14:paraId="754F0739" w14:textId="77777777" w:rsidR="002B32A0" w:rsidRPr="00CE1D7F" w:rsidRDefault="002B32A0" w:rsidP="006258ED">
            <w:pPr>
              <w:pStyle w:val="Tablecolumnheadings"/>
              <w:jc w:val="center"/>
            </w:pPr>
            <w:r w:rsidRPr="00CE1D7F">
              <w:t>Discount rate 7%</w:t>
            </w:r>
          </w:p>
        </w:tc>
        <w:tc>
          <w:tcPr>
            <w:tcW w:w="1643" w:type="dxa"/>
            <w:tcBorders>
              <w:top w:val="nil"/>
            </w:tcBorders>
            <w:shd w:val="solid" w:color="140034" w:fill="140034"/>
            <w:hideMark/>
          </w:tcPr>
          <w:p w14:paraId="73D4FF5A" w14:textId="77777777" w:rsidR="002B32A0" w:rsidRPr="00CE1D7F" w:rsidRDefault="002B32A0" w:rsidP="006258ED">
            <w:pPr>
              <w:pStyle w:val="Tablecolumnheadings"/>
              <w:jc w:val="center"/>
            </w:pPr>
            <w:r w:rsidRPr="00CE1D7F">
              <w:t>Discount rate 10%</w:t>
            </w:r>
          </w:p>
        </w:tc>
      </w:tr>
      <w:tr w:rsidR="002B32A0" w:rsidRPr="00CE1D7F" w14:paraId="0B83EAB1" w14:textId="77777777" w:rsidTr="000B0AC7">
        <w:trPr>
          <w:trHeight w:val="290"/>
        </w:trPr>
        <w:tc>
          <w:tcPr>
            <w:tcW w:w="3092" w:type="dxa"/>
            <w:tcMar>
              <w:left w:w="80" w:type="dxa"/>
            </w:tcMar>
            <w:hideMark/>
          </w:tcPr>
          <w:p w14:paraId="5662048A" w14:textId="77777777" w:rsidR="002B32A0" w:rsidRPr="00CE1D7F" w:rsidRDefault="002B32A0" w:rsidP="006258ED">
            <w:pPr>
              <w:pStyle w:val="Tableunitsrow"/>
              <w:rPr>
                <w:b/>
                <w:bCs/>
              </w:rPr>
            </w:pPr>
            <w:r w:rsidRPr="00CE1D7F">
              <w:rPr>
                <w:b/>
                <w:bCs/>
              </w:rPr>
              <w:t>Present value costs</w:t>
            </w:r>
          </w:p>
        </w:tc>
        <w:tc>
          <w:tcPr>
            <w:tcW w:w="1641" w:type="dxa"/>
          </w:tcPr>
          <w:p w14:paraId="095517C6" w14:textId="77777777" w:rsidR="002B32A0" w:rsidRPr="00A014AC" w:rsidRDefault="002B32A0" w:rsidP="006258ED">
            <w:pPr>
              <w:pStyle w:val="Tableunitsrow"/>
            </w:pPr>
          </w:p>
        </w:tc>
        <w:tc>
          <w:tcPr>
            <w:tcW w:w="1641" w:type="dxa"/>
          </w:tcPr>
          <w:p w14:paraId="207DC127" w14:textId="77777777" w:rsidR="002B32A0" w:rsidRPr="00A014AC" w:rsidRDefault="002B32A0" w:rsidP="006258ED">
            <w:pPr>
              <w:pStyle w:val="Tableunitsrow"/>
            </w:pPr>
          </w:p>
        </w:tc>
        <w:tc>
          <w:tcPr>
            <w:tcW w:w="1643" w:type="dxa"/>
          </w:tcPr>
          <w:p w14:paraId="1367ADD1" w14:textId="77777777" w:rsidR="002B32A0" w:rsidRPr="00A014AC" w:rsidRDefault="002B32A0" w:rsidP="006258ED">
            <w:pPr>
              <w:pStyle w:val="Tableunitsrow"/>
            </w:pPr>
          </w:p>
        </w:tc>
      </w:tr>
      <w:tr w:rsidR="002B32A0" w:rsidRPr="00CE1D7F" w14:paraId="10495B05" w14:textId="77777777" w:rsidTr="000B0AC7">
        <w:trPr>
          <w:trHeight w:val="290"/>
        </w:trPr>
        <w:tc>
          <w:tcPr>
            <w:tcW w:w="3092" w:type="dxa"/>
            <w:tcMar>
              <w:left w:w="80" w:type="dxa"/>
            </w:tcMar>
          </w:tcPr>
          <w:p w14:paraId="5ECF51E1" w14:textId="77777777" w:rsidR="002B32A0" w:rsidRPr="00CE1D7F" w:rsidRDefault="002B32A0" w:rsidP="006258ED">
            <w:pPr>
              <w:pStyle w:val="Tabletext"/>
            </w:pPr>
            <w:r w:rsidRPr="00CE1D7F">
              <w:t>ARC research grant costs</w:t>
            </w:r>
          </w:p>
        </w:tc>
        <w:tc>
          <w:tcPr>
            <w:tcW w:w="1641" w:type="dxa"/>
          </w:tcPr>
          <w:p w14:paraId="52850CD0" w14:textId="77777777" w:rsidR="002B32A0" w:rsidRPr="00CE1D7F" w:rsidRDefault="002B32A0" w:rsidP="006258ED">
            <w:pPr>
              <w:pStyle w:val="Tabletext"/>
              <w:jc w:val="center"/>
            </w:pPr>
            <w:r w:rsidRPr="00CE1D7F">
              <w:t>$10,645,694</w:t>
            </w:r>
          </w:p>
        </w:tc>
        <w:tc>
          <w:tcPr>
            <w:tcW w:w="1641" w:type="dxa"/>
          </w:tcPr>
          <w:p w14:paraId="55496CDD" w14:textId="77777777" w:rsidR="002B32A0" w:rsidRPr="00CE1D7F" w:rsidRDefault="002B32A0" w:rsidP="006258ED">
            <w:pPr>
              <w:pStyle w:val="Tabletext"/>
              <w:jc w:val="center"/>
            </w:pPr>
            <w:r w:rsidRPr="00CE1D7F">
              <w:t>$15,607,885</w:t>
            </w:r>
          </w:p>
        </w:tc>
        <w:tc>
          <w:tcPr>
            <w:tcW w:w="1643" w:type="dxa"/>
          </w:tcPr>
          <w:p w14:paraId="7CE24A4D" w14:textId="77777777" w:rsidR="002B32A0" w:rsidRPr="00CE1D7F" w:rsidRDefault="002B32A0" w:rsidP="006258ED">
            <w:pPr>
              <w:pStyle w:val="Tabletext"/>
              <w:jc w:val="center"/>
            </w:pPr>
            <w:r w:rsidRPr="00CE1D7F">
              <w:t>$21,229,783</w:t>
            </w:r>
          </w:p>
        </w:tc>
      </w:tr>
      <w:tr w:rsidR="002B32A0" w:rsidRPr="00CE1D7F" w14:paraId="1A23FBD5" w14:textId="77777777" w:rsidTr="000B0AC7">
        <w:trPr>
          <w:trHeight w:val="290"/>
        </w:trPr>
        <w:tc>
          <w:tcPr>
            <w:tcW w:w="3092" w:type="dxa"/>
            <w:tcMar>
              <w:left w:w="80" w:type="dxa"/>
            </w:tcMar>
          </w:tcPr>
          <w:p w14:paraId="693589C8" w14:textId="77777777" w:rsidR="002B32A0" w:rsidRPr="00CE1D7F" w:rsidDel="005B3D23" w:rsidRDefault="002B32A0" w:rsidP="006258ED">
            <w:pPr>
              <w:pStyle w:val="Tabletext"/>
            </w:pPr>
            <w:r w:rsidRPr="00CE1D7F">
              <w:t>Goulburn-Murray Water Connections Project costs</w:t>
            </w:r>
          </w:p>
        </w:tc>
        <w:tc>
          <w:tcPr>
            <w:tcW w:w="1641" w:type="dxa"/>
          </w:tcPr>
          <w:p w14:paraId="45F3BBFC" w14:textId="77777777" w:rsidR="002B32A0" w:rsidRPr="00CE1D7F" w:rsidRDefault="002B32A0" w:rsidP="006258ED">
            <w:pPr>
              <w:pStyle w:val="Tabletext"/>
              <w:jc w:val="center"/>
            </w:pPr>
            <w:r w:rsidRPr="00CE1D7F">
              <w:t>$3,327,597,429</w:t>
            </w:r>
          </w:p>
        </w:tc>
        <w:tc>
          <w:tcPr>
            <w:tcW w:w="1641" w:type="dxa"/>
          </w:tcPr>
          <w:p w14:paraId="327F95D4" w14:textId="77777777" w:rsidR="002B32A0" w:rsidRPr="00CE1D7F" w:rsidRDefault="002B32A0" w:rsidP="006258ED">
            <w:pPr>
              <w:pStyle w:val="Tabletext"/>
              <w:jc w:val="center"/>
            </w:pPr>
            <w:r w:rsidRPr="00CE1D7F">
              <w:t>$4,959,870,059</w:t>
            </w:r>
          </w:p>
        </w:tc>
        <w:tc>
          <w:tcPr>
            <w:tcW w:w="1643" w:type="dxa"/>
          </w:tcPr>
          <w:p w14:paraId="63A3B357" w14:textId="77777777" w:rsidR="002B32A0" w:rsidRPr="00CE1D7F" w:rsidRDefault="002B32A0" w:rsidP="006258ED">
            <w:pPr>
              <w:pStyle w:val="Tabletext"/>
              <w:jc w:val="center"/>
            </w:pPr>
            <w:r w:rsidRPr="00CE1D7F">
              <w:t>$6,627,848,494</w:t>
            </w:r>
          </w:p>
        </w:tc>
      </w:tr>
      <w:tr w:rsidR="002B32A0" w:rsidRPr="00CE1D7F" w14:paraId="4739A4AD" w14:textId="77777777" w:rsidTr="000B0AC7">
        <w:trPr>
          <w:trHeight w:val="290"/>
        </w:trPr>
        <w:tc>
          <w:tcPr>
            <w:tcW w:w="3092" w:type="dxa"/>
            <w:tcMar>
              <w:left w:w="80" w:type="dxa"/>
            </w:tcMar>
          </w:tcPr>
          <w:p w14:paraId="7180CB14" w14:textId="77777777" w:rsidR="002B32A0" w:rsidRPr="00CE1D7F" w:rsidRDefault="002B32A0" w:rsidP="006258ED">
            <w:pPr>
              <w:pStyle w:val="Tabletext"/>
              <w:rPr>
                <w:i/>
                <w:iCs/>
              </w:rPr>
            </w:pPr>
            <w:r w:rsidRPr="00CE1D7F">
              <w:rPr>
                <w:i/>
                <w:iCs/>
              </w:rPr>
              <w:t>Total PV costs</w:t>
            </w:r>
          </w:p>
        </w:tc>
        <w:tc>
          <w:tcPr>
            <w:tcW w:w="1641" w:type="dxa"/>
          </w:tcPr>
          <w:p w14:paraId="74FBC103" w14:textId="77777777" w:rsidR="002B32A0" w:rsidRPr="00CE1D7F" w:rsidRDefault="002B32A0" w:rsidP="006258ED">
            <w:pPr>
              <w:pStyle w:val="Tabletext"/>
              <w:jc w:val="center"/>
              <w:rPr>
                <w:i/>
                <w:iCs/>
              </w:rPr>
            </w:pPr>
            <w:r w:rsidRPr="00CE1D7F">
              <w:rPr>
                <w:i/>
                <w:iCs/>
              </w:rPr>
              <w:t>$3,338,243,123</w:t>
            </w:r>
          </w:p>
        </w:tc>
        <w:tc>
          <w:tcPr>
            <w:tcW w:w="1641" w:type="dxa"/>
          </w:tcPr>
          <w:p w14:paraId="79288EF1" w14:textId="77777777" w:rsidR="002B32A0" w:rsidRPr="00CE1D7F" w:rsidRDefault="002B32A0" w:rsidP="006258ED">
            <w:pPr>
              <w:pStyle w:val="Tabletext"/>
              <w:jc w:val="center"/>
              <w:rPr>
                <w:i/>
                <w:iCs/>
              </w:rPr>
            </w:pPr>
            <w:r w:rsidRPr="00CE1D7F">
              <w:rPr>
                <w:i/>
                <w:iCs/>
              </w:rPr>
              <w:t>$4,975,477,944</w:t>
            </w:r>
          </w:p>
        </w:tc>
        <w:tc>
          <w:tcPr>
            <w:tcW w:w="1643" w:type="dxa"/>
          </w:tcPr>
          <w:p w14:paraId="2400A153" w14:textId="77777777" w:rsidR="002B32A0" w:rsidRPr="00CE1D7F" w:rsidRDefault="002B32A0" w:rsidP="006258ED">
            <w:pPr>
              <w:pStyle w:val="Tabletext"/>
              <w:jc w:val="center"/>
              <w:rPr>
                <w:i/>
                <w:iCs/>
              </w:rPr>
            </w:pPr>
            <w:r w:rsidRPr="00CE1D7F">
              <w:rPr>
                <w:i/>
                <w:iCs/>
              </w:rPr>
              <w:t>$6,649,078,277</w:t>
            </w:r>
          </w:p>
        </w:tc>
      </w:tr>
      <w:tr w:rsidR="002B32A0" w:rsidRPr="00CE1D7F" w14:paraId="73AC0300" w14:textId="77777777" w:rsidTr="000B0AC7">
        <w:trPr>
          <w:trHeight w:val="275"/>
        </w:trPr>
        <w:tc>
          <w:tcPr>
            <w:tcW w:w="3092" w:type="dxa"/>
            <w:tcMar>
              <w:left w:w="80" w:type="dxa"/>
            </w:tcMar>
            <w:hideMark/>
          </w:tcPr>
          <w:p w14:paraId="096F4B2E" w14:textId="77777777" w:rsidR="002B32A0" w:rsidRPr="00CE1D7F" w:rsidRDefault="002B32A0" w:rsidP="006258ED">
            <w:pPr>
              <w:pStyle w:val="Tableunitsrow"/>
              <w:rPr>
                <w:b/>
                <w:bCs/>
              </w:rPr>
            </w:pPr>
            <w:r w:rsidRPr="00CE1D7F">
              <w:rPr>
                <w:b/>
                <w:bCs/>
              </w:rPr>
              <w:t>Present value benefits</w:t>
            </w:r>
          </w:p>
        </w:tc>
        <w:tc>
          <w:tcPr>
            <w:tcW w:w="1641" w:type="dxa"/>
          </w:tcPr>
          <w:p w14:paraId="0DA3DE62" w14:textId="77777777" w:rsidR="002B32A0" w:rsidRPr="00A014AC" w:rsidRDefault="002B32A0" w:rsidP="006258ED">
            <w:pPr>
              <w:pStyle w:val="Tableunitsrow"/>
              <w:jc w:val="center"/>
            </w:pPr>
          </w:p>
        </w:tc>
        <w:tc>
          <w:tcPr>
            <w:tcW w:w="1641" w:type="dxa"/>
          </w:tcPr>
          <w:p w14:paraId="629711B1" w14:textId="77777777" w:rsidR="002B32A0" w:rsidRPr="00A014AC" w:rsidRDefault="002B32A0" w:rsidP="006258ED">
            <w:pPr>
              <w:pStyle w:val="Tableunitsrow"/>
              <w:jc w:val="center"/>
            </w:pPr>
          </w:p>
        </w:tc>
        <w:tc>
          <w:tcPr>
            <w:tcW w:w="1643" w:type="dxa"/>
          </w:tcPr>
          <w:p w14:paraId="588EA710" w14:textId="77777777" w:rsidR="002B32A0" w:rsidRPr="00A014AC" w:rsidRDefault="002B32A0" w:rsidP="006258ED">
            <w:pPr>
              <w:pStyle w:val="Tableunitsrow"/>
              <w:jc w:val="center"/>
            </w:pPr>
          </w:p>
        </w:tc>
      </w:tr>
      <w:tr w:rsidR="002B32A0" w:rsidRPr="00CE1D7F" w14:paraId="05781669" w14:textId="77777777" w:rsidTr="000B0AC7">
        <w:trPr>
          <w:trHeight w:val="290"/>
        </w:trPr>
        <w:tc>
          <w:tcPr>
            <w:tcW w:w="3092" w:type="dxa"/>
            <w:tcMar>
              <w:left w:w="80" w:type="dxa"/>
            </w:tcMar>
          </w:tcPr>
          <w:p w14:paraId="28FC1050" w14:textId="77777777" w:rsidR="002B32A0" w:rsidRPr="00CE1D7F" w:rsidRDefault="002B32A0" w:rsidP="006258ED">
            <w:pPr>
              <w:pStyle w:val="Tabletext"/>
            </w:pPr>
            <w:r w:rsidRPr="00CE1D7F">
              <w:t>Benefit to Water Distributor (water savings)</w:t>
            </w:r>
          </w:p>
        </w:tc>
        <w:tc>
          <w:tcPr>
            <w:tcW w:w="1641" w:type="dxa"/>
          </w:tcPr>
          <w:p w14:paraId="690A8388" w14:textId="77777777" w:rsidR="002B32A0" w:rsidRPr="00CE1D7F" w:rsidRDefault="002B32A0" w:rsidP="006258ED">
            <w:pPr>
              <w:pStyle w:val="Tabletext"/>
              <w:jc w:val="center"/>
            </w:pPr>
            <w:r w:rsidRPr="00CE1D7F">
              <w:t>$18,147,220,251</w:t>
            </w:r>
          </w:p>
        </w:tc>
        <w:tc>
          <w:tcPr>
            <w:tcW w:w="1641" w:type="dxa"/>
          </w:tcPr>
          <w:p w14:paraId="5364FAA1" w14:textId="77777777" w:rsidR="002B32A0" w:rsidRPr="00CE1D7F" w:rsidRDefault="002B32A0" w:rsidP="006258ED">
            <w:pPr>
              <w:pStyle w:val="Tabletext"/>
              <w:jc w:val="center"/>
            </w:pPr>
            <w:r w:rsidRPr="00CE1D7F">
              <w:t>$14,537,062,659</w:t>
            </w:r>
          </w:p>
        </w:tc>
        <w:tc>
          <w:tcPr>
            <w:tcW w:w="1643" w:type="dxa"/>
          </w:tcPr>
          <w:p w14:paraId="63EFE6DA" w14:textId="77777777" w:rsidR="002B32A0" w:rsidRPr="00CE1D7F" w:rsidRDefault="002B32A0" w:rsidP="006258ED">
            <w:pPr>
              <w:pStyle w:val="Tabletext"/>
              <w:jc w:val="center"/>
            </w:pPr>
            <w:r w:rsidRPr="00CE1D7F">
              <w:t>$12,633,107,866</w:t>
            </w:r>
          </w:p>
        </w:tc>
      </w:tr>
      <w:tr w:rsidR="002B32A0" w:rsidRPr="00CE1D7F" w14:paraId="6B24C70E" w14:textId="77777777" w:rsidTr="000B0AC7">
        <w:trPr>
          <w:trHeight w:val="290"/>
        </w:trPr>
        <w:tc>
          <w:tcPr>
            <w:tcW w:w="3092" w:type="dxa"/>
            <w:tcMar>
              <w:left w:w="80" w:type="dxa"/>
            </w:tcMar>
          </w:tcPr>
          <w:p w14:paraId="6B006C1F" w14:textId="77777777" w:rsidR="002B32A0" w:rsidRPr="00CE1D7F" w:rsidRDefault="002B32A0" w:rsidP="006258ED">
            <w:pPr>
              <w:pStyle w:val="Tabletext"/>
            </w:pPr>
            <w:r w:rsidRPr="00CE1D7F">
              <w:t>Benefit to Water Distributor (</w:t>
            </w:r>
            <w:r>
              <w:t>operational expenditure</w:t>
            </w:r>
            <w:r w:rsidRPr="00CE1D7F">
              <w:t xml:space="preserve"> savings)</w:t>
            </w:r>
          </w:p>
        </w:tc>
        <w:tc>
          <w:tcPr>
            <w:tcW w:w="1641" w:type="dxa"/>
          </w:tcPr>
          <w:p w14:paraId="0A40C106" w14:textId="77777777" w:rsidR="002B32A0" w:rsidRPr="00CE1D7F" w:rsidRDefault="002B32A0" w:rsidP="006258ED">
            <w:pPr>
              <w:pStyle w:val="Tabletext"/>
              <w:jc w:val="center"/>
            </w:pPr>
            <w:r w:rsidRPr="00CE1D7F">
              <w:t>$116,708,364</w:t>
            </w:r>
          </w:p>
        </w:tc>
        <w:tc>
          <w:tcPr>
            <w:tcW w:w="1641" w:type="dxa"/>
          </w:tcPr>
          <w:p w14:paraId="7139BC0C" w14:textId="77777777" w:rsidR="002B32A0" w:rsidRPr="00CE1D7F" w:rsidRDefault="002B32A0" w:rsidP="006258ED">
            <w:pPr>
              <w:pStyle w:val="Tabletext"/>
              <w:jc w:val="center"/>
            </w:pPr>
            <w:r w:rsidRPr="00CE1D7F">
              <w:t>$98,400,372</w:t>
            </w:r>
          </w:p>
        </w:tc>
        <w:tc>
          <w:tcPr>
            <w:tcW w:w="1643" w:type="dxa"/>
          </w:tcPr>
          <w:p w14:paraId="4EF01364" w14:textId="77777777" w:rsidR="002B32A0" w:rsidRPr="00CE1D7F" w:rsidRDefault="002B32A0" w:rsidP="006258ED">
            <w:pPr>
              <w:pStyle w:val="Tabletext"/>
              <w:jc w:val="center"/>
            </w:pPr>
            <w:r w:rsidRPr="00CE1D7F">
              <w:t>$89,733,961</w:t>
            </w:r>
          </w:p>
        </w:tc>
      </w:tr>
      <w:tr w:rsidR="002B32A0" w:rsidRPr="00CE1D7F" w14:paraId="512113A1" w14:textId="77777777" w:rsidTr="000B0AC7">
        <w:trPr>
          <w:trHeight w:val="290"/>
        </w:trPr>
        <w:tc>
          <w:tcPr>
            <w:tcW w:w="3092" w:type="dxa"/>
            <w:tcMar>
              <w:left w:w="80" w:type="dxa"/>
            </w:tcMar>
            <w:hideMark/>
          </w:tcPr>
          <w:p w14:paraId="7CF55B38" w14:textId="77777777" w:rsidR="002B32A0" w:rsidRPr="00CE1D7F" w:rsidRDefault="002B32A0" w:rsidP="006258ED">
            <w:pPr>
              <w:pStyle w:val="Tabletext"/>
              <w:rPr>
                <w:i/>
                <w:iCs/>
              </w:rPr>
            </w:pPr>
            <w:r w:rsidRPr="00CE1D7F">
              <w:rPr>
                <w:i/>
                <w:iCs/>
              </w:rPr>
              <w:t>Total PV benefits</w:t>
            </w:r>
          </w:p>
        </w:tc>
        <w:tc>
          <w:tcPr>
            <w:tcW w:w="1641" w:type="dxa"/>
            <w:hideMark/>
          </w:tcPr>
          <w:p w14:paraId="6BB96C5A" w14:textId="77777777" w:rsidR="002B32A0" w:rsidRPr="00A014AC" w:rsidRDefault="002B32A0" w:rsidP="006258ED">
            <w:pPr>
              <w:pStyle w:val="Tabletext"/>
              <w:jc w:val="center"/>
              <w:rPr>
                <w:i/>
                <w:iCs/>
              </w:rPr>
            </w:pPr>
            <w:r w:rsidRPr="00CE1D7F">
              <w:rPr>
                <w:i/>
                <w:iCs/>
              </w:rPr>
              <w:t>$18,263,928,615</w:t>
            </w:r>
          </w:p>
        </w:tc>
        <w:tc>
          <w:tcPr>
            <w:tcW w:w="1641" w:type="dxa"/>
            <w:hideMark/>
          </w:tcPr>
          <w:p w14:paraId="437EA006" w14:textId="77777777" w:rsidR="002B32A0" w:rsidRPr="00A014AC" w:rsidRDefault="002B32A0" w:rsidP="006258ED">
            <w:pPr>
              <w:pStyle w:val="Tabletext"/>
              <w:jc w:val="center"/>
              <w:rPr>
                <w:i/>
                <w:iCs/>
              </w:rPr>
            </w:pPr>
            <w:r w:rsidRPr="00CE1D7F">
              <w:rPr>
                <w:i/>
                <w:iCs/>
              </w:rPr>
              <w:t>$14,635,463,031</w:t>
            </w:r>
          </w:p>
        </w:tc>
        <w:tc>
          <w:tcPr>
            <w:tcW w:w="1643" w:type="dxa"/>
            <w:hideMark/>
          </w:tcPr>
          <w:p w14:paraId="6BCDCC3C" w14:textId="77777777" w:rsidR="002B32A0" w:rsidRPr="00A014AC" w:rsidRDefault="002B32A0" w:rsidP="006258ED">
            <w:pPr>
              <w:pStyle w:val="Tabletext"/>
              <w:jc w:val="center"/>
              <w:rPr>
                <w:i/>
                <w:iCs/>
              </w:rPr>
            </w:pPr>
            <w:r w:rsidRPr="00CE1D7F">
              <w:rPr>
                <w:i/>
                <w:iCs/>
              </w:rPr>
              <w:t>$12,722,841,827</w:t>
            </w:r>
          </w:p>
        </w:tc>
      </w:tr>
      <w:tr w:rsidR="002B32A0" w:rsidRPr="00CE1D7F" w14:paraId="53F352A0" w14:textId="77777777" w:rsidTr="000B0AC7">
        <w:trPr>
          <w:trHeight w:val="290"/>
        </w:trPr>
        <w:tc>
          <w:tcPr>
            <w:tcW w:w="3092" w:type="dxa"/>
            <w:tcMar>
              <w:left w:w="80" w:type="dxa"/>
            </w:tcMar>
            <w:hideMark/>
          </w:tcPr>
          <w:p w14:paraId="7CFAEED0" w14:textId="77777777" w:rsidR="002B32A0" w:rsidRPr="00CE1D7F" w:rsidRDefault="002B32A0" w:rsidP="006258ED">
            <w:pPr>
              <w:pStyle w:val="Tableunitsrow"/>
              <w:rPr>
                <w:b/>
                <w:bCs/>
              </w:rPr>
            </w:pPr>
            <w:r w:rsidRPr="00CE1D7F">
              <w:rPr>
                <w:b/>
                <w:bCs/>
              </w:rPr>
              <w:t>Results</w:t>
            </w:r>
          </w:p>
        </w:tc>
        <w:tc>
          <w:tcPr>
            <w:tcW w:w="1641" w:type="dxa"/>
          </w:tcPr>
          <w:p w14:paraId="41A88DE9" w14:textId="77777777" w:rsidR="002B32A0" w:rsidRPr="00A014AC" w:rsidRDefault="002B32A0" w:rsidP="006258ED">
            <w:pPr>
              <w:pStyle w:val="Tableunitsrow"/>
              <w:jc w:val="center"/>
            </w:pPr>
          </w:p>
        </w:tc>
        <w:tc>
          <w:tcPr>
            <w:tcW w:w="1641" w:type="dxa"/>
          </w:tcPr>
          <w:p w14:paraId="7A58F04B" w14:textId="77777777" w:rsidR="002B32A0" w:rsidRPr="00A014AC" w:rsidRDefault="002B32A0" w:rsidP="006258ED">
            <w:pPr>
              <w:pStyle w:val="Tableunitsrow"/>
              <w:jc w:val="center"/>
            </w:pPr>
          </w:p>
        </w:tc>
        <w:tc>
          <w:tcPr>
            <w:tcW w:w="1643" w:type="dxa"/>
          </w:tcPr>
          <w:p w14:paraId="4107667B" w14:textId="77777777" w:rsidR="002B32A0" w:rsidRPr="00A014AC" w:rsidRDefault="002B32A0" w:rsidP="006258ED">
            <w:pPr>
              <w:pStyle w:val="Tableunitsrow"/>
              <w:jc w:val="center"/>
            </w:pPr>
          </w:p>
        </w:tc>
      </w:tr>
      <w:tr w:rsidR="002B32A0" w:rsidRPr="00CE1D7F" w14:paraId="697BDFED" w14:textId="77777777" w:rsidTr="000B0AC7">
        <w:trPr>
          <w:trHeight w:val="290"/>
        </w:trPr>
        <w:tc>
          <w:tcPr>
            <w:tcW w:w="3092" w:type="dxa"/>
            <w:tcMar>
              <w:left w:w="80" w:type="dxa"/>
            </w:tcMar>
            <w:hideMark/>
          </w:tcPr>
          <w:p w14:paraId="38B5AB14" w14:textId="77777777" w:rsidR="002B32A0" w:rsidRPr="00CE1D7F" w:rsidRDefault="002B32A0" w:rsidP="006258ED">
            <w:pPr>
              <w:pStyle w:val="Tabletext"/>
            </w:pPr>
            <w:r w:rsidRPr="00CE1D7F">
              <w:rPr>
                <w:b/>
                <w:bCs/>
              </w:rPr>
              <w:t>NPV</w:t>
            </w:r>
          </w:p>
        </w:tc>
        <w:tc>
          <w:tcPr>
            <w:tcW w:w="1641" w:type="dxa"/>
            <w:hideMark/>
          </w:tcPr>
          <w:p w14:paraId="2C70E7C6" w14:textId="77777777" w:rsidR="002B32A0" w:rsidRPr="00A014AC" w:rsidRDefault="002B32A0" w:rsidP="006258ED">
            <w:pPr>
              <w:pStyle w:val="Tabletext"/>
              <w:jc w:val="center"/>
              <w:rPr>
                <w:b/>
                <w:bCs/>
              </w:rPr>
            </w:pPr>
            <w:r w:rsidRPr="00CE1D7F">
              <w:rPr>
                <w:b/>
                <w:bCs/>
              </w:rPr>
              <w:t>$14,925,685,492</w:t>
            </w:r>
          </w:p>
        </w:tc>
        <w:tc>
          <w:tcPr>
            <w:tcW w:w="1641" w:type="dxa"/>
            <w:hideMark/>
          </w:tcPr>
          <w:p w14:paraId="027851AD" w14:textId="77777777" w:rsidR="002B32A0" w:rsidRPr="00A014AC" w:rsidRDefault="002B32A0" w:rsidP="006258ED">
            <w:pPr>
              <w:pStyle w:val="Tabletext"/>
              <w:jc w:val="center"/>
              <w:rPr>
                <w:b/>
                <w:bCs/>
              </w:rPr>
            </w:pPr>
            <w:r w:rsidRPr="00CE1D7F">
              <w:rPr>
                <w:b/>
                <w:bCs/>
              </w:rPr>
              <w:t>$9,659,985,087</w:t>
            </w:r>
          </w:p>
        </w:tc>
        <w:tc>
          <w:tcPr>
            <w:tcW w:w="1643" w:type="dxa"/>
            <w:hideMark/>
          </w:tcPr>
          <w:p w14:paraId="5CE21CE8" w14:textId="77777777" w:rsidR="002B32A0" w:rsidRPr="00A014AC" w:rsidRDefault="002B32A0" w:rsidP="006258ED">
            <w:pPr>
              <w:pStyle w:val="Tabletext"/>
              <w:jc w:val="center"/>
              <w:rPr>
                <w:b/>
                <w:bCs/>
              </w:rPr>
            </w:pPr>
            <w:r w:rsidRPr="00CE1D7F">
              <w:rPr>
                <w:b/>
                <w:bCs/>
              </w:rPr>
              <w:t>$6,073,763,550</w:t>
            </w:r>
          </w:p>
        </w:tc>
      </w:tr>
      <w:tr w:rsidR="002B32A0" w:rsidRPr="00CE1D7F" w14:paraId="6C972BC2" w14:textId="77777777" w:rsidTr="000B0AC7">
        <w:trPr>
          <w:trHeight w:val="290"/>
        </w:trPr>
        <w:tc>
          <w:tcPr>
            <w:tcW w:w="3092" w:type="dxa"/>
            <w:tcMar>
              <w:left w:w="80" w:type="dxa"/>
            </w:tcMar>
            <w:hideMark/>
          </w:tcPr>
          <w:p w14:paraId="504A6A4D" w14:textId="77777777" w:rsidR="002B32A0" w:rsidRPr="00CE1D7F" w:rsidRDefault="002B32A0" w:rsidP="006258ED">
            <w:pPr>
              <w:pStyle w:val="Tabletext"/>
            </w:pPr>
            <w:r w:rsidRPr="00CE1D7F">
              <w:rPr>
                <w:b/>
                <w:bCs/>
              </w:rPr>
              <w:t>BCR</w:t>
            </w:r>
          </w:p>
        </w:tc>
        <w:tc>
          <w:tcPr>
            <w:tcW w:w="1641" w:type="dxa"/>
            <w:hideMark/>
          </w:tcPr>
          <w:p w14:paraId="51DCF8B1" w14:textId="77777777" w:rsidR="002B32A0" w:rsidRPr="00A014AC" w:rsidRDefault="002B32A0" w:rsidP="006258ED">
            <w:pPr>
              <w:pStyle w:val="Tabletext"/>
              <w:jc w:val="center"/>
              <w:rPr>
                <w:b/>
                <w:bCs/>
              </w:rPr>
            </w:pPr>
            <w:r w:rsidRPr="00CE1D7F">
              <w:rPr>
                <w:b/>
                <w:bCs/>
              </w:rPr>
              <w:t>5.47</w:t>
            </w:r>
          </w:p>
        </w:tc>
        <w:tc>
          <w:tcPr>
            <w:tcW w:w="1641" w:type="dxa"/>
            <w:hideMark/>
          </w:tcPr>
          <w:p w14:paraId="253D8DA5" w14:textId="77777777" w:rsidR="002B32A0" w:rsidRPr="00A014AC" w:rsidRDefault="002B32A0" w:rsidP="006258ED">
            <w:pPr>
              <w:pStyle w:val="Tabletext"/>
              <w:jc w:val="center"/>
              <w:rPr>
                <w:b/>
                <w:bCs/>
              </w:rPr>
            </w:pPr>
            <w:r w:rsidRPr="00CE1D7F">
              <w:rPr>
                <w:b/>
                <w:bCs/>
              </w:rPr>
              <w:t>2.94</w:t>
            </w:r>
          </w:p>
        </w:tc>
        <w:tc>
          <w:tcPr>
            <w:tcW w:w="1643" w:type="dxa"/>
            <w:hideMark/>
          </w:tcPr>
          <w:p w14:paraId="456FC9A2" w14:textId="77777777" w:rsidR="002B32A0" w:rsidRPr="00A014AC" w:rsidRDefault="002B32A0" w:rsidP="006258ED">
            <w:pPr>
              <w:pStyle w:val="Tabletext"/>
              <w:jc w:val="center"/>
              <w:rPr>
                <w:b/>
                <w:bCs/>
              </w:rPr>
            </w:pPr>
            <w:r w:rsidRPr="00CE1D7F">
              <w:rPr>
                <w:b/>
                <w:bCs/>
              </w:rPr>
              <w:t>1.91</w:t>
            </w:r>
          </w:p>
        </w:tc>
      </w:tr>
      <w:tr w:rsidR="002B32A0" w:rsidRPr="00CE1D7F" w14:paraId="729E806D" w14:textId="77777777" w:rsidTr="000B0AC7">
        <w:trPr>
          <w:trHeight w:val="469"/>
        </w:trPr>
        <w:tc>
          <w:tcPr>
            <w:tcW w:w="8017" w:type="dxa"/>
            <w:gridSpan w:val="4"/>
            <w:tcMar>
              <w:left w:w="80" w:type="dxa"/>
            </w:tcMar>
            <w:hideMark/>
          </w:tcPr>
          <w:p w14:paraId="7E769E7E" w14:textId="77777777" w:rsidR="002B32A0" w:rsidRPr="00CE1D7F" w:rsidRDefault="002B32A0" w:rsidP="006258ED">
            <w:pPr>
              <w:pStyle w:val="Source"/>
              <w:spacing w:line="256" w:lineRule="auto"/>
            </w:pPr>
            <w:r w:rsidRPr="00CE1D7F">
              <w:t>Source: ACIL Allen</w:t>
            </w:r>
          </w:p>
          <w:p w14:paraId="27AB5311" w14:textId="77777777" w:rsidR="002B32A0" w:rsidRPr="00CE1D7F" w:rsidRDefault="002B32A0" w:rsidP="006258ED">
            <w:pPr>
              <w:pStyle w:val="Source"/>
              <w:spacing w:line="256" w:lineRule="auto"/>
            </w:pPr>
            <w:r w:rsidRPr="00CE1D7F">
              <w:t>Note: All discount rates are real (i.e., discount rates are applied to real costs and benefits)</w:t>
            </w:r>
          </w:p>
        </w:tc>
      </w:tr>
    </w:tbl>
    <w:p w14:paraId="16C19DE5" w14:textId="77777777" w:rsidR="000B0AC7" w:rsidRPr="00A014AC" w:rsidRDefault="000B0AC7" w:rsidP="000B0AC7">
      <w:pPr>
        <w:pStyle w:val="spacer"/>
        <w:spacing w:line="256" w:lineRule="auto"/>
        <w:ind w:left="-87"/>
      </w:pPr>
    </w:p>
    <w:p w14:paraId="49E829D5" w14:textId="5168F9BE" w:rsidR="002B32A0" w:rsidRPr="00CE1D7F" w:rsidRDefault="002B32A0" w:rsidP="00620885">
      <w:pPr>
        <w:pStyle w:val="BodyText"/>
      </w:pPr>
      <w:r w:rsidRPr="00CE1D7F">
        <w:t xml:space="preserve">The present value of benefits and costs of the Goulburn-Murray Irrigation District Connections project by year are shown in </w:t>
      </w:r>
      <w:r w:rsidRPr="00F87D0E">
        <w:fldChar w:fldCharType="begin"/>
      </w:r>
      <w:r w:rsidRPr="00F87D0E">
        <w:instrText xml:space="preserve"> REF _Ref129349612 \h  \* MERGEFORMAT </w:instrText>
      </w:r>
      <w:r w:rsidRPr="00F87D0E">
        <w:fldChar w:fldCharType="separate"/>
      </w:r>
      <w:r w:rsidR="000B0AC7" w:rsidRPr="000B0AC7">
        <w:t>Figure 9.6</w:t>
      </w:r>
      <w:r w:rsidRPr="00F87D0E">
        <w:fldChar w:fldCharType="end"/>
      </w:r>
      <w:r w:rsidRPr="00CE1D7F">
        <w:t>. The figure shows that the capital expenditure for the project occurred in 2011 and 2012. The majority of benefits begin to flow from 2021 onwards (following the finalisation of audit reports on the water savings). Benefits decrease overtime to the end of the analysis period due to the effect of discounting.</w:t>
      </w:r>
    </w:p>
    <w:p w14:paraId="5C11DF7E" w14:textId="7AF6A2F3" w:rsidR="000B0AC7" w:rsidRPr="00CE1D7F" w:rsidRDefault="000B0AC7" w:rsidP="000B0AC7">
      <w:pPr>
        <w:pStyle w:val="Caption"/>
        <w:ind w:left="-535" w:hanging="1308"/>
      </w:pPr>
      <w:bookmarkStart w:id="393" w:name="_Ref129349612"/>
      <w:r w:rsidRPr="00CE1D7F">
        <w:rPr>
          <w:rStyle w:val="CaptionLabel"/>
        </w:rPr>
        <w:t>Figure </w:t>
      </w:r>
      <w:r w:rsidRPr="00CE1D7F">
        <w:rPr>
          <w:rStyle w:val="CaptionLabel"/>
        </w:rPr>
        <w:fldChar w:fldCharType="begin"/>
      </w:r>
      <w:r w:rsidRPr="00CE1D7F">
        <w:rPr>
          <w:rStyle w:val="CaptionLabel"/>
        </w:rPr>
        <w:instrText xml:space="preserve"> STYLEREF 1 \S \* MERGEFORMAT </w:instrText>
      </w:r>
      <w:r w:rsidRPr="00CE1D7F">
        <w:rPr>
          <w:rStyle w:val="CaptionLabel"/>
        </w:rPr>
        <w:fldChar w:fldCharType="separate"/>
      </w:r>
      <w:r>
        <w:rPr>
          <w:rStyle w:val="CaptionLabel"/>
          <w:noProof/>
        </w:rPr>
        <w:t>9</w:t>
      </w:r>
      <w:r w:rsidRPr="00CE1D7F">
        <w:rPr>
          <w:rStyle w:val="CaptionLabel"/>
        </w:rPr>
        <w:fldChar w:fldCharType="end"/>
      </w:r>
      <w:r w:rsidRPr="00CE1D7F">
        <w:rPr>
          <w:rStyle w:val="CaptionLabel"/>
        </w:rPr>
        <w:t>.</w:t>
      </w:r>
      <w:r w:rsidRPr="00CE1D7F">
        <w:rPr>
          <w:rStyle w:val="CaptionLabel"/>
        </w:rPr>
        <w:fldChar w:fldCharType="begin"/>
      </w:r>
      <w:r w:rsidRPr="00CE1D7F">
        <w:rPr>
          <w:rStyle w:val="CaptionLabel"/>
        </w:rPr>
        <w:instrText xml:space="preserve"> SEQ Figure \* ARABIC \S 1 \* MERGEFORMAT </w:instrText>
      </w:r>
      <w:r w:rsidRPr="00CE1D7F">
        <w:rPr>
          <w:rStyle w:val="CaptionLabel"/>
        </w:rPr>
        <w:fldChar w:fldCharType="separate"/>
      </w:r>
      <w:r>
        <w:rPr>
          <w:rStyle w:val="CaptionLabel"/>
          <w:noProof/>
        </w:rPr>
        <w:t>6</w:t>
      </w:r>
      <w:r w:rsidRPr="00CE1D7F">
        <w:rPr>
          <w:rStyle w:val="CaptionLabel"/>
        </w:rPr>
        <w:fldChar w:fldCharType="end"/>
      </w:r>
      <w:bookmarkEnd w:id="393"/>
      <w:r w:rsidRPr="00CE1D7F">
        <w:tab/>
        <w:t>Present value costs and benefits by year (7% real DR)</w:t>
      </w:r>
    </w:p>
    <w:tbl>
      <w:tblPr>
        <w:tblStyle w:val="aacTableFigure-Wide"/>
        <w:tblW w:w="6161" w:type="pct"/>
        <w:tblBorders>
          <w:top w:val="single" w:sz="4" w:space="0" w:color="000000"/>
          <w:bottom w:val="single" w:sz="4" w:space="0" w:color="000000"/>
        </w:tblBorders>
        <w:tblLook w:val="04A0" w:firstRow="1" w:lastRow="0" w:firstColumn="1" w:lastColumn="0" w:noHBand="0" w:noVBand="1"/>
      </w:tblPr>
      <w:tblGrid>
        <w:gridCol w:w="9779"/>
      </w:tblGrid>
      <w:tr w:rsidR="002B32A0" w:rsidRPr="00CE1D7F" w14:paraId="0D50B99C" w14:textId="77777777" w:rsidTr="000B0AC7">
        <w:tc>
          <w:tcPr>
            <w:tcW w:w="5000" w:type="pct"/>
            <w:shd w:val="clear" w:color="auto" w:fill="auto"/>
            <w:hideMark/>
          </w:tcPr>
          <w:p w14:paraId="46538637" w14:textId="77777777" w:rsidR="002B32A0" w:rsidRPr="00CE1D7F" w:rsidRDefault="002B32A0" w:rsidP="006258ED">
            <w:pPr>
              <w:pStyle w:val="Figure"/>
              <w:spacing w:line="256" w:lineRule="auto"/>
            </w:pPr>
            <w:r w:rsidRPr="00CE1D7F">
              <w:rPr>
                <w:noProof/>
              </w:rPr>
              <w:drawing>
                <wp:inline distT="0" distB="0" distL="0" distR="0" wp14:anchorId="355B9420" wp14:editId="08EC5B21">
                  <wp:extent cx="6145530" cy="2944495"/>
                  <wp:effectExtent l="0" t="0" r="7620" b="8255"/>
                  <wp:docPr id="711" name="Picture 711" descr="Present value costs and benefits by year (7% real DR), see description in text abov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 name="Picture 711" descr="Present value costs and benefits by year (7% real DR), see description in text above figure."/>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6145530" cy="2944495"/>
                          </a:xfrm>
                          <a:prstGeom prst="rect">
                            <a:avLst/>
                          </a:prstGeom>
                          <a:noFill/>
                        </pic:spPr>
                      </pic:pic>
                    </a:graphicData>
                  </a:graphic>
                </wp:inline>
              </w:drawing>
            </w:r>
          </w:p>
        </w:tc>
      </w:tr>
    </w:tbl>
    <w:p w14:paraId="36FC1314" w14:textId="77777777" w:rsidR="000B0AC7" w:rsidRPr="00CE1D7F" w:rsidRDefault="000B0AC7" w:rsidP="000B0AC7">
      <w:pPr>
        <w:pStyle w:val="Source"/>
        <w:spacing w:line="256" w:lineRule="auto"/>
        <w:ind w:left="-535" w:hanging="1308"/>
      </w:pPr>
      <w:r w:rsidRPr="00CE1D7F">
        <w:t>Source: ACIL Allen</w:t>
      </w:r>
    </w:p>
    <w:p w14:paraId="7F74C4BF" w14:textId="77777777" w:rsidR="000B0AC7" w:rsidRPr="00CE1D7F" w:rsidRDefault="000B0AC7" w:rsidP="006258ED">
      <w:pPr>
        <w:pStyle w:val="spacer"/>
        <w:spacing w:line="256" w:lineRule="auto"/>
      </w:pPr>
    </w:p>
    <w:p w14:paraId="0C958A9A" w14:textId="77777777" w:rsidR="002B32A0" w:rsidRPr="00CE1D7F" w:rsidRDefault="002B32A0" w:rsidP="002B32A0">
      <w:pPr>
        <w:pStyle w:val="Heading4"/>
      </w:pPr>
      <w:r w:rsidRPr="00CE1D7F">
        <w:t>Sensitivity testing</w:t>
      </w:r>
    </w:p>
    <w:p w14:paraId="5FF300B9" w14:textId="3EE8BBBC" w:rsidR="002B32A0" w:rsidRPr="00CE1D7F" w:rsidRDefault="002B32A0" w:rsidP="002B32A0">
      <w:pPr>
        <w:pStyle w:val="BodyText"/>
      </w:pPr>
      <w:r w:rsidRPr="00CE1D7F">
        <w:t>Sensitivity testing at the 3% and 10% real discount rates</w:t>
      </w:r>
      <w:r w:rsidRPr="00CE1D7F">
        <w:rPr>
          <w:rStyle w:val="FootnoteReference"/>
        </w:rPr>
        <w:footnoteReference w:id="171"/>
      </w:r>
      <w:r w:rsidRPr="00CE1D7F">
        <w:t xml:space="preserve"> was conducted for this analysis (see </w:t>
      </w:r>
      <w:r w:rsidRPr="00F87D0E">
        <w:fldChar w:fldCharType="begin"/>
      </w:r>
      <w:r w:rsidRPr="00F87D0E">
        <w:instrText xml:space="preserve"> REF _Ref129349424 \h  \* MERGEFORMAT </w:instrText>
      </w:r>
      <w:r w:rsidRPr="00F87D0E">
        <w:fldChar w:fldCharType="separate"/>
      </w:r>
      <w:r w:rsidR="000B0AC7" w:rsidRPr="000B0AC7">
        <w:t>Table 9.2</w:t>
      </w:r>
      <w:r w:rsidRPr="00F87D0E">
        <w:fldChar w:fldCharType="end"/>
      </w:r>
      <w:r w:rsidRPr="00CE1D7F">
        <w:t xml:space="preserve"> above). Sensitivity testing at these 3 rates shows that although the magnitude of the NPV changes at these 3 rates, the NPV remains positive even at a high discount rate of 10%. </w:t>
      </w:r>
    </w:p>
    <w:p w14:paraId="086F9DB1" w14:textId="2647754D" w:rsidR="002B32A0" w:rsidRPr="00CE1D7F" w:rsidRDefault="002B32A0" w:rsidP="002B32A0">
      <w:r w:rsidRPr="00CE1D7F">
        <w:t>Sensitivity testing was also conducted by varying the difference in the price of water in Victoria. Based on publicly available data, the central case was $2.99 per kilolitre.</w:t>
      </w:r>
      <w:r w:rsidRPr="00CE1D7F">
        <w:rPr>
          <w:rStyle w:val="FootnoteReference"/>
        </w:rPr>
        <w:footnoteReference w:id="172"/>
      </w:r>
      <w:r w:rsidRPr="00CE1D7F">
        <w:t xml:space="preserve"> The CBA results were tested with a lower price of water of $1.50 (approximately 50% below the central case) and an upper bound difference in levelised cost of $4.50 per kilolitre (approximately 50% above the central case). The results of that analysis are shown in </w:t>
      </w:r>
      <w:r w:rsidRPr="00F87D0E">
        <w:fldChar w:fldCharType="begin"/>
      </w:r>
      <w:r w:rsidRPr="00F87D0E">
        <w:instrText xml:space="preserve"> REF _Ref129349529 \h  \* MERGEFORMAT </w:instrText>
      </w:r>
      <w:r w:rsidRPr="00F87D0E">
        <w:fldChar w:fldCharType="separate"/>
      </w:r>
      <w:r w:rsidR="000B0AC7" w:rsidRPr="000B0AC7">
        <w:t>Table 9.3</w:t>
      </w:r>
      <w:r w:rsidRPr="00F87D0E">
        <w:fldChar w:fldCharType="end"/>
      </w:r>
      <w:r w:rsidRPr="00CE1D7F">
        <w:t>. They show that the NPV would fall from $9.7</w:t>
      </w:r>
      <w:r>
        <w:t> billion</w:t>
      </w:r>
      <w:r w:rsidRPr="00CE1D7F">
        <w:t xml:space="preserve"> to $2.4</w:t>
      </w:r>
      <w:r>
        <w:t> billion</w:t>
      </w:r>
      <w:r w:rsidRPr="00CE1D7F">
        <w:t>, and the BCR would fall from 2.94 to 1.49 if the price of water fell by 50%. Whereas the NPV would rise to $17</w:t>
      </w:r>
      <w:r>
        <w:t> billion</w:t>
      </w:r>
      <w:r w:rsidRPr="00CE1D7F">
        <w:t xml:space="preserve"> and the BCR would rise to 4.42 if the price of water increased by 50%. This demonstrates that the estimated benefits of this project remain considerable even under significantly more conservative assumptions.</w:t>
      </w:r>
    </w:p>
    <w:p w14:paraId="3D0132AB" w14:textId="4554B537" w:rsidR="002B32A0" w:rsidRPr="00CE1D7F" w:rsidRDefault="002B32A0" w:rsidP="000B0AC7">
      <w:pPr>
        <w:pStyle w:val="Caption"/>
        <w:ind w:left="1271" w:hanging="1308"/>
        <w:rPr>
          <w:bCs/>
        </w:rPr>
      </w:pPr>
      <w:bookmarkStart w:id="394" w:name="_Ref129349529"/>
      <w:r w:rsidRPr="00CE1D7F">
        <w:rPr>
          <w:rStyle w:val="CaptionLabel"/>
        </w:rPr>
        <w:t>Table </w:t>
      </w:r>
      <w:r w:rsidRPr="00CE1D7F">
        <w:rPr>
          <w:rStyle w:val="CaptionLabel"/>
        </w:rPr>
        <w:fldChar w:fldCharType="begin"/>
      </w:r>
      <w:r w:rsidRPr="00CE1D7F">
        <w:rPr>
          <w:rStyle w:val="CaptionLabel"/>
        </w:rPr>
        <w:instrText xml:space="preserve"> STYLEREF 1 \S \* MERGEFORMAT </w:instrText>
      </w:r>
      <w:r w:rsidRPr="00CE1D7F">
        <w:rPr>
          <w:rStyle w:val="CaptionLabel"/>
        </w:rPr>
        <w:fldChar w:fldCharType="separate"/>
      </w:r>
      <w:r w:rsidR="000B0AC7">
        <w:rPr>
          <w:rStyle w:val="CaptionLabel"/>
          <w:noProof/>
        </w:rPr>
        <w:t>9</w:t>
      </w:r>
      <w:r w:rsidRPr="00CE1D7F">
        <w:rPr>
          <w:rStyle w:val="CaptionLabel"/>
        </w:rPr>
        <w:fldChar w:fldCharType="end"/>
      </w:r>
      <w:r w:rsidRPr="00CE1D7F">
        <w:rPr>
          <w:rStyle w:val="CaptionLabel"/>
        </w:rPr>
        <w:t>.</w:t>
      </w:r>
      <w:r w:rsidRPr="00CE1D7F">
        <w:rPr>
          <w:rStyle w:val="CaptionLabel"/>
        </w:rPr>
        <w:fldChar w:fldCharType="begin"/>
      </w:r>
      <w:r w:rsidRPr="00CE1D7F">
        <w:rPr>
          <w:rStyle w:val="CaptionLabel"/>
        </w:rPr>
        <w:instrText xml:space="preserve"> SEQ Table \* ARABIC \S 1 \* MERGEFORMAT </w:instrText>
      </w:r>
      <w:r w:rsidRPr="00CE1D7F">
        <w:rPr>
          <w:rStyle w:val="CaptionLabel"/>
        </w:rPr>
        <w:fldChar w:fldCharType="separate"/>
      </w:r>
      <w:r w:rsidR="000B0AC7">
        <w:rPr>
          <w:rStyle w:val="CaptionLabel"/>
          <w:noProof/>
        </w:rPr>
        <w:t>3</w:t>
      </w:r>
      <w:r w:rsidRPr="00CE1D7F">
        <w:rPr>
          <w:rStyle w:val="CaptionLabel"/>
        </w:rPr>
        <w:fldChar w:fldCharType="end"/>
      </w:r>
      <w:bookmarkEnd w:id="394"/>
      <w:r w:rsidRPr="00CE1D7F">
        <w:rPr>
          <w:rStyle w:val="CaptionLabel"/>
        </w:rPr>
        <w:t xml:space="preserve"> </w:t>
      </w:r>
      <w:r w:rsidRPr="00CE1D7F">
        <w:rPr>
          <w:rStyle w:val="CaptionLabel"/>
          <w:b w:val="0"/>
        </w:rPr>
        <w:t xml:space="preserve">Sensitivity testing </w:t>
      </w:r>
      <w:r w:rsidRPr="00CE1D7F">
        <w:t xml:space="preserve">price of water in Victoria </w:t>
      </w:r>
      <w:r w:rsidRPr="00CE1D7F">
        <w:rPr>
          <w:rStyle w:val="CaptionLabel"/>
          <w:b w:val="0"/>
        </w:rPr>
        <w:t>(7% real DR, 2022$)</w:t>
      </w:r>
    </w:p>
    <w:tbl>
      <w:tblPr>
        <w:tblStyle w:val="aacTableBasic"/>
        <w:tblW w:w="7973" w:type="dxa"/>
        <w:tblInd w:w="-37" w:type="dxa"/>
        <w:tblLayout w:type="fixed"/>
        <w:tblLook w:val="04A0" w:firstRow="1" w:lastRow="0" w:firstColumn="1" w:lastColumn="0" w:noHBand="0" w:noVBand="1"/>
        <w:tblCaption w:val="Table 9.3 "/>
        <w:tblDescription w:val="Sensitivity testing price of water in Victoria (7% real DR, 2022$)"/>
      </w:tblPr>
      <w:tblGrid>
        <w:gridCol w:w="1221"/>
        <w:gridCol w:w="2250"/>
        <w:gridCol w:w="2251"/>
        <w:gridCol w:w="2251"/>
      </w:tblGrid>
      <w:tr w:rsidR="002B32A0" w:rsidRPr="00CE1D7F" w14:paraId="3D7D8E22" w14:textId="77777777" w:rsidTr="000B0AC7">
        <w:trPr>
          <w:cnfStyle w:val="100000000000" w:firstRow="1" w:lastRow="0" w:firstColumn="0" w:lastColumn="0" w:oddVBand="0" w:evenVBand="0" w:oddHBand="0" w:evenHBand="0" w:firstRowFirstColumn="0" w:firstRowLastColumn="0" w:lastRowFirstColumn="0" w:lastRowLastColumn="0"/>
          <w:trHeight w:val="306"/>
        </w:trPr>
        <w:tc>
          <w:tcPr>
            <w:tcW w:w="1221" w:type="dxa"/>
            <w:tcBorders>
              <w:top w:val="nil"/>
            </w:tcBorders>
            <w:shd w:val="solid" w:color="140034" w:fill="140034"/>
            <w:noWrap/>
            <w:tcMar>
              <w:left w:w="80" w:type="dxa"/>
            </w:tcMar>
          </w:tcPr>
          <w:p w14:paraId="720199C4" w14:textId="77777777" w:rsidR="002B32A0" w:rsidRPr="00CE1D7F" w:rsidRDefault="002B32A0" w:rsidP="006258ED">
            <w:pPr>
              <w:pStyle w:val="Tablecolumnheadings"/>
              <w:keepLines/>
              <w:rPr>
                <w:lang w:eastAsia="ja-JP"/>
              </w:rPr>
            </w:pPr>
          </w:p>
        </w:tc>
        <w:tc>
          <w:tcPr>
            <w:tcW w:w="2250" w:type="dxa"/>
            <w:tcBorders>
              <w:top w:val="nil"/>
            </w:tcBorders>
            <w:shd w:val="solid" w:color="140034" w:fill="140034"/>
            <w:noWrap/>
            <w:hideMark/>
          </w:tcPr>
          <w:p w14:paraId="4274F7A1" w14:textId="77777777" w:rsidR="002B32A0" w:rsidRPr="00CE1D7F" w:rsidRDefault="002B32A0" w:rsidP="006258ED">
            <w:pPr>
              <w:pStyle w:val="Tablecolumnheadings"/>
              <w:keepLines/>
              <w:jc w:val="center"/>
              <w:rPr>
                <w:rFonts w:ascii="Calibri" w:hAnsi="Calibri" w:cs="Calibri"/>
                <w:color w:val="000000"/>
                <w:lang w:eastAsia="ja-JP"/>
              </w:rPr>
            </w:pPr>
            <w:r w:rsidRPr="00CE1D7F">
              <w:t>Price of water $1.5/kl</w:t>
            </w:r>
          </w:p>
        </w:tc>
        <w:tc>
          <w:tcPr>
            <w:tcW w:w="2251" w:type="dxa"/>
            <w:tcBorders>
              <w:top w:val="nil"/>
            </w:tcBorders>
            <w:shd w:val="solid" w:color="140034" w:fill="140034"/>
            <w:noWrap/>
            <w:hideMark/>
          </w:tcPr>
          <w:p w14:paraId="1C4CA60B" w14:textId="77777777" w:rsidR="002B32A0" w:rsidRPr="00CE1D7F" w:rsidRDefault="002B32A0" w:rsidP="006258ED">
            <w:pPr>
              <w:pStyle w:val="Tablecolumnheadings"/>
              <w:keepLines/>
              <w:jc w:val="center"/>
              <w:rPr>
                <w:rFonts w:ascii="Calibri" w:hAnsi="Calibri" w:cs="Calibri"/>
                <w:color w:val="000000"/>
                <w:lang w:eastAsia="ja-JP"/>
              </w:rPr>
            </w:pPr>
            <w:r w:rsidRPr="00CE1D7F">
              <w:t>Price of water $2.99/kl</w:t>
            </w:r>
          </w:p>
        </w:tc>
        <w:tc>
          <w:tcPr>
            <w:tcW w:w="2251" w:type="dxa"/>
            <w:tcBorders>
              <w:top w:val="nil"/>
            </w:tcBorders>
            <w:shd w:val="solid" w:color="140034" w:fill="140034"/>
            <w:noWrap/>
            <w:hideMark/>
          </w:tcPr>
          <w:p w14:paraId="438AC392" w14:textId="77777777" w:rsidR="002B32A0" w:rsidRPr="00CE1D7F" w:rsidRDefault="002B32A0" w:rsidP="006258ED">
            <w:pPr>
              <w:pStyle w:val="Tablecolumnheadings"/>
              <w:keepLines/>
              <w:jc w:val="center"/>
              <w:rPr>
                <w:rFonts w:ascii="Calibri" w:hAnsi="Calibri" w:cs="Calibri"/>
                <w:color w:val="000000"/>
                <w:lang w:eastAsia="ja-JP"/>
              </w:rPr>
            </w:pPr>
            <w:r w:rsidRPr="00CE1D7F">
              <w:t>Price of water $4.5/kl</w:t>
            </w:r>
          </w:p>
        </w:tc>
      </w:tr>
      <w:tr w:rsidR="002B32A0" w:rsidRPr="00CE1D7F" w14:paraId="25B22CFC" w14:textId="77777777" w:rsidTr="000B0AC7">
        <w:trPr>
          <w:trHeight w:val="260"/>
        </w:trPr>
        <w:tc>
          <w:tcPr>
            <w:tcW w:w="1221" w:type="dxa"/>
            <w:noWrap/>
            <w:tcMar>
              <w:left w:w="80" w:type="dxa"/>
            </w:tcMar>
            <w:hideMark/>
          </w:tcPr>
          <w:p w14:paraId="14C27CE1" w14:textId="77777777" w:rsidR="002B32A0" w:rsidRPr="00CE1D7F" w:rsidRDefault="002B32A0" w:rsidP="006258ED">
            <w:pPr>
              <w:pStyle w:val="Tabletext"/>
              <w:keepNext/>
              <w:keepLines/>
              <w:rPr>
                <w:szCs w:val="20"/>
              </w:rPr>
            </w:pPr>
            <w:r w:rsidRPr="00CE1D7F">
              <w:rPr>
                <w:szCs w:val="20"/>
              </w:rPr>
              <w:t>Costs</w:t>
            </w:r>
          </w:p>
        </w:tc>
        <w:tc>
          <w:tcPr>
            <w:tcW w:w="2250" w:type="dxa"/>
            <w:noWrap/>
            <w:hideMark/>
          </w:tcPr>
          <w:p w14:paraId="043D8501" w14:textId="77777777" w:rsidR="002B32A0" w:rsidRPr="00CE1D7F" w:rsidRDefault="002B32A0" w:rsidP="006258ED">
            <w:pPr>
              <w:pStyle w:val="Tabletext"/>
              <w:keepNext/>
              <w:keepLines/>
              <w:jc w:val="center"/>
              <w:rPr>
                <w:szCs w:val="20"/>
              </w:rPr>
            </w:pPr>
            <w:r w:rsidRPr="00CE1D7F">
              <w:t>$4,975,477,944</w:t>
            </w:r>
          </w:p>
        </w:tc>
        <w:tc>
          <w:tcPr>
            <w:tcW w:w="2251" w:type="dxa"/>
            <w:noWrap/>
            <w:hideMark/>
          </w:tcPr>
          <w:p w14:paraId="472432DB" w14:textId="77777777" w:rsidR="002B32A0" w:rsidRPr="00CE1D7F" w:rsidRDefault="002B32A0" w:rsidP="006258ED">
            <w:pPr>
              <w:pStyle w:val="Tabletext"/>
              <w:keepNext/>
              <w:keepLines/>
              <w:jc w:val="center"/>
              <w:rPr>
                <w:szCs w:val="20"/>
              </w:rPr>
            </w:pPr>
            <w:r w:rsidRPr="00CE1D7F">
              <w:t>$4,975,477,944</w:t>
            </w:r>
          </w:p>
        </w:tc>
        <w:tc>
          <w:tcPr>
            <w:tcW w:w="2251" w:type="dxa"/>
            <w:noWrap/>
            <w:hideMark/>
          </w:tcPr>
          <w:p w14:paraId="52BFDDF0" w14:textId="77777777" w:rsidR="002B32A0" w:rsidRPr="00CE1D7F" w:rsidRDefault="002B32A0" w:rsidP="006258ED">
            <w:pPr>
              <w:pStyle w:val="Tabletext"/>
              <w:keepNext/>
              <w:keepLines/>
              <w:jc w:val="center"/>
              <w:rPr>
                <w:szCs w:val="20"/>
              </w:rPr>
            </w:pPr>
            <w:r w:rsidRPr="00CE1D7F">
              <w:t>$4,975,477,944</w:t>
            </w:r>
          </w:p>
        </w:tc>
      </w:tr>
      <w:tr w:rsidR="002B32A0" w:rsidRPr="00CE1D7F" w14:paraId="133030B0" w14:textId="77777777" w:rsidTr="000B0AC7">
        <w:trPr>
          <w:trHeight w:val="275"/>
        </w:trPr>
        <w:tc>
          <w:tcPr>
            <w:tcW w:w="1221" w:type="dxa"/>
            <w:noWrap/>
            <w:tcMar>
              <w:left w:w="80" w:type="dxa"/>
            </w:tcMar>
            <w:hideMark/>
          </w:tcPr>
          <w:p w14:paraId="3F748F7F" w14:textId="77777777" w:rsidR="002B32A0" w:rsidRPr="00CE1D7F" w:rsidRDefault="002B32A0" w:rsidP="006258ED">
            <w:pPr>
              <w:pStyle w:val="Tabletext"/>
              <w:keepNext/>
              <w:keepLines/>
              <w:rPr>
                <w:szCs w:val="20"/>
              </w:rPr>
            </w:pPr>
            <w:r w:rsidRPr="00CE1D7F">
              <w:rPr>
                <w:szCs w:val="20"/>
              </w:rPr>
              <w:t>Benefits</w:t>
            </w:r>
          </w:p>
        </w:tc>
        <w:tc>
          <w:tcPr>
            <w:tcW w:w="2250" w:type="dxa"/>
            <w:noWrap/>
            <w:hideMark/>
          </w:tcPr>
          <w:p w14:paraId="75B1CDB4" w14:textId="77777777" w:rsidR="002B32A0" w:rsidRPr="00CE1D7F" w:rsidRDefault="002B32A0" w:rsidP="006258ED">
            <w:pPr>
              <w:pStyle w:val="Tabletext"/>
              <w:keepNext/>
              <w:keepLines/>
              <w:jc w:val="center"/>
              <w:rPr>
                <w:szCs w:val="20"/>
              </w:rPr>
            </w:pPr>
            <w:r w:rsidRPr="00CE1D7F">
              <w:t>$7,391,241,171</w:t>
            </w:r>
          </w:p>
        </w:tc>
        <w:tc>
          <w:tcPr>
            <w:tcW w:w="2251" w:type="dxa"/>
            <w:noWrap/>
            <w:hideMark/>
          </w:tcPr>
          <w:p w14:paraId="412D7909" w14:textId="77777777" w:rsidR="002B32A0" w:rsidRPr="00CE1D7F" w:rsidRDefault="002B32A0" w:rsidP="006258ED">
            <w:pPr>
              <w:pStyle w:val="Tabletext"/>
              <w:keepNext/>
              <w:keepLines/>
              <w:jc w:val="center"/>
              <w:rPr>
                <w:szCs w:val="20"/>
              </w:rPr>
            </w:pPr>
            <w:r w:rsidRPr="00CE1D7F">
              <w:t>$14,635,463,031</w:t>
            </w:r>
          </w:p>
        </w:tc>
        <w:tc>
          <w:tcPr>
            <w:tcW w:w="2251" w:type="dxa"/>
            <w:noWrap/>
            <w:hideMark/>
          </w:tcPr>
          <w:p w14:paraId="088937D9" w14:textId="77777777" w:rsidR="002B32A0" w:rsidRPr="00CE1D7F" w:rsidRDefault="002B32A0" w:rsidP="006258ED">
            <w:pPr>
              <w:pStyle w:val="Tabletext"/>
              <w:keepNext/>
              <w:keepLines/>
              <w:jc w:val="center"/>
              <w:rPr>
                <w:szCs w:val="20"/>
              </w:rPr>
            </w:pPr>
            <w:r w:rsidRPr="00CE1D7F">
              <w:t>$21,976,922,769</w:t>
            </w:r>
          </w:p>
        </w:tc>
      </w:tr>
      <w:tr w:rsidR="002B32A0" w:rsidRPr="00CE1D7F" w14:paraId="0F60536B" w14:textId="77777777" w:rsidTr="000B0AC7">
        <w:trPr>
          <w:trHeight w:val="275"/>
        </w:trPr>
        <w:tc>
          <w:tcPr>
            <w:tcW w:w="1221" w:type="dxa"/>
            <w:noWrap/>
            <w:tcMar>
              <w:left w:w="80" w:type="dxa"/>
            </w:tcMar>
            <w:hideMark/>
          </w:tcPr>
          <w:p w14:paraId="3AC893E6" w14:textId="77777777" w:rsidR="002B32A0" w:rsidRPr="00CE1D7F" w:rsidRDefault="002B32A0" w:rsidP="006258ED">
            <w:pPr>
              <w:pStyle w:val="Tabletext"/>
              <w:keepNext/>
              <w:keepLines/>
              <w:rPr>
                <w:b/>
                <w:bCs/>
                <w:szCs w:val="20"/>
              </w:rPr>
            </w:pPr>
            <w:r w:rsidRPr="00CE1D7F">
              <w:rPr>
                <w:b/>
                <w:bCs/>
                <w:szCs w:val="20"/>
              </w:rPr>
              <w:t>Net impact</w:t>
            </w:r>
          </w:p>
        </w:tc>
        <w:tc>
          <w:tcPr>
            <w:tcW w:w="2250" w:type="dxa"/>
            <w:noWrap/>
            <w:hideMark/>
          </w:tcPr>
          <w:p w14:paraId="3BDEAEBB" w14:textId="77777777" w:rsidR="002B32A0" w:rsidRPr="00CE1D7F" w:rsidRDefault="002B32A0" w:rsidP="006258ED">
            <w:pPr>
              <w:pStyle w:val="Tabletext"/>
              <w:keepNext/>
              <w:keepLines/>
              <w:jc w:val="center"/>
              <w:rPr>
                <w:b/>
                <w:bCs/>
                <w:szCs w:val="20"/>
              </w:rPr>
            </w:pPr>
            <w:r w:rsidRPr="00CE1D7F">
              <w:rPr>
                <w:b/>
                <w:bCs/>
              </w:rPr>
              <w:t>$2,415,763,227</w:t>
            </w:r>
          </w:p>
        </w:tc>
        <w:tc>
          <w:tcPr>
            <w:tcW w:w="2251" w:type="dxa"/>
            <w:noWrap/>
            <w:hideMark/>
          </w:tcPr>
          <w:p w14:paraId="68E1FD0B" w14:textId="77777777" w:rsidR="002B32A0" w:rsidRPr="00CE1D7F" w:rsidRDefault="002B32A0" w:rsidP="006258ED">
            <w:pPr>
              <w:pStyle w:val="Tabletext"/>
              <w:keepNext/>
              <w:keepLines/>
              <w:jc w:val="center"/>
              <w:rPr>
                <w:b/>
                <w:bCs/>
                <w:szCs w:val="20"/>
              </w:rPr>
            </w:pPr>
            <w:r w:rsidRPr="00CE1D7F">
              <w:rPr>
                <w:b/>
                <w:bCs/>
              </w:rPr>
              <w:t>$9,659,985,087</w:t>
            </w:r>
          </w:p>
        </w:tc>
        <w:tc>
          <w:tcPr>
            <w:tcW w:w="2251" w:type="dxa"/>
            <w:noWrap/>
            <w:hideMark/>
          </w:tcPr>
          <w:p w14:paraId="40B58948" w14:textId="77777777" w:rsidR="002B32A0" w:rsidRPr="00CE1D7F" w:rsidRDefault="002B32A0" w:rsidP="006258ED">
            <w:pPr>
              <w:pStyle w:val="Tabletext"/>
              <w:keepNext/>
              <w:keepLines/>
              <w:jc w:val="center"/>
              <w:rPr>
                <w:b/>
                <w:bCs/>
                <w:szCs w:val="20"/>
              </w:rPr>
            </w:pPr>
            <w:r w:rsidRPr="00CE1D7F">
              <w:rPr>
                <w:b/>
                <w:bCs/>
              </w:rPr>
              <w:t>$17,001,444,825</w:t>
            </w:r>
          </w:p>
        </w:tc>
      </w:tr>
      <w:tr w:rsidR="002B32A0" w:rsidRPr="00CE1D7F" w14:paraId="7E4591E9" w14:textId="77777777" w:rsidTr="000B0AC7">
        <w:trPr>
          <w:trHeight w:val="275"/>
        </w:trPr>
        <w:tc>
          <w:tcPr>
            <w:tcW w:w="1221" w:type="dxa"/>
            <w:noWrap/>
            <w:tcMar>
              <w:left w:w="80" w:type="dxa"/>
            </w:tcMar>
            <w:hideMark/>
          </w:tcPr>
          <w:p w14:paraId="7D6CF58D" w14:textId="77777777" w:rsidR="002B32A0" w:rsidRPr="00CE1D7F" w:rsidRDefault="002B32A0" w:rsidP="006258ED">
            <w:pPr>
              <w:pStyle w:val="Tabletext"/>
              <w:keepNext/>
              <w:keepLines/>
              <w:rPr>
                <w:b/>
                <w:bCs/>
                <w:szCs w:val="20"/>
              </w:rPr>
            </w:pPr>
            <w:r w:rsidRPr="00CE1D7F">
              <w:rPr>
                <w:b/>
                <w:bCs/>
                <w:szCs w:val="20"/>
              </w:rPr>
              <w:t>BCR</w:t>
            </w:r>
          </w:p>
        </w:tc>
        <w:tc>
          <w:tcPr>
            <w:tcW w:w="2250" w:type="dxa"/>
            <w:noWrap/>
            <w:hideMark/>
          </w:tcPr>
          <w:p w14:paraId="58151F94" w14:textId="77777777" w:rsidR="002B32A0" w:rsidRPr="00CE1D7F" w:rsidRDefault="002B32A0" w:rsidP="006258ED">
            <w:pPr>
              <w:pStyle w:val="Tabletext"/>
              <w:keepNext/>
              <w:keepLines/>
              <w:jc w:val="center"/>
              <w:rPr>
                <w:b/>
                <w:bCs/>
                <w:szCs w:val="20"/>
              </w:rPr>
            </w:pPr>
            <w:r w:rsidRPr="00CE1D7F">
              <w:rPr>
                <w:b/>
                <w:bCs/>
              </w:rPr>
              <w:t>1.49</w:t>
            </w:r>
          </w:p>
        </w:tc>
        <w:tc>
          <w:tcPr>
            <w:tcW w:w="2251" w:type="dxa"/>
            <w:noWrap/>
            <w:hideMark/>
          </w:tcPr>
          <w:p w14:paraId="3D694642" w14:textId="77777777" w:rsidR="002B32A0" w:rsidRPr="00CE1D7F" w:rsidRDefault="002B32A0" w:rsidP="006258ED">
            <w:pPr>
              <w:pStyle w:val="Tabletext"/>
              <w:keepNext/>
              <w:keepLines/>
              <w:jc w:val="center"/>
              <w:rPr>
                <w:b/>
                <w:bCs/>
                <w:szCs w:val="20"/>
              </w:rPr>
            </w:pPr>
            <w:r w:rsidRPr="00CE1D7F">
              <w:rPr>
                <w:b/>
                <w:bCs/>
              </w:rPr>
              <w:t>2.94</w:t>
            </w:r>
          </w:p>
        </w:tc>
        <w:tc>
          <w:tcPr>
            <w:tcW w:w="2251" w:type="dxa"/>
            <w:noWrap/>
            <w:hideMark/>
          </w:tcPr>
          <w:p w14:paraId="0AB9357C" w14:textId="77777777" w:rsidR="002B32A0" w:rsidRPr="00CE1D7F" w:rsidRDefault="002B32A0" w:rsidP="006258ED">
            <w:pPr>
              <w:pStyle w:val="Tabletext"/>
              <w:keepNext/>
              <w:keepLines/>
              <w:jc w:val="center"/>
              <w:rPr>
                <w:b/>
                <w:bCs/>
                <w:szCs w:val="20"/>
              </w:rPr>
            </w:pPr>
            <w:r w:rsidRPr="00CE1D7F">
              <w:rPr>
                <w:b/>
                <w:bCs/>
              </w:rPr>
              <w:t>4.42</w:t>
            </w:r>
          </w:p>
        </w:tc>
      </w:tr>
      <w:tr w:rsidR="002B32A0" w:rsidRPr="00CE1D7F" w14:paraId="78198C34" w14:textId="77777777" w:rsidTr="000B0AC7">
        <w:trPr>
          <w:trHeight w:val="275"/>
        </w:trPr>
        <w:tc>
          <w:tcPr>
            <w:tcW w:w="3471" w:type="dxa"/>
            <w:gridSpan w:val="2"/>
            <w:noWrap/>
            <w:tcMar>
              <w:left w:w="80" w:type="dxa"/>
            </w:tcMar>
          </w:tcPr>
          <w:p w14:paraId="4DFB9CDE" w14:textId="77777777" w:rsidR="002B32A0" w:rsidRPr="00CE1D7F" w:rsidRDefault="002B32A0" w:rsidP="006258ED">
            <w:pPr>
              <w:pStyle w:val="Tabletext"/>
              <w:keepNext/>
              <w:keepLines/>
              <w:rPr>
                <w:b/>
                <w:bCs/>
              </w:rPr>
            </w:pPr>
            <w:r w:rsidRPr="00CE1D7F">
              <w:rPr>
                <w:i/>
                <w:iCs/>
                <w:sz w:val="16"/>
                <w:szCs w:val="18"/>
              </w:rPr>
              <w:t>Source: ACIL Allen</w:t>
            </w:r>
          </w:p>
        </w:tc>
        <w:tc>
          <w:tcPr>
            <w:tcW w:w="2251" w:type="dxa"/>
            <w:noWrap/>
          </w:tcPr>
          <w:p w14:paraId="48BDC8FD" w14:textId="77777777" w:rsidR="002B32A0" w:rsidRPr="00CE1D7F" w:rsidRDefault="002B32A0" w:rsidP="006258ED">
            <w:pPr>
              <w:pStyle w:val="Tabletext"/>
              <w:keepNext/>
              <w:keepLines/>
              <w:jc w:val="center"/>
              <w:rPr>
                <w:b/>
                <w:bCs/>
              </w:rPr>
            </w:pPr>
          </w:p>
        </w:tc>
        <w:tc>
          <w:tcPr>
            <w:tcW w:w="2251" w:type="dxa"/>
            <w:noWrap/>
          </w:tcPr>
          <w:p w14:paraId="33D471AB" w14:textId="77777777" w:rsidR="002B32A0" w:rsidRPr="00CE1D7F" w:rsidRDefault="002B32A0" w:rsidP="006258ED">
            <w:pPr>
              <w:pStyle w:val="Tabletext"/>
              <w:keepNext/>
              <w:keepLines/>
              <w:jc w:val="center"/>
              <w:rPr>
                <w:b/>
                <w:bCs/>
              </w:rPr>
            </w:pPr>
          </w:p>
        </w:tc>
      </w:tr>
    </w:tbl>
    <w:p w14:paraId="7B2AAE6B" w14:textId="77777777" w:rsidR="000B0AC7" w:rsidRPr="00CE1D7F" w:rsidRDefault="000B0AC7" w:rsidP="000B0AC7">
      <w:pPr>
        <w:pStyle w:val="spacer"/>
        <w:spacing w:line="256" w:lineRule="auto"/>
        <w:ind w:left="-87"/>
        <w:rPr>
          <w:lang w:eastAsia="ja-JP"/>
        </w:rPr>
      </w:pPr>
    </w:p>
    <w:p w14:paraId="7173A114" w14:textId="77777777" w:rsidR="002B32A0" w:rsidRPr="00CE1D7F" w:rsidRDefault="002B32A0" w:rsidP="00A1041C">
      <w:pPr>
        <w:pStyle w:val="Heading3"/>
      </w:pPr>
      <w:r w:rsidRPr="00CE1D7F" w:rsidDel="007C0ACC">
        <w:t xml:space="preserve"> </w:t>
      </w:r>
      <w:bookmarkStart w:id="395" w:name="_Ref129343475"/>
      <w:r w:rsidRPr="00CE1D7F">
        <w:t>Social impacts</w:t>
      </w:r>
      <w:bookmarkEnd w:id="395"/>
      <w:r w:rsidRPr="00CE1D7F">
        <w:t xml:space="preserve"> </w:t>
      </w:r>
    </w:p>
    <w:p w14:paraId="7BF77233" w14:textId="77777777" w:rsidR="002B32A0" w:rsidRPr="00CE1D7F" w:rsidRDefault="002B32A0" w:rsidP="002B32A0">
      <w:pPr>
        <w:pStyle w:val="BodyText"/>
      </w:pPr>
      <w:r w:rsidRPr="00CE1D7F">
        <w:t xml:space="preserve">This </w:t>
      </w:r>
      <w:r>
        <w:t>section </w:t>
      </w:r>
      <w:r w:rsidRPr="00CE1D7F">
        <w:t xml:space="preserve">describes the social impacts of the Linkage Projects undertaken by the University of Melbourne and Rubicon Water. </w:t>
      </w:r>
    </w:p>
    <w:p w14:paraId="5EE50B22" w14:textId="77777777" w:rsidR="002B32A0" w:rsidRPr="00CE1D7F" w:rsidRDefault="002B32A0" w:rsidP="002B32A0">
      <w:pPr>
        <w:pStyle w:val="Heading4"/>
      </w:pPr>
      <w:r w:rsidRPr="00CE1D7F">
        <w:t xml:space="preserve">Educational impacts </w:t>
      </w:r>
    </w:p>
    <w:p w14:paraId="13E8F3E4" w14:textId="77777777" w:rsidR="002B32A0" w:rsidRPr="00CE1D7F" w:rsidRDefault="002B32A0" w:rsidP="002B32A0">
      <w:pPr>
        <w:pStyle w:val="BodyText"/>
      </w:pPr>
      <w:r w:rsidRPr="00CE1D7F">
        <w:t>The educational impacts of the ARC-funded research to date are:</w:t>
      </w:r>
    </w:p>
    <w:p w14:paraId="6AE131D1" w14:textId="77777777" w:rsidR="002B32A0" w:rsidRPr="00CE1D7F" w:rsidRDefault="002B32A0" w:rsidP="00A1041C">
      <w:pPr>
        <w:pStyle w:val="ListBullet"/>
      </w:pPr>
      <w:r w:rsidRPr="00CE1D7F">
        <w:t>6 PhD students have received their training on the LP projects (Su Ki Ooi, Yuping Li, Laven Soltanian, Amir Reza Neshastehriz, Adair Lang and Armaghan Zafar)</w:t>
      </w:r>
    </w:p>
    <w:p w14:paraId="5C40FD69" w14:textId="77777777" w:rsidR="002B32A0" w:rsidRPr="00CE1D7F" w:rsidRDefault="002B32A0" w:rsidP="00A1041C">
      <w:pPr>
        <w:pStyle w:val="ListBullet"/>
      </w:pPr>
      <w:r w:rsidRPr="00CE1D7F">
        <w:t>2 Master by Research students have received their training (Ping Zhang, Sumith Choy)</w:t>
      </w:r>
    </w:p>
    <w:p w14:paraId="444680EF" w14:textId="77777777" w:rsidR="002B32A0" w:rsidRPr="00CE1D7F" w:rsidRDefault="002B32A0" w:rsidP="00A1041C">
      <w:pPr>
        <w:pStyle w:val="ListBullet"/>
      </w:pPr>
      <w:r w:rsidRPr="00CE1D7F">
        <w:t>12 Visiting Master students from overseas have done their research project on the LP project.</w:t>
      </w:r>
    </w:p>
    <w:p w14:paraId="5FCD17DB" w14:textId="77777777" w:rsidR="002B32A0" w:rsidRPr="00CE1D7F" w:rsidRDefault="002B32A0" w:rsidP="002B32A0">
      <w:pPr>
        <w:pStyle w:val="Heading4"/>
      </w:pPr>
      <w:r w:rsidRPr="00CE1D7F">
        <w:t>Employment impacts</w:t>
      </w:r>
    </w:p>
    <w:p w14:paraId="5A190DE4" w14:textId="77777777" w:rsidR="002B32A0" w:rsidRPr="00CE1D7F" w:rsidRDefault="002B32A0" w:rsidP="002B32A0">
      <w:r w:rsidRPr="00CE1D7F">
        <w:t>The University of Melbourne has employed 10 Research Fellows as a result of the University of Melbourne and Rubicon Water research collaboration (Yuping Li, Alireza Farhadi, Michael Kearney, Nadia Bedjaoui, Farhad Farokhi, Marzia Cescon, Hasan Nasir, Bojan Mavkov, Meichen Guo, Timm Strecker).</w:t>
      </w:r>
    </w:p>
    <w:p w14:paraId="0E36BBCC" w14:textId="77777777" w:rsidR="002B32A0" w:rsidRPr="00CE1D7F" w:rsidRDefault="002B32A0" w:rsidP="002B32A0">
      <w:pPr>
        <w:pStyle w:val="Heading4"/>
      </w:pPr>
      <w:r w:rsidRPr="00CE1D7F">
        <w:t>Environmental Outcomes of Irrigation Modernisation</w:t>
      </w:r>
    </w:p>
    <w:p w14:paraId="64CF3E06" w14:textId="77777777" w:rsidR="002B32A0" w:rsidRPr="00CE1D7F" w:rsidRDefault="002B32A0" w:rsidP="002B32A0">
      <w:r w:rsidRPr="00CE1D7F">
        <w:t xml:space="preserve">The recovery of large volumes of water for the environment in overallocated systems has occurred only in recent years. </w:t>
      </w:r>
      <w:bookmarkStart w:id="396" w:name="_Hlk129077635"/>
      <w:bookmarkStart w:id="397" w:name="_Hlk129077598"/>
      <w:r w:rsidRPr="00CE1D7F">
        <w:t>For example, in October 2021, 279</w:t>
      </w:r>
      <w:r>
        <w:t> gigalitres</w:t>
      </w:r>
      <w:r w:rsidRPr="00CE1D7F">
        <w:t xml:space="preserve"> of water were recovered for the environment through the Connections Project.</w:t>
      </w:r>
      <w:r w:rsidRPr="00CE1D7F">
        <w:rPr>
          <w:rStyle w:val="FootnoteReference"/>
        </w:rPr>
        <w:footnoteReference w:id="173"/>
      </w:r>
      <w:r w:rsidRPr="00CE1D7F">
        <w:t xml:space="preserve"> To put this volume into perspective, the municipality of Melbourne uses 18.5</w:t>
      </w:r>
      <w:r>
        <w:t> gigalitres</w:t>
      </w:r>
      <w:r w:rsidRPr="00CE1D7F">
        <w:t xml:space="preserve"> of mains water in a year.</w:t>
      </w:r>
      <w:r w:rsidRPr="00CE1D7F">
        <w:rPr>
          <w:rStyle w:val="FootnoteReference"/>
        </w:rPr>
        <w:footnoteReference w:id="174"/>
      </w:r>
      <w:bookmarkEnd w:id="396"/>
    </w:p>
    <w:bookmarkEnd w:id="397"/>
    <w:p w14:paraId="7D8B5FDE" w14:textId="51A16678" w:rsidR="002B32A0" w:rsidRPr="00CE1D7F" w:rsidRDefault="002B32A0" w:rsidP="002B32A0">
      <w:r w:rsidRPr="00CE1D7F">
        <w:t>Over the 10-year period from 2021 to 2031, the Connections Project is expected to return over 3,000</w:t>
      </w:r>
      <w:r>
        <w:t> gigalitres</w:t>
      </w:r>
      <w:r w:rsidRPr="00CE1D7F">
        <w:t xml:space="preserve"> to the environment (see </w:t>
      </w:r>
      <w:r w:rsidRPr="00F87D0E">
        <w:fldChar w:fldCharType="begin"/>
      </w:r>
      <w:r w:rsidRPr="00F87D0E">
        <w:instrText xml:space="preserve"> REF _Ref129349675 \h  \* MERGEFORMAT </w:instrText>
      </w:r>
      <w:r w:rsidRPr="00F87D0E">
        <w:fldChar w:fldCharType="separate"/>
      </w:r>
      <w:r w:rsidR="000B0AC7" w:rsidRPr="000B0AC7">
        <w:t>Figure 9.7</w:t>
      </w:r>
      <w:r w:rsidRPr="00F87D0E">
        <w:fldChar w:fldCharType="end"/>
      </w:r>
      <w:r w:rsidRPr="00CE1D7F">
        <w:t>). The reserved water will be used for maintaining the long-term health of Victoria’s rivers and groundwater ecosystems, and the plants and animals that depend on them.</w:t>
      </w:r>
      <w:r w:rsidRPr="00CE1D7F">
        <w:rPr>
          <w:rStyle w:val="FootnoteReference"/>
        </w:rPr>
        <w:footnoteReference w:id="175"/>
      </w:r>
    </w:p>
    <w:p w14:paraId="66E9B2DE" w14:textId="77777777" w:rsidR="002B32A0" w:rsidRPr="00CE1D7F" w:rsidRDefault="002B32A0" w:rsidP="002B32A0">
      <w:r w:rsidRPr="00CE1D7F">
        <w:t>It will take some time for the full environmental benefits of this recovery to be realised as ecological restoration is a long-term process. However, according to a study by the Productivity Commission, there is already some evidence of improved water quality and ecological outcomes at the local level. For example, the provision of environmental water has mitigated some of the most severe impacts of the drought by enabling environmental managers to protect key refuges and prevent some species’ extinctions.</w:t>
      </w:r>
      <w:r w:rsidRPr="00CE1D7F">
        <w:rPr>
          <w:rStyle w:val="FootnoteReference"/>
        </w:rPr>
        <w:footnoteReference w:id="176"/>
      </w:r>
    </w:p>
    <w:p w14:paraId="23B3260A" w14:textId="077EB060" w:rsidR="000B0AC7" w:rsidRPr="00CE1D7F" w:rsidRDefault="000B0AC7" w:rsidP="000B0AC7">
      <w:pPr>
        <w:pStyle w:val="Caption"/>
        <w:ind w:left="-535" w:hanging="1308"/>
      </w:pPr>
      <w:bookmarkStart w:id="398" w:name="_Ref129349675"/>
      <w:r w:rsidRPr="00CE1D7F">
        <w:rPr>
          <w:rStyle w:val="CaptionLabel"/>
        </w:rPr>
        <w:t>Figure </w:t>
      </w:r>
      <w:r w:rsidRPr="00CE1D7F">
        <w:rPr>
          <w:rStyle w:val="CaptionLabel"/>
        </w:rPr>
        <w:fldChar w:fldCharType="begin"/>
      </w:r>
      <w:r w:rsidRPr="00CE1D7F">
        <w:rPr>
          <w:rStyle w:val="CaptionLabel"/>
        </w:rPr>
        <w:instrText xml:space="preserve"> STYLEREF 1 \S \* MERGEFORMAT </w:instrText>
      </w:r>
      <w:r w:rsidRPr="00CE1D7F">
        <w:rPr>
          <w:rStyle w:val="CaptionLabel"/>
        </w:rPr>
        <w:fldChar w:fldCharType="separate"/>
      </w:r>
      <w:r>
        <w:rPr>
          <w:rStyle w:val="CaptionLabel"/>
          <w:noProof/>
        </w:rPr>
        <w:t>9</w:t>
      </w:r>
      <w:r w:rsidRPr="00CE1D7F">
        <w:rPr>
          <w:rStyle w:val="CaptionLabel"/>
        </w:rPr>
        <w:fldChar w:fldCharType="end"/>
      </w:r>
      <w:r w:rsidRPr="00CE1D7F">
        <w:rPr>
          <w:rStyle w:val="CaptionLabel"/>
        </w:rPr>
        <w:t>.</w:t>
      </w:r>
      <w:r w:rsidRPr="00CE1D7F">
        <w:rPr>
          <w:rStyle w:val="CaptionLabel"/>
        </w:rPr>
        <w:fldChar w:fldCharType="begin"/>
      </w:r>
      <w:r w:rsidRPr="00CE1D7F">
        <w:rPr>
          <w:rStyle w:val="CaptionLabel"/>
        </w:rPr>
        <w:instrText xml:space="preserve"> SEQ Figure \* ARABIC \S 1 \* MERGEFORMAT </w:instrText>
      </w:r>
      <w:r w:rsidRPr="00CE1D7F">
        <w:rPr>
          <w:rStyle w:val="CaptionLabel"/>
        </w:rPr>
        <w:fldChar w:fldCharType="separate"/>
      </w:r>
      <w:r>
        <w:rPr>
          <w:rStyle w:val="CaptionLabel"/>
          <w:noProof/>
        </w:rPr>
        <w:t>7</w:t>
      </w:r>
      <w:r w:rsidRPr="00CE1D7F">
        <w:rPr>
          <w:rStyle w:val="CaptionLabel"/>
        </w:rPr>
        <w:fldChar w:fldCharType="end"/>
      </w:r>
      <w:bookmarkEnd w:id="398"/>
      <w:r w:rsidRPr="00CE1D7F">
        <w:tab/>
        <w:t>Cumulative water recovered for the environment through the Connections Project (2021-31,</w:t>
      </w:r>
      <w:r>
        <w:t> gigalitres</w:t>
      </w:r>
      <w:r w:rsidRPr="00CE1D7F">
        <w:t>)</w:t>
      </w:r>
    </w:p>
    <w:tbl>
      <w:tblPr>
        <w:tblStyle w:val="aacTableFigure-Wide"/>
        <w:tblW w:w="6161" w:type="pct"/>
        <w:tblBorders>
          <w:top w:val="single" w:sz="4" w:space="0" w:color="000000"/>
          <w:bottom w:val="single" w:sz="4" w:space="0" w:color="000000"/>
        </w:tblBorders>
        <w:tblLook w:val="04A0" w:firstRow="1" w:lastRow="0" w:firstColumn="1" w:lastColumn="0" w:noHBand="0" w:noVBand="1"/>
      </w:tblPr>
      <w:tblGrid>
        <w:gridCol w:w="9779"/>
      </w:tblGrid>
      <w:tr w:rsidR="002B32A0" w:rsidRPr="00CE1D7F" w14:paraId="5039EEA2" w14:textId="77777777" w:rsidTr="000B0AC7">
        <w:tc>
          <w:tcPr>
            <w:tcW w:w="5000" w:type="pct"/>
            <w:shd w:val="clear" w:color="auto" w:fill="auto"/>
          </w:tcPr>
          <w:p w14:paraId="405D23F9" w14:textId="77777777" w:rsidR="002B32A0" w:rsidRPr="00CE1D7F" w:rsidRDefault="002B32A0" w:rsidP="006258ED">
            <w:pPr>
              <w:pStyle w:val="Figure"/>
            </w:pPr>
            <w:r w:rsidRPr="00CE1D7F">
              <w:rPr>
                <w:noProof/>
              </w:rPr>
              <w:drawing>
                <wp:inline distT="0" distB="0" distL="0" distR="0" wp14:anchorId="7CEE835D" wp14:editId="36F0EB04">
                  <wp:extent cx="5800298" cy="2586814"/>
                  <wp:effectExtent l="0" t="0" r="0" b="4445"/>
                  <wp:docPr id="712" name="Picture 712" descr="Cumulative water recovered for the environment through the Connections Project (2021-31, gigalitres), see description in text abov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 name="Picture 712" descr="Cumulative water recovered for the environment through the Connections Project (2021-31, gigalitres), see description in text above figure."/>
                          <pic:cNvPicPr>
                            <a:picLocks noChangeAspect="1" noChangeArrowheads="1"/>
                          </pic:cNvPicPr>
                        </pic:nvPicPr>
                        <pic:blipFill rotWithShape="1">
                          <a:blip r:embed="rId187" cstate="print">
                            <a:extLst>
                              <a:ext uri="{28A0092B-C50C-407E-A947-70E740481C1C}">
                                <a14:useLocalDpi xmlns:a14="http://schemas.microsoft.com/office/drawing/2010/main" val="0"/>
                              </a:ext>
                            </a:extLst>
                          </a:blip>
                          <a:srcRect b="7972"/>
                          <a:stretch/>
                        </pic:blipFill>
                        <pic:spPr bwMode="auto">
                          <a:xfrm>
                            <a:off x="0" y="0"/>
                            <a:ext cx="5807611" cy="2590076"/>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3A23E02" w14:textId="77777777" w:rsidR="000B0AC7" w:rsidRPr="00CE1D7F" w:rsidRDefault="000B0AC7" w:rsidP="000B0AC7">
      <w:pPr>
        <w:pStyle w:val="Source"/>
        <w:ind w:left="-535" w:hanging="1308"/>
      </w:pPr>
      <w:r w:rsidRPr="00CE1D7F">
        <w:t>Source: ACIL Allen</w:t>
      </w:r>
    </w:p>
    <w:p w14:paraId="523182D4" w14:textId="77777777" w:rsidR="000B0AC7" w:rsidRPr="00CE1D7F" w:rsidRDefault="000B0AC7" w:rsidP="006258ED">
      <w:pPr>
        <w:pStyle w:val="spacer"/>
      </w:pPr>
    </w:p>
    <w:p w14:paraId="6927DDB5" w14:textId="77777777" w:rsidR="002B32A0" w:rsidRPr="00CE1D7F" w:rsidRDefault="002B32A0" w:rsidP="002B32A0">
      <w:pPr>
        <w:pStyle w:val="Heading6"/>
        <w:numPr>
          <w:ilvl w:val="5"/>
          <w:numId w:val="0"/>
        </w:numPr>
      </w:pPr>
      <w:r w:rsidRPr="00CE1D7F">
        <w:t>Other impacts</w:t>
      </w:r>
    </w:p>
    <w:p w14:paraId="39716429" w14:textId="77777777" w:rsidR="002B32A0" w:rsidRPr="00CE1D7F" w:rsidRDefault="002B32A0" w:rsidP="002B32A0">
      <w:r w:rsidRPr="00CE1D7F">
        <w:t>The research activities undertaken by the University of Melbourne and Rubicon Water were highlighted in a Futurum article in November 2022. The article showcases the importance of the research as well as the role that control engineering can play in improving society.</w:t>
      </w:r>
      <w:r w:rsidRPr="00CE1D7F">
        <w:rPr>
          <w:rStyle w:val="FootnoteReference"/>
        </w:rPr>
        <w:footnoteReference w:id="177"/>
      </w:r>
      <w:r w:rsidRPr="00CE1D7F">
        <w:t xml:space="preserve"> Futurum is a free online resource and magazine aimed at introducing 14-to-19-year-olds worldwide to the work in STEM (science, tech, engineering, maths, medicine) and SHAPE (social sciences, humanities and the arts for people and the economy). The research has been translated into a free education resource that can be used in the classroom, at home and in STEM and SHAPE clubs. These outreach activities are expected to positively impact education and future interest in these sectors.</w:t>
      </w:r>
    </w:p>
    <w:p w14:paraId="4E1C58F4" w14:textId="77777777" w:rsidR="002B32A0" w:rsidRPr="00CE1D7F" w:rsidRDefault="002B32A0" w:rsidP="009E321F">
      <w:pPr>
        <w:pStyle w:val="Heading2"/>
      </w:pPr>
      <w:bookmarkStart w:id="399" w:name="_Toc129964033"/>
      <w:bookmarkStart w:id="400" w:name="_Toc131174671"/>
      <w:bookmarkStart w:id="401" w:name="_Toc132970692"/>
      <w:bookmarkStart w:id="402" w:name="_Toc135323731"/>
      <w:r w:rsidRPr="00CE1D7F">
        <w:t>Potential future impacts</w:t>
      </w:r>
      <w:bookmarkEnd w:id="399"/>
      <w:bookmarkEnd w:id="400"/>
      <w:bookmarkEnd w:id="401"/>
      <w:bookmarkEnd w:id="402"/>
      <w:r w:rsidRPr="00CE1D7F">
        <w:t xml:space="preserve"> </w:t>
      </w:r>
    </w:p>
    <w:p w14:paraId="308D5D3C" w14:textId="77777777" w:rsidR="002B32A0" w:rsidRPr="00CE1D7F" w:rsidRDefault="002B32A0" w:rsidP="002B32A0">
      <w:r w:rsidRPr="00CE1D7F">
        <w:t>The University of Melbourne and Rubicon Water are completing another Linkage Project, which commenced in 2020.This research aims to further develop automatic control technologies for irrigation channels, with a particular focus on supply mode operations for channels with critical limits on storage and inflow. This will help Rubicon Water improve its offering in Australia and further expand into overseas markets.</w:t>
      </w:r>
    </w:p>
    <w:p w14:paraId="3A3EA369" w14:textId="77777777" w:rsidR="002B32A0" w:rsidRPr="00CE1D7F" w:rsidRDefault="002B32A0" w:rsidP="002B32A0">
      <w:r w:rsidRPr="00CE1D7F">
        <w:t xml:space="preserve">Rubicon Water expects that its technology will continue to benefit society not only through water savings but also through improvements to the processes of water district operators and farmers. Its integrated end-to-end system is expected to continuously improve distribution efficiency for water district operators. On-farm application technologies and irrigation scheduling techniques for farmers will boost on-farm productivity from increased yields and allow farms to diversify into higher-value crops. </w:t>
      </w:r>
    </w:p>
    <w:p w14:paraId="100FBA1B" w14:textId="77777777" w:rsidR="002B32A0" w:rsidRPr="00CE1D7F" w:rsidRDefault="002B32A0" w:rsidP="009E321F">
      <w:pPr>
        <w:keepNext/>
        <w:keepLines/>
      </w:pPr>
      <w:r w:rsidRPr="00CE1D7F">
        <w:t>Rubicon Water is continuing to explore and find opportunities overseas. For example</w:t>
      </w:r>
      <w:r w:rsidRPr="00DC7DF5">
        <w:t>, on 17 October 2022, Rubicon Water signed a Memorandum of Understanding (MoU) with t</w:t>
      </w:r>
      <w:r w:rsidRPr="00CE1D7F">
        <w:t>he Ministry of Water Resources of the Republic of Uzbekistan.</w:t>
      </w:r>
      <w:r w:rsidRPr="00CE1D7F">
        <w:rPr>
          <w:rStyle w:val="FootnoteReference"/>
        </w:rPr>
        <w:footnoteReference w:id="178"/>
      </w:r>
      <w:r w:rsidRPr="00CE1D7F">
        <w:t xml:space="preserve"> Compounding issues around the sustainability of water supply in the Aral Sea and increasing water scarcity threats throughout Uzbekistan are driving the need for remediated action to improve the management of the country’s water resources. The Ministry of Water Resources has acknowledged the similar issues faced in Australia’s Murray-Darling Basin during the Millennium Drought and is exploring the modernisation strategies that Australia leveraged to address water scarcity. </w:t>
      </w:r>
    </w:p>
    <w:p w14:paraId="466351CF" w14:textId="77777777" w:rsidR="002B32A0" w:rsidRPr="00CE1D7F" w:rsidRDefault="002B32A0" w:rsidP="002B32A0">
      <w:r w:rsidRPr="00CE1D7F">
        <w:t>The MoU is just one example of how Rubicon Water hopes its technology can help alleviate the increasing water management issues experienced worldwide. Rubicon Water has noted that irrigation automation technology could have significant impacts in other regions that are experiencing water stress, such as the Colorado River (Southwest US and Northern Mexico), Po River (Italy) and the Nile (Egypt).</w:t>
      </w:r>
    </w:p>
    <w:p w14:paraId="6B464E49" w14:textId="77777777" w:rsidR="002B32A0" w:rsidRPr="00CE1D7F" w:rsidRDefault="002B32A0" w:rsidP="002B32A0"/>
    <w:p w14:paraId="0336296E" w14:textId="77777777" w:rsidR="002B32A0" w:rsidRPr="00CE1D7F" w:rsidRDefault="002B32A0" w:rsidP="002B32A0">
      <w:pPr>
        <w:pStyle w:val="BodyText"/>
      </w:pPr>
    </w:p>
    <w:p w14:paraId="4FE00B72" w14:textId="77777777" w:rsidR="002B32A0" w:rsidRPr="00CE1D7F" w:rsidRDefault="002B32A0" w:rsidP="002B32A0">
      <w:pPr>
        <w:pStyle w:val="BodyText"/>
      </w:pPr>
    </w:p>
    <w:p w14:paraId="6123EDE1" w14:textId="77777777" w:rsidR="002B32A0" w:rsidRPr="00CE1D7F" w:rsidRDefault="002B32A0" w:rsidP="002B32A0">
      <w:pPr>
        <w:pStyle w:val="BodyText"/>
        <w:sectPr w:rsidR="002B32A0" w:rsidRPr="00CE1D7F" w:rsidSect="00327E78">
          <w:headerReference w:type="even" r:id="rId188"/>
          <w:headerReference w:type="default" r:id="rId189"/>
          <w:footerReference w:type="even" r:id="rId190"/>
          <w:footerReference w:type="default" r:id="rId191"/>
          <w:headerReference w:type="first" r:id="rId192"/>
          <w:footerReference w:type="first" r:id="rId193"/>
          <w:pgSz w:w="11906" w:h="16838" w:code="9"/>
          <w:pgMar w:top="1134" w:right="851" w:bottom="1134" w:left="3119" w:header="454" w:footer="159" w:gutter="0"/>
          <w:cols w:space="708"/>
          <w:docGrid w:linePitch="360"/>
        </w:sectPr>
      </w:pPr>
    </w:p>
    <w:p w14:paraId="1F81639A" w14:textId="77777777" w:rsidR="000B0AC7" w:rsidRPr="00CE1D7F" w:rsidRDefault="000B0AC7" w:rsidP="000B0AC7">
      <w:pPr>
        <w:pStyle w:val="Heading1"/>
        <w:pageBreakBefore/>
        <w:ind w:left="0" w:hanging="600"/>
      </w:pPr>
      <w:bookmarkStart w:id="403" w:name="_Ref131077640"/>
      <w:bookmarkStart w:id="404" w:name="_Toc135323732"/>
      <w:r w:rsidRPr="00CE1D7F">
        <w:t>Onshore Lobster Aquaculture</w:t>
      </w:r>
      <w:bookmarkEnd w:id="403"/>
      <w:bookmarkEnd w:id="404"/>
    </w:p>
    <w:p w14:paraId="79B52F6A" w14:textId="77777777" w:rsidR="002B32A0" w:rsidRPr="00CE1D7F" w:rsidRDefault="002B32A0" w:rsidP="009E321F">
      <w:pPr>
        <w:pStyle w:val="Heading2"/>
      </w:pPr>
      <w:bookmarkStart w:id="405" w:name="_Toc129964035"/>
      <w:bookmarkStart w:id="406" w:name="_Toc131174673"/>
      <w:bookmarkStart w:id="407" w:name="_Toc132970694"/>
      <w:bookmarkStart w:id="408" w:name="_Toc135323733"/>
      <w:r w:rsidRPr="00CE1D7F">
        <w:t>Key Findings – Lobster Aquaculture</w:t>
      </w:r>
      <w:bookmarkEnd w:id="405"/>
      <w:bookmarkEnd w:id="406"/>
      <w:bookmarkEnd w:id="407"/>
      <w:bookmarkEnd w:id="408"/>
    </w:p>
    <w:p w14:paraId="36E8EC0C" w14:textId="77777777" w:rsidR="002B32A0" w:rsidRPr="00CE1D7F" w:rsidRDefault="002B32A0" w:rsidP="002B32A0">
      <w:pPr>
        <w:pStyle w:val="BodyText"/>
      </w:pPr>
      <w:r w:rsidRPr="00CE1D7F">
        <w:rPr>
          <w:noProof/>
        </w:rPr>
        <mc:AlternateContent>
          <mc:Choice Requires="wps">
            <w:drawing>
              <wp:anchor distT="0" distB="0" distL="114300" distR="114300" simplePos="0" relativeHeight="251782144" behindDoc="0" locked="0" layoutInCell="1" allowOverlap="1" wp14:anchorId="2AECA5E4" wp14:editId="53A4DF43">
                <wp:simplePos x="0" y="0"/>
                <wp:positionH relativeFrom="column">
                  <wp:posOffset>2251009</wp:posOffset>
                </wp:positionH>
                <wp:positionV relativeFrom="paragraph">
                  <wp:posOffset>252314</wp:posOffset>
                </wp:positionV>
                <wp:extent cx="1703946" cy="682625"/>
                <wp:effectExtent l="0" t="0" r="0" b="0"/>
                <wp:wrapNone/>
                <wp:docPr id="252" name="Text Box 25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703946" cy="682625"/>
                        </a:xfrm>
                        <a:prstGeom prst="rect">
                          <a:avLst/>
                        </a:prstGeom>
                        <a:noFill/>
                      </wps:spPr>
                      <wps:txbx>
                        <w:txbxContent>
                          <w:p w14:paraId="6710B2B9" w14:textId="77777777" w:rsidR="002B32A0" w:rsidRPr="00624931" w:rsidRDefault="002B32A0" w:rsidP="002B32A0">
                            <w:pPr>
                              <w:spacing w:line="204" w:lineRule="auto"/>
                              <w:rPr>
                                <w:rFonts w:asciiTheme="minorHAnsi" w:eastAsia="Yu Gothic UI Semibold" w:cstheme="minorBidi"/>
                                <w:color w:val="000000" w:themeColor="text1"/>
                                <w:kern w:val="24"/>
                              </w:rPr>
                            </w:pPr>
                            <w:r>
                              <w:rPr>
                                <w:rFonts w:asciiTheme="minorHAnsi" w:eastAsia="Yu Gothic UI Semibold" w:cstheme="minorBidi"/>
                                <w:color w:val="000000" w:themeColor="text1"/>
                                <w:kern w:val="24"/>
                              </w:rPr>
                              <w:t xml:space="preserve">The </w:t>
                            </w:r>
                            <w:r w:rsidRPr="00624931">
                              <w:rPr>
                                <w:rFonts w:cstheme="minorBidi"/>
                                <w:color w:val="000000" w:themeColor="text1"/>
                                <w:kern w:val="24"/>
                              </w:rPr>
                              <w:t xml:space="preserve">NPV of </w:t>
                            </w:r>
                            <w:r>
                              <w:rPr>
                                <w:rFonts w:cstheme="minorBidi"/>
                                <w:color w:val="000000" w:themeColor="text1"/>
                                <w:kern w:val="24"/>
                              </w:rPr>
                              <w:t>the project is</w:t>
                            </w:r>
                            <w:r w:rsidRPr="00624931">
                              <w:rPr>
                                <w:rFonts w:cstheme="minorBidi"/>
                                <w:color w:val="000000" w:themeColor="text1"/>
                                <w:kern w:val="24"/>
                              </w:rPr>
                              <w:t xml:space="preserve"> </w:t>
                            </w:r>
                            <w:r>
                              <w:rPr>
                                <w:rFonts w:asciiTheme="minorHAnsi" w:eastAsia="Yu Gothic UI Semibold" w:cstheme="minorBidi"/>
                                <w:color w:val="000000" w:themeColor="text1"/>
                                <w:kern w:val="24"/>
                              </w:rPr>
                              <w:t xml:space="preserve">estimated to be </w:t>
                            </w:r>
                            <w:r w:rsidRPr="00FC72A7">
                              <w:rPr>
                                <w:rFonts w:asciiTheme="minorHAnsi" w:eastAsia="Yu Gothic UI Semibold" w:cstheme="minorBidi"/>
                                <w:b/>
                                <w:bCs/>
                                <w:color w:val="000000" w:themeColor="text1"/>
                                <w:kern w:val="24"/>
                              </w:rPr>
                              <w:t>$201</w:t>
                            </w:r>
                            <w:r>
                              <w:rPr>
                                <w:rFonts w:asciiTheme="minorHAnsi" w:eastAsia="Yu Gothic UI Semibold" w:cstheme="minorBidi"/>
                                <w:color w:val="000000" w:themeColor="text1"/>
                                <w:kern w:val="24"/>
                              </w:rPr>
                              <w:t> </w:t>
                            </w:r>
                            <w:r>
                              <w:rPr>
                                <w:rFonts w:asciiTheme="minorHAnsi" w:eastAsia="Yu Gothic UI Semibold" w:cstheme="minorBidi"/>
                                <w:color w:val="000000" w:themeColor="text1"/>
                                <w:kern w:val="24"/>
                              </w:rPr>
                              <w:t>million</w:t>
                            </w:r>
                            <w:r w:rsidRPr="00FC72A7">
                              <w:rPr>
                                <w:rFonts w:asciiTheme="minorHAnsi" w:eastAsia="Yu Gothic UI Semibold" w:cstheme="minorBidi"/>
                                <w:color w:val="000000" w:themeColor="text1"/>
                                <w:kern w:val="24"/>
                              </w:rPr>
                              <w:t xml:space="preserve">. </w:t>
                            </w:r>
                            <w:r w:rsidRPr="00FC72A7">
                              <w:rPr>
                                <w:rFonts w:cstheme="minorBidi"/>
                                <w:color w:val="000000" w:themeColor="text1"/>
                                <w:kern w:val="24"/>
                              </w:rPr>
                              <w:t xml:space="preserve">The BCR was estimated to be </w:t>
                            </w:r>
                            <w:r w:rsidRPr="00FC72A7">
                              <w:rPr>
                                <w:rFonts w:cstheme="minorBidi"/>
                                <w:b/>
                                <w:bCs/>
                                <w:color w:val="000000" w:themeColor="text1"/>
                                <w:kern w:val="24"/>
                              </w:rPr>
                              <w:t>3.08</w:t>
                            </w:r>
                          </w:p>
                        </w:txbxContent>
                      </wps:txbx>
                      <wps:bodyPr wrap="square" rtlCol="0">
                        <a:noAutofit/>
                      </wps:bodyPr>
                    </wps:wsp>
                  </a:graphicData>
                </a:graphic>
                <wp14:sizeRelV relativeFrom="margin">
                  <wp14:pctHeight>0</wp14:pctHeight>
                </wp14:sizeRelV>
              </wp:anchor>
            </w:drawing>
          </mc:Choice>
          <mc:Fallback>
            <w:pict>
              <v:shape w14:anchorId="2AECA5E4" id="Text Box 252" o:spid="_x0000_s1064" type="#_x0000_t202" alt="&quot;&quot;" style="position:absolute;margin-left:177.25pt;margin-top:19.85pt;width:134.15pt;height:53.75pt;z-index:251782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" filled="f" stroked="f">
                <v:textbox>
                  <w:txbxContent>
                    <w:p w14:paraId="6710B2B9" w14:textId="77777777" w:rsidR="002B32A0" w:rsidRPr="00624931" w:rsidRDefault="002B32A0" w:rsidP="002B32A0">
                      <w:pPr>
                        <w:spacing w:line="204" w:lineRule="auto"/>
                        <w:rPr>
                          <w:rFonts w:asciiTheme="minorHAnsi" w:eastAsia="Yu Gothic UI Semibold" w:cstheme="minorBidi"/>
                          <w:color w:val="000000" w:themeColor="text1"/>
                          <w:kern w:val="24"/>
                        </w:rPr>
                      </w:pPr>
                      <w:r>
                        <w:rPr>
                          <w:rFonts w:asciiTheme="minorHAnsi" w:eastAsia="Yu Gothic UI Semibold" w:cstheme="minorBidi"/>
                          <w:color w:val="000000" w:themeColor="text1"/>
                          <w:kern w:val="24"/>
                        </w:rPr>
                        <w:t xml:space="preserve">The </w:t>
                      </w:r>
                      <w:r w:rsidRPr="00624931">
                        <w:rPr>
                          <w:rFonts w:cstheme="minorBidi"/>
                          <w:color w:val="000000" w:themeColor="text1"/>
                          <w:kern w:val="24"/>
                        </w:rPr>
                        <w:t xml:space="preserve">NPV of </w:t>
                      </w:r>
                      <w:r>
                        <w:rPr>
                          <w:rFonts w:cstheme="minorBidi"/>
                          <w:color w:val="000000" w:themeColor="text1"/>
                          <w:kern w:val="24"/>
                        </w:rPr>
                        <w:t>the project is</w:t>
                      </w:r>
                      <w:r w:rsidRPr="00624931">
                        <w:rPr>
                          <w:rFonts w:cstheme="minorBidi"/>
                          <w:color w:val="000000" w:themeColor="text1"/>
                          <w:kern w:val="24"/>
                        </w:rPr>
                        <w:t xml:space="preserve"> </w:t>
                      </w:r>
                      <w:r>
                        <w:rPr>
                          <w:rFonts w:asciiTheme="minorHAnsi" w:eastAsia="Yu Gothic UI Semibold" w:cstheme="minorBidi"/>
                          <w:color w:val="000000" w:themeColor="text1"/>
                          <w:kern w:val="24"/>
                        </w:rPr>
                        <w:t xml:space="preserve">estimated to be </w:t>
                      </w:r>
                      <w:r w:rsidRPr="00FC72A7">
                        <w:rPr>
                          <w:rFonts w:asciiTheme="minorHAnsi" w:eastAsia="Yu Gothic UI Semibold" w:cstheme="minorBidi"/>
                          <w:b/>
                          <w:bCs/>
                          <w:color w:val="000000" w:themeColor="text1"/>
                          <w:kern w:val="24"/>
                        </w:rPr>
                        <w:t>$201</w:t>
                      </w:r>
                      <w:r>
                        <w:rPr>
                          <w:rFonts w:asciiTheme="minorHAnsi" w:eastAsia="Yu Gothic UI Semibold" w:cstheme="minorBidi"/>
                          <w:color w:val="000000" w:themeColor="text1"/>
                          <w:kern w:val="24"/>
                        </w:rPr>
                        <w:t> </w:t>
                      </w:r>
                      <w:r>
                        <w:rPr>
                          <w:rFonts w:asciiTheme="minorHAnsi" w:eastAsia="Yu Gothic UI Semibold" w:cstheme="minorBidi"/>
                          <w:color w:val="000000" w:themeColor="text1"/>
                          <w:kern w:val="24"/>
                        </w:rPr>
                        <w:t>million</w:t>
                      </w:r>
                      <w:r w:rsidRPr="00FC72A7">
                        <w:rPr>
                          <w:rFonts w:asciiTheme="minorHAnsi" w:eastAsia="Yu Gothic UI Semibold" w:cstheme="minorBidi"/>
                          <w:color w:val="000000" w:themeColor="text1"/>
                          <w:kern w:val="24"/>
                        </w:rPr>
                        <w:t xml:space="preserve">. </w:t>
                      </w:r>
                      <w:r w:rsidRPr="00FC72A7">
                        <w:rPr>
                          <w:rFonts w:cstheme="minorBidi"/>
                          <w:color w:val="000000" w:themeColor="text1"/>
                          <w:kern w:val="24"/>
                        </w:rPr>
                        <w:t xml:space="preserve">The BCR was estimated to be </w:t>
                      </w:r>
                      <w:r w:rsidRPr="00FC72A7">
                        <w:rPr>
                          <w:rFonts w:cstheme="minorBidi"/>
                          <w:b/>
                          <w:bCs/>
                          <w:color w:val="000000" w:themeColor="text1"/>
                          <w:kern w:val="24"/>
                        </w:rPr>
                        <w:t>3.08</w:t>
                      </w:r>
                    </w:p>
                  </w:txbxContent>
                </v:textbox>
              </v:shape>
            </w:pict>
          </mc:Fallback>
        </mc:AlternateContent>
      </w:r>
      <w:r w:rsidRPr="00CE1D7F">
        <w:rPr>
          <w:noProof/>
        </w:rPr>
        <mc:AlternateContent>
          <mc:Choice Requires="wps">
            <w:drawing>
              <wp:anchor distT="0" distB="0" distL="114300" distR="114300" simplePos="0" relativeHeight="251778048" behindDoc="0" locked="0" layoutInCell="1" allowOverlap="1" wp14:anchorId="7715F975" wp14:editId="211001D4">
                <wp:simplePos x="0" y="0"/>
                <wp:positionH relativeFrom="column">
                  <wp:posOffset>-268233</wp:posOffset>
                </wp:positionH>
                <wp:positionV relativeFrom="paragraph">
                  <wp:posOffset>204054</wp:posOffset>
                </wp:positionV>
                <wp:extent cx="1703705" cy="733530"/>
                <wp:effectExtent l="0" t="0" r="0" b="0"/>
                <wp:wrapNone/>
                <wp:docPr id="253" name="Text Box 2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703705" cy="733530"/>
                        </a:xfrm>
                        <a:prstGeom prst="rect">
                          <a:avLst/>
                        </a:prstGeom>
                        <a:noFill/>
                      </wps:spPr>
                      <wps:txbx>
                        <w:txbxContent>
                          <w:p w14:paraId="0E1510A9" w14:textId="77777777" w:rsidR="002B32A0" w:rsidRDefault="002B32A0" w:rsidP="002B32A0">
                            <w:pPr>
                              <w:spacing w:line="204" w:lineRule="auto"/>
                              <w:rPr>
                                <w:rFonts w:asciiTheme="minorHAnsi" w:eastAsia="Yu Gothic UI Semibold" w:cstheme="minorBidi"/>
                                <w:color w:val="000000" w:themeColor="text1"/>
                                <w:kern w:val="24"/>
                              </w:rPr>
                            </w:pPr>
                            <w:r w:rsidRPr="00240D8D">
                              <w:rPr>
                                <w:rFonts w:asciiTheme="minorHAnsi" w:eastAsia="Yu Gothic UI Semibold" w:cstheme="minorBidi"/>
                                <w:b/>
                                <w:bCs/>
                                <w:color w:val="000000" w:themeColor="text1"/>
                                <w:kern w:val="24"/>
                              </w:rPr>
                              <w:t>$</w:t>
                            </w:r>
                            <w:r>
                              <w:rPr>
                                <w:rFonts w:asciiTheme="minorHAnsi" w:eastAsia="Yu Gothic UI Semibold" w:cstheme="minorBidi"/>
                                <w:b/>
                                <w:bCs/>
                                <w:color w:val="000000" w:themeColor="text1"/>
                                <w:kern w:val="24"/>
                              </w:rPr>
                              <w:t>10</w:t>
                            </w:r>
                            <w:r w:rsidRPr="00240D8D">
                              <w:rPr>
                                <w:rFonts w:asciiTheme="minorHAnsi" w:eastAsia="Yu Gothic UI Semibold" w:cstheme="minorBidi"/>
                                <w:b/>
                                <w:bCs/>
                                <w:color w:val="000000" w:themeColor="text1"/>
                                <w:kern w:val="24"/>
                              </w:rPr>
                              <w:t>m</w:t>
                            </w:r>
                            <w:r w:rsidRPr="00240D8D">
                              <w:rPr>
                                <w:rFonts w:asciiTheme="minorHAnsi" w:eastAsia="Yu Gothic UI Semibold" w:cstheme="minorBidi"/>
                                <w:b/>
                                <w:bCs/>
                                <w:color w:val="000000" w:themeColor="text1"/>
                                <w:kern w:val="24"/>
                                <w:sz w:val="24"/>
                                <w:szCs w:val="24"/>
                              </w:rPr>
                              <w:t xml:space="preserve"> </w:t>
                            </w:r>
                            <w:r w:rsidRPr="00D40B4C">
                              <w:rPr>
                                <w:rFonts w:asciiTheme="minorHAnsi" w:eastAsia="Yu Gothic UI Semibold" w:cstheme="minorBidi"/>
                                <w:color w:val="000000" w:themeColor="text1"/>
                                <w:kern w:val="24"/>
                                <w:sz w:val="24"/>
                                <w:szCs w:val="24"/>
                              </w:rPr>
                              <w:t>in</w:t>
                            </w:r>
                            <w:r>
                              <w:rPr>
                                <w:rFonts w:asciiTheme="minorHAnsi" w:eastAsia="Yu Gothic UI Semibold" w:cstheme="minorBidi"/>
                                <w:b/>
                                <w:bCs/>
                                <w:color w:val="000000" w:themeColor="text1"/>
                                <w:kern w:val="24"/>
                                <w:sz w:val="24"/>
                                <w:szCs w:val="24"/>
                              </w:rPr>
                              <w:t xml:space="preserve"> </w:t>
                            </w:r>
                            <w:r w:rsidRPr="00240D8D">
                              <w:rPr>
                                <w:rFonts w:asciiTheme="minorHAnsi" w:eastAsia="Yu Gothic UI Semibold" w:cstheme="minorBidi"/>
                                <w:color w:val="000000" w:themeColor="text1"/>
                                <w:kern w:val="24"/>
                              </w:rPr>
                              <w:t>cash support from the ARC</w:t>
                            </w:r>
                            <w:r>
                              <w:rPr>
                                <w:rFonts w:asciiTheme="minorHAnsi" w:eastAsia="Yu Gothic UI Semibold" w:cstheme="minorBidi"/>
                                <w:color w:val="000000" w:themeColor="text1"/>
                                <w:kern w:val="24"/>
                              </w:rPr>
                              <w:t>,</w:t>
                            </w:r>
                            <w:r w:rsidRPr="00240D8D">
                              <w:rPr>
                                <w:rFonts w:asciiTheme="minorHAnsi" w:eastAsia="Yu Gothic UI Semibold" w:cstheme="minorBidi"/>
                                <w:color w:val="000000" w:themeColor="text1"/>
                                <w:kern w:val="24"/>
                              </w:rPr>
                              <w:t xml:space="preserve"> and</w:t>
                            </w:r>
                            <w:r>
                              <w:rPr>
                                <w:rFonts w:asciiTheme="minorHAnsi" w:eastAsia="Yu Gothic UI Semibold" w:cstheme="minorBidi"/>
                                <w:b/>
                                <w:bCs/>
                                <w:color w:val="000000" w:themeColor="text1"/>
                                <w:kern w:val="24"/>
                              </w:rPr>
                              <w:t xml:space="preserve"> </w:t>
                            </w:r>
                            <w:r w:rsidRPr="00240D8D">
                              <w:rPr>
                                <w:rFonts w:asciiTheme="minorHAnsi" w:eastAsia="Yu Gothic UI Semibold" w:cstheme="minorBidi"/>
                                <w:b/>
                                <w:bCs/>
                                <w:color w:val="000000" w:themeColor="text1"/>
                                <w:kern w:val="24"/>
                              </w:rPr>
                              <w:t>$</w:t>
                            </w:r>
                            <w:r>
                              <w:rPr>
                                <w:rFonts w:asciiTheme="minorHAnsi" w:eastAsia="Yu Gothic UI Semibold" w:cstheme="minorBidi"/>
                                <w:b/>
                                <w:bCs/>
                                <w:color w:val="000000" w:themeColor="text1"/>
                                <w:kern w:val="24"/>
                              </w:rPr>
                              <w:t>33</w:t>
                            </w:r>
                            <w:r w:rsidRPr="00240D8D">
                              <w:rPr>
                                <w:rFonts w:asciiTheme="minorHAnsi" w:eastAsia="Yu Gothic UI Semibold" w:cstheme="minorBidi"/>
                                <w:b/>
                                <w:bCs/>
                                <w:color w:val="000000" w:themeColor="text1"/>
                                <w:kern w:val="24"/>
                              </w:rPr>
                              <w:t xml:space="preserve">m </w:t>
                            </w:r>
                            <w:r w:rsidRPr="00240D8D">
                              <w:rPr>
                                <w:rFonts w:asciiTheme="minorHAnsi" w:eastAsia="Yu Gothic UI Semibold" w:cstheme="minorBidi"/>
                                <w:color w:val="000000" w:themeColor="text1"/>
                                <w:kern w:val="24"/>
                              </w:rPr>
                              <w:t>cash and in-kind support from other organisations</w:t>
                            </w:r>
                            <w:r>
                              <w:rPr>
                                <w:rFonts w:asciiTheme="minorHAnsi" w:eastAsia="Yu Gothic UI Semibold" w:cstheme="minorBidi"/>
                                <w:color w:val="000000" w:themeColor="text1"/>
                                <w:kern w:val="24"/>
                              </w:rPr>
                              <w:t xml:space="preserve"> </w:t>
                            </w:r>
                          </w:p>
                        </w:txbxContent>
                      </wps:txbx>
                      <wps:bodyPr wrap="square" rtlCol="0">
                        <a:noAutofit/>
                      </wps:bodyPr>
                    </wps:wsp>
                  </a:graphicData>
                </a:graphic>
                <wp14:sizeRelV relativeFrom="margin">
                  <wp14:pctHeight>0</wp14:pctHeight>
                </wp14:sizeRelV>
              </wp:anchor>
            </w:drawing>
          </mc:Choice>
          <mc:Fallback>
            <w:pict>
              <v:shape w14:anchorId="7715F975" id="Text Box 253" o:spid="_x0000_s1065" type="#_x0000_t202" alt="&quot;&quot;" style="position:absolute;margin-left:-21.1pt;margin-top:16.05pt;width:134.15pt;height:57.75pt;z-index:251778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" filled="f" stroked="f">
                <v:textbox>
                  <w:txbxContent>
                    <w:p w14:paraId="0E1510A9" w14:textId="77777777" w:rsidR="002B32A0" w:rsidRDefault="002B32A0" w:rsidP="002B32A0">
                      <w:pPr>
                        <w:spacing w:line="204" w:lineRule="auto"/>
                        <w:rPr>
                          <w:rFonts w:asciiTheme="minorHAnsi" w:eastAsia="Yu Gothic UI Semibold" w:cstheme="minorBidi"/>
                          <w:color w:val="000000" w:themeColor="text1"/>
                          <w:kern w:val="24"/>
                        </w:rPr>
                      </w:pPr>
                      <w:r w:rsidRPr="00240D8D">
                        <w:rPr>
                          <w:rFonts w:asciiTheme="minorHAnsi" w:eastAsia="Yu Gothic UI Semibold" w:cstheme="minorBidi"/>
                          <w:b/>
                          <w:bCs/>
                          <w:color w:val="000000" w:themeColor="text1"/>
                          <w:kern w:val="24"/>
                        </w:rPr>
                        <w:t>$</w:t>
                      </w:r>
                      <w:r>
                        <w:rPr>
                          <w:rFonts w:asciiTheme="minorHAnsi" w:eastAsia="Yu Gothic UI Semibold" w:cstheme="minorBidi"/>
                          <w:b/>
                          <w:bCs/>
                          <w:color w:val="000000" w:themeColor="text1"/>
                          <w:kern w:val="24"/>
                        </w:rPr>
                        <w:t>10</w:t>
                      </w:r>
                      <w:r w:rsidRPr="00240D8D">
                        <w:rPr>
                          <w:rFonts w:asciiTheme="minorHAnsi" w:eastAsia="Yu Gothic UI Semibold" w:cstheme="minorBidi"/>
                          <w:b/>
                          <w:bCs/>
                          <w:color w:val="000000" w:themeColor="text1"/>
                          <w:kern w:val="24"/>
                        </w:rPr>
                        <w:t>m</w:t>
                      </w:r>
                      <w:r w:rsidRPr="00240D8D">
                        <w:rPr>
                          <w:rFonts w:asciiTheme="minorHAnsi" w:eastAsia="Yu Gothic UI Semibold" w:cstheme="minorBidi"/>
                          <w:b/>
                          <w:bCs/>
                          <w:color w:val="000000" w:themeColor="text1"/>
                          <w:kern w:val="24"/>
                          <w:sz w:val="24"/>
                          <w:szCs w:val="24"/>
                        </w:rPr>
                        <w:t xml:space="preserve"> </w:t>
                      </w:r>
                      <w:r w:rsidRPr="00D40B4C">
                        <w:rPr>
                          <w:rFonts w:asciiTheme="minorHAnsi" w:eastAsia="Yu Gothic UI Semibold" w:cstheme="minorBidi"/>
                          <w:color w:val="000000" w:themeColor="text1"/>
                          <w:kern w:val="24"/>
                          <w:sz w:val="24"/>
                          <w:szCs w:val="24"/>
                        </w:rPr>
                        <w:t>in</w:t>
                      </w:r>
                      <w:r>
                        <w:rPr>
                          <w:rFonts w:asciiTheme="minorHAnsi" w:eastAsia="Yu Gothic UI Semibold" w:cstheme="minorBidi"/>
                          <w:b/>
                          <w:bCs/>
                          <w:color w:val="000000" w:themeColor="text1"/>
                          <w:kern w:val="24"/>
                          <w:sz w:val="24"/>
                          <w:szCs w:val="24"/>
                        </w:rPr>
                        <w:t xml:space="preserve"> </w:t>
                      </w:r>
                      <w:r w:rsidRPr="00240D8D">
                        <w:rPr>
                          <w:rFonts w:asciiTheme="minorHAnsi" w:eastAsia="Yu Gothic UI Semibold" w:cstheme="minorBidi"/>
                          <w:color w:val="000000" w:themeColor="text1"/>
                          <w:kern w:val="24"/>
                        </w:rPr>
                        <w:t>cash support from the ARC</w:t>
                      </w:r>
                      <w:r>
                        <w:rPr>
                          <w:rFonts w:asciiTheme="minorHAnsi" w:eastAsia="Yu Gothic UI Semibold" w:cstheme="minorBidi"/>
                          <w:color w:val="000000" w:themeColor="text1"/>
                          <w:kern w:val="24"/>
                        </w:rPr>
                        <w:t>,</w:t>
                      </w:r>
                      <w:r w:rsidRPr="00240D8D">
                        <w:rPr>
                          <w:rFonts w:asciiTheme="minorHAnsi" w:eastAsia="Yu Gothic UI Semibold" w:cstheme="minorBidi"/>
                          <w:color w:val="000000" w:themeColor="text1"/>
                          <w:kern w:val="24"/>
                        </w:rPr>
                        <w:t xml:space="preserve"> and</w:t>
                      </w:r>
                      <w:r>
                        <w:rPr>
                          <w:rFonts w:asciiTheme="minorHAnsi" w:eastAsia="Yu Gothic UI Semibold" w:cstheme="minorBidi"/>
                          <w:b/>
                          <w:bCs/>
                          <w:color w:val="000000" w:themeColor="text1"/>
                          <w:kern w:val="24"/>
                        </w:rPr>
                        <w:t xml:space="preserve"> </w:t>
                      </w:r>
                      <w:r w:rsidRPr="00240D8D">
                        <w:rPr>
                          <w:rFonts w:asciiTheme="minorHAnsi" w:eastAsia="Yu Gothic UI Semibold" w:cstheme="minorBidi"/>
                          <w:b/>
                          <w:bCs/>
                          <w:color w:val="000000" w:themeColor="text1"/>
                          <w:kern w:val="24"/>
                        </w:rPr>
                        <w:t>$</w:t>
                      </w:r>
                      <w:r>
                        <w:rPr>
                          <w:rFonts w:asciiTheme="minorHAnsi" w:eastAsia="Yu Gothic UI Semibold" w:cstheme="minorBidi"/>
                          <w:b/>
                          <w:bCs/>
                          <w:color w:val="000000" w:themeColor="text1"/>
                          <w:kern w:val="24"/>
                        </w:rPr>
                        <w:t>33</w:t>
                      </w:r>
                      <w:r w:rsidRPr="00240D8D">
                        <w:rPr>
                          <w:rFonts w:asciiTheme="minorHAnsi" w:eastAsia="Yu Gothic UI Semibold" w:cstheme="minorBidi"/>
                          <w:b/>
                          <w:bCs/>
                          <w:color w:val="000000" w:themeColor="text1"/>
                          <w:kern w:val="24"/>
                        </w:rPr>
                        <w:t xml:space="preserve">m </w:t>
                      </w:r>
                      <w:r w:rsidRPr="00240D8D">
                        <w:rPr>
                          <w:rFonts w:asciiTheme="minorHAnsi" w:eastAsia="Yu Gothic UI Semibold" w:cstheme="minorBidi"/>
                          <w:color w:val="000000" w:themeColor="text1"/>
                          <w:kern w:val="24"/>
                        </w:rPr>
                        <w:t>cash and in-kind support from other organisations</w:t>
                      </w:r>
                      <w:r>
                        <w:rPr>
                          <w:rFonts w:asciiTheme="minorHAnsi" w:eastAsia="Yu Gothic UI Semibold" w:cstheme="minorBidi"/>
                          <w:color w:val="000000" w:themeColor="text1"/>
                          <w:kern w:val="24"/>
                        </w:rPr>
                        <w:t xml:space="preserve"> </w:t>
                      </w:r>
                    </w:p>
                  </w:txbxContent>
                </v:textbox>
              </v:shape>
            </w:pict>
          </mc:Fallback>
        </mc:AlternateContent>
      </w:r>
      <w:r w:rsidRPr="00CE1D7F">
        <w:rPr>
          <w:noProof/>
        </w:rPr>
        <w:drawing>
          <wp:anchor distT="0" distB="0" distL="114300" distR="114300" simplePos="0" relativeHeight="251777024" behindDoc="0" locked="0" layoutInCell="1" allowOverlap="1" wp14:anchorId="7E22F376" wp14:editId="1DE2E0B8">
            <wp:simplePos x="0" y="0"/>
            <wp:positionH relativeFrom="column">
              <wp:posOffset>-1039538</wp:posOffset>
            </wp:positionH>
            <wp:positionV relativeFrom="paragraph">
              <wp:posOffset>271035</wp:posOffset>
            </wp:positionV>
            <wp:extent cx="556095" cy="567047"/>
            <wp:effectExtent l="0" t="0" r="0" b="0"/>
            <wp:wrapNone/>
            <wp:docPr id="714" name="Picture 71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Picture 556" descr="Icon&#10;&#10;Description automatically generated"/>
                    <pic:cNvPicPr>
                      <a:picLocks noChangeAspect="1"/>
                    </pic:cNvPicPr>
                  </pic:nvPicPr>
                  <pic:blipFill>
                    <a:blip r:embed="rId140" cstate="print">
                      <a:extLst>
                        <a:ext uri="{BEBA8EAE-BF5A-486C-A8C5-ECC9F3942E4B}">
                          <a14:imgProps xmlns:a14="http://schemas.microsoft.com/office/drawing/2010/main">
                            <a14:imgLayer r:embed="rId141">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556095" cy="567047"/>
                    </a:xfrm>
                    <a:prstGeom prst="rect">
                      <a:avLst/>
                    </a:prstGeom>
                  </pic:spPr>
                </pic:pic>
              </a:graphicData>
            </a:graphic>
          </wp:anchor>
        </w:drawing>
      </w:r>
      <w:r w:rsidRPr="00CE1D7F">
        <w:rPr>
          <w:noProof/>
        </w:rPr>
        <mc:AlternateContent>
          <mc:Choice Requires="wps">
            <w:drawing>
              <wp:anchor distT="0" distB="0" distL="114300" distR="114300" simplePos="0" relativeHeight="251787264" behindDoc="0" locked="0" layoutInCell="1" allowOverlap="1" wp14:anchorId="23D3A738" wp14:editId="09C2E7EA">
                <wp:simplePos x="0" y="0"/>
                <wp:positionH relativeFrom="page">
                  <wp:align>center</wp:align>
                </wp:positionH>
                <wp:positionV relativeFrom="paragraph">
                  <wp:posOffset>44450</wp:posOffset>
                </wp:positionV>
                <wp:extent cx="6248400" cy="2733675"/>
                <wp:effectExtent l="19050" t="19050" r="19050" b="28575"/>
                <wp:wrapNone/>
                <wp:docPr id="254" name="Rectangle: Rounded Corners 2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248400" cy="2733675"/>
                        </a:xfrm>
                        <a:prstGeom prst="roundRect">
                          <a:avLst>
                            <a:gd name="adj" fmla="val 6814"/>
                          </a:avLst>
                        </a:prstGeom>
                        <a:noFill/>
                        <a:ln w="34925" cap="rnd">
                          <a:solidFill>
                            <a:schemeClr val="tx2"/>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2C34BCA4" id="Rectangle: Rounded Corners 254" o:spid="_x0000_s1026" alt="&quot;&quot;" style="position:absolute;margin-left:0;margin-top:3.5pt;width:492pt;height:215.25pt;z-index:251787264;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arcsize="446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" filled="f" strokecolor="#6c3f99 [3215]" strokeweight="2.75pt">
                <v:stroke dashstyle="1 1" joinstyle="miter" endcap="round"/>
                <w10:wrap anchorx="page"/>
              </v:roundrect>
            </w:pict>
          </mc:Fallback>
        </mc:AlternateContent>
      </w:r>
    </w:p>
    <w:p w14:paraId="20B449A0" w14:textId="77777777" w:rsidR="002B32A0" w:rsidRPr="00CE1D7F" w:rsidRDefault="002B32A0" w:rsidP="002B32A0">
      <w:pPr>
        <w:pStyle w:val="BodyText"/>
      </w:pPr>
      <w:r w:rsidRPr="00CE1D7F">
        <w:rPr>
          <w:noProof/>
        </w:rPr>
        <w:drawing>
          <wp:anchor distT="0" distB="0" distL="114300" distR="114300" simplePos="0" relativeHeight="251781120" behindDoc="0" locked="0" layoutInCell="1" allowOverlap="1" wp14:anchorId="1547A3F3" wp14:editId="78694DA2">
            <wp:simplePos x="0" y="0"/>
            <wp:positionH relativeFrom="page">
              <wp:posOffset>3509710</wp:posOffset>
            </wp:positionH>
            <wp:positionV relativeFrom="paragraph">
              <wp:posOffset>112899</wp:posOffset>
            </wp:positionV>
            <wp:extent cx="514350" cy="514350"/>
            <wp:effectExtent l="0" t="0" r="0" b="0"/>
            <wp:wrapNone/>
            <wp:docPr id="715" name="Picture 71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192" descr="Icon&#10;&#10;Description automatically generated"/>
                    <pic:cNvPicPr>
                      <a:picLocks noChangeAspect="1"/>
                    </pic:cNvPicPr>
                  </pic:nvPicPr>
                  <pic:blipFill>
                    <a:blip r:embed="rId136" cstate="print">
                      <a:extLst>
                        <a:ext uri="{BEBA8EAE-BF5A-486C-A8C5-ECC9F3942E4B}">
                          <a14:imgProps xmlns:a14="http://schemas.microsoft.com/office/drawing/2010/main">
                            <a14:imgLayer r:embed="rId137">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514350" cy="514350"/>
                    </a:xfrm>
                    <a:prstGeom prst="rect">
                      <a:avLst/>
                    </a:prstGeom>
                  </pic:spPr>
                </pic:pic>
              </a:graphicData>
            </a:graphic>
          </wp:anchor>
        </w:drawing>
      </w:r>
    </w:p>
    <w:p w14:paraId="3F793A9E" w14:textId="77777777" w:rsidR="002B32A0" w:rsidRPr="00CE1D7F" w:rsidRDefault="002B32A0" w:rsidP="002B32A0">
      <w:pPr>
        <w:pStyle w:val="BodyText"/>
      </w:pPr>
    </w:p>
    <w:p w14:paraId="28CAA1C8" w14:textId="77777777" w:rsidR="002B32A0" w:rsidRPr="00CE1D7F" w:rsidRDefault="002B32A0" w:rsidP="002B32A0">
      <w:pPr>
        <w:pStyle w:val="BodyText"/>
      </w:pPr>
      <w:r w:rsidRPr="00CE1D7F">
        <w:rPr>
          <w:noProof/>
        </w:rPr>
        <mc:AlternateContent>
          <mc:Choice Requires="wps">
            <w:drawing>
              <wp:anchor distT="0" distB="0" distL="114300" distR="114300" simplePos="0" relativeHeight="251780096" behindDoc="0" locked="0" layoutInCell="1" allowOverlap="1" wp14:anchorId="7AD42E11" wp14:editId="38F849DF">
                <wp:simplePos x="0" y="0"/>
                <wp:positionH relativeFrom="margin">
                  <wp:posOffset>2263709</wp:posOffset>
                </wp:positionH>
                <wp:positionV relativeFrom="paragraph">
                  <wp:posOffset>72609</wp:posOffset>
                </wp:positionV>
                <wp:extent cx="2090057" cy="611502"/>
                <wp:effectExtent l="0" t="0" r="0" b="0"/>
                <wp:wrapNone/>
                <wp:docPr id="79" name="Text Box 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090057" cy="611502"/>
                        </a:xfrm>
                        <a:prstGeom prst="rect">
                          <a:avLst/>
                        </a:prstGeom>
                        <a:noFill/>
                      </wps:spPr>
                      <wps:txbx>
                        <w:txbxContent>
                          <w:p w14:paraId="2A8EFFEA" w14:textId="77777777" w:rsidR="002B32A0" w:rsidRPr="00624931" w:rsidRDefault="002B32A0" w:rsidP="002B32A0">
                            <w:pPr>
                              <w:spacing w:line="216" w:lineRule="auto"/>
                              <w:rPr>
                                <w:rFonts w:cstheme="minorBidi"/>
                                <w:color w:val="000000" w:themeColor="text1"/>
                                <w:kern w:val="24"/>
                              </w:rPr>
                            </w:pPr>
                            <w:r>
                              <w:rPr>
                                <w:rFonts w:cstheme="minorBidi"/>
                                <w:color w:val="000000" w:themeColor="text1"/>
                                <w:kern w:val="24"/>
                              </w:rPr>
                              <w:t>ARC funding supported collaboration between University of Tasmania (UTAS)</w:t>
                            </w:r>
                            <w:r w:rsidRPr="00DC5F1C">
                              <w:t xml:space="preserve"> </w:t>
                            </w:r>
                            <w:r w:rsidRPr="00DC5F1C">
                              <w:rPr>
                                <w:rFonts w:cstheme="minorBidi"/>
                                <w:color w:val="000000" w:themeColor="text1"/>
                                <w:kern w:val="24"/>
                              </w:rPr>
                              <w:t>University of Sunshine Coast, University of Auckland and</w:t>
                            </w:r>
                            <w:r>
                              <w:rPr>
                                <w:rFonts w:cstheme="minorBidi"/>
                                <w:color w:val="000000" w:themeColor="text1"/>
                                <w:kern w:val="24"/>
                              </w:rPr>
                              <w:t xml:space="preserve"> i</w:t>
                            </w:r>
                            <w:r w:rsidRPr="00DC5F1C">
                              <w:rPr>
                                <w:rFonts w:cstheme="minorBidi"/>
                                <w:color w:val="000000" w:themeColor="text1"/>
                                <w:kern w:val="24"/>
                              </w:rPr>
                              <w:t>ndustry partners</w:t>
                            </w:r>
                            <w:r>
                              <w:rPr>
                                <w:rFonts w:cstheme="minorBidi"/>
                                <w:color w:val="000000" w:themeColor="text1"/>
                                <w:kern w:val="24"/>
                              </w:rPr>
                              <w:t xml:space="preserve"> Ornatas and PFG to commercialise the technology</w:t>
                            </w:r>
                            <w:r w:rsidRPr="00624931">
                              <w:rPr>
                                <w:rFonts w:cstheme="minorBidi"/>
                                <w:color w:val="000000" w:themeColor="text1"/>
                                <w:kern w:val="24"/>
                              </w:rPr>
                              <w:t xml:space="preserve"> </w:t>
                            </w:r>
                          </w:p>
                        </w:txbxContent>
                      </wps:txbx>
                      <wps:bodyPr wrap="square" rtlCol="0">
                        <a:spAutoFit/>
                      </wps:bodyPr>
                    </wps:wsp>
                  </a:graphicData>
                </a:graphic>
                <wp14:sizeRelH relativeFrom="margin">
                  <wp14:pctWidth>0</wp14:pctWidth>
                </wp14:sizeRelH>
              </wp:anchor>
            </w:drawing>
          </mc:Choice>
          <mc:Fallback>
            <w:pict>
              <v:shape w14:anchorId="7AD42E11" id="Text Box 79" o:spid="_x0000_s1066" type="#_x0000_t202" alt="&quot;&quot;" style="position:absolute;margin-left:178.25pt;margin-top:5.7pt;width:164.55pt;height:48.15pt;z-index:25178009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" filled="f" stroked="f">
                <v:textbox style="mso-fit-shape-to-text:t">
                  <w:txbxContent>
                    <w:p w14:paraId="2A8EFFEA" w14:textId="77777777" w:rsidR="002B32A0" w:rsidRPr="00624931" w:rsidRDefault="002B32A0" w:rsidP="002B32A0">
                      <w:pPr>
                        <w:spacing w:line="216" w:lineRule="auto"/>
                        <w:rPr>
                          <w:rFonts w:cstheme="minorBidi"/>
                          <w:color w:val="000000" w:themeColor="text1"/>
                          <w:kern w:val="24"/>
                        </w:rPr>
                      </w:pPr>
                      <w:r>
                        <w:rPr>
                          <w:rFonts w:cstheme="minorBidi"/>
                          <w:color w:val="000000" w:themeColor="text1"/>
                          <w:kern w:val="24"/>
                        </w:rPr>
                        <w:t>ARC funding supported collaboration between University of Tasmania (UTAS)</w:t>
                      </w:r>
                      <w:r w:rsidRPr="00DC5F1C">
                        <w:t xml:space="preserve"> </w:t>
                      </w:r>
                      <w:r w:rsidRPr="00DC5F1C">
                        <w:rPr>
                          <w:rFonts w:cstheme="minorBidi"/>
                          <w:color w:val="000000" w:themeColor="text1"/>
                          <w:kern w:val="24"/>
                        </w:rPr>
                        <w:t>University of Sunshine Coast, University of Auckland and</w:t>
                      </w:r>
                      <w:r>
                        <w:rPr>
                          <w:rFonts w:cstheme="minorBidi"/>
                          <w:color w:val="000000" w:themeColor="text1"/>
                          <w:kern w:val="24"/>
                        </w:rPr>
                        <w:t xml:space="preserve"> i</w:t>
                      </w:r>
                      <w:r w:rsidRPr="00DC5F1C">
                        <w:rPr>
                          <w:rFonts w:cstheme="minorBidi"/>
                          <w:color w:val="000000" w:themeColor="text1"/>
                          <w:kern w:val="24"/>
                        </w:rPr>
                        <w:t>ndustry partners</w:t>
                      </w:r>
                      <w:r>
                        <w:rPr>
                          <w:rFonts w:cstheme="minorBidi"/>
                          <w:color w:val="000000" w:themeColor="text1"/>
                          <w:kern w:val="24"/>
                        </w:rPr>
                        <w:t xml:space="preserve"> Ornatas and PFG to commercialise the technology</w:t>
                      </w:r>
                      <w:r w:rsidRPr="00624931">
                        <w:rPr>
                          <w:rFonts w:cstheme="minorBidi"/>
                          <w:color w:val="000000" w:themeColor="text1"/>
                          <w:kern w:val="24"/>
                        </w:rPr>
                        <w:t xml:space="preserve"> </w:t>
                      </w:r>
                    </w:p>
                  </w:txbxContent>
                </v:textbox>
                <w10:wrap anchorx="margin"/>
              </v:shape>
            </w:pict>
          </mc:Fallback>
        </mc:AlternateContent>
      </w:r>
      <w:r w:rsidRPr="00CE1D7F">
        <w:rPr>
          <w:noProof/>
        </w:rPr>
        <mc:AlternateContent>
          <mc:Choice Requires="wps">
            <w:drawing>
              <wp:anchor distT="0" distB="0" distL="114300" distR="114300" simplePos="0" relativeHeight="251786240" behindDoc="0" locked="0" layoutInCell="1" allowOverlap="1" wp14:anchorId="2836C80E" wp14:editId="58A584F8">
                <wp:simplePos x="0" y="0"/>
                <wp:positionH relativeFrom="column">
                  <wp:posOffset>-265693</wp:posOffset>
                </wp:positionH>
                <wp:positionV relativeFrom="paragraph">
                  <wp:posOffset>252949</wp:posOffset>
                </wp:positionV>
                <wp:extent cx="1718268" cy="726438"/>
                <wp:effectExtent l="0" t="0" r="0" b="0"/>
                <wp:wrapNone/>
                <wp:docPr id="255" name="Text Box 2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718268" cy="726438"/>
                        </a:xfrm>
                        <a:prstGeom prst="rect">
                          <a:avLst/>
                        </a:prstGeom>
                        <a:noFill/>
                      </wps:spPr>
                      <wps:txbx>
                        <w:txbxContent>
                          <w:p w14:paraId="546D7FED" w14:textId="77777777" w:rsidR="002B32A0" w:rsidRPr="00105EEA" w:rsidRDefault="002B32A0" w:rsidP="002B32A0">
                            <w:pPr>
                              <w:spacing w:line="204" w:lineRule="auto"/>
                              <w:rPr>
                                <w:rFonts w:cstheme="minorBidi"/>
                                <w:color w:val="000000" w:themeColor="text1"/>
                                <w:kern w:val="24"/>
                                <w:sz w:val="24"/>
                                <w:szCs w:val="24"/>
                              </w:rPr>
                            </w:pPr>
                            <w:r>
                              <w:rPr>
                                <w:rFonts w:cstheme="minorBidi"/>
                                <w:color w:val="000000" w:themeColor="text1"/>
                                <w:kern w:val="24"/>
                              </w:rPr>
                              <w:t>The project developed and demonstrated the technology for hatching, raising and grow out of tropical rock lobsters.</w:t>
                            </w:r>
                          </w:p>
                        </w:txbxContent>
                      </wps:txbx>
                      <wps:bodyPr wrap="square" rtlCol="0">
                        <a:spAutoFit/>
                      </wps:bodyPr>
                    </wps:wsp>
                  </a:graphicData>
                </a:graphic>
                <wp14:sizeRelH relativeFrom="margin">
                  <wp14:pctWidth>0</wp14:pctWidth>
                </wp14:sizeRelH>
              </wp:anchor>
            </w:drawing>
          </mc:Choice>
          <mc:Fallback>
            <w:pict>
              <v:shape w14:anchorId="2836C80E" id="Text Box 255" o:spid="_x0000_s1067" type="#_x0000_t202" alt="&quot;&quot;" style="position:absolute;margin-left:-20.9pt;margin-top:19.9pt;width:135.3pt;height:57.2pt;z-index:251786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" filled="f" stroked="f">
                <v:textbox style="mso-fit-shape-to-text:t">
                  <w:txbxContent>
                    <w:p w14:paraId="546D7FED" w14:textId="77777777" w:rsidR="002B32A0" w:rsidRPr="00105EEA" w:rsidRDefault="002B32A0" w:rsidP="002B32A0">
                      <w:pPr>
                        <w:spacing w:line="204" w:lineRule="auto"/>
                        <w:rPr>
                          <w:rFonts w:cstheme="minorBidi"/>
                          <w:color w:val="000000" w:themeColor="text1"/>
                          <w:kern w:val="24"/>
                          <w:sz w:val="24"/>
                          <w:szCs w:val="24"/>
                        </w:rPr>
                      </w:pPr>
                      <w:r>
                        <w:rPr>
                          <w:rFonts w:cstheme="minorBidi"/>
                          <w:color w:val="000000" w:themeColor="text1"/>
                          <w:kern w:val="24"/>
                        </w:rPr>
                        <w:t>The project developed and demonstrated the technology for hatching, raising and grow out of tropical rock lobsters.</w:t>
                      </w:r>
                    </w:p>
                  </w:txbxContent>
                </v:textbox>
              </v:shape>
            </w:pict>
          </mc:Fallback>
        </mc:AlternateContent>
      </w:r>
      <w:r w:rsidRPr="00CE1D7F">
        <w:rPr>
          <w:noProof/>
        </w:rPr>
        <w:drawing>
          <wp:anchor distT="0" distB="0" distL="114300" distR="114300" simplePos="0" relativeHeight="251785216" behindDoc="0" locked="0" layoutInCell="1" allowOverlap="1" wp14:anchorId="60EB0DA9" wp14:editId="3477F7FE">
            <wp:simplePos x="0" y="0"/>
            <wp:positionH relativeFrom="column">
              <wp:posOffset>-1103038</wp:posOffset>
            </wp:positionH>
            <wp:positionV relativeFrom="paragraph">
              <wp:posOffset>245635</wp:posOffset>
            </wp:positionV>
            <wp:extent cx="682946" cy="683556"/>
            <wp:effectExtent l="0" t="0" r="0" b="0"/>
            <wp:wrapNone/>
            <wp:docPr id="716" name="Picture 71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descr="Icon&#10;&#10;Description automatically generated"/>
                    <pic:cNvPicPr>
                      <a:picLocks noChangeAspect="1"/>
                    </pic:cNvPicPr>
                  </pic:nvPicPr>
                  <pic:blipFill>
                    <a:blip r:embed="rId148" cstate="print">
                      <a:extLst>
                        <a:ext uri="{BEBA8EAE-BF5A-486C-A8C5-ECC9F3942E4B}">
                          <a14:imgProps xmlns:a14="http://schemas.microsoft.com/office/drawing/2010/main">
                            <a14:imgLayer r:embed="rId149">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682946" cy="683556"/>
                    </a:xfrm>
                    <a:prstGeom prst="rect">
                      <a:avLst/>
                    </a:prstGeom>
                  </pic:spPr>
                </pic:pic>
              </a:graphicData>
            </a:graphic>
          </wp:anchor>
        </w:drawing>
      </w:r>
    </w:p>
    <w:p w14:paraId="00AD3C18" w14:textId="77777777" w:rsidR="002B32A0" w:rsidRPr="00CE1D7F" w:rsidRDefault="002B32A0" w:rsidP="002B32A0">
      <w:pPr>
        <w:pStyle w:val="BodyText"/>
      </w:pPr>
      <w:r w:rsidRPr="00CE1D7F">
        <w:rPr>
          <w:noProof/>
        </w:rPr>
        <w:drawing>
          <wp:anchor distT="0" distB="0" distL="114300" distR="114300" simplePos="0" relativeHeight="251779072" behindDoc="0" locked="0" layoutInCell="1" allowOverlap="1" wp14:anchorId="79719ED1" wp14:editId="16E6A613">
            <wp:simplePos x="0" y="0"/>
            <wp:positionH relativeFrom="column">
              <wp:posOffset>1535145</wp:posOffset>
            </wp:positionH>
            <wp:positionV relativeFrom="paragraph">
              <wp:posOffset>105542</wp:posOffset>
            </wp:positionV>
            <wp:extent cx="572135" cy="572770"/>
            <wp:effectExtent l="0" t="0" r="0" b="0"/>
            <wp:wrapNone/>
            <wp:docPr id="97" name="Picture 97"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98" descr="Logo&#10;&#10;Description automatically generated"/>
                    <pic:cNvPicPr>
                      <a:picLocks noChangeAspect="1"/>
                    </pic:cNvPicPr>
                  </pic:nvPicPr>
                  <pic:blipFill>
                    <a:blip r:embed="rId150" cstate="print">
                      <a:extLst>
                        <a:ext uri="{BEBA8EAE-BF5A-486C-A8C5-ECC9F3942E4B}">
                          <a14:imgProps xmlns:a14="http://schemas.microsoft.com/office/drawing/2010/main">
                            <a14:imgLayer r:embed="rId151">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572135" cy="572770"/>
                    </a:xfrm>
                    <a:prstGeom prst="rect">
                      <a:avLst/>
                    </a:prstGeom>
                  </pic:spPr>
                </pic:pic>
              </a:graphicData>
            </a:graphic>
          </wp:anchor>
        </w:drawing>
      </w:r>
    </w:p>
    <w:p w14:paraId="10E70E4F" w14:textId="77777777" w:rsidR="002B32A0" w:rsidRPr="00CE1D7F" w:rsidRDefault="002B32A0" w:rsidP="002B32A0">
      <w:pPr>
        <w:pStyle w:val="BodyText"/>
      </w:pPr>
    </w:p>
    <w:p w14:paraId="0B1C98E9" w14:textId="77777777" w:rsidR="002B32A0" w:rsidRPr="00CE1D7F" w:rsidRDefault="002B32A0" w:rsidP="002B32A0">
      <w:pPr>
        <w:pStyle w:val="BodyText"/>
      </w:pPr>
      <w:r w:rsidRPr="00CE1D7F">
        <w:rPr>
          <w:noProof/>
        </w:rPr>
        <mc:AlternateContent>
          <mc:Choice Requires="wpg">
            <w:drawing>
              <wp:anchor distT="0" distB="0" distL="114300" distR="114300" simplePos="0" relativeHeight="251783168" behindDoc="0" locked="0" layoutInCell="1" allowOverlap="1" wp14:anchorId="297DDAFB" wp14:editId="06B9A732">
                <wp:simplePos x="0" y="0"/>
                <wp:positionH relativeFrom="column">
                  <wp:posOffset>-1082083</wp:posOffset>
                </wp:positionH>
                <wp:positionV relativeFrom="paragraph">
                  <wp:posOffset>221505</wp:posOffset>
                </wp:positionV>
                <wp:extent cx="790575" cy="752475"/>
                <wp:effectExtent l="0" t="0" r="0" b="0"/>
                <wp:wrapNone/>
                <wp:docPr id="640" name="Group 640" descr="Icon&#10;&#10;Description automatically generated"/>
                <wp:cNvGraphicFramePr/>
                <a:graphic xmlns:a="http://schemas.openxmlformats.org/drawingml/2006/main">
                  <a:graphicData uri="http://schemas.microsoft.com/office/word/2010/wordprocessingGroup">
                    <wpg:wgp>
                      <wpg:cNvGrpSpPr/>
                      <wpg:grpSpPr>
                        <a:xfrm>
                          <a:off x="0" y="0"/>
                          <a:ext cx="790575" cy="752475"/>
                          <a:chOff x="0" y="0"/>
                          <a:chExt cx="790575" cy="752475"/>
                        </a:xfrm>
                      </wpg:grpSpPr>
                      <pic:pic xmlns:pic="http://schemas.openxmlformats.org/drawingml/2006/picture">
                        <pic:nvPicPr>
                          <pic:cNvPr id="641" name="Graphic 641" descr="Diploma roll with solid fill"/>
                          <pic:cNvPicPr>
                            <a:picLocks noChangeAspect="1"/>
                          </pic:cNvPicPr>
                        </pic:nvPicPr>
                        <pic:blipFill>
                          <a:blip r:embed="rId142">
                            <a:extLst>
                              <a:ext uri="{28A0092B-C50C-407E-A947-70E740481C1C}">
                                <a14:useLocalDpi xmlns:a14="http://schemas.microsoft.com/office/drawing/2010/main" val="0"/>
                              </a:ext>
                              <a:ext uri="{96DAC541-7B7A-43D3-8B79-37D633B846F1}">
                                <asvg:svgBlip xmlns:asvg="http://schemas.microsoft.com/office/drawing/2016/SVG/main" r:embed="rId143"/>
                              </a:ext>
                            </a:extLst>
                          </a:blip>
                          <a:stretch>
                            <a:fillRect/>
                          </a:stretch>
                        </pic:blipFill>
                        <pic:spPr>
                          <a:xfrm rot="19117289">
                            <a:off x="257175" y="219075"/>
                            <a:ext cx="533400" cy="533400"/>
                          </a:xfrm>
                          <a:prstGeom prst="rect">
                            <a:avLst/>
                          </a:prstGeom>
                        </pic:spPr>
                      </pic:pic>
                      <pic:pic xmlns:pic="http://schemas.openxmlformats.org/drawingml/2006/picture">
                        <pic:nvPicPr>
                          <pic:cNvPr id="642" name="Graphic 642" descr="Graduation cap with solid fill"/>
                          <pic:cNvPicPr>
                            <a:picLocks noChangeAspect="1"/>
                          </pic:cNvPicPr>
                        </pic:nvPicPr>
                        <pic:blipFill>
                          <a:blip r:embed="rId144">
                            <a:extLst>
                              <a:ext uri="{28A0092B-C50C-407E-A947-70E740481C1C}">
                                <a14:useLocalDpi xmlns:a14="http://schemas.microsoft.com/office/drawing/2010/main" val="0"/>
                              </a:ext>
                              <a:ext uri="{96DAC541-7B7A-43D3-8B79-37D633B846F1}">
                                <asvg:svgBlip xmlns:asvg="http://schemas.microsoft.com/office/drawing/2016/SVG/main" r:embed="rId145"/>
                              </a:ext>
                            </a:extLst>
                          </a:blip>
                          <a:stretch>
                            <a:fillRect/>
                          </a:stretch>
                        </pic:blipFill>
                        <pic:spPr>
                          <a:xfrm>
                            <a:off x="0" y="0"/>
                            <a:ext cx="619125" cy="619125"/>
                          </a:xfrm>
                          <a:prstGeom prst="rect">
                            <a:avLst/>
                          </a:prstGeom>
                        </pic:spPr>
                      </pic:pic>
                    </wpg:wgp>
                  </a:graphicData>
                </a:graphic>
              </wp:anchor>
            </w:drawing>
          </mc:Choice>
          <mc:Fallback>
            <w:pict>
              <v:group w14:anchorId="5E491576" id="Group 640" o:spid="_x0000_s1026" alt="Icon&#10;&#10;Description automatically generated" style="position:absolute;margin-left:-85.2pt;margin-top:17.45pt;width:62.25pt;height:59.25pt;z-index:251783168" coordsize="7905,752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">
                <v:shape id="Graphic 641" o:spid="_x0000_s1027" type="#_x0000_t75" alt="Diploma roll with solid fill" style="position:absolute;left:2571;top:2190;width:5334;height:5334;rotation:-271178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">
                  <v:imagedata r:id="rId146" o:title="Diploma roll with solid fill"/>
                </v:shape>
                <v:shape id="Graphic 642" o:spid="_x0000_s1028" type="#_x0000_t75" alt="Graduation cap with solid fill" style="position:absolute;width:6191;height:6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">
                  <v:imagedata r:id="rId147" o:title="Graduation cap with solid fill"/>
                </v:shape>
              </v:group>
            </w:pict>
          </mc:Fallback>
        </mc:AlternateContent>
      </w:r>
    </w:p>
    <w:p w14:paraId="6322E810" w14:textId="77777777" w:rsidR="002B32A0" w:rsidRPr="00CE1D7F" w:rsidRDefault="002B32A0" w:rsidP="002B32A0">
      <w:pPr>
        <w:pStyle w:val="BodyText"/>
      </w:pPr>
      <w:r w:rsidRPr="00CE1D7F">
        <w:rPr>
          <w:noProof/>
        </w:rPr>
        <mc:AlternateContent>
          <mc:Choice Requires="wps">
            <w:drawing>
              <wp:anchor distT="0" distB="0" distL="114300" distR="114300" simplePos="0" relativeHeight="251789312" behindDoc="0" locked="0" layoutInCell="1" allowOverlap="1" wp14:anchorId="1970EF29" wp14:editId="1C93C91F">
                <wp:simplePos x="0" y="0"/>
                <wp:positionH relativeFrom="column">
                  <wp:posOffset>2298634</wp:posOffset>
                </wp:positionH>
                <wp:positionV relativeFrom="paragraph">
                  <wp:posOffset>90389</wp:posOffset>
                </wp:positionV>
                <wp:extent cx="2235200" cy="709427"/>
                <wp:effectExtent l="0" t="0" r="0" b="0"/>
                <wp:wrapNone/>
                <wp:docPr id="643" name="Text Box 64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235200" cy="709427"/>
                        </a:xfrm>
                        <a:prstGeom prst="rect">
                          <a:avLst/>
                        </a:prstGeom>
                        <a:noFill/>
                      </wps:spPr>
                      <wps:txbx>
                        <w:txbxContent>
                          <w:p w14:paraId="0EECBF17" w14:textId="77777777" w:rsidR="002B32A0" w:rsidRPr="00624931" w:rsidRDefault="002B32A0" w:rsidP="002B32A0">
                            <w:pPr>
                              <w:spacing w:line="204" w:lineRule="auto"/>
                              <w:rPr>
                                <w:rFonts w:asciiTheme="minorHAnsi" w:eastAsia="Yu Gothic UI Semibold" w:cstheme="minorBidi"/>
                                <w:color w:val="000000" w:themeColor="text1"/>
                                <w:kern w:val="24"/>
                                <w:sz w:val="28"/>
                                <w:szCs w:val="28"/>
                                <w:lang w:val="en-US"/>
                              </w:rPr>
                            </w:pPr>
                            <w:r>
                              <w:rPr>
                                <w:rFonts w:asciiTheme="minorHAnsi" w:eastAsia="Yu Gothic UI Semibold" w:cstheme="minorBidi"/>
                                <w:color w:val="000000" w:themeColor="text1"/>
                                <w:kern w:val="24"/>
                                <w:lang w:val="en-US"/>
                              </w:rPr>
                              <w:t>UTAS</w:t>
                            </w:r>
                            <w:r w:rsidRPr="00624931">
                              <w:rPr>
                                <w:rFonts w:asciiTheme="minorHAnsi" w:eastAsia="Yu Gothic UI Semibold" w:cstheme="minorBidi"/>
                                <w:color w:val="000000" w:themeColor="text1"/>
                                <w:kern w:val="24"/>
                                <w:lang w:val="en-US"/>
                              </w:rPr>
                              <w:t>’</w:t>
                            </w:r>
                            <w:r w:rsidRPr="00624931">
                              <w:rPr>
                                <w:rFonts w:asciiTheme="minorHAnsi" w:eastAsia="Yu Gothic UI Semibold" w:cstheme="minorBidi"/>
                                <w:color w:val="000000" w:themeColor="text1"/>
                                <w:kern w:val="24"/>
                                <w:lang w:val="en-US"/>
                              </w:rPr>
                              <w:t xml:space="preserve"> research aligns well </w:t>
                            </w:r>
                            <w:r>
                              <w:rPr>
                                <w:rFonts w:asciiTheme="minorHAnsi" w:eastAsia="Yu Gothic UI Semibold" w:cstheme="minorBidi"/>
                                <w:color w:val="000000" w:themeColor="text1"/>
                                <w:kern w:val="24"/>
                                <w:lang w:val="en-US"/>
                              </w:rPr>
                              <w:t xml:space="preserve">with </w:t>
                            </w:r>
                            <w:r w:rsidRPr="00624931">
                              <w:rPr>
                                <w:rFonts w:asciiTheme="minorHAnsi" w:eastAsia="Yu Gothic UI Semibold" w:cstheme="minorBidi"/>
                                <w:color w:val="000000" w:themeColor="text1"/>
                                <w:kern w:val="24"/>
                                <w:lang w:val="en-US"/>
                              </w:rPr>
                              <w:t>the Government</w:t>
                            </w:r>
                            <w:r w:rsidRPr="00624931">
                              <w:rPr>
                                <w:rFonts w:asciiTheme="minorHAnsi" w:eastAsia="Yu Gothic UI Semibold" w:cstheme="minorBidi"/>
                                <w:color w:val="000000" w:themeColor="text1"/>
                                <w:kern w:val="24"/>
                                <w:lang w:val="en-US"/>
                              </w:rPr>
                              <w:t>’</w:t>
                            </w:r>
                            <w:r w:rsidRPr="00624931">
                              <w:rPr>
                                <w:rFonts w:asciiTheme="minorHAnsi" w:eastAsia="Yu Gothic UI Semibold" w:cstheme="minorBidi"/>
                                <w:color w:val="000000" w:themeColor="text1"/>
                                <w:kern w:val="24"/>
                                <w:lang w:val="en-US"/>
                              </w:rPr>
                              <w:t>s 2015 science and technology</w:t>
                            </w:r>
                            <w:r>
                              <w:rPr>
                                <w:rFonts w:asciiTheme="minorHAnsi" w:eastAsia="Yu Gothic UI Semibold" w:cstheme="minorBidi"/>
                                <w:color w:val="000000" w:themeColor="text1"/>
                                <w:kern w:val="24"/>
                                <w:lang w:val="en-US"/>
                              </w:rPr>
                              <w:t xml:space="preserve">, also with industry and regional development </w:t>
                            </w:r>
                            <w:r w:rsidRPr="00624931">
                              <w:rPr>
                                <w:rFonts w:asciiTheme="minorHAnsi" w:eastAsia="Yu Gothic UI Semibold" w:cstheme="minorBidi"/>
                                <w:color w:val="000000" w:themeColor="text1"/>
                                <w:kern w:val="24"/>
                                <w:lang w:val="en-US"/>
                              </w:rPr>
                              <w:t>priorities</w:t>
                            </w:r>
                            <w:r>
                              <w:rPr>
                                <w:rFonts w:asciiTheme="minorHAnsi" w:eastAsia="Yu Gothic UI Semibold" w:cstheme="minorBidi"/>
                                <w:color w:val="000000" w:themeColor="text1"/>
                                <w:kern w:val="24"/>
                                <w:lang w:val="en-US"/>
                              </w:rPr>
                              <w:t xml:space="preserve"> </w:t>
                            </w:r>
                          </w:p>
                        </w:txbxContent>
                      </wps:txbx>
                      <wps:bodyPr wrap="square" rtlCol="0">
                        <a:noAutofit/>
                      </wps:bodyPr>
                    </wps:wsp>
                  </a:graphicData>
                </a:graphic>
                <wp14:sizeRelV relativeFrom="margin">
                  <wp14:pctHeight>0</wp14:pctHeight>
                </wp14:sizeRelV>
              </wp:anchor>
            </w:drawing>
          </mc:Choice>
          <mc:Fallback>
            <w:pict>
              <v:shape w14:anchorId="1970EF29" id="Text Box 643" o:spid="_x0000_s1068" type="#_x0000_t202" alt="&quot;&quot;" style="position:absolute;margin-left:181pt;margin-top:7.1pt;width:176pt;height:55.85pt;z-index:251789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" filled="f" stroked="f">
                <v:textbox>
                  <w:txbxContent>
                    <w:p w14:paraId="0EECBF17" w14:textId="77777777" w:rsidR="002B32A0" w:rsidRPr="00624931" w:rsidRDefault="002B32A0" w:rsidP="002B32A0">
                      <w:pPr>
                        <w:spacing w:line="204" w:lineRule="auto"/>
                        <w:rPr>
                          <w:rFonts w:asciiTheme="minorHAnsi" w:eastAsia="Yu Gothic UI Semibold" w:cstheme="minorBidi"/>
                          <w:color w:val="000000" w:themeColor="text1"/>
                          <w:kern w:val="24"/>
                          <w:sz w:val="28"/>
                          <w:szCs w:val="28"/>
                          <w:lang w:val="en-US"/>
                        </w:rPr>
                      </w:pPr>
                      <w:r>
                        <w:rPr>
                          <w:rFonts w:asciiTheme="minorHAnsi" w:eastAsia="Yu Gothic UI Semibold" w:cstheme="minorBidi"/>
                          <w:color w:val="000000" w:themeColor="text1"/>
                          <w:kern w:val="24"/>
                          <w:lang w:val="en-US"/>
                        </w:rPr>
                        <w:t>UTAS</w:t>
                      </w:r>
                      <w:r w:rsidRPr="00624931">
                        <w:rPr>
                          <w:rFonts w:asciiTheme="minorHAnsi" w:eastAsia="Yu Gothic UI Semibold" w:cstheme="minorBidi"/>
                          <w:color w:val="000000" w:themeColor="text1"/>
                          <w:kern w:val="24"/>
                          <w:lang w:val="en-US"/>
                        </w:rPr>
                        <w:t>’</w:t>
                      </w:r>
                      <w:r w:rsidRPr="00624931">
                        <w:rPr>
                          <w:rFonts w:asciiTheme="minorHAnsi" w:eastAsia="Yu Gothic UI Semibold" w:cstheme="minorBidi"/>
                          <w:color w:val="000000" w:themeColor="text1"/>
                          <w:kern w:val="24"/>
                          <w:lang w:val="en-US"/>
                        </w:rPr>
                        <w:t xml:space="preserve"> research aligns well </w:t>
                      </w:r>
                      <w:r>
                        <w:rPr>
                          <w:rFonts w:asciiTheme="minorHAnsi" w:eastAsia="Yu Gothic UI Semibold" w:cstheme="minorBidi"/>
                          <w:color w:val="000000" w:themeColor="text1"/>
                          <w:kern w:val="24"/>
                          <w:lang w:val="en-US"/>
                        </w:rPr>
                        <w:t xml:space="preserve">with </w:t>
                      </w:r>
                      <w:r w:rsidRPr="00624931">
                        <w:rPr>
                          <w:rFonts w:asciiTheme="minorHAnsi" w:eastAsia="Yu Gothic UI Semibold" w:cstheme="minorBidi"/>
                          <w:color w:val="000000" w:themeColor="text1"/>
                          <w:kern w:val="24"/>
                          <w:lang w:val="en-US"/>
                        </w:rPr>
                        <w:t>the Government</w:t>
                      </w:r>
                      <w:r w:rsidRPr="00624931">
                        <w:rPr>
                          <w:rFonts w:asciiTheme="minorHAnsi" w:eastAsia="Yu Gothic UI Semibold" w:cstheme="minorBidi"/>
                          <w:color w:val="000000" w:themeColor="text1"/>
                          <w:kern w:val="24"/>
                          <w:lang w:val="en-US"/>
                        </w:rPr>
                        <w:t>’</w:t>
                      </w:r>
                      <w:r w:rsidRPr="00624931">
                        <w:rPr>
                          <w:rFonts w:asciiTheme="minorHAnsi" w:eastAsia="Yu Gothic UI Semibold" w:cstheme="minorBidi"/>
                          <w:color w:val="000000" w:themeColor="text1"/>
                          <w:kern w:val="24"/>
                          <w:lang w:val="en-US"/>
                        </w:rPr>
                        <w:t>s 2015 science and technology</w:t>
                      </w:r>
                      <w:r>
                        <w:rPr>
                          <w:rFonts w:asciiTheme="minorHAnsi" w:eastAsia="Yu Gothic UI Semibold" w:cstheme="minorBidi"/>
                          <w:color w:val="000000" w:themeColor="text1"/>
                          <w:kern w:val="24"/>
                          <w:lang w:val="en-US"/>
                        </w:rPr>
                        <w:t xml:space="preserve">, also with industry and regional development </w:t>
                      </w:r>
                      <w:r w:rsidRPr="00624931">
                        <w:rPr>
                          <w:rFonts w:asciiTheme="minorHAnsi" w:eastAsia="Yu Gothic UI Semibold" w:cstheme="minorBidi"/>
                          <w:color w:val="000000" w:themeColor="text1"/>
                          <w:kern w:val="24"/>
                          <w:lang w:val="en-US"/>
                        </w:rPr>
                        <w:t>priorities</w:t>
                      </w:r>
                      <w:r>
                        <w:rPr>
                          <w:rFonts w:asciiTheme="minorHAnsi" w:eastAsia="Yu Gothic UI Semibold" w:cstheme="minorBidi"/>
                          <w:color w:val="000000" w:themeColor="text1"/>
                          <w:kern w:val="24"/>
                          <w:lang w:val="en-US"/>
                        </w:rPr>
                        <w:t xml:space="preserve"> </w:t>
                      </w:r>
                    </w:p>
                  </w:txbxContent>
                </v:textbox>
              </v:shape>
            </w:pict>
          </mc:Fallback>
        </mc:AlternateContent>
      </w:r>
      <w:r w:rsidRPr="00CE1D7F">
        <w:rPr>
          <w:noProof/>
        </w:rPr>
        <w:drawing>
          <wp:anchor distT="0" distB="0" distL="114300" distR="114300" simplePos="0" relativeHeight="251788288" behindDoc="0" locked="0" layoutInCell="1" allowOverlap="1" wp14:anchorId="6C9759D7" wp14:editId="055E7410">
            <wp:simplePos x="0" y="0"/>
            <wp:positionH relativeFrom="column">
              <wp:posOffset>1535145</wp:posOffset>
            </wp:positionH>
            <wp:positionV relativeFrom="paragraph">
              <wp:posOffset>82047</wp:posOffset>
            </wp:positionV>
            <wp:extent cx="582295" cy="593725"/>
            <wp:effectExtent l="0" t="0" r="8255" b="0"/>
            <wp:wrapNone/>
            <wp:docPr id="98" name="Picture 9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Picture 555" descr="Icon&#10;&#10;Description automatically generated"/>
                    <pic:cNvPicPr>
                      <a:picLocks noChangeAspect="1"/>
                    </pic:cNvPicPr>
                  </pic:nvPicPr>
                  <pic:blipFill>
                    <a:blip r:embed="rId138" cstate="print">
                      <a:extLst>
                        <a:ext uri="{BEBA8EAE-BF5A-486C-A8C5-ECC9F3942E4B}">
                          <a14:imgProps xmlns:a14="http://schemas.microsoft.com/office/drawing/2010/main">
                            <a14:imgLayer r:embed="rId139">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582295" cy="593725"/>
                    </a:xfrm>
                    <a:prstGeom prst="rect">
                      <a:avLst/>
                    </a:prstGeom>
                  </pic:spPr>
                </pic:pic>
              </a:graphicData>
            </a:graphic>
          </wp:anchor>
        </w:drawing>
      </w:r>
      <w:r w:rsidRPr="00CE1D7F">
        <w:rPr>
          <w:noProof/>
        </w:rPr>
        <mc:AlternateContent>
          <mc:Choice Requires="wps">
            <w:drawing>
              <wp:anchor distT="0" distB="0" distL="114300" distR="114300" simplePos="0" relativeHeight="251784192" behindDoc="0" locked="0" layoutInCell="1" allowOverlap="1" wp14:anchorId="13972D1B" wp14:editId="29AA2D7E">
                <wp:simplePos x="0" y="0"/>
                <wp:positionH relativeFrom="column">
                  <wp:posOffset>-282203</wp:posOffset>
                </wp:positionH>
                <wp:positionV relativeFrom="paragraph">
                  <wp:posOffset>136109</wp:posOffset>
                </wp:positionV>
                <wp:extent cx="1703705" cy="664210"/>
                <wp:effectExtent l="0" t="0" r="0" b="0"/>
                <wp:wrapNone/>
                <wp:docPr id="644" name="Text Box 64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703705" cy="664210"/>
                        </a:xfrm>
                        <a:prstGeom prst="rect">
                          <a:avLst/>
                        </a:prstGeom>
                        <a:noFill/>
                      </wps:spPr>
                      <wps:txbx>
                        <w:txbxContent>
                          <w:p w14:paraId="591971C8" w14:textId="77777777" w:rsidR="002B32A0" w:rsidRPr="00624931" w:rsidRDefault="002B32A0" w:rsidP="002B32A0">
                            <w:pPr>
                              <w:spacing w:line="204" w:lineRule="auto"/>
                              <w:rPr>
                                <w:rFonts w:asciiTheme="minorHAnsi" w:eastAsia="Yu Gothic UI Semibold" w:cstheme="minorBidi"/>
                                <w:color w:val="000000" w:themeColor="text1"/>
                                <w:kern w:val="24"/>
                              </w:rPr>
                            </w:pPr>
                            <w:r>
                              <w:rPr>
                                <w:rFonts w:asciiTheme="minorHAnsi" w:eastAsia="Yu Gothic UI Semibold" w:cstheme="minorBidi"/>
                                <w:b/>
                                <w:bCs/>
                                <w:color w:val="000000" w:themeColor="text1"/>
                                <w:kern w:val="24"/>
                              </w:rPr>
                              <w:t>26</w:t>
                            </w:r>
                            <w:r w:rsidRPr="00624931">
                              <w:rPr>
                                <w:rFonts w:asciiTheme="minorHAnsi" w:eastAsia="Yu Gothic UI Semibold" w:cstheme="minorBidi"/>
                                <w:color w:val="000000" w:themeColor="text1"/>
                                <w:kern w:val="24"/>
                              </w:rPr>
                              <w:t xml:space="preserve"> </w:t>
                            </w:r>
                            <w:r>
                              <w:rPr>
                                <w:rFonts w:asciiTheme="minorHAnsi" w:eastAsia="Yu Gothic UI Semibold" w:cstheme="minorBidi"/>
                                <w:color w:val="000000" w:themeColor="text1"/>
                                <w:kern w:val="24"/>
                              </w:rPr>
                              <w:t xml:space="preserve">PhD </w:t>
                            </w:r>
                            <w:r w:rsidRPr="00624931">
                              <w:rPr>
                                <w:rFonts w:cstheme="minorBidi"/>
                                <w:color w:val="000000" w:themeColor="text1"/>
                                <w:kern w:val="24"/>
                              </w:rPr>
                              <w:t xml:space="preserve">students </w:t>
                            </w:r>
                            <w:r>
                              <w:rPr>
                                <w:rFonts w:cstheme="minorBidi"/>
                                <w:color w:val="000000" w:themeColor="text1"/>
                                <w:kern w:val="24"/>
                              </w:rPr>
                              <w:t>have been trained</w:t>
                            </w:r>
                            <w:r w:rsidRPr="00624931">
                              <w:rPr>
                                <w:rFonts w:cstheme="minorBidi"/>
                                <w:color w:val="000000" w:themeColor="text1"/>
                                <w:kern w:val="24"/>
                              </w:rPr>
                              <w:t xml:space="preserve"> as a result of the </w:t>
                            </w:r>
                            <w:r>
                              <w:rPr>
                                <w:rFonts w:cstheme="minorBidi"/>
                                <w:color w:val="000000" w:themeColor="text1"/>
                                <w:kern w:val="24"/>
                              </w:rPr>
                              <w:t>ARC funding</w:t>
                            </w:r>
                          </w:p>
                        </w:txbxContent>
                      </wps:txbx>
                      <wps:bodyPr wrap="square" rtlCol="0">
                        <a:noAutofit/>
                      </wps:bodyPr>
                    </wps:wsp>
                  </a:graphicData>
                </a:graphic>
              </wp:anchor>
            </w:drawing>
          </mc:Choice>
          <mc:Fallback>
            <w:pict>
              <v:shape w14:anchorId="13972D1B" id="Text Box 644" o:spid="_x0000_s1069" type="#_x0000_t202" alt="&quot;&quot;" style="position:absolute;margin-left:-22.2pt;margin-top:10.7pt;width:134.15pt;height:52.3pt;z-index:251784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" filled="f" stroked="f">
                <v:textbox>
                  <w:txbxContent>
                    <w:p w14:paraId="591971C8" w14:textId="77777777" w:rsidR="002B32A0" w:rsidRPr="00624931" w:rsidRDefault="002B32A0" w:rsidP="002B32A0">
                      <w:pPr>
                        <w:spacing w:line="204" w:lineRule="auto"/>
                        <w:rPr>
                          <w:rFonts w:asciiTheme="minorHAnsi" w:eastAsia="Yu Gothic UI Semibold" w:cstheme="minorBidi"/>
                          <w:color w:val="000000" w:themeColor="text1"/>
                          <w:kern w:val="24"/>
                        </w:rPr>
                      </w:pPr>
                      <w:r>
                        <w:rPr>
                          <w:rFonts w:asciiTheme="minorHAnsi" w:eastAsia="Yu Gothic UI Semibold" w:cstheme="minorBidi"/>
                          <w:b/>
                          <w:bCs/>
                          <w:color w:val="000000" w:themeColor="text1"/>
                          <w:kern w:val="24"/>
                        </w:rPr>
                        <w:t>26</w:t>
                      </w:r>
                      <w:r w:rsidRPr="00624931">
                        <w:rPr>
                          <w:rFonts w:asciiTheme="minorHAnsi" w:eastAsia="Yu Gothic UI Semibold" w:cstheme="minorBidi"/>
                          <w:color w:val="000000" w:themeColor="text1"/>
                          <w:kern w:val="24"/>
                        </w:rPr>
                        <w:t xml:space="preserve"> </w:t>
                      </w:r>
                      <w:r>
                        <w:rPr>
                          <w:rFonts w:asciiTheme="minorHAnsi" w:eastAsia="Yu Gothic UI Semibold" w:cstheme="minorBidi"/>
                          <w:color w:val="000000" w:themeColor="text1"/>
                          <w:kern w:val="24"/>
                        </w:rPr>
                        <w:t xml:space="preserve">PhD </w:t>
                      </w:r>
                      <w:r w:rsidRPr="00624931">
                        <w:rPr>
                          <w:rFonts w:cstheme="minorBidi"/>
                          <w:color w:val="000000" w:themeColor="text1"/>
                          <w:kern w:val="24"/>
                        </w:rPr>
                        <w:t xml:space="preserve">students </w:t>
                      </w:r>
                      <w:r>
                        <w:rPr>
                          <w:rFonts w:cstheme="minorBidi"/>
                          <w:color w:val="000000" w:themeColor="text1"/>
                          <w:kern w:val="24"/>
                        </w:rPr>
                        <w:t>have been trained</w:t>
                      </w:r>
                      <w:r w:rsidRPr="00624931">
                        <w:rPr>
                          <w:rFonts w:cstheme="minorBidi"/>
                          <w:color w:val="000000" w:themeColor="text1"/>
                          <w:kern w:val="24"/>
                        </w:rPr>
                        <w:t xml:space="preserve"> as a result of the </w:t>
                      </w:r>
                      <w:r>
                        <w:rPr>
                          <w:rFonts w:cstheme="minorBidi"/>
                          <w:color w:val="000000" w:themeColor="text1"/>
                          <w:kern w:val="24"/>
                        </w:rPr>
                        <w:t>ARC funding</w:t>
                      </w:r>
                    </w:p>
                  </w:txbxContent>
                </v:textbox>
              </v:shape>
            </w:pict>
          </mc:Fallback>
        </mc:AlternateContent>
      </w:r>
    </w:p>
    <w:p w14:paraId="4D2DA5F6" w14:textId="77777777" w:rsidR="002B32A0" w:rsidRPr="00CE1D7F" w:rsidRDefault="002B32A0" w:rsidP="002B32A0">
      <w:pPr>
        <w:pStyle w:val="BodyText"/>
      </w:pPr>
    </w:p>
    <w:p w14:paraId="6B449EFD" w14:textId="77777777" w:rsidR="002B32A0" w:rsidRPr="00CE1D7F" w:rsidRDefault="002B32A0" w:rsidP="002B32A0">
      <w:pPr>
        <w:pStyle w:val="BodyText"/>
      </w:pPr>
    </w:p>
    <w:p w14:paraId="42943AD5" w14:textId="77777777" w:rsidR="002B32A0" w:rsidRPr="00CE1D7F" w:rsidRDefault="002B32A0" w:rsidP="002B32A0">
      <w:pPr>
        <w:pStyle w:val="BodyText"/>
      </w:pPr>
    </w:p>
    <w:p w14:paraId="4BA1DF03" w14:textId="77777777" w:rsidR="002B32A0" w:rsidRPr="00CE1D7F" w:rsidRDefault="002B32A0" w:rsidP="009E321F">
      <w:pPr>
        <w:pStyle w:val="Heading2"/>
        <w:spacing w:before="480"/>
      </w:pPr>
      <w:bookmarkStart w:id="409" w:name="_Toc129964036"/>
      <w:bookmarkStart w:id="410" w:name="_Toc131174674"/>
      <w:bookmarkStart w:id="411" w:name="_Toc132970695"/>
      <w:bookmarkStart w:id="412" w:name="_Toc135323734"/>
      <w:r w:rsidRPr="00CE1D7F">
        <w:t>Case study framework</w:t>
      </w:r>
      <w:bookmarkEnd w:id="409"/>
      <w:bookmarkEnd w:id="410"/>
      <w:bookmarkEnd w:id="411"/>
      <w:bookmarkEnd w:id="412"/>
    </w:p>
    <w:p w14:paraId="1BF54391" w14:textId="61B72ADE" w:rsidR="00913725" w:rsidRDefault="002B32A0" w:rsidP="002B32A0">
      <w:pPr>
        <w:pStyle w:val="BodyText"/>
      </w:pPr>
      <w:r w:rsidRPr="00CE1D7F">
        <w:t>This case study uses an evaluation framework</w:t>
      </w:r>
      <w:r>
        <w:t xml:space="preserve"> that ACIL Allen has used</w:t>
      </w:r>
      <w:r w:rsidRPr="00CE1D7F">
        <w:t xml:space="preserve"> to assess the impact and value of research undertaken by many organisations.</w:t>
      </w:r>
      <w:r w:rsidRPr="00CE1D7F">
        <w:rPr>
          <w:rStyle w:val="FootnoteReference"/>
        </w:rPr>
        <w:footnoteReference w:id="179"/>
      </w:r>
      <w:r w:rsidRPr="00CE1D7F">
        <w:t xml:space="preserve"> The results from </w:t>
      </w:r>
      <w:r>
        <w:t>applying that</w:t>
      </w:r>
      <w:r w:rsidRPr="00CE1D7F">
        <w:t xml:space="preserve"> framework </w:t>
      </w:r>
      <w:r>
        <w:t>to the L</w:t>
      </w:r>
      <w:r w:rsidRPr="00CE1D7F">
        <w:t xml:space="preserve">obster </w:t>
      </w:r>
      <w:r>
        <w:t>A</w:t>
      </w:r>
      <w:r w:rsidRPr="00CE1D7F">
        <w:t xml:space="preserve">quaculture research project are summarised in </w:t>
      </w:r>
      <w:r w:rsidRPr="00F87D0E">
        <w:fldChar w:fldCharType="begin"/>
      </w:r>
      <w:r w:rsidRPr="00F87D0E">
        <w:instrText xml:space="preserve"> REF _Ref129336236 \h  \* MERGEFORMAT </w:instrText>
      </w:r>
      <w:r w:rsidRPr="00F87D0E">
        <w:fldChar w:fldCharType="separate"/>
      </w:r>
      <w:r w:rsidR="000B0AC7" w:rsidRPr="000B0AC7">
        <w:t>Figure 10.1</w:t>
      </w:r>
      <w:r w:rsidRPr="00F87D0E">
        <w:fldChar w:fldCharType="end"/>
      </w:r>
      <w:r w:rsidRPr="00CE1D7F">
        <w:t>.</w:t>
      </w:r>
    </w:p>
    <w:p w14:paraId="4AF46608" w14:textId="77777777" w:rsidR="00913725" w:rsidRDefault="00913725">
      <w:pPr>
        <w:spacing w:before="0" w:after="160" w:line="259" w:lineRule="auto"/>
      </w:pPr>
      <w:r>
        <w:br w:type="page"/>
      </w:r>
    </w:p>
    <w:p w14:paraId="2B2DE479" w14:textId="30A7151F" w:rsidR="002B32A0" w:rsidRPr="00CE1D7F" w:rsidRDefault="002B32A0" w:rsidP="002B32A0">
      <w:pPr>
        <w:pStyle w:val="Caption"/>
        <w:ind w:left="-1202"/>
      </w:pPr>
      <w:bookmarkStart w:id="413" w:name="_Ref129336236"/>
      <w:r w:rsidRPr="00CE1D7F">
        <w:rPr>
          <w:rStyle w:val="CaptionLabel"/>
        </w:rPr>
        <w:t>Figure </w:t>
      </w:r>
      <w:r w:rsidRPr="00CE1D7F">
        <w:rPr>
          <w:rStyle w:val="CaptionLabel"/>
        </w:rPr>
        <w:fldChar w:fldCharType="begin"/>
      </w:r>
      <w:r w:rsidRPr="00CE1D7F">
        <w:rPr>
          <w:rStyle w:val="CaptionLabel"/>
        </w:rPr>
        <w:instrText xml:space="preserve"> STYLEREF 1 \S \* MERGEFORMAT </w:instrText>
      </w:r>
      <w:r w:rsidRPr="00CE1D7F">
        <w:rPr>
          <w:rStyle w:val="CaptionLabel"/>
        </w:rPr>
        <w:fldChar w:fldCharType="separate"/>
      </w:r>
      <w:r w:rsidR="000B0AC7">
        <w:rPr>
          <w:rStyle w:val="CaptionLabel"/>
          <w:noProof/>
        </w:rPr>
        <w:t>10</w:t>
      </w:r>
      <w:r w:rsidRPr="00CE1D7F">
        <w:rPr>
          <w:rStyle w:val="CaptionLabel"/>
        </w:rPr>
        <w:fldChar w:fldCharType="end"/>
      </w:r>
      <w:r w:rsidRPr="00CE1D7F">
        <w:rPr>
          <w:rStyle w:val="CaptionLabel"/>
        </w:rPr>
        <w:t>.</w:t>
      </w:r>
      <w:r w:rsidRPr="00CE1D7F">
        <w:rPr>
          <w:rStyle w:val="CaptionLabel"/>
        </w:rPr>
        <w:fldChar w:fldCharType="begin"/>
      </w:r>
      <w:r w:rsidRPr="00CE1D7F">
        <w:rPr>
          <w:rStyle w:val="CaptionLabel"/>
        </w:rPr>
        <w:instrText xml:space="preserve"> SEQ Figure \* ARABIC \S 1 \* MERGEFORMAT </w:instrText>
      </w:r>
      <w:r w:rsidRPr="00CE1D7F">
        <w:rPr>
          <w:rStyle w:val="CaptionLabel"/>
        </w:rPr>
        <w:fldChar w:fldCharType="separate"/>
      </w:r>
      <w:r w:rsidR="000B0AC7">
        <w:rPr>
          <w:rStyle w:val="CaptionLabel"/>
          <w:noProof/>
        </w:rPr>
        <w:t>1</w:t>
      </w:r>
      <w:r w:rsidRPr="00CE1D7F">
        <w:rPr>
          <w:rStyle w:val="CaptionLabel"/>
        </w:rPr>
        <w:fldChar w:fldCharType="end"/>
      </w:r>
      <w:bookmarkEnd w:id="413"/>
      <w:r w:rsidRPr="00CE1D7F">
        <w:tab/>
        <w:t>Aquifer recharge project – Impact Framework Diagram</w:t>
      </w:r>
    </w:p>
    <w:tbl>
      <w:tblPr>
        <w:tblW w:w="6531" w:type="pct"/>
        <w:tblInd w:w="-2410" w:type="dxa"/>
        <w:tblBorders>
          <w:top w:val="single" w:sz="4" w:space="0" w:color="auto"/>
          <w:bottom w:val="single" w:sz="4" w:space="0" w:color="auto"/>
        </w:tblBorders>
        <w:tblLayout w:type="fixed"/>
        <w:tblCellMar>
          <w:left w:w="0" w:type="dxa"/>
          <w:right w:w="0" w:type="dxa"/>
        </w:tblCellMar>
        <w:tblLook w:val="0000" w:firstRow="0" w:lastRow="0" w:firstColumn="0" w:lastColumn="0" w:noHBand="0" w:noVBand="0"/>
        <w:tblCaption w:val="Figure 10.1"/>
        <w:tblDescription w:val="Aquifer recharge project – Impact Framework Diagram"/>
      </w:tblPr>
      <w:tblGrid>
        <w:gridCol w:w="1700"/>
        <w:gridCol w:w="142"/>
        <w:gridCol w:w="1843"/>
        <w:gridCol w:w="142"/>
        <w:gridCol w:w="1559"/>
        <w:gridCol w:w="142"/>
        <w:gridCol w:w="1984"/>
        <w:gridCol w:w="142"/>
        <w:gridCol w:w="2712"/>
      </w:tblGrid>
      <w:tr w:rsidR="002B32A0" w:rsidRPr="00CE1D7F" w14:paraId="79FA9050" w14:textId="77777777" w:rsidTr="00913725">
        <w:trPr>
          <w:trHeight w:val="591"/>
        </w:trPr>
        <w:tc>
          <w:tcPr>
            <w:tcW w:w="1701" w:type="dxa"/>
            <w:tcBorders>
              <w:top w:val="nil"/>
              <w:left w:val="nil"/>
              <w:bottom w:val="nil"/>
              <w:right w:val="nil"/>
            </w:tcBorders>
            <w:shd w:val="clear" w:color="auto" w:fill="140034" w:themeFill="background2"/>
            <w:vAlign w:val="center"/>
          </w:tcPr>
          <w:p w14:paraId="1AA2C4C9" w14:textId="77777777" w:rsidR="002B32A0" w:rsidRPr="00CE1D7F" w:rsidRDefault="002B32A0" w:rsidP="006258ED">
            <w:pPr>
              <w:keepNext/>
              <w:spacing w:after="0" w:line="240" w:lineRule="auto"/>
              <w:jc w:val="center"/>
              <w:rPr>
                <w:rFonts w:cstheme="majorHAnsi"/>
                <w:b/>
                <w:color w:val="FFFFFF" w:themeColor="background1"/>
              </w:rPr>
            </w:pPr>
            <w:r w:rsidRPr="00CE1D7F">
              <w:rPr>
                <w:rFonts w:cstheme="majorHAnsi"/>
                <w:b/>
                <w:color w:val="FFFFFF" w:themeColor="background1"/>
              </w:rPr>
              <w:t>INPUTS</w:t>
            </w:r>
          </w:p>
        </w:tc>
        <w:tc>
          <w:tcPr>
            <w:tcW w:w="142" w:type="dxa"/>
            <w:tcBorders>
              <w:top w:val="nil"/>
              <w:left w:val="nil"/>
              <w:bottom w:val="nil"/>
              <w:right w:val="nil"/>
            </w:tcBorders>
            <w:shd w:val="clear" w:color="auto" w:fill="auto"/>
            <w:vAlign w:val="center"/>
          </w:tcPr>
          <w:p w14:paraId="716409CA" w14:textId="77777777" w:rsidR="002B32A0" w:rsidRPr="00CE1D7F" w:rsidRDefault="002B32A0" w:rsidP="006258ED">
            <w:pPr>
              <w:keepNext/>
              <w:spacing w:after="0" w:line="240" w:lineRule="auto"/>
              <w:jc w:val="center"/>
              <w:rPr>
                <w:rFonts w:cstheme="majorHAnsi"/>
                <w:b/>
                <w:color w:val="FFFFFF" w:themeColor="background1"/>
              </w:rPr>
            </w:pPr>
          </w:p>
        </w:tc>
        <w:tc>
          <w:tcPr>
            <w:tcW w:w="1843" w:type="dxa"/>
            <w:tcBorders>
              <w:top w:val="nil"/>
              <w:left w:val="nil"/>
              <w:bottom w:val="nil"/>
              <w:right w:val="nil"/>
            </w:tcBorders>
            <w:shd w:val="clear" w:color="auto" w:fill="140034" w:themeFill="background2"/>
            <w:vAlign w:val="center"/>
          </w:tcPr>
          <w:p w14:paraId="25D8821F" w14:textId="77777777" w:rsidR="002B32A0" w:rsidRPr="00CE1D7F" w:rsidRDefault="002B32A0" w:rsidP="006258ED">
            <w:pPr>
              <w:keepNext/>
              <w:spacing w:after="0" w:line="240" w:lineRule="auto"/>
              <w:jc w:val="center"/>
              <w:rPr>
                <w:rFonts w:cstheme="majorHAnsi"/>
                <w:b/>
                <w:color w:val="FFFFFF" w:themeColor="background1"/>
              </w:rPr>
            </w:pPr>
            <w:r w:rsidRPr="00CE1D7F">
              <w:rPr>
                <w:rFonts w:cstheme="majorHAnsi"/>
                <w:b/>
                <w:color w:val="FFFFFF" w:themeColor="background1"/>
              </w:rPr>
              <w:t>ACTIVITIES</w:t>
            </w:r>
          </w:p>
        </w:tc>
        <w:tc>
          <w:tcPr>
            <w:tcW w:w="142" w:type="dxa"/>
            <w:tcBorders>
              <w:top w:val="nil"/>
              <w:left w:val="nil"/>
              <w:bottom w:val="nil"/>
              <w:right w:val="nil"/>
            </w:tcBorders>
            <w:shd w:val="clear" w:color="auto" w:fill="auto"/>
            <w:vAlign w:val="center"/>
          </w:tcPr>
          <w:p w14:paraId="7E049CED" w14:textId="77777777" w:rsidR="002B32A0" w:rsidRPr="00CE1D7F" w:rsidRDefault="002B32A0" w:rsidP="006258ED">
            <w:pPr>
              <w:keepNext/>
              <w:spacing w:after="0" w:line="240" w:lineRule="auto"/>
              <w:ind w:firstLine="34"/>
              <w:jc w:val="center"/>
              <w:rPr>
                <w:rFonts w:cstheme="majorHAnsi"/>
                <w:b/>
                <w:color w:val="FFFFFF" w:themeColor="background1"/>
              </w:rPr>
            </w:pPr>
          </w:p>
        </w:tc>
        <w:tc>
          <w:tcPr>
            <w:tcW w:w="1559" w:type="dxa"/>
            <w:tcBorders>
              <w:top w:val="nil"/>
              <w:left w:val="nil"/>
              <w:bottom w:val="nil"/>
              <w:right w:val="nil"/>
            </w:tcBorders>
            <w:shd w:val="clear" w:color="auto" w:fill="140034" w:themeFill="background2"/>
            <w:vAlign w:val="center"/>
          </w:tcPr>
          <w:p w14:paraId="12051CBF" w14:textId="77777777" w:rsidR="002B32A0" w:rsidRPr="00CE1D7F" w:rsidRDefault="002B32A0" w:rsidP="006258ED">
            <w:pPr>
              <w:keepNext/>
              <w:spacing w:after="0" w:line="240" w:lineRule="auto"/>
              <w:ind w:left="118"/>
              <w:jc w:val="center"/>
              <w:rPr>
                <w:rFonts w:cstheme="majorHAnsi"/>
                <w:b/>
                <w:color w:val="FFFFFF" w:themeColor="background1"/>
              </w:rPr>
            </w:pPr>
            <w:r w:rsidRPr="00CE1D7F">
              <w:rPr>
                <w:rFonts w:cstheme="majorHAnsi"/>
                <w:b/>
                <w:color w:val="FFFFFF" w:themeColor="background1"/>
              </w:rPr>
              <w:t>OUTPUTS</w:t>
            </w:r>
          </w:p>
        </w:tc>
        <w:tc>
          <w:tcPr>
            <w:tcW w:w="142" w:type="dxa"/>
            <w:tcBorders>
              <w:top w:val="nil"/>
              <w:left w:val="nil"/>
              <w:bottom w:val="nil"/>
              <w:right w:val="nil"/>
            </w:tcBorders>
            <w:shd w:val="clear" w:color="auto" w:fill="auto"/>
            <w:vAlign w:val="center"/>
          </w:tcPr>
          <w:p w14:paraId="692C8D8C" w14:textId="77777777" w:rsidR="002B32A0" w:rsidRPr="00CE1D7F" w:rsidRDefault="002B32A0" w:rsidP="006258ED">
            <w:pPr>
              <w:keepNext/>
              <w:spacing w:after="0" w:line="240" w:lineRule="auto"/>
              <w:ind w:firstLine="32"/>
              <w:jc w:val="center"/>
              <w:rPr>
                <w:rFonts w:cstheme="majorHAnsi"/>
                <w:b/>
                <w:color w:val="FFFFFF" w:themeColor="background1"/>
              </w:rPr>
            </w:pPr>
          </w:p>
        </w:tc>
        <w:tc>
          <w:tcPr>
            <w:tcW w:w="1984" w:type="dxa"/>
            <w:tcBorders>
              <w:top w:val="nil"/>
              <w:left w:val="nil"/>
              <w:bottom w:val="nil"/>
              <w:right w:val="nil"/>
            </w:tcBorders>
            <w:shd w:val="clear" w:color="auto" w:fill="140034" w:themeFill="background2"/>
            <w:vAlign w:val="center"/>
          </w:tcPr>
          <w:p w14:paraId="6D3F1C9B" w14:textId="77777777" w:rsidR="002B32A0" w:rsidRPr="00CE1D7F" w:rsidRDefault="002B32A0" w:rsidP="006258ED">
            <w:pPr>
              <w:spacing w:after="0" w:line="240" w:lineRule="auto"/>
              <w:ind w:left="61"/>
              <w:jc w:val="center"/>
              <w:rPr>
                <w:rFonts w:cstheme="majorHAnsi"/>
                <w:b/>
                <w:color w:val="FFFFFF" w:themeColor="background1"/>
                <w:lang w:eastAsia="en-AU"/>
              </w:rPr>
            </w:pPr>
            <w:r w:rsidRPr="00CE1D7F">
              <w:rPr>
                <w:rFonts w:cstheme="majorHAnsi"/>
                <w:b/>
                <w:color w:val="FFFFFF" w:themeColor="background1"/>
                <w:lang w:eastAsia="en-AU"/>
              </w:rPr>
              <w:t>OUTCOMES</w:t>
            </w:r>
          </w:p>
        </w:tc>
        <w:tc>
          <w:tcPr>
            <w:tcW w:w="142" w:type="dxa"/>
            <w:tcBorders>
              <w:top w:val="nil"/>
              <w:left w:val="nil"/>
              <w:bottom w:val="nil"/>
              <w:right w:val="nil"/>
            </w:tcBorders>
            <w:shd w:val="clear" w:color="auto" w:fill="auto"/>
            <w:vAlign w:val="center"/>
          </w:tcPr>
          <w:p w14:paraId="293963F7" w14:textId="77777777" w:rsidR="002B32A0" w:rsidRPr="00CE1D7F" w:rsidRDefault="002B32A0" w:rsidP="006258ED">
            <w:pPr>
              <w:keepNext/>
              <w:spacing w:after="0" w:line="240" w:lineRule="auto"/>
              <w:ind w:left="-65" w:firstLine="32"/>
              <w:jc w:val="center"/>
              <w:rPr>
                <w:rFonts w:cstheme="majorHAnsi"/>
                <w:b/>
                <w:color w:val="FFFFFF" w:themeColor="background1"/>
              </w:rPr>
            </w:pPr>
          </w:p>
        </w:tc>
        <w:tc>
          <w:tcPr>
            <w:tcW w:w="2712" w:type="dxa"/>
            <w:tcBorders>
              <w:top w:val="nil"/>
              <w:left w:val="nil"/>
              <w:bottom w:val="nil"/>
              <w:right w:val="nil"/>
            </w:tcBorders>
            <w:shd w:val="clear" w:color="auto" w:fill="140034" w:themeFill="background2"/>
            <w:vAlign w:val="center"/>
          </w:tcPr>
          <w:p w14:paraId="19BCC5BD" w14:textId="77777777" w:rsidR="002B32A0" w:rsidRPr="00CE1D7F" w:rsidRDefault="002B32A0" w:rsidP="006258ED">
            <w:pPr>
              <w:spacing w:after="0" w:line="240" w:lineRule="auto"/>
              <w:ind w:left="61"/>
              <w:jc w:val="center"/>
              <w:rPr>
                <w:rFonts w:cstheme="majorHAnsi"/>
                <w:b/>
                <w:color w:val="FFFFFF" w:themeColor="background1"/>
                <w:lang w:eastAsia="en-AU"/>
              </w:rPr>
            </w:pPr>
            <w:r w:rsidRPr="00CE1D7F">
              <w:rPr>
                <w:rFonts w:cstheme="majorHAnsi"/>
                <w:b/>
                <w:color w:val="FFFFFF" w:themeColor="background1"/>
                <w:lang w:eastAsia="en-AU"/>
              </w:rPr>
              <w:t>IMPACTS</w:t>
            </w:r>
          </w:p>
        </w:tc>
      </w:tr>
      <w:tr w:rsidR="002B32A0" w:rsidRPr="00CE1D7F" w14:paraId="2CC8A34E" w14:textId="77777777" w:rsidTr="00913725">
        <w:trPr>
          <w:trHeight w:hRule="exact" w:val="170"/>
        </w:trPr>
        <w:tc>
          <w:tcPr>
            <w:tcW w:w="1701" w:type="dxa"/>
            <w:tcBorders>
              <w:top w:val="nil"/>
              <w:bottom w:val="nil"/>
              <w:right w:val="single" w:sz="12" w:space="0" w:color="FFFFFF" w:themeColor="background1"/>
            </w:tcBorders>
          </w:tcPr>
          <w:p w14:paraId="1C7F5728" w14:textId="77777777" w:rsidR="002B32A0" w:rsidRPr="00CE1D7F" w:rsidRDefault="002B32A0" w:rsidP="006258ED">
            <w:pPr>
              <w:keepNext/>
              <w:spacing w:after="0" w:line="240" w:lineRule="auto"/>
              <w:ind w:hanging="3402"/>
              <w:jc w:val="center"/>
              <w:rPr>
                <w:rFonts w:ascii="Calibri" w:hAnsi="Calibri"/>
                <w:sz w:val="16"/>
                <w:szCs w:val="16"/>
              </w:rPr>
            </w:pPr>
          </w:p>
        </w:tc>
        <w:tc>
          <w:tcPr>
            <w:tcW w:w="142" w:type="dxa"/>
            <w:tcBorders>
              <w:top w:val="nil"/>
              <w:left w:val="single" w:sz="12" w:space="0" w:color="FFFFFF" w:themeColor="background1"/>
              <w:bottom w:val="single" w:sz="12" w:space="0" w:color="FFFFFF" w:themeColor="background1"/>
              <w:right w:val="single" w:sz="12" w:space="0" w:color="FFFFFF" w:themeColor="background1"/>
            </w:tcBorders>
          </w:tcPr>
          <w:p w14:paraId="5C3F6A61" w14:textId="77777777" w:rsidR="002B32A0" w:rsidRPr="00CE1D7F" w:rsidRDefault="002B32A0" w:rsidP="006258ED">
            <w:pPr>
              <w:keepNext/>
              <w:spacing w:after="0" w:line="240" w:lineRule="auto"/>
              <w:jc w:val="center"/>
              <w:rPr>
                <w:rFonts w:ascii="Calibri" w:hAnsi="Calibri"/>
                <w:sz w:val="16"/>
                <w:szCs w:val="16"/>
              </w:rPr>
            </w:pPr>
          </w:p>
        </w:tc>
        <w:tc>
          <w:tcPr>
            <w:tcW w:w="1843" w:type="dxa"/>
            <w:tcBorders>
              <w:top w:val="nil"/>
              <w:left w:val="single" w:sz="12" w:space="0" w:color="FFFFFF" w:themeColor="background1"/>
              <w:bottom w:val="nil"/>
              <w:right w:val="single" w:sz="12" w:space="0" w:color="FFFFFF" w:themeColor="background1"/>
            </w:tcBorders>
          </w:tcPr>
          <w:p w14:paraId="07E0E4B5" w14:textId="77777777" w:rsidR="002B32A0" w:rsidRPr="00CE1D7F" w:rsidRDefault="002B32A0" w:rsidP="006258ED">
            <w:pPr>
              <w:keepNext/>
              <w:spacing w:after="0" w:line="240" w:lineRule="auto"/>
              <w:ind w:left="-108"/>
              <w:jc w:val="center"/>
              <w:rPr>
                <w:rFonts w:ascii="Calibri" w:hAnsi="Calibri"/>
                <w:sz w:val="16"/>
                <w:szCs w:val="16"/>
              </w:rPr>
            </w:pPr>
          </w:p>
        </w:tc>
        <w:tc>
          <w:tcPr>
            <w:tcW w:w="142" w:type="dxa"/>
            <w:tcBorders>
              <w:top w:val="nil"/>
              <w:left w:val="single" w:sz="12" w:space="0" w:color="FFFFFF" w:themeColor="background1"/>
              <w:bottom w:val="nil"/>
              <w:right w:val="single" w:sz="12" w:space="0" w:color="FFFFFF" w:themeColor="background1"/>
            </w:tcBorders>
          </w:tcPr>
          <w:p w14:paraId="59B2A295" w14:textId="77777777" w:rsidR="002B32A0" w:rsidRPr="00CE1D7F" w:rsidRDefault="002B32A0" w:rsidP="006258ED">
            <w:pPr>
              <w:keepNext/>
              <w:spacing w:after="0" w:line="240" w:lineRule="auto"/>
              <w:ind w:firstLine="34"/>
              <w:jc w:val="center"/>
              <w:rPr>
                <w:rFonts w:ascii="Calibri" w:hAnsi="Calibri"/>
                <w:sz w:val="16"/>
                <w:szCs w:val="16"/>
              </w:rPr>
            </w:pPr>
          </w:p>
        </w:tc>
        <w:tc>
          <w:tcPr>
            <w:tcW w:w="1559" w:type="dxa"/>
            <w:tcBorders>
              <w:top w:val="nil"/>
              <w:left w:val="single" w:sz="12" w:space="0" w:color="FFFFFF" w:themeColor="background1"/>
              <w:bottom w:val="nil"/>
              <w:right w:val="single" w:sz="12" w:space="0" w:color="FFFFFF" w:themeColor="background1"/>
            </w:tcBorders>
          </w:tcPr>
          <w:p w14:paraId="35141C20" w14:textId="77777777" w:rsidR="002B32A0" w:rsidRPr="00CE1D7F" w:rsidRDefault="002B32A0" w:rsidP="006258ED">
            <w:pPr>
              <w:pStyle w:val="Tablelistbullet"/>
              <w:numPr>
                <w:ilvl w:val="0"/>
                <w:numId w:val="0"/>
              </w:numPr>
              <w:rPr>
                <w:rFonts w:ascii="Calibri" w:hAnsi="Calibri" w:cs="Arial"/>
                <w:sz w:val="16"/>
                <w:szCs w:val="16"/>
              </w:rPr>
            </w:pPr>
          </w:p>
        </w:tc>
        <w:tc>
          <w:tcPr>
            <w:tcW w:w="142" w:type="dxa"/>
            <w:tcBorders>
              <w:top w:val="nil"/>
              <w:left w:val="single" w:sz="12" w:space="0" w:color="FFFFFF" w:themeColor="background1"/>
              <w:bottom w:val="nil"/>
              <w:right w:val="single" w:sz="12" w:space="0" w:color="FFFFFF" w:themeColor="background1"/>
            </w:tcBorders>
          </w:tcPr>
          <w:p w14:paraId="5F87C3FA" w14:textId="77777777" w:rsidR="002B32A0" w:rsidRPr="00CE1D7F" w:rsidRDefault="002B32A0" w:rsidP="006258ED">
            <w:pPr>
              <w:keepNext/>
              <w:spacing w:after="0" w:line="240" w:lineRule="auto"/>
              <w:ind w:hanging="3402"/>
              <w:jc w:val="center"/>
              <w:rPr>
                <w:rFonts w:ascii="Calibri" w:hAnsi="Calibri"/>
                <w:sz w:val="16"/>
                <w:szCs w:val="16"/>
              </w:rPr>
            </w:pPr>
          </w:p>
        </w:tc>
        <w:tc>
          <w:tcPr>
            <w:tcW w:w="1984" w:type="dxa"/>
            <w:tcBorders>
              <w:top w:val="nil"/>
              <w:left w:val="single" w:sz="12" w:space="0" w:color="FFFFFF" w:themeColor="background1"/>
              <w:bottom w:val="nil"/>
              <w:right w:val="single" w:sz="12" w:space="0" w:color="FFFFFF" w:themeColor="background1"/>
            </w:tcBorders>
          </w:tcPr>
          <w:p w14:paraId="76762B2E" w14:textId="77777777" w:rsidR="002B32A0" w:rsidRPr="00CE1D7F" w:rsidRDefault="002B32A0" w:rsidP="006258ED">
            <w:pPr>
              <w:keepNext/>
              <w:spacing w:after="0" w:line="240" w:lineRule="auto"/>
              <w:jc w:val="center"/>
              <w:rPr>
                <w:rFonts w:ascii="Calibri" w:hAnsi="Calibri"/>
                <w:sz w:val="16"/>
                <w:szCs w:val="16"/>
              </w:rPr>
            </w:pPr>
          </w:p>
        </w:tc>
        <w:tc>
          <w:tcPr>
            <w:tcW w:w="142" w:type="dxa"/>
            <w:tcBorders>
              <w:top w:val="nil"/>
              <w:left w:val="single" w:sz="12" w:space="0" w:color="FFFFFF" w:themeColor="background1"/>
              <w:bottom w:val="nil"/>
              <w:right w:val="single" w:sz="12" w:space="0" w:color="FFFFFF" w:themeColor="background1"/>
            </w:tcBorders>
          </w:tcPr>
          <w:p w14:paraId="2E6369FD" w14:textId="77777777" w:rsidR="002B32A0" w:rsidRPr="00CE1D7F" w:rsidRDefault="002B32A0" w:rsidP="006258ED">
            <w:pPr>
              <w:keepNext/>
              <w:spacing w:after="0" w:line="240" w:lineRule="auto"/>
              <w:ind w:left="-17" w:firstLine="32"/>
              <w:jc w:val="center"/>
              <w:rPr>
                <w:rFonts w:ascii="Calibri" w:hAnsi="Calibri"/>
                <w:sz w:val="16"/>
                <w:szCs w:val="16"/>
              </w:rPr>
            </w:pPr>
          </w:p>
        </w:tc>
        <w:tc>
          <w:tcPr>
            <w:tcW w:w="2712" w:type="dxa"/>
            <w:tcBorders>
              <w:top w:val="nil"/>
              <w:left w:val="single" w:sz="12" w:space="0" w:color="FFFFFF" w:themeColor="background1"/>
              <w:bottom w:val="nil"/>
              <w:right w:val="single" w:sz="12" w:space="0" w:color="FFFFFF" w:themeColor="background1"/>
            </w:tcBorders>
          </w:tcPr>
          <w:p w14:paraId="36E5E681" w14:textId="77777777" w:rsidR="002B32A0" w:rsidRPr="00CE1D7F" w:rsidRDefault="002B32A0" w:rsidP="006258ED">
            <w:pPr>
              <w:keepNext/>
              <w:spacing w:after="0" w:line="240" w:lineRule="auto"/>
              <w:ind w:left="96"/>
              <w:jc w:val="center"/>
              <w:rPr>
                <w:rFonts w:ascii="Calibri" w:hAnsi="Calibri"/>
                <w:sz w:val="16"/>
                <w:szCs w:val="16"/>
              </w:rPr>
            </w:pPr>
          </w:p>
        </w:tc>
      </w:tr>
      <w:tr w:rsidR="002B32A0" w:rsidRPr="00CE1D7F" w14:paraId="483DA20A" w14:textId="77777777" w:rsidTr="00913725">
        <w:trPr>
          <w:trHeight w:val="390"/>
        </w:trPr>
        <w:tc>
          <w:tcPr>
            <w:tcW w:w="1701" w:type="dxa"/>
            <w:tcBorders>
              <w:top w:val="nil"/>
              <w:left w:val="nil"/>
              <w:bottom w:val="nil"/>
              <w:right w:val="nil"/>
            </w:tcBorders>
            <w:shd w:val="clear" w:color="auto" w:fill="DEDEDE" w:themeFill="accent3" w:themeFillTint="99"/>
          </w:tcPr>
          <w:p w14:paraId="282DA2E8" w14:textId="77777777" w:rsidR="002B32A0" w:rsidRPr="00CE1D7F" w:rsidRDefault="002B32A0" w:rsidP="002B32A0">
            <w:pPr>
              <w:pStyle w:val="Tablelistbullet"/>
              <w:numPr>
                <w:ilvl w:val="0"/>
                <w:numId w:val="64"/>
              </w:numPr>
              <w:spacing w:before="60" w:after="0"/>
              <w:ind w:right="120"/>
            </w:pPr>
            <w:r w:rsidRPr="00CE1D7F">
              <w:t>$10</w:t>
            </w:r>
            <w:r>
              <w:t> million</w:t>
            </w:r>
            <w:r w:rsidRPr="00CE1D7F">
              <w:t xml:space="preserve"> in cash support from the ARC </w:t>
            </w:r>
          </w:p>
          <w:p w14:paraId="79CF6144" w14:textId="77777777" w:rsidR="002B32A0" w:rsidRPr="00CE1D7F" w:rsidRDefault="002B32A0" w:rsidP="002B32A0">
            <w:pPr>
              <w:pStyle w:val="Tablelistbullet"/>
              <w:numPr>
                <w:ilvl w:val="0"/>
                <w:numId w:val="64"/>
              </w:numPr>
              <w:spacing w:before="60" w:after="0"/>
              <w:ind w:right="120"/>
            </w:pPr>
            <w:r w:rsidRPr="00CE1D7F">
              <w:t>$33</w:t>
            </w:r>
            <w:r>
              <w:t> million</w:t>
            </w:r>
            <w:r w:rsidRPr="00CE1D7F">
              <w:t xml:space="preserve"> in cash and in-kind support from Ornatas and other partners </w:t>
            </w:r>
          </w:p>
        </w:tc>
        <w:tc>
          <w:tcPr>
            <w:tcW w:w="142" w:type="dxa"/>
            <w:tcBorders>
              <w:top w:val="single" w:sz="12" w:space="0" w:color="FFFFFF" w:themeColor="background1"/>
              <w:left w:val="nil"/>
              <w:bottom w:val="nil"/>
              <w:right w:val="nil"/>
            </w:tcBorders>
          </w:tcPr>
          <w:p w14:paraId="23D35661" w14:textId="77777777" w:rsidR="002B32A0" w:rsidRPr="00CE1D7F" w:rsidRDefault="002B32A0" w:rsidP="006258ED">
            <w:pPr>
              <w:pStyle w:val="BodyText"/>
            </w:pPr>
          </w:p>
        </w:tc>
        <w:tc>
          <w:tcPr>
            <w:tcW w:w="1843" w:type="dxa"/>
            <w:tcBorders>
              <w:top w:val="nil"/>
              <w:left w:val="nil"/>
              <w:bottom w:val="nil"/>
              <w:right w:val="nil"/>
            </w:tcBorders>
            <w:shd w:val="clear" w:color="auto" w:fill="DEDEDE" w:themeFill="accent3" w:themeFillTint="99"/>
          </w:tcPr>
          <w:p w14:paraId="7DA597A2" w14:textId="77777777" w:rsidR="002B32A0" w:rsidRPr="00CE1D7F" w:rsidRDefault="002B32A0" w:rsidP="002B32A0">
            <w:pPr>
              <w:pStyle w:val="Tablelistbullet"/>
              <w:numPr>
                <w:ilvl w:val="0"/>
                <w:numId w:val="64"/>
              </w:numPr>
              <w:spacing w:before="60" w:after="0"/>
              <w:ind w:right="120"/>
            </w:pPr>
            <w:r w:rsidRPr="00CE1D7F">
              <w:t>Research on lobster larval and juvenile development, nutrition, physiology, population and molecular biology, husbandry, culture systems</w:t>
            </w:r>
          </w:p>
          <w:p w14:paraId="54B71E3B" w14:textId="77777777" w:rsidR="002B32A0" w:rsidRPr="00CE1D7F" w:rsidRDefault="002B32A0" w:rsidP="002B32A0">
            <w:pPr>
              <w:pStyle w:val="Tablelistbullet"/>
              <w:numPr>
                <w:ilvl w:val="0"/>
                <w:numId w:val="64"/>
              </w:numPr>
              <w:spacing w:before="60" w:after="0"/>
              <w:ind w:right="120"/>
            </w:pPr>
            <w:r w:rsidRPr="00CE1D7F">
              <w:t xml:space="preserve">Engineering and automation, social science and market research for commercialisation </w:t>
            </w:r>
          </w:p>
        </w:tc>
        <w:tc>
          <w:tcPr>
            <w:tcW w:w="142" w:type="dxa"/>
            <w:tcBorders>
              <w:top w:val="nil"/>
              <w:left w:val="nil"/>
              <w:bottom w:val="nil"/>
              <w:right w:val="nil"/>
            </w:tcBorders>
          </w:tcPr>
          <w:p w14:paraId="100FAB5B" w14:textId="77777777" w:rsidR="002B32A0" w:rsidRPr="00CE1D7F" w:rsidRDefault="002B32A0" w:rsidP="006258ED">
            <w:pPr>
              <w:pStyle w:val="Tabletext"/>
            </w:pPr>
          </w:p>
        </w:tc>
        <w:tc>
          <w:tcPr>
            <w:tcW w:w="1559" w:type="dxa"/>
            <w:tcBorders>
              <w:top w:val="nil"/>
              <w:left w:val="nil"/>
              <w:bottom w:val="nil"/>
              <w:right w:val="nil"/>
            </w:tcBorders>
            <w:shd w:val="clear" w:color="auto" w:fill="DEDEDE" w:themeFill="accent3" w:themeFillTint="99"/>
          </w:tcPr>
          <w:p w14:paraId="442D8771" w14:textId="77777777" w:rsidR="002B32A0" w:rsidRPr="00CE1D7F" w:rsidRDefault="002B32A0" w:rsidP="002B32A0">
            <w:pPr>
              <w:pStyle w:val="Tablelistbullet"/>
              <w:numPr>
                <w:ilvl w:val="0"/>
                <w:numId w:val="64"/>
              </w:numPr>
              <w:spacing w:before="60" w:after="0"/>
              <w:ind w:right="120"/>
            </w:pPr>
            <w:r w:rsidRPr="00CE1D7F">
              <w:t xml:space="preserve">Developed commercial hatchery technology. </w:t>
            </w:r>
          </w:p>
          <w:p w14:paraId="21B1DB89" w14:textId="77777777" w:rsidR="002B32A0" w:rsidRPr="00CE1D7F" w:rsidRDefault="002B32A0" w:rsidP="002B32A0">
            <w:pPr>
              <w:pStyle w:val="Tablelistbullet"/>
              <w:numPr>
                <w:ilvl w:val="0"/>
                <w:numId w:val="64"/>
              </w:numPr>
              <w:spacing w:before="60" w:after="0"/>
              <w:ind w:right="120"/>
            </w:pPr>
            <w:r w:rsidRPr="00CE1D7F">
              <w:t>4 provisional patents for larval and juvenile feeds and culture systems</w:t>
            </w:r>
          </w:p>
          <w:p w14:paraId="3F3FD64F" w14:textId="77777777" w:rsidR="002B32A0" w:rsidRPr="00CE1D7F" w:rsidRDefault="002B32A0" w:rsidP="002B32A0">
            <w:pPr>
              <w:pStyle w:val="Tablelistbullet"/>
              <w:numPr>
                <w:ilvl w:val="0"/>
                <w:numId w:val="64"/>
              </w:numPr>
              <w:spacing w:before="60" w:after="0"/>
              <w:ind w:right="120"/>
            </w:pPr>
            <w:r w:rsidRPr="00CE1D7F">
              <w:t>Publications and conference presentations</w:t>
            </w:r>
          </w:p>
        </w:tc>
        <w:tc>
          <w:tcPr>
            <w:tcW w:w="142" w:type="dxa"/>
            <w:tcBorders>
              <w:top w:val="nil"/>
              <w:left w:val="nil"/>
              <w:bottom w:val="nil"/>
              <w:right w:val="nil"/>
            </w:tcBorders>
          </w:tcPr>
          <w:p w14:paraId="0F0D6FBE" w14:textId="77777777" w:rsidR="002B32A0" w:rsidRPr="00CE1D7F" w:rsidRDefault="002B32A0" w:rsidP="006258ED">
            <w:pPr>
              <w:pStyle w:val="Tabletext"/>
            </w:pPr>
          </w:p>
        </w:tc>
        <w:tc>
          <w:tcPr>
            <w:tcW w:w="1984" w:type="dxa"/>
            <w:tcBorders>
              <w:top w:val="nil"/>
              <w:left w:val="nil"/>
              <w:bottom w:val="nil"/>
              <w:right w:val="nil"/>
            </w:tcBorders>
            <w:shd w:val="clear" w:color="auto" w:fill="DEDEDE" w:themeFill="accent3" w:themeFillTint="99"/>
          </w:tcPr>
          <w:p w14:paraId="118473BD" w14:textId="77777777" w:rsidR="002B32A0" w:rsidRPr="00CE1D7F" w:rsidRDefault="002B32A0" w:rsidP="002B32A0">
            <w:pPr>
              <w:pStyle w:val="Tablelistbullet"/>
              <w:numPr>
                <w:ilvl w:val="0"/>
                <w:numId w:val="64"/>
              </w:numPr>
              <w:spacing w:before="60" w:after="0"/>
              <w:ind w:right="120"/>
            </w:pPr>
            <w:r w:rsidRPr="00CE1D7F">
              <w:t xml:space="preserve">A new firm was established (Ornatas) that took up a licence to the technology </w:t>
            </w:r>
          </w:p>
          <w:p w14:paraId="2158D77A" w14:textId="77777777" w:rsidR="002B32A0" w:rsidRPr="00CE1D7F" w:rsidRDefault="002B32A0" w:rsidP="002B32A0">
            <w:pPr>
              <w:pStyle w:val="Tablelistbullet"/>
              <w:numPr>
                <w:ilvl w:val="0"/>
                <w:numId w:val="64"/>
              </w:numPr>
              <w:spacing w:before="60" w:after="0"/>
              <w:ind w:right="120"/>
            </w:pPr>
            <w:r w:rsidRPr="00CE1D7F">
              <w:t xml:space="preserve">Large ongoing private sector investment to commercialise technology </w:t>
            </w:r>
          </w:p>
          <w:p w14:paraId="684F378A" w14:textId="77777777" w:rsidR="002B32A0" w:rsidRPr="00CE1D7F" w:rsidRDefault="002B32A0" w:rsidP="002B32A0">
            <w:pPr>
              <w:pStyle w:val="Tablelistbullet"/>
              <w:numPr>
                <w:ilvl w:val="0"/>
                <w:numId w:val="64"/>
              </w:numPr>
              <w:spacing w:before="60" w:after="0"/>
              <w:ind w:right="120"/>
            </w:pPr>
            <w:r w:rsidRPr="00CE1D7F">
              <w:t xml:space="preserve">Pilot lobster hatchery in North Queensland </w:t>
            </w:r>
          </w:p>
          <w:p w14:paraId="42128944" w14:textId="77777777" w:rsidR="002B32A0" w:rsidRPr="00CE1D7F" w:rsidRDefault="002B32A0" w:rsidP="002B32A0">
            <w:pPr>
              <w:pStyle w:val="Tablelistbullet"/>
              <w:numPr>
                <w:ilvl w:val="0"/>
                <w:numId w:val="64"/>
              </w:numPr>
              <w:spacing w:before="60" w:after="0"/>
              <w:ind w:right="120"/>
            </w:pPr>
            <w:r w:rsidRPr="00CE1D7F">
              <w:t>Commercial scale hatchery commissioned</w:t>
            </w:r>
          </w:p>
        </w:tc>
        <w:tc>
          <w:tcPr>
            <w:tcW w:w="142" w:type="dxa"/>
            <w:tcBorders>
              <w:top w:val="nil"/>
              <w:left w:val="nil"/>
              <w:bottom w:val="nil"/>
              <w:right w:val="nil"/>
            </w:tcBorders>
          </w:tcPr>
          <w:p w14:paraId="5C28D144" w14:textId="77777777" w:rsidR="002B32A0" w:rsidRPr="00CE1D7F" w:rsidRDefault="002B32A0" w:rsidP="006258ED">
            <w:pPr>
              <w:pStyle w:val="Tabletext"/>
            </w:pPr>
          </w:p>
        </w:tc>
        <w:tc>
          <w:tcPr>
            <w:tcW w:w="2712" w:type="dxa"/>
            <w:tcBorders>
              <w:top w:val="nil"/>
              <w:left w:val="nil"/>
              <w:bottom w:val="nil"/>
              <w:right w:val="nil"/>
            </w:tcBorders>
            <w:shd w:val="clear" w:color="auto" w:fill="DEDEDE" w:themeFill="accent3" w:themeFillTint="99"/>
          </w:tcPr>
          <w:p w14:paraId="24F0F632" w14:textId="77777777" w:rsidR="002B32A0" w:rsidRPr="00CE1D7F" w:rsidRDefault="002B32A0" w:rsidP="002B32A0">
            <w:pPr>
              <w:pStyle w:val="Tablelistbullet"/>
              <w:numPr>
                <w:ilvl w:val="0"/>
                <w:numId w:val="64"/>
              </w:numPr>
              <w:spacing w:before="60" w:after="0"/>
              <w:ind w:right="120"/>
            </w:pPr>
            <w:r w:rsidRPr="00CE1D7F">
              <w:t>The estimated NPV is $201.1</w:t>
            </w:r>
            <w:r>
              <w:t> million</w:t>
            </w:r>
          </w:p>
          <w:p w14:paraId="4B21A37F" w14:textId="77777777" w:rsidR="002B32A0" w:rsidRPr="00CE1D7F" w:rsidRDefault="002B32A0" w:rsidP="002B32A0">
            <w:pPr>
              <w:pStyle w:val="Tablelistbullet"/>
              <w:numPr>
                <w:ilvl w:val="0"/>
                <w:numId w:val="64"/>
              </w:numPr>
              <w:spacing w:before="60" w:after="0"/>
              <w:ind w:right="120"/>
            </w:pPr>
            <w:r w:rsidRPr="00CE1D7F">
              <w:t>The estimated BCR is 3.08</w:t>
            </w:r>
          </w:p>
          <w:p w14:paraId="648A15FA" w14:textId="77777777" w:rsidR="002B32A0" w:rsidRPr="00CE1D7F" w:rsidRDefault="002B32A0" w:rsidP="002B32A0">
            <w:pPr>
              <w:pStyle w:val="Tablelistbullet"/>
              <w:numPr>
                <w:ilvl w:val="0"/>
                <w:numId w:val="64"/>
              </w:numPr>
              <w:spacing w:before="60" w:after="0"/>
              <w:ind w:right="120"/>
            </w:pPr>
            <w:r w:rsidRPr="00CE1D7F">
              <w:t>Pilot lobster hatchery has been operating for 2 years</w:t>
            </w:r>
            <w:r>
              <w:t xml:space="preserve"> </w:t>
            </w:r>
          </w:p>
          <w:p w14:paraId="207A05AB" w14:textId="77777777" w:rsidR="002B32A0" w:rsidRPr="00CE1D7F" w:rsidRDefault="002B32A0" w:rsidP="002B32A0">
            <w:pPr>
              <w:pStyle w:val="Tablelistbullet"/>
              <w:numPr>
                <w:ilvl w:val="0"/>
                <w:numId w:val="64"/>
              </w:numPr>
              <w:spacing w:before="60" w:after="0"/>
              <w:ind w:right="120"/>
            </w:pPr>
            <w:r w:rsidRPr="00CE1D7F">
              <w:t>Employment opportunities (up to 1,000 people by 2032)</w:t>
            </w:r>
          </w:p>
          <w:p w14:paraId="04382F8A" w14:textId="77777777" w:rsidR="002B32A0" w:rsidRPr="00CE1D7F" w:rsidRDefault="002B32A0" w:rsidP="002B32A0">
            <w:pPr>
              <w:pStyle w:val="Tablelistbullet"/>
              <w:numPr>
                <w:ilvl w:val="0"/>
                <w:numId w:val="64"/>
              </w:numPr>
              <w:spacing w:before="60" w:after="0"/>
              <w:ind w:right="120"/>
            </w:pPr>
            <w:r w:rsidRPr="00CE1D7F">
              <w:t>Lobster export earnings (up to $100</w:t>
            </w:r>
            <w:r>
              <w:t> million</w:t>
            </w:r>
            <w:r w:rsidRPr="00CE1D7F">
              <w:t xml:space="preserve"> a year by 2032)</w:t>
            </w:r>
          </w:p>
          <w:p w14:paraId="7A84805E" w14:textId="77777777" w:rsidR="002B32A0" w:rsidRPr="00CE1D7F" w:rsidRDefault="002B32A0" w:rsidP="002B32A0">
            <w:pPr>
              <w:pStyle w:val="Tablelistbullet"/>
              <w:numPr>
                <w:ilvl w:val="0"/>
                <w:numId w:val="64"/>
              </w:numPr>
              <w:spacing w:before="60" w:after="0"/>
              <w:ind w:right="120"/>
            </w:pPr>
            <w:r w:rsidRPr="00CE1D7F">
              <w:t xml:space="preserve">More sustainable lobster industry </w:t>
            </w:r>
          </w:p>
        </w:tc>
      </w:tr>
      <w:tr w:rsidR="002B32A0" w:rsidRPr="00CE1D7F" w14:paraId="2841725B" w14:textId="77777777" w:rsidTr="00913725">
        <w:tblPrEx>
          <w:tblBorders>
            <w:top w:val="none" w:sz="0" w:space="0" w:color="auto"/>
            <w:bottom w:val="none" w:sz="0" w:space="0" w:color="auto"/>
          </w:tblBorders>
        </w:tblPrEx>
        <w:trPr>
          <w:trHeight w:val="135"/>
        </w:trPr>
        <w:tc>
          <w:tcPr>
            <w:tcW w:w="10367" w:type="dxa"/>
            <w:gridSpan w:val="9"/>
            <w:tcBorders>
              <w:bottom w:val="single" w:sz="4" w:space="0" w:color="000100"/>
            </w:tcBorders>
            <w:shd w:val="clear" w:color="auto" w:fill="auto"/>
            <w:tcMar>
              <w:top w:w="12" w:type="dxa"/>
              <w:bottom w:w="113" w:type="dxa"/>
            </w:tcMar>
          </w:tcPr>
          <w:p w14:paraId="7F7E3844" w14:textId="77777777" w:rsidR="002B32A0" w:rsidRPr="00CE1D7F" w:rsidRDefault="002B32A0" w:rsidP="006258ED">
            <w:pPr>
              <w:pStyle w:val="Source"/>
            </w:pPr>
            <w:r w:rsidRPr="00CE1D7F">
              <w:t>Source: ACIL Allen</w:t>
            </w:r>
          </w:p>
        </w:tc>
      </w:tr>
      <w:tr w:rsidR="002B32A0" w:rsidRPr="00CE1D7F" w14:paraId="57AF91AE" w14:textId="77777777" w:rsidTr="00913725">
        <w:tblPrEx>
          <w:tblBorders>
            <w:top w:val="none" w:sz="0" w:space="0" w:color="auto"/>
            <w:bottom w:val="none" w:sz="0" w:space="0" w:color="auto"/>
          </w:tblBorders>
        </w:tblPrEx>
        <w:trPr>
          <w:trHeight w:hRule="exact" w:val="160"/>
        </w:trPr>
        <w:tc>
          <w:tcPr>
            <w:tcW w:w="10367" w:type="dxa"/>
            <w:gridSpan w:val="9"/>
            <w:tcBorders>
              <w:top w:val="single" w:sz="4" w:space="0" w:color="000100"/>
            </w:tcBorders>
            <w:shd w:val="clear" w:color="auto" w:fill="auto"/>
            <w:tcMar>
              <w:top w:w="0" w:type="dxa"/>
              <w:bottom w:w="40" w:type="dxa"/>
            </w:tcMar>
          </w:tcPr>
          <w:p w14:paraId="71CCC507" w14:textId="77777777" w:rsidR="002B32A0" w:rsidRPr="00CE1D7F" w:rsidRDefault="002B32A0" w:rsidP="006258ED">
            <w:pPr>
              <w:pStyle w:val="spacer"/>
            </w:pPr>
          </w:p>
        </w:tc>
      </w:tr>
    </w:tbl>
    <w:p w14:paraId="0574AF09" w14:textId="77777777" w:rsidR="002B32A0" w:rsidRPr="00CE1D7F" w:rsidRDefault="002B32A0" w:rsidP="009E321F">
      <w:pPr>
        <w:pStyle w:val="Heading2"/>
      </w:pPr>
      <w:bookmarkStart w:id="414" w:name="_Toc129964037"/>
      <w:bookmarkStart w:id="415" w:name="_Toc131174675"/>
      <w:bookmarkStart w:id="416" w:name="_Toc132970696"/>
      <w:bookmarkStart w:id="417" w:name="_Toc135323735"/>
      <w:r w:rsidRPr="00CE1D7F">
        <w:t>Background</w:t>
      </w:r>
      <w:bookmarkEnd w:id="414"/>
      <w:bookmarkEnd w:id="415"/>
      <w:bookmarkEnd w:id="416"/>
      <w:bookmarkEnd w:id="417"/>
    </w:p>
    <w:p w14:paraId="686B922E" w14:textId="77777777" w:rsidR="002B32A0" w:rsidRPr="00CE1D7F" w:rsidRDefault="002B32A0" w:rsidP="002B32A0">
      <w:pPr>
        <w:pStyle w:val="BodyText"/>
      </w:pPr>
      <w:bookmarkStart w:id="418" w:name="_Hlk127719893"/>
      <w:bookmarkStart w:id="419" w:name="_Hlk123811486"/>
      <w:r w:rsidRPr="00CE1D7F">
        <w:t xml:space="preserve">This case study relates to projects funded under the following </w:t>
      </w:r>
      <w:r>
        <w:t xml:space="preserve">ARC </w:t>
      </w:r>
      <w:r w:rsidRPr="00CE1D7F">
        <w:t>schemes:</w:t>
      </w:r>
    </w:p>
    <w:p w14:paraId="01D3EB78" w14:textId="77777777" w:rsidR="002B32A0" w:rsidRPr="00DD5811" w:rsidRDefault="002B32A0" w:rsidP="009E321F">
      <w:pPr>
        <w:pStyle w:val="ListBullet"/>
      </w:pPr>
      <w:r w:rsidRPr="00CE1D7F">
        <w:t>Linkage Program</w:t>
      </w:r>
      <w:r>
        <w:t xml:space="preserve">: </w:t>
      </w:r>
      <w:r w:rsidRPr="00DD5811">
        <w:t>Industrial Transformation Research Hubs</w:t>
      </w:r>
      <w:bookmarkEnd w:id="418"/>
      <w:r w:rsidRPr="00CE1D7F">
        <w:t>.</w:t>
      </w:r>
    </w:p>
    <w:bookmarkEnd w:id="419"/>
    <w:p w14:paraId="39FD1EA1" w14:textId="77777777" w:rsidR="002B32A0" w:rsidRPr="00CE1D7F" w:rsidRDefault="002B32A0" w:rsidP="00C0169D">
      <w:pPr>
        <w:pStyle w:val="ListBullet2"/>
      </w:pPr>
      <w:r w:rsidRPr="00CE1D7F">
        <w:t>The first ARC grant supported research and development into hatchery technology and larval feeds for spiny lobsters</w:t>
      </w:r>
      <w:r>
        <w:t>.</w:t>
      </w:r>
    </w:p>
    <w:p w14:paraId="3E8CDDA2" w14:textId="77777777" w:rsidR="002B32A0" w:rsidRPr="00CE1D7F" w:rsidRDefault="002B32A0" w:rsidP="00C0169D">
      <w:pPr>
        <w:pStyle w:val="ListBullet2"/>
      </w:pPr>
      <w:r w:rsidRPr="00CE1D7F">
        <w:t>The second ARC grant supports the development of shore-based nursery production solutions for lobsters and in particular the development of manufactured feeds. This incorporates the commercialisation of the results of the previous R&amp;D and strengthens the partnership between UTAS and Ornatas</w:t>
      </w:r>
      <w:r>
        <w:t>.</w:t>
      </w:r>
    </w:p>
    <w:p w14:paraId="3D1F63D9" w14:textId="77777777" w:rsidR="002B32A0" w:rsidRPr="00CE1D7F" w:rsidRDefault="002B32A0" w:rsidP="00C0169D">
      <w:pPr>
        <w:pStyle w:val="Heading3"/>
      </w:pPr>
      <w:r w:rsidRPr="00CE1D7F">
        <w:t>The project</w:t>
      </w:r>
    </w:p>
    <w:p w14:paraId="7846470F" w14:textId="77777777" w:rsidR="002B32A0" w:rsidRPr="00CE1D7F" w:rsidRDefault="002B32A0" w:rsidP="002B32A0">
      <w:pPr>
        <w:pStyle w:val="BodyText"/>
      </w:pPr>
      <w:r w:rsidRPr="00CE1D7F">
        <w:t>Developing the commercial farming of lobsters has been a long</w:t>
      </w:r>
      <w:r>
        <w:t>-</w:t>
      </w:r>
      <w:r w:rsidRPr="00CE1D7F">
        <w:t xml:space="preserve">term goal of the aquaculture sector. Reasons for this include the high value of the product (around $100-140 /kg) and the limited availability of wild stocks that can be harvested each year. The global harvest of spiny lobsters has remained static at around 80,000 tonnes per year since the 1980s. In addition, many populations of native lobsters are under pressure from overfishing and climate change. </w:t>
      </w:r>
    </w:p>
    <w:p w14:paraId="3B20F260" w14:textId="77777777" w:rsidR="002B32A0" w:rsidRPr="00CE1D7F" w:rsidRDefault="002B32A0" w:rsidP="002B32A0">
      <w:pPr>
        <w:pStyle w:val="BodyText"/>
      </w:pPr>
      <w:r w:rsidRPr="00CE1D7F">
        <w:t>In the past, there have been international efforts to farm lobsters by catching wild seedstock and raising them to maturity in sea cages. However, the supply of lobster seedstock is variable, and the species of lobster available to harvest as puerulus are limited. Vietnam is currently the largest user of wild-caught seedstock. Each year it uses approximately 10</w:t>
      </w:r>
      <w:r>
        <w:t> million</w:t>
      </w:r>
      <w:r w:rsidRPr="00CE1D7F">
        <w:t xml:space="preserve"> larval seedstock to produce around 3,000 tonnes of lobsters for the market. </w:t>
      </w:r>
    </w:p>
    <w:p w14:paraId="79FF2450" w14:textId="77777777" w:rsidR="002B32A0" w:rsidRPr="00CE1D7F" w:rsidRDefault="002B32A0" w:rsidP="002B32A0">
      <w:pPr>
        <w:pStyle w:val="BodyText"/>
      </w:pPr>
      <w:r w:rsidRPr="00CE1D7F">
        <w:t>In Australia, capturing wild seedstock to grow lobsters is not viable due to low and unreliable supply, the presence of established fisheries with strict regulations and environmental degradation concerns. Hence in Australia, there has been a strong focus on developing hatchery technology to enable a lobster aquaculture industry to be established.</w:t>
      </w:r>
    </w:p>
    <w:p w14:paraId="2F5C36EA" w14:textId="1D9A5F87" w:rsidR="000B0AC7" w:rsidRPr="00CE1D7F" w:rsidRDefault="000B0AC7" w:rsidP="000B0AC7">
      <w:pPr>
        <w:pStyle w:val="Caption"/>
        <w:ind w:left="1308" w:hanging="1308"/>
      </w:pPr>
      <w:r w:rsidRPr="00CE1D7F">
        <w:rPr>
          <w:rStyle w:val="CaptionLabel"/>
        </w:rPr>
        <w:t>Figure </w:t>
      </w:r>
      <w:r w:rsidRPr="00CE1D7F">
        <w:rPr>
          <w:rStyle w:val="CaptionLabel"/>
        </w:rPr>
        <w:fldChar w:fldCharType="begin"/>
      </w:r>
      <w:r w:rsidRPr="00CE1D7F">
        <w:rPr>
          <w:rStyle w:val="CaptionLabel"/>
        </w:rPr>
        <w:instrText xml:space="preserve"> STYLEREF 1 \S \* MERGEFORMAT </w:instrText>
      </w:r>
      <w:r w:rsidRPr="00CE1D7F">
        <w:rPr>
          <w:rStyle w:val="CaptionLabel"/>
        </w:rPr>
        <w:fldChar w:fldCharType="separate"/>
      </w:r>
      <w:r>
        <w:rPr>
          <w:rStyle w:val="CaptionLabel"/>
          <w:noProof/>
        </w:rPr>
        <w:t>10</w:t>
      </w:r>
      <w:r w:rsidRPr="00CE1D7F">
        <w:rPr>
          <w:rStyle w:val="CaptionLabel"/>
        </w:rPr>
        <w:fldChar w:fldCharType="end"/>
      </w:r>
      <w:r w:rsidRPr="00CE1D7F">
        <w:rPr>
          <w:rStyle w:val="CaptionLabel"/>
        </w:rPr>
        <w:t>.</w:t>
      </w:r>
      <w:r w:rsidRPr="00CE1D7F">
        <w:rPr>
          <w:rStyle w:val="CaptionLabel"/>
        </w:rPr>
        <w:fldChar w:fldCharType="begin"/>
      </w:r>
      <w:r w:rsidRPr="00CE1D7F">
        <w:rPr>
          <w:rStyle w:val="CaptionLabel"/>
        </w:rPr>
        <w:instrText xml:space="preserve"> SEQ Figure \* ARABIC \S 1 \* MERGEFORMAT </w:instrText>
      </w:r>
      <w:r w:rsidRPr="00CE1D7F">
        <w:rPr>
          <w:rStyle w:val="CaptionLabel"/>
        </w:rPr>
        <w:fldChar w:fldCharType="separate"/>
      </w:r>
      <w:r>
        <w:rPr>
          <w:rStyle w:val="CaptionLabel"/>
          <w:noProof/>
        </w:rPr>
        <w:t>2</w:t>
      </w:r>
      <w:r w:rsidRPr="00CE1D7F">
        <w:rPr>
          <w:rStyle w:val="CaptionLabel"/>
        </w:rPr>
        <w:fldChar w:fldCharType="end"/>
      </w:r>
      <w:r w:rsidRPr="00CE1D7F">
        <w:tab/>
        <w:t xml:space="preserve">Generalised larval cycle of the tropical rock lobster (Panulirus ornatus) </w:t>
      </w:r>
    </w:p>
    <w:tbl>
      <w:tblPr>
        <w:tblStyle w:val="aacTableFigure"/>
        <w:tblW w:w="7938" w:type="dxa"/>
        <w:tblBorders>
          <w:top w:val="single" w:sz="4" w:space="0" w:color="000000"/>
          <w:bottom w:val="single" w:sz="4" w:space="0" w:color="000000"/>
        </w:tblBorders>
        <w:tblLayout w:type="fixed"/>
        <w:tblLook w:val="04A0" w:firstRow="1" w:lastRow="0" w:firstColumn="1" w:lastColumn="0" w:noHBand="0" w:noVBand="1"/>
      </w:tblPr>
      <w:tblGrid>
        <w:gridCol w:w="7938"/>
      </w:tblGrid>
      <w:tr w:rsidR="002B32A0" w:rsidRPr="00CE1D7F" w14:paraId="45087313" w14:textId="77777777" w:rsidTr="000B0AC7">
        <w:trPr>
          <w:trHeight w:val="5531"/>
        </w:trPr>
        <w:tc>
          <w:tcPr>
            <w:tcW w:w="7938" w:type="dxa"/>
            <w:shd w:val="clear" w:color="auto" w:fill="auto"/>
          </w:tcPr>
          <w:p w14:paraId="21B8AE6E" w14:textId="77777777" w:rsidR="002B32A0" w:rsidRPr="00CE1D7F" w:rsidRDefault="002B32A0" w:rsidP="006258ED">
            <w:pPr>
              <w:pStyle w:val="Figure"/>
              <w:jc w:val="center"/>
            </w:pPr>
            <w:r>
              <w:rPr>
                <w:noProof/>
              </w:rPr>
              <w:drawing>
                <wp:inline distT="0" distB="0" distL="0" distR="0" wp14:anchorId="009FF599" wp14:editId="74994759">
                  <wp:extent cx="4393331" cy="4576368"/>
                  <wp:effectExtent l="0" t="0" r="7620" b="0"/>
                  <wp:docPr id="634690419" name="Picture 2" descr="Generalised larval cycle of the tropical rock lobster (Panulirus orn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690419" name="Picture 2" descr="Generalised larval cycle of the tropical rock lobster (Panulirus ornatus)"/>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4401634" cy="4585017"/>
                          </a:xfrm>
                          <a:prstGeom prst="rect">
                            <a:avLst/>
                          </a:prstGeom>
                          <a:noFill/>
                        </pic:spPr>
                      </pic:pic>
                    </a:graphicData>
                  </a:graphic>
                </wp:inline>
              </w:drawing>
            </w:r>
          </w:p>
        </w:tc>
      </w:tr>
    </w:tbl>
    <w:p w14:paraId="3935EF33" w14:textId="77777777" w:rsidR="000B0AC7" w:rsidRPr="00CE1D7F" w:rsidRDefault="000B0AC7" w:rsidP="000B0AC7">
      <w:pPr>
        <w:pStyle w:val="Source"/>
        <w:ind w:left="1308" w:hanging="1308"/>
      </w:pPr>
      <w:r w:rsidRPr="00CE1D7F">
        <w:t>Source: Lifecycle of Panulirus ornatus, phyllosoma stages, puerulus and adult (Australian Institute of Marine Science, 2009).</w:t>
      </w:r>
    </w:p>
    <w:p w14:paraId="7227BBC3" w14:textId="77777777" w:rsidR="002B32A0" w:rsidRPr="00CE1D7F" w:rsidRDefault="002B32A0" w:rsidP="002B32A0">
      <w:pPr>
        <w:pStyle w:val="BodyText"/>
      </w:pPr>
      <w:r w:rsidRPr="00CE1D7F">
        <w:t>This research aimed to develop methods to close the complex and protracted life cycle of spiny lobsters in captivity. This was achieved by developing world leading hatchery technology and larval feed manufacture techniques to produce hatchery-reared seedstock. The current research is taking the next step and developing the tools and equipment to enable onshore culture of spiny lobsters to market size. International efforts to achieve this goal have been ongoing for more than 100 years without success. It is only through the collaborative efforts of the University of Tasmania (UTAS) led research backed by local industry and supported by the ARC that this world’s first goal has been able to be achieved. The commercial production of hatchery-reared seedstock is a gamechanger for establishing a new lobster aquaculture sector, with seedstock being able to be delivered to grow out facilities at specified times from known origin and in appropriate quantities. The onshore grow out of lobsters to market size will be able to supply Australian and international fresh seafood markets. Efforts to achieve this outcome are well progressed, with strong industry commitment and investment currently being realised in Northern Australia.</w:t>
      </w:r>
    </w:p>
    <w:p w14:paraId="795B2C29" w14:textId="77777777" w:rsidR="002B32A0" w:rsidRPr="00CE1D7F" w:rsidRDefault="002B32A0" w:rsidP="00C0169D">
      <w:pPr>
        <w:pStyle w:val="Heading2"/>
        <w:keepNext w:val="0"/>
        <w:keepLines w:val="0"/>
      </w:pPr>
      <w:bookmarkStart w:id="420" w:name="_Toc129964038"/>
      <w:bookmarkStart w:id="421" w:name="_Toc131174676"/>
      <w:bookmarkStart w:id="422" w:name="_Toc132970697"/>
      <w:bookmarkStart w:id="423" w:name="_Toc135323736"/>
      <w:r w:rsidRPr="00CE1D7F">
        <w:t>Inputs</w:t>
      </w:r>
      <w:bookmarkEnd w:id="420"/>
      <w:bookmarkEnd w:id="421"/>
      <w:bookmarkEnd w:id="422"/>
      <w:bookmarkEnd w:id="423"/>
    </w:p>
    <w:p w14:paraId="39BA2418" w14:textId="0E7C4490" w:rsidR="002B32A0" w:rsidRDefault="002B32A0" w:rsidP="00C0169D">
      <w:pPr>
        <w:pStyle w:val="BodyText"/>
      </w:pPr>
      <w:r w:rsidRPr="00CE1D7F">
        <w:t>This project received 2 ARC Industrial Transformation Research Hub grants (</w:t>
      </w:r>
      <w:bookmarkStart w:id="424" w:name="_Hlk127787382"/>
      <w:r w:rsidRPr="00CE1D7F">
        <w:t>IH120100032</w:t>
      </w:r>
      <w:bookmarkEnd w:id="424"/>
      <w:r w:rsidRPr="00CE1D7F">
        <w:t xml:space="preserve"> and </w:t>
      </w:r>
      <w:bookmarkStart w:id="425" w:name="_Hlk127787401"/>
      <w:r w:rsidRPr="00CE1D7F">
        <w:t>IH190100014</w:t>
      </w:r>
      <w:bookmarkEnd w:id="425"/>
      <w:r w:rsidRPr="00CE1D7F">
        <w:t xml:space="preserve">). The cash and in-kind contributions by the ARC and others for each of these grants are shown in </w:t>
      </w:r>
      <w:r w:rsidRPr="00F87D0E">
        <w:fldChar w:fldCharType="begin"/>
      </w:r>
      <w:r w:rsidRPr="00F87D0E">
        <w:instrText xml:space="preserve"> REF _Ref129337833 \h  \* MERGEFORMAT </w:instrText>
      </w:r>
      <w:r w:rsidRPr="00F87D0E">
        <w:fldChar w:fldCharType="separate"/>
      </w:r>
      <w:r w:rsidR="000B0AC7" w:rsidRPr="000B0AC7">
        <w:t>Table 10.1</w:t>
      </w:r>
      <w:r w:rsidRPr="00F87D0E">
        <w:fldChar w:fldCharType="end"/>
      </w:r>
      <w:r w:rsidRPr="00CE1D7F">
        <w:t>. Where no specific information was available regarding the annual distribution of cash or in-kind support, we assumed it was distributed evenly across the grant period.</w:t>
      </w:r>
      <w:r>
        <w:t xml:space="preserve"> </w:t>
      </w:r>
    </w:p>
    <w:p w14:paraId="350788A8" w14:textId="77777777" w:rsidR="002B32A0" w:rsidRPr="00CE1D7F" w:rsidRDefault="002B32A0" w:rsidP="00C0169D">
      <w:pPr>
        <w:pStyle w:val="BodyText"/>
      </w:pPr>
      <w:r w:rsidRPr="00CE1D7F">
        <w:t>Total cash and in-kind support expected to be provided to the project over the period from 2012 to 2024 are over $43</w:t>
      </w:r>
      <w:r>
        <w:t> million</w:t>
      </w:r>
      <w:r w:rsidRPr="00CE1D7F">
        <w:t>. Just over 52.4% of this was in cash. Total in-kind support was just over $20.5</w:t>
      </w:r>
      <w:r>
        <w:t> million</w:t>
      </w:r>
      <w:r w:rsidRPr="00CE1D7F">
        <w:t>. The ARC provided grants worth $10</w:t>
      </w:r>
      <w:r>
        <w:t> million</w:t>
      </w:r>
      <w:r w:rsidRPr="00CE1D7F">
        <w:t xml:space="preserve">, which was over 44% of the total cash support for this project. </w:t>
      </w:r>
    </w:p>
    <w:p w14:paraId="7D1269FF" w14:textId="77777777" w:rsidR="002B32A0" w:rsidRPr="00CE1D7F" w:rsidRDefault="002B32A0" w:rsidP="002B32A0">
      <w:pPr>
        <w:pStyle w:val="BodyText"/>
      </w:pPr>
      <w:r w:rsidRPr="00CE1D7F">
        <w:t>The major private sector supporter of the project was the Australian firm Ornatas Pty. Ltd. Ornatas are leaders in the world lobster aquaculture industry. The firm was expressly established in 2018 to commercialise research developed by UTAS. This partnership was born out of the desire to use the ability and talent of the research community at UTAS and the commercialisation capabilities of Ornatas to grow a significant new aquaculture business and, ultimately, a new industry-.</w:t>
      </w:r>
    </w:p>
    <w:p w14:paraId="46795B17" w14:textId="77777777" w:rsidR="002B32A0" w:rsidRPr="00CE1D7F" w:rsidRDefault="002B32A0" w:rsidP="002B32A0">
      <w:pPr>
        <w:pStyle w:val="BodyText"/>
      </w:pPr>
      <w:r w:rsidRPr="00CE1D7F">
        <w:t>The CEO of Ornatas, Scott Parkinson, noted that:</w:t>
      </w:r>
    </w:p>
    <w:p w14:paraId="38A85A25" w14:textId="77777777" w:rsidR="002B32A0" w:rsidRPr="00CE1D7F" w:rsidRDefault="002B32A0" w:rsidP="002B32A0">
      <w:pPr>
        <w:pStyle w:val="Quote"/>
      </w:pPr>
      <w:r w:rsidRPr="00CE1D7F">
        <w:t>The UTAS technology is truly the Holy Grail of aquaculture and does what so many have tried and failed at before – commercial production of Tropical Rock Lobster from egg that will underpin production of premium lobsters to a marketable size on land using sustainable practices.</w:t>
      </w:r>
    </w:p>
    <w:p w14:paraId="2D9720A6" w14:textId="11C043D9" w:rsidR="002B32A0" w:rsidRPr="00CE1D7F" w:rsidRDefault="002B32A0" w:rsidP="000B0AC7">
      <w:pPr>
        <w:pStyle w:val="Caption"/>
        <w:spacing w:before="160"/>
        <w:ind w:left="1308" w:hanging="1308"/>
      </w:pPr>
      <w:bookmarkStart w:id="426" w:name="_Ref129337833"/>
      <w:r w:rsidRPr="00CE1D7F">
        <w:rPr>
          <w:rStyle w:val="CaptionLabel"/>
        </w:rPr>
        <w:t>Table </w:t>
      </w:r>
      <w:r w:rsidRPr="00CE1D7F">
        <w:rPr>
          <w:rStyle w:val="CaptionLabel"/>
        </w:rPr>
        <w:fldChar w:fldCharType="begin"/>
      </w:r>
      <w:r w:rsidRPr="00CE1D7F">
        <w:rPr>
          <w:rStyle w:val="CaptionLabel"/>
        </w:rPr>
        <w:instrText xml:space="preserve"> STYLEREF 1 \S \* MERGEFORMAT </w:instrText>
      </w:r>
      <w:r w:rsidRPr="00CE1D7F">
        <w:rPr>
          <w:rStyle w:val="CaptionLabel"/>
        </w:rPr>
        <w:fldChar w:fldCharType="separate"/>
      </w:r>
      <w:r w:rsidR="000B0AC7">
        <w:rPr>
          <w:rStyle w:val="CaptionLabel"/>
          <w:noProof/>
        </w:rPr>
        <w:t>10</w:t>
      </w:r>
      <w:r w:rsidRPr="00CE1D7F">
        <w:rPr>
          <w:rStyle w:val="CaptionLabel"/>
        </w:rPr>
        <w:fldChar w:fldCharType="end"/>
      </w:r>
      <w:r w:rsidRPr="00CE1D7F">
        <w:rPr>
          <w:rStyle w:val="CaptionLabel"/>
        </w:rPr>
        <w:t>.</w:t>
      </w:r>
      <w:r w:rsidRPr="00CE1D7F">
        <w:rPr>
          <w:rStyle w:val="CaptionLabel"/>
        </w:rPr>
        <w:fldChar w:fldCharType="begin"/>
      </w:r>
      <w:r w:rsidRPr="00CE1D7F">
        <w:rPr>
          <w:rStyle w:val="CaptionLabel"/>
        </w:rPr>
        <w:instrText xml:space="preserve"> SEQ Table \* ARABIC \S 1 \* MERGEFORMAT </w:instrText>
      </w:r>
      <w:r w:rsidRPr="00CE1D7F">
        <w:rPr>
          <w:rStyle w:val="CaptionLabel"/>
        </w:rPr>
        <w:fldChar w:fldCharType="separate"/>
      </w:r>
      <w:r w:rsidR="000B0AC7">
        <w:rPr>
          <w:rStyle w:val="CaptionLabel"/>
          <w:noProof/>
        </w:rPr>
        <w:t>1</w:t>
      </w:r>
      <w:r w:rsidRPr="00CE1D7F">
        <w:rPr>
          <w:rStyle w:val="CaptionLabel"/>
        </w:rPr>
        <w:fldChar w:fldCharType="end"/>
      </w:r>
      <w:bookmarkEnd w:id="426"/>
      <w:r w:rsidRPr="00CE1D7F">
        <w:tab/>
        <w:t>Support for the project</w:t>
      </w:r>
    </w:p>
    <w:tbl>
      <w:tblPr>
        <w:tblStyle w:val="aacTableBasic"/>
        <w:tblW w:w="5020" w:type="pct"/>
        <w:tblLayout w:type="fixed"/>
        <w:tblLook w:val="04A0" w:firstRow="1" w:lastRow="0" w:firstColumn="1" w:lastColumn="0" w:noHBand="0" w:noVBand="1"/>
        <w:tblCaption w:val="Table 10.1"/>
        <w:tblDescription w:val="Support for the project"/>
      </w:tblPr>
      <w:tblGrid>
        <w:gridCol w:w="3583"/>
        <w:gridCol w:w="1363"/>
        <w:gridCol w:w="1363"/>
        <w:gridCol w:w="1659"/>
      </w:tblGrid>
      <w:tr w:rsidR="002B32A0" w:rsidRPr="00CE1D7F" w14:paraId="7C340DF6" w14:textId="77777777" w:rsidTr="000B0AC7">
        <w:trPr>
          <w:cnfStyle w:val="100000000000" w:firstRow="1" w:lastRow="0" w:firstColumn="0" w:lastColumn="0" w:oddVBand="0" w:evenVBand="0" w:oddHBand="0" w:evenHBand="0" w:firstRowFirstColumn="0" w:firstRowLastColumn="0" w:lastRowFirstColumn="0" w:lastRowLastColumn="0"/>
          <w:trHeight w:val="350"/>
        </w:trPr>
        <w:tc>
          <w:tcPr>
            <w:tcW w:w="2248" w:type="pct"/>
            <w:tcBorders>
              <w:top w:val="nil"/>
            </w:tcBorders>
            <w:shd w:val="solid" w:color="140034" w:fill="140034"/>
            <w:tcMar>
              <w:left w:w="80" w:type="dxa"/>
            </w:tcMar>
          </w:tcPr>
          <w:p w14:paraId="19CC46AA" w14:textId="77777777" w:rsidR="002B32A0" w:rsidRPr="00CE1D7F" w:rsidRDefault="002B32A0" w:rsidP="006258ED">
            <w:pPr>
              <w:pStyle w:val="Tablecolumnheadings"/>
              <w:keepLines/>
              <w:rPr>
                <w:rStyle w:val="CaptionLabel"/>
                <w:b/>
                <w:bCs/>
                <w:iCs/>
                <w:sz w:val="22"/>
                <w:szCs w:val="18"/>
              </w:rPr>
            </w:pPr>
            <w:r w:rsidRPr="00CE1D7F">
              <w:t>Contributor / Type of support</w:t>
            </w:r>
          </w:p>
        </w:tc>
        <w:tc>
          <w:tcPr>
            <w:tcW w:w="855" w:type="pct"/>
            <w:tcBorders>
              <w:top w:val="nil"/>
            </w:tcBorders>
            <w:shd w:val="solid" w:color="140034" w:fill="140034"/>
          </w:tcPr>
          <w:p w14:paraId="4CBFB0BD" w14:textId="77777777" w:rsidR="002B32A0" w:rsidRPr="00CE1D7F" w:rsidRDefault="002B32A0" w:rsidP="006258ED">
            <w:pPr>
              <w:pStyle w:val="Tablecolumnheadings"/>
              <w:keepLines/>
              <w:rPr>
                <w:rStyle w:val="CaptionLabel"/>
                <w:b/>
                <w:bCs/>
              </w:rPr>
            </w:pPr>
            <w:r w:rsidRPr="00CE1D7F">
              <w:t>2012-2018</w:t>
            </w:r>
          </w:p>
        </w:tc>
        <w:tc>
          <w:tcPr>
            <w:tcW w:w="855" w:type="pct"/>
            <w:tcBorders>
              <w:top w:val="nil"/>
            </w:tcBorders>
            <w:shd w:val="solid" w:color="140034" w:fill="140034"/>
          </w:tcPr>
          <w:p w14:paraId="70EC1959" w14:textId="77777777" w:rsidR="002B32A0" w:rsidRPr="00CE1D7F" w:rsidRDefault="002B32A0" w:rsidP="006258ED">
            <w:pPr>
              <w:pStyle w:val="Tablecolumnheadings"/>
              <w:keepLines/>
              <w:rPr>
                <w:rStyle w:val="CaptionLabel"/>
                <w:b/>
                <w:bCs/>
              </w:rPr>
            </w:pPr>
            <w:r w:rsidRPr="00CE1D7F">
              <w:t>2019-2024</w:t>
            </w:r>
          </w:p>
        </w:tc>
        <w:tc>
          <w:tcPr>
            <w:tcW w:w="1041" w:type="pct"/>
            <w:tcBorders>
              <w:top w:val="nil"/>
            </w:tcBorders>
            <w:shd w:val="solid" w:color="140034" w:fill="140034"/>
          </w:tcPr>
          <w:p w14:paraId="2C95719B" w14:textId="77777777" w:rsidR="002B32A0" w:rsidRPr="00CE1D7F" w:rsidRDefault="002B32A0" w:rsidP="006258ED">
            <w:pPr>
              <w:pStyle w:val="Tablecolumnheadings"/>
              <w:keepLines/>
              <w:rPr>
                <w:rStyle w:val="CaptionLabel"/>
                <w:b/>
                <w:bCs/>
              </w:rPr>
            </w:pPr>
            <w:r w:rsidRPr="00CE1D7F">
              <w:t>Total Contributions</w:t>
            </w:r>
          </w:p>
        </w:tc>
      </w:tr>
      <w:tr w:rsidR="002B32A0" w:rsidRPr="00CE1D7F" w14:paraId="5E66AF6E" w14:textId="77777777" w:rsidTr="000B0AC7">
        <w:trPr>
          <w:trHeight w:val="309"/>
        </w:trPr>
        <w:tc>
          <w:tcPr>
            <w:tcW w:w="2248" w:type="pct"/>
            <w:tcMar>
              <w:left w:w="80" w:type="dxa"/>
            </w:tcMar>
          </w:tcPr>
          <w:p w14:paraId="7408A195" w14:textId="77777777" w:rsidR="002B32A0" w:rsidRPr="00CE1D7F" w:rsidRDefault="002B32A0" w:rsidP="006258ED">
            <w:pPr>
              <w:pStyle w:val="Tabletext"/>
              <w:keepNext/>
              <w:keepLines/>
              <w:rPr>
                <w:b/>
                <w:bCs/>
              </w:rPr>
            </w:pPr>
            <w:r w:rsidRPr="00CE1D7F">
              <w:rPr>
                <w:b/>
                <w:bCs/>
              </w:rPr>
              <w:t>Cash</w:t>
            </w:r>
          </w:p>
        </w:tc>
        <w:tc>
          <w:tcPr>
            <w:tcW w:w="855" w:type="pct"/>
          </w:tcPr>
          <w:p w14:paraId="0A2BBDDA" w14:textId="77777777" w:rsidR="002B32A0" w:rsidRPr="00CE1D7F" w:rsidRDefault="002B32A0" w:rsidP="006258ED">
            <w:pPr>
              <w:pStyle w:val="Tabletext"/>
              <w:keepNext/>
              <w:keepLines/>
            </w:pPr>
          </w:p>
        </w:tc>
        <w:tc>
          <w:tcPr>
            <w:tcW w:w="855" w:type="pct"/>
          </w:tcPr>
          <w:p w14:paraId="4B1F1D40" w14:textId="77777777" w:rsidR="002B32A0" w:rsidRPr="00CE1D7F" w:rsidRDefault="002B32A0" w:rsidP="006258ED">
            <w:pPr>
              <w:pStyle w:val="Tabletext"/>
              <w:keepNext/>
              <w:keepLines/>
            </w:pPr>
          </w:p>
        </w:tc>
        <w:tc>
          <w:tcPr>
            <w:tcW w:w="1041" w:type="pct"/>
          </w:tcPr>
          <w:p w14:paraId="03B1FDEA" w14:textId="77777777" w:rsidR="002B32A0" w:rsidRPr="00CE1D7F" w:rsidRDefault="002B32A0" w:rsidP="006258ED">
            <w:pPr>
              <w:pStyle w:val="Tabletext"/>
              <w:keepNext/>
              <w:keepLines/>
            </w:pPr>
          </w:p>
        </w:tc>
      </w:tr>
      <w:tr w:rsidR="002B32A0" w:rsidRPr="00CE1D7F" w14:paraId="6A7C6C5E" w14:textId="77777777" w:rsidTr="000B0AC7">
        <w:trPr>
          <w:trHeight w:val="309"/>
        </w:trPr>
        <w:tc>
          <w:tcPr>
            <w:tcW w:w="2248" w:type="pct"/>
            <w:tcMar>
              <w:left w:w="80" w:type="dxa"/>
            </w:tcMar>
          </w:tcPr>
          <w:p w14:paraId="2464FC5C" w14:textId="77777777" w:rsidR="002B32A0" w:rsidRPr="00CE1D7F" w:rsidRDefault="002B32A0" w:rsidP="006258ED">
            <w:pPr>
              <w:pStyle w:val="Tabletext"/>
              <w:keepNext/>
              <w:keepLines/>
              <w:rPr>
                <w:b/>
                <w:bCs/>
              </w:rPr>
            </w:pPr>
            <w:r w:rsidRPr="00CE1D7F">
              <w:rPr>
                <w:b/>
                <w:bCs/>
              </w:rPr>
              <w:t>IH120100032 </w:t>
            </w:r>
          </w:p>
        </w:tc>
        <w:tc>
          <w:tcPr>
            <w:tcW w:w="855" w:type="pct"/>
          </w:tcPr>
          <w:p w14:paraId="51321064" w14:textId="77777777" w:rsidR="002B32A0" w:rsidRPr="00CE1D7F" w:rsidRDefault="002B32A0" w:rsidP="006258ED">
            <w:pPr>
              <w:pStyle w:val="Tabletext"/>
              <w:keepNext/>
              <w:keepLines/>
            </w:pPr>
          </w:p>
        </w:tc>
        <w:tc>
          <w:tcPr>
            <w:tcW w:w="855" w:type="pct"/>
          </w:tcPr>
          <w:p w14:paraId="08ABA44C" w14:textId="77777777" w:rsidR="002B32A0" w:rsidRPr="00CE1D7F" w:rsidRDefault="002B32A0" w:rsidP="006258ED">
            <w:pPr>
              <w:pStyle w:val="Tabletext"/>
              <w:keepNext/>
              <w:keepLines/>
            </w:pPr>
          </w:p>
        </w:tc>
        <w:tc>
          <w:tcPr>
            <w:tcW w:w="1041" w:type="pct"/>
          </w:tcPr>
          <w:p w14:paraId="3BCAB487" w14:textId="77777777" w:rsidR="002B32A0" w:rsidRPr="00CE1D7F" w:rsidRDefault="002B32A0" w:rsidP="006258ED">
            <w:pPr>
              <w:pStyle w:val="Tabletext"/>
              <w:keepNext/>
              <w:keepLines/>
            </w:pPr>
          </w:p>
        </w:tc>
      </w:tr>
      <w:tr w:rsidR="002B32A0" w:rsidRPr="00CE1D7F" w14:paraId="2C443C52" w14:textId="77777777" w:rsidTr="000B0AC7">
        <w:trPr>
          <w:trHeight w:val="309"/>
        </w:trPr>
        <w:tc>
          <w:tcPr>
            <w:tcW w:w="2248" w:type="pct"/>
            <w:tcMar>
              <w:left w:w="80" w:type="dxa"/>
            </w:tcMar>
          </w:tcPr>
          <w:p w14:paraId="42563D5F" w14:textId="77777777" w:rsidR="002B32A0" w:rsidRPr="00CE1D7F" w:rsidRDefault="002B32A0" w:rsidP="006258ED">
            <w:pPr>
              <w:pStyle w:val="Tabletext"/>
              <w:keepNext/>
              <w:keepLines/>
              <w:rPr>
                <w:rStyle w:val="CaptionLabel"/>
                <w:b w:val="0"/>
                <w:bCs/>
                <w:sz w:val="22"/>
              </w:rPr>
            </w:pPr>
            <w:r w:rsidRPr="00CE1D7F">
              <w:t>Non-academic partners</w:t>
            </w:r>
          </w:p>
        </w:tc>
        <w:tc>
          <w:tcPr>
            <w:tcW w:w="855" w:type="pct"/>
          </w:tcPr>
          <w:p w14:paraId="017D3C95" w14:textId="77777777" w:rsidR="002B32A0" w:rsidRPr="00CE1D7F" w:rsidRDefault="002B32A0" w:rsidP="006258ED">
            <w:pPr>
              <w:pStyle w:val="Tabletext"/>
              <w:keepNext/>
              <w:keepLines/>
              <w:rPr>
                <w:rStyle w:val="CaptionLabel"/>
                <w:b w:val="0"/>
                <w:bCs/>
              </w:rPr>
            </w:pPr>
            <w:r w:rsidRPr="00CE1D7F">
              <w:t>$3,281,428</w:t>
            </w:r>
          </w:p>
        </w:tc>
        <w:tc>
          <w:tcPr>
            <w:tcW w:w="855" w:type="pct"/>
          </w:tcPr>
          <w:p w14:paraId="3C89D627" w14:textId="77777777" w:rsidR="002B32A0" w:rsidRPr="00CE1D7F" w:rsidRDefault="002B32A0" w:rsidP="006258ED">
            <w:pPr>
              <w:pStyle w:val="Tabletext"/>
              <w:keepNext/>
              <w:keepLines/>
              <w:rPr>
                <w:rStyle w:val="CaptionLabel"/>
                <w:b w:val="0"/>
                <w:bCs/>
              </w:rPr>
            </w:pPr>
            <w:r w:rsidRPr="00CE1D7F">
              <w:t>$468,775</w:t>
            </w:r>
          </w:p>
        </w:tc>
        <w:tc>
          <w:tcPr>
            <w:tcW w:w="1041" w:type="pct"/>
          </w:tcPr>
          <w:p w14:paraId="0EE96E96" w14:textId="77777777" w:rsidR="002B32A0" w:rsidRPr="00CE1D7F" w:rsidRDefault="002B32A0" w:rsidP="006258ED">
            <w:pPr>
              <w:pStyle w:val="Tabletext"/>
              <w:keepNext/>
              <w:keepLines/>
              <w:rPr>
                <w:rStyle w:val="CaptionLabel"/>
                <w:b w:val="0"/>
                <w:bCs/>
              </w:rPr>
            </w:pPr>
            <w:r w:rsidRPr="00CE1D7F">
              <w:t>$3,750,203</w:t>
            </w:r>
          </w:p>
        </w:tc>
      </w:tr>
      <w:tr w:rsidR="002B32A0" w:rsidRPr="00CE1D7F" w14:paraId="373E5231" w14:textId="77777777" w:rsidTr="000B0AC7">
        <w:trPr>
          <w:trHeight w:val="325"/>
        </w:trPr>
        <w:tc>
          <w:tcPr>
            <w:tcW w:w="2248" w:type="pct"/>
            <w:tcMar>
              <w:left w:w="80" w:type="dxa"/>
            </w:tcMar>
          </w:tcPr>
          <w:p w14:paraId="50CAE8BC" w14:textId="77777777" w:rsidR="002B32A0" w:rsidRPr="00CE1D7F" w:rsidRDefault="002B32A0" w:rsidP="006258ED">
            <w:pPr>
              <w:pStyle w:val="Tabletext"/>
              <w:keepNext/>
              <w:keepLines/>
              <w:rPr>
                <w:rStyle w:val="CaptionLabel"/>
                <w:b w:val="0"/>
                <w:bCs/>
                <w:sz w:val="22"/>
              </w:rPr>
            </w:pPr>
            <w:r w:rsidRPr="00CE1D7F">
              <w:t>Academic partners</w:t>
            </w:r>
          </w:p>
        </w:tc>
        <w:tc>
          <w:tcPr>
            <w:tcW w:w="855" w:type="pct"/>
          </w:tcPr>
          <w:p w14:paraId="134F5110" w14:textId="77777777" w:rsidR="002B32A0" w:rsidRPr="00CE1D7F" w:rsidRDefault="002B32A0" w:rsidP="006258ED">
            <w:pPr>
              <w:pStyle w:val="Tabletext"/>
              <w:keepNext/>
              <w:keepLines/>
              <w:rPr>
                <w:rStyle w:val="CaptionLabel"/>
                <w:b w:val="0"/>
                <w:bCs/>
              </w:rPr>
            </w:pPr>
            <w:r w:rsidRPr="00CE1D7F">
              <w:t>$976,483</w:t>
            </w:r>
          </w:p>
        </w:tc>
        <w:tc>
          <w:tcPr>
            <w:tcW w:w="855" w:type="pct"/>
          </w:tcPr>
          <w:p w14:paraId="64E58157" w14:textId="77777777" w:rsidR="002B32A0" w:rsidRPr="00CE1D7F" w:rsidRDefault="002B32A0" w:rsidP="006258ED">
            <w:pPr>
              <w:pStyle w:val="Tabletext"/>
              <w:keepNext/>
              <w:keepLines/>
              <w:rPr>
                <w:rStyle w:val="CaptionLabel"/>
                <w:b w:val="0"/>
                <w:bCs/>
              </w:rPr>
            </w:pPr>
            <w:r w:rsidRPr="00CE1D7F">
              <w:t>$139,498</w:t>
            </w:r>
          </w:p>
        </w:tc>
        <w:tc>
          <w:tcPr>
            <w:tcW w:w="1041" w:type="pct"/>
          </w:tcPr>
          <w:p w14:paraId="539FDF17" w14:textId="77777777" w:rsidR="002B32A0" w:rsidRPr="00CE1D7F" w:rsidRDefault="002B32A0" w:rsidP="006258ED">
            <w:pPr>
              <w:pStyle w:val="Tabletext"/>
              <w:keepNext/>
              <w:keepLines/>
              <w:rPr>
                <w:rStyle w:val="CaptionLabel"/>
                <w:b w:val="0"/>
                <w:bCs/>
              </w:rPr>
            </w:pPr>
            <w:r w:rsidRPr="00CE1D7F">
              <w:t>$1,115,980</w:t>
            </w:r>
          </w:p>
        </w:tc>
      </w:tr>
      <w:tr w:rsidR="002B32A0" w:rsidRPr="00CE1D7F" w14:paraId="0870E7E9" w14:textId="77777777" w:rsidTr="000B0AC7">
        <w:trPr>
          <w:trHeight w:val="309"/>
        </w:trPr>
        <w:tc>
          <w:tcPr>
            <w:tcW w:w="2248" w:type="pct"/>
            <w:tcMar>
              <w:left w:w="80" w:type="dxa"/>
            </w:tcMar>
          </w:tcPr>
          <w:p w14:paraId="6CE3FDA9" w14:textId="77777777" w:rsidR="002B32A0" w:rsidRPr="00CE1D7F" w:rsidRDefault="002B32A0" w:rsidP="006258ED">
            <w:pPr>
              <w:pStyle w:val="Tabletext"/>
              <w:keepNext/>
              <w:keepLines/>
            </w:pPr>
            <w:r w:rsidRPr="00CE1D7F">
              <w:t>ARC</w:t>
            </w:r>
          </w:p>
        </w:tc>
        <w:tc>
          <w:tcPr>
            <w:tcW w:w="855" w:type="pct"/>
          </w:tcPr>
          <w:p w14:paraId="018730C3" w14:textId="77777777" w:rsidR="002B32A0" w:rsidRPr="00CE1D7F" w:rsidRDefault="002B32A0" w:rsidP="006258ED">
            <w:pPr>
              <w:pStyle w:val="Tabletext"/>
              <w:keepNext/>
              <w:keepLines/>
              <w:rPr>
                <w:lang w:eastAsia="en-AU"/>
              </w:rPr>
            </w:pPr>
            <w:r w:rsidRPr="00CE1D7F">
              <w:t>$5,000,000</w:t>
            </w:r>
          </w:p>
        </w:tc>
        <w:tc>
          <w:tcPr>
            <w:tcW w:w="855" w:type="pct"/>
          </w:tcPr>
          <w:p w14:paraId="3A665FC3" w14:textId="77777777" w:rsidR="002B32A0" w:rsidRPr="00CE1D7F" w:rsidRDefault="002B32A0" w:rsidP="006258ED">
            <w:pPr>
              <w:pStyle w:val="Tabletext"/>
              <w:keepNext/>
              <w:keepLines/>
              <w:rPr>
                <w:rStyle w:val="CaptionLabel"/>
                <w:b w:val="0"/>
                <w:bCs/>
              </w:rPr>
            </w:pPr>
            <w:r w:rsidRPr="00CE1D7F">
              <w:t>$0</w:t>
            </w:r>
          </w:p>
        </w:tc>
        <w:tc>
          <w:tcPr>
            <w:tcW w:w="1041" w:type="pct"/>
          </w:tcPr>
          <w:p w14:paraId="04749B27" w14:textId="77777777" w:rsidR="002B32A0" w:rsidRPr="00CE1D7F" w:rsidRDefault="002B32A0" w:rsidP="006258ED">
            <w:pPr>
              <w:pStyle w:val="Tabletext"/>
              <w:keepNext/>
              <w:keepLines/>
              <w:rPr>
                <w:lang w:eastAsia="en-AU"/>
              </w:rPr>
            </w:pPr>
            <w:r w:rsidRPr="00CE1D7F">
              <w:t>$5,000,000</w:t>
            </w:r>
          </w:p>
        </w:tc>
      </w:tr>
      <w:tr w:rsidR="002B32A0" w:rsidRPr="00CE1D7F" w14:paraId="7ACEA1FA" w14:textId="77777777" w:rsidTr="000B0AC7">
        <w:trPr>
          <w:trHeight w:val="309"/>
        </w:trPr>
        <w:tc>
          <w:tcPr>
            <w:tcW w:w="2248" w:type="pct"/>
            <w:tcMar>
              <w:left w:w="80" w:type="dxa"/>
            </w:tcMar>
          </w:tcPr>
          <w:p w14:paraId="6E7D86B8" w14:textId="77777777" w:rsidR="002B32A0" w:rsidRPr="00CE1D7F" w:rsidRDefault="002B32A0" w:rsidP="006258ED">
            <w:pPr>
              <w:pStyle w:val="Tabletext"/>
              <w:keepNext/>
              <w:keepLines/>
              <w:rPr>
                <w:b/>
                <w:bCs/>
              </w:rPr>
            </w:pPr>
            <w:r w:rsidRPr="00CE1D7F">
              <w:rPr>
                <w:b/>
                <w:bCs/>
              </w:rPr>
              <w:t>IH190100014</w:t>
            </w:r>
          </w:p>
        </w:tc>
        <w:tc>
          <w:tcPr>
            <w:tcW w:w="855" w:type="pct"/>
          </w:tcPr>
          <w:p w14:paraId="60A64012" w14:textId="77777777" w:rsidR="002B32A0" w:rsidRPr="00CE1D7F" w:rsidRDefault="002B32A0" w:rsidP="006258ED">
            <w:pPr>
              <w:pStyle w:val="Tabletext"/>
              <w:keepNext/>
              <w:keepLines/>
              <w:rPr>
                <w:rStyle w:val="CaptionLabel"/>
                <w:bCs/>
              </w:rPr>
            </w:pPr>
          </w:p>
        </w:tc>
        <w:tc>
          <w:tcPr>
            <w:tcW w:w="855" w:type="pct"/>
          </w:tcPr>
          <w:p w14:paraId="64F4DCDC" w14:textId="77777777" w:rsidR="002B32A0" w:rsidRPr="00CE1D7F" w:rsidRDefault="002B32A0" w:rsidP="006258ED">
            <w:pPr>
              <w:pStyle w:val="Tabletext"/>
              <w:keepNext/>
              <w:keepLines/>
              <w:rPr>
                <w:b/>
                <w:bCs/>
              </w:rPr>
            </w:pPr>
          </w:p>
        </w:tc>
        <w:tc>
          <w:tcPr>
            <w:tcW w:w="1041" w:type="pct"/>
          </w:tcPr>
          <w:p w14:paraId="20C9DA76" w14:textId="77777777" w:rsidR="002B32A0" w:rsidRPr="00CE1D7F" w:rsidRDefault="002B32A0" w:rsidP="006258ED">
            <w:pPr>
              <w:pStyle w:val="Tabletext"/>
              <w:keepNext/>
              <w:keepLines/>
              <w:rPr>
                <w:b/>
                <w:bCs/>
              </w:rPr>
            </w:pPr>
          </w:p>
        </w:tc>
      </w:tr>
      <w:tr w:rsidR="002B32A0" w:rsidRPr="00CE1D7F" w14:paraId="680F7B72" w14:textId="77777777" w:rsidTr="000B0AC7">
        <w:trPr>
          <w:trHeight w:val="309"/>
        </w:trPr>
        <w:tc>
          <w:tcPr>
            <w:tcW w:w="2248" w:type="pct"/>
            <w:tcMar>
              <w:left w:w="80" w:type="dxa"/>
            </w:tcMar>
          </w:tcPr>
          <w:p w14:paraId="6428EE1A" w14:textId="77777777" w:rsidR="002B32A0" w:rsidRPr="00CE1D7F" w:rsidRDefault="002B32A0" w:rsidP="006258ED">
            <w:pPr>
              <w:pStyle w:val="Tabletext"/>
              <w:keepNext/>
              <w:keepLines/>
              <w:rPr>
                <w:rStyle w:val="CaptionLabel"/>
                <w:sz w:val="22"/>
              </w:rPr>
            </w:pPr>
            <w:r w:rsidRPr="00CE1D7F">
              <w:t>Non-academic partners</w:t>
            </w:r>
          </w:p>
        </w:tc>
        <w:tc>
          <w:tcPr>
            <w:tcW w:w="855" w:type="pct"/>
          </w:tcPr>
          <w:p w14:paraId="11434612" w14:textId="77777777" w:rsidR="002B32A0" w:rsidRPr="00CE1D7F" w:rsidRDefault="002B32A0" w:rsidP="006258ED">
            <w:pPr>
              <w:pStyle w:val="Tabletext"/>
              <w:keepNext/>
              <w:keepLines/>
              <w:rPr>
                <w:rStyle w:val="CaptionLabel"/>
              </w:rPr>
            </w:pPr>
            <w:r w:rsidRPr="00CE1D7F">
              <w:t>$0</w:t>
            </w:r>
          </w:p>
        </w:tc>
        <w:tc>
          <w:tcPr>
            <w:tcW w:w="855" w:type="pct"/>
          </w:tcPr>
          <w:p w14:paraId="5CE3E639" w14:textId="77777777" w:rsidR="002B32A0" w:rsidRPr="00CE1D7F" w:rsidRDefault="002B32A0" w:rsidP="006258ED">
            <w:pPr>
              <w:pStyle w:val="Tabletext"/>
              <w:keepNext/>
              <w:keepLines/>
              <w:rPr>
                <w:rStyle w:val="CaptionLabel"/>
              </w:rPr>
            </w:pPr>
            <w:r w:rsidRPr="00CE1D7F">
              <w:t>$5,000,000</w:t>
            </w:r>
          </w:p>
        </w:tc>
        <w:tc>
          <w:tcPr>
            <w:tcW w:w="1041" w:type="pct"/>
          </w:tcPr>
          <w:p w14:paraId="2E03EFB3" w14:textId="77777777" w:rsidR="002B32A0" w:rsidRPr="00CE1D7F" w:rsidRDefault="002B32A0" w:rsidP="006258ED">
            <w:pPr>
              <w:pStyle w:val="Tabletext"/>
              <w:keepNext/>
              <w:keepLines/>
              <w:rPr>
                <w:rStyle w:val="CaptionLabel"/>
              </w:rPr>
            </w:pPr>
            <w:r w:rsidRPr="00CE1D7F">
              <w:t>$5,000,000</w:t>
            </w:r>
          </w:p>
        </w:tc>
      </w:tr>
      <w:tr w:rsidR="002B32A0" w:rsidRPr="00CE1D7F" w14:paraId="2CEEF20D" w14:textId="77777777" w:rsidTr="000B0AC7">
        <w:trPr>
          <w:trHeight w:val="325"/>
        </w:trPr>
        <w:tc>
          <w:tcPr>
            <w:tcW w:w="2248" w:type="pct"/>
            <w:tcMar>
              <w:left w:w="80" w:type="dxa"/>
            </w:tcMar>
          </w:tcPr>
          <w:p w14:paraId="34FFA0F4" w14:textId="77777777" w:rsidR="002B32A0" w:rsidRPr="00CE1D7F" w:rsidRDefault="002B32A0" w:rsidP="006258ED">
            <w:pPr>
              <w:pStyle w:val="Tabletext"/>
              <w:keepNext/>
              <w:keepLines/>
              <w:rPr>
                <w:rStyle w:val="CaptionLabel"/>
                <w:b w:val="0"/>
                <w:bCs/>
                <w:sz w:val="22"/>
              </w:rPr>
            </w:pPr>
            <w:r w:rsidRPr="00CE1D7F">
              <w:t>Academic partners</w:t>
            </w:r>
          </w:p>
        </w:tc>
        <w:tc>
          <w:tcPr>
            <w:tcW w:w="855" w:type="pct"/>
          </w:tcPr>
          <w:p w14:paraId="4DCE70A1" w14:textId="77777777" w:rsidR="002B32A0" w:rsidRPr="00CE1D7F" w:rsidRDefault="002B32A0" w:rsidP="006258ED">
            <w:pPr>
              <w:pStyle w:val="Tabletext"/>
              <w:keepNext/>
              <w:keepLines/>
              <w:rPr>
                <w:rStyle w:val="CaptionLabel"/>
                <w:b w:val="0"/>
                <w:bCs/>
              </w:rPr>
            </w:pPr>
            <w:r w:rsidRPr="00CE1D7F">
              <w:t>$0</w:t>
            </w:r>
          </w:p>
        </w:tc>
        <w:tc>
          <w:tcPr>
            <w:tcW w:w="855" w:type="pct"/>
          </w:tcPr>
          <w:p w14:paraId="03C3AEFA" w14:textId="77777777" w:rsidR="002B32A0" w:rsidRPr="00CE1D7F" w:rsidRDefault="002B32A0" w:rsidP="006258ED">
            <w:pPr>
              <w:pStyle w:val="Tabletext"/>
              <w:keepNext/>
              <w:keepLines/>
              <w:rPr>
                <w:rStyle w:val="CaptionLabel"/>
                <w:b w:val="0"/>
                <w:bCs/>
              </w:rPr>
            </w:pPr>
            <w:r w:rsidRPr="00CE1D7F">
              <w:t>$2,675,339</w:t>
            </w:r>
          </w:p>
        </w:tc>
        <w:tc>
          <w:tcPr>
            <w:tcW w:w="1041" w:type="pct"/>
          </w:tcPr>
          <w:p w14:paraId="051C622C" w14:textId="77777777" w:rsidR="002B32A0" w:rsidRPr="00CE1D7F" w:rsidRDefault="002B32A0" w:rsidP="006258ED">
            <w:pPr>
              <w:pStyle w:val="Tabletext"/>
              <w:keepNext/>
              <w:keepLines/>
              <w:rPr>
                <w:rStyle w:val="CaptionLabel"/>
                <w:b w:val="0"/>
                <w:bCs/>
              </w:rPr>
            </w:pPr>
            <w:r w:rsidRPr="00CE1D7F">
              <w:t>$2,675,339</w:t>
            </w:r>
          </w:p>
        </w:tc>
      </w:tr>
      <w:tr w:rsidR="002B32A0" w:rsidRPr="00CE1D7F" w14:paraId="5658F387" w14:textId="77777777" w:rsidTr="000B0AC7">
        <w:trPr>
          <w:trHeight w:val="309"/>
        </w:trPr>
        <w:tc>
          <w:tcPr>
            <w:tcW w:w="2248" w:type="pct"/>
            <w:tcMar>
              <w:left w:w="80" w:type="dxa"/>
            </w:tcMar>
          </w:tcPr>
          <w:p w14:paraId="65C89BCF" w14:textId="77777777" w:rsidR="002B32A0" w:rsidRPr="00CE1D7F" w:rsidRDefault="002B32A0" w:rsidP="006258ED">
            <w:pPr>
              <w:pStyle w:val="Tabletext"/>
              <w:keepNext/>
              <w:keepLines/>
              <w:rPr>
                <w:rStyle w:val="CaptionLabel"/>
                <w:b w:val="0"/>
                <w:bCs/>
                <w:sz w:val="22"/>
              </w:rPr>
            </w:pPr>
            <w:r w:rsidRPr="00CE1D7F">
              <w:t>ARC</w:t>
            </w:r>
          </w:p>
        </w:tc>
        <w:tc>
          <w:tcPr>
            <w:tcW w:w="855" w:type="pct"/>
          </w:tcPr>
          <w:p w14:paraId="5C0E5227" w14:textId="77777777" w:rsidR="002B32A0" w:rsidRPr="00CE1D7F" w:rsidRDefault="002B32A0" w:rsidP="006258ED">
            <w:pPr>
              <w:pStyle w:val="Tabletext"/>
              <w:keepNext/>
              <w:keepLines/>
              <w:rPr>
                <w:rStyle w:val="CaptionLabel"/>
                <w:b w:val="0"/>
                <w:bCs/>
              </w:rPr>
            </w:pPr>
            <w:r w:rsidRPr="00CE1D7F">
              <w:t>$0</w:t>
            </w:r>
          </w:p>
        </w:tc>
        <w:tc>
          <w:tcPr>
            <w:tcW w:w="855" w:type="pct"/>
          </w:tcPr>
          <w:p w14:paraId="2C7288F9" w14:textId="77777777" w:rsidR="002B32A0" w:rsidRPr="00CE1D7F" w:rsidRDefault="002B32A0" w:rsidP="006258ED">
            <w:pPr>
              <w:pStyle w:val="Tabletext"/>
              <w:keepNext/>
              <w:keepLines/>
              <w:rPr>
                <w:rStyle w:val="CaptionLabel"/>
                <w:b w:val="0"/>
                <w:bCs/>
              </w:rPr>
            </w:pPr>
            <w:r w:rsidRPr="00CE1D7F">
              <w:t>$5,000,000</w:t>
            </w:r>
          </w:p>
        </w:tc>
        <w:tc>
          <w:tcPr>
            <w:tcW w:w="1041" w:type="pct"/>
          </w:tcPr>
          <w:p w14:paraId="40FD7406" w14:textId="77777777" w:rsidR="002B32A0" w:rsidRPr="00CE1D7F" w:rsidRDefault="002B32A0" w:rsidP="006258ED">
            <w:pPr>
              <w:pStyle w:val="Tabletext"/>
              <w:keepNext/>
              <w:keepLines/>
              <w:rPr>
                <w:rStyle w:val="CaptionLabel"/>
                <w:b w:val="0"/>
                <w:bCs/>
              </w:rPr>
            </w:pPr>
            <w:r w:rsidRPr="00CE1D7F">
              <w:t>$5,000,000</w:t>
            </w:r>
          </w:p>
        </w:tc>
      </w:tr>
      <w:tr w:rsidR="002B32A0" w:rsidRPr="00CE1D7F" w14:paraId="6030D344" w14:textId="77777777" w:rsidTr="000B0AC7">
        <w:trPr>
          <w:trHeight w:val="309"/>
        </w:trPr>
        <w:tc>
          <w:tcPr>
            <w:tcW w:w="2248" w:type="pct"/>
            <w:tcMar>
              <w:left w:w="80" w:type="dxa"/>
            </w:tcMar>
          </w:tcPr>
          <w:p w14:paraId="2D836AB8" w14:textId="77777777" w:rsidR="002B32A0" w:rsidRPr="00CE1D7F" w:rsidRDefault="002B32A0" w:rsidP="006258ED">
            <w:pPr>
              <w:pStyle w:val="Tabletext"/>
              <w:keepNext/>
              <w:keepLines/>
              <w:rPr>
                <w:rFonts w:eastAsia="Times New Roman" w:cs="Calibri"/>
                <w:b/>
                <w:bCs/>
                <w:szCs w:val="20"/>
                <w:lang w:eastAsia="en-AU"/>
              </w:rPr>
            </w:pPr>
            <w:r w:rsidRPr="00CE1D7F">
              <w:rPr>
                <w:rFonts w:eastAsia="Times New Roman" w:cs="Calibri"/>
                <w:b/>
                <w:bCs/>
                <w:szCs w:val="20"/>
                <w:lang w:eastAsia="en-AU"/>
              </w:rPr>
              <w:t>In-kind</w:t>
            </w:r>
          </w:p>
        </w:tc>
        <w:tc>
          <w:tcPr>
            <w:tcW w:w="855" w:type="pct"/>
          </w:tcPr>
          <w:p w14:paraId="25A1E52B" w14:textId="77777777" w:rsidR="002B32A0" w:rsidRPr="00CE1D7F" w:rsidRDefault="002B32A0" w:rsidP="006258ED">
            <w:pPr>
              <w:pStyle w:val="Tabletext"/>
              <w:keepNext/>
              <w:keepLines/>
              <w:rPr>
                <w:rStyle w:val="CaptionLabel"/>
                <w:b w:val="0"/>
                <w:bCs/>
              </w:rPr>
            </w:pPr>
          </w:p>
        </w:tc>
        <w:tc>
          <w:tcPr>
            <w:tcW w:w="855" w:type="pct"/>
          </w:tcPr>
          <w:p w14:paraId="4EE171AB" w14:textId="77777777" w:rsidR="002B32A0" w:rsidRPr="00CE1D7F" w:rsidRDefault="002B32A0" w:rsidP="006258ED">
            <w:pPr>
              <w:pStyle w:val="Tabletext"/>
              <w:keepNext/>
              <w:keepLines/>
              <w:rPr>
                <w:rStyle w:val="CaptionLabel"/>
                <w:b w:val="0"/>
                <w:bCs/>
              </w:rPr>
            </w:pPr>
          </w:p>
        </w:tc>
        <w:tc>
          <w:tcPr>
            <w:tcW w:w="1041" w:type="pct"/>
          </w:tcPr>
          <w:p w14:paraId="39D29F2A" w14:textId="77777777" w:rsidR="002B32A0" w:rsidRPr="00CE1D7F" w:rsidRDefault="002B32A0" w:rsidP="006258ED">
            <w:pPr>
              <w:pStyle w:val="Tabletext"/>
              <w:keepNext/>
              <w:keepLines/>
            </w:pPr>
          </w:p>
        </w:tc>
      </w:tr>
      <w:tr w:rsidR="002B32A0" w:rsidRPr="00CE1D7F" w14:paraId="50068828" w14:textId="77777777" w:rsidTr="000B0AC7">
        <w:trPr>
          <w:trHeight w:val="309"/>
        </w:trPr>
        <w:tc>
          <w:tcPr>
            <w:tcW w:w="2248" w:type="pct"/>
            <w:tcMar>
              <w:left w:w="80" w:type="dxa"/>
            </w:tcMar>
          </w:tcPr>
          <w:p w14:paraId="4C25BCB5" w14:textId="77777777" w:rsidR="002B32A0" w:rsidRPr="00CE1D7F" w:rsidRDefault="002B32A0" w:rsidP="006258ED">
            <w:pPr>
              <w:pStyle w:val="Tabletext"/>
              <w:keepNext/>
              <w:keepLines/>
              <w:rPr>
                <w:rFonts w:eastAsia="Times New Roman" w:cs="Calibri"/>
                <w:b/>
                <w:bCs/>
                <w:szCs w:val="20"/>
                <w:lang w:eastAsia="en-AU"/>
              </w:rPr>
            </w:pPr>
            <w:r w:rsidRPr="00CE1D7F">
              <w:rPr>
                <w:rFonts w:eastAsia="Times New Roman" w:cs="Calibri"/>
                <w:b/>
                <w:bCs/>
                <w:szCs w:val="20"/>
                <w:lang w:eastAsia="en-AU"/>
              </w:rPr>
              <w:t>IH120100032 </w:t>
            </w:r>
          </w:p>
        </w:tc>
        <w:tc>
          <w:tcPr>
            <w:tcW w:w="855" w:type="pct"/>
          </w:tcPr>
          <w:p w14:paraId="5EC53FE6" w14:textId="77777777" w:rsidR="002B32A0" w:rsidRPr="00CE1D7F" w:rsidRDefault="002B32A0" w:rsidP="006258ED">
            <w:pPr>
              <w:pStyle w:val="Tabletext"/>
              <w:keepNext/>
              <w:keepLines/>
              <w:rPr>
                <w:rStyle w:val="CaptionLabel"/>
                <w:b w:val="0"/>
                <w:bCs/>
              </w:rPr>
            </w:pPr>
          </w:p>
        </w:tc>
        <w:tc>
          <w:tcPr>
            <w:tcW w:w="855" w:type="pct"/>
          </w:tcPr>
          <w:p w14:paraId="503133B8" w14:textId="77777777" w:rsidR="002B32A0" w:rsidRPr="00CE1D7F" w:rsidRDefault="002B32A0" w:rsidP="006258ED">
            <w:pPr>
              <w:pStyle w:val="Tabletext"/>
              <w:keepNext/>
              <w:keepLines/>
              <w:rPr>
                <w:rStyle w:val="CaptionLabel"/>
                <w:b w:val="0"/>
                <w:bCs/>
              </w:rPr>
            </w:pPr>
          </w:p>
        </w:tc>
        <w:tc>
          <w:tcPr>
            <w:tcW w:w="1041" w:type="pct"/>
          </w:tcPr>
          <w:p w14:paraId="0A99F988" w14:textId="77777777" w:rsidR="002B32A0" w:rsidRPr="00CE1D7F" w:rsidRDefault="002B32A0" w:rsidP="006258ED">
            <w:pPr>
              <w:pStyle w:val="Tabletext"/>
              <w:keepNext/>
              <w:keepLines/>
            </w:pPr>
          </w:p>
        </w:tc>
      </w:tr>
      <w:tr w:rsidR="002B32A0" w:rsidRPr="00CE1D7F" w14:paraId="59179062" w14:textId="77777777" w:rsidTr="000B0AC7">
        <w:trPr>
          <w:trHeight w:val="309"/>
        </w:trPr>
        <w:tc>
          <w:tcPr>
            <w:tcW w:w="2248" w:type="pct"/>
            <w:tcMar>
              <w:left w:w="80" w:type="dxa"/>
            </w:tcMar>
          </w:tcPr>
          <w:p w14:paraId="25A257C0" w14:textId="77777777" w:rsidR="002B32A0" w:rsidRPr="00CE1D7F" w:rsidRDefault="002B32A0" w:rsidP="006258ED">
            <w:pPr>
              <w:pStyle w:val="Tabletext"/>
              <w:keepNext/>
              <w:keepLines/>
              <w:rPr>
                <w:rStyle w:val="CaptionLabel"/>
                <w:b w:val="0"/>
                <w:bCs/>
                <w:sz w:val="22"/>
              </w:rPr>
            </w:pPr>
            <w:r w:rsidRPr="00CE1D7F">
              <w:t>Non-academic partners</w:t>
            </w:r>
          </w:p>
        </w:tc>
        <w:tc>
          <w:tcPr>
            <w:tcW w:w="855" w:type="pct"/>
          </w:tcPr>
          <w:p w14:paraId="600D25D5" w14:textId="77777777" w:rsidR="002B32A0" w:rsidRPr="00CE1D7F" w:rsidRDefault="002B32A0" w:rsidP="006258ED">
            <w:pPr>
              <w:pStyle w:val="Tabletext"/>
              <w:keepNext/>
              <w:keepLines/>
              <w:rPr>
                <w:rStyle w:val="CaptionLabel"/>
                <w:b w:val="0"/>
                <w:bCs/>
              </w:rPr>
            </w:pPr>
            <w:r w:rsidRPr="00CE1D7F">
              <w:t>$2,032,217</w:t>
            </w:r>
          </w:p>
        </w:tc>
        <w:tc>
          <w:tcPr>
            <w:tcW w:w="855" w:type="pct"/>
          </w:tcPr>
          <w:p w14:paraId="73714859" w14:textId="77777777" w:rsidR="002B32A0" w:rsidRPr="00CE1D7F" w:rsidRDefault="002B32A0" w:rsidP="006258ED">
            <w:pPr>
              <w:pStyle w:val="Tabletext"/>
              <w:keepNext/>
              <w:keepLines/>
              <w:rPr>
                <w:rStyle w:val="CaptionLabel"/>
                <w:b w:val="0"/>
                <w:bCs/>
              </w:rPr>
            </w:pPr>
            <w:r w:rsidRPr="00CE1D7F">
              <w:t>$290,317</w:t>
            </w:r>
          </w:p>
        </w:tc>
        <w:tc>
          <w:tcPr>
            <w:tcW w:w="1041" w:type="pct"/>
          </w:tcPr>
          <w:p w14:paraId="5BF174B8" w14:textId="77777777" w:rsidR="002B32A0" w:rsidRPr="00CE1D7F" w:rsidRDefault="002B32A0" w:rsidP="006258ED">
            <w:pPr>
              <w:pStyle w:val="Tabletext"/>
              <w:keepNext/>
              <w:keepLines/>
              <w:rPr>
                <w:rStyle w:val="CaptionLabel"/>
                <w:b w:val="0"/>
                <w:bCs/>
              </w:rPr>
            </w:pPr>
            <w:r w:rsidRPr="00CE1D7F">
              <w:t>$2,322,534</w:t>
            </w:r>
          </w:p>
        </w:tc>
      </w:tr>
      <w:tr w:rsidR="002B32A0" w:rsidRPr="00CE1D7F" w14:paraId="390CC948" w14:textId="77777777" w:rsidTr="000B0AC7">
        <w:trPr>
          <w:trHeight w:val="325"/>
        </w:trPr>
        <w:tc>
          <w:tcPr>
            <w:tcW w:w="2248" w:type="pct"/>
            <w:tcMar>
              <w:left w:w="80" w:type="dxa"/>
            </w:tcMar>
          </w:tcPr>
          <w:p w14:paraId="780ADBC3" w14:textId="77777777" w:rsidR="002B32A0" w:rsidRPr="00CE1D7F" w:rsidRDefault="002B32A0" w:rsidP="006258ED">
            <w:pPr>
              <w:pStyle w:val="Tabletext"/>
              <w:keepNext/>
              <w:keepLines/>
              <w:rPr>
                <w:rStyle w:val="CaptionLabel"/>
                <w:b w:val="0"/>
                <w:bCs/>
                <w:sz w:val="22"/>
              </w:rPr>
            </w:pPr>
            <w:r w:rsidRPr="00CE1D7F">
              <w:t>Academic partners</w:t>
            </w:r>
          </w:p>
        </w:tc>
        <w:tc>
          <w:tcPr>
            <w:tcW w:w="855" w:type="pct"/>
          </w:tcPr>
          <w:p w14:paraId="539DB1B6" w14:textId="77777777" w:rsidR="002B32A0" w:rsidRPr="00CE1D7F" w:rsidRDefault="002B32A0" w:rsidP="006258ED">
            <w:pPr>
              <w:pStyle w:val="Tabletext"/>
              <w:keepNext/>
              <w:keepLines/>
              <w:rPr>
                <w:rStyle w:val="CaptionLabel"/>
                <w:b w:val="0"/>
                <w:bCs/>
              </w:rPr>
            </w:pPr>
            <w:r w:rsidRPr="00CE1D7F">
              <w:t>$4,149,910</w:t>
            </w:r>
          </w:p>
        </w:tc>
        <w:tc>
          <w:tcPr>
            <w:tcW w:w="855" w:type="pct"/>
          </w:tcPr>
          <w:p w14:paraId="63B78648" w14:textId="77777777" w:rsidR="002B32A0" w:rsidRPr="00CE1D7F" w:rsidRDefault="002B32A0" w:rsidP="006258ED">
            <w:pPr>
              <w:pStyle w:val="Tabletext"/>
              <w:keepNext/>
              <w:keepLines/>
              <w:rPr>
                <w:rStyle w:val="CaptionLabel"/>
                <w:b w:val="0"/>
                <w:bCs/>
              </w:rPr>
            </w:pPr>
            <w:r w:rsidRPr="00CE1D7F">
              <w:t>$592,844</w:t>
            </w:r>
          </w:p>
        </w:tc>
        <w:tc>
          <w:tcPr>
            <w:tcW w:w="1041" w:type="pct"/>
          </w:tcPr>
          <w:p w14:paraId="12A758F7" w14:textId="77777777" w:rsidR="002B32A0" w:rsidRPr="00CE1D7F" w:rsidRDefault="002B32A0" w:rsidP="006258ED">
            <w:pPr>
              <w:pStyle w:val="Tabletext"/>
              <w:keepNext/>
              <w:keepLines/>
              <w:rPr>
                <w:rStyle w:val="CaptionLabel"/>
                <w:b w:val="0"/>
                <w:bCs/>
              </w:rPr>
            </w:pPr>
            <w:r w:rsidRPr="00CE1D7F">
              <w:t>$4,742,754</w:t>
            </w:r>
          </w:p>
        </w:tc>
      </w:tr>
      <w:tr w:rsidR="002B32A0" w:rsidRPr="00CE1D7F" w14:paraId="74CE0882" w14:textId="77777777" w:rsidTr="000B0AC7">
        <w:trPr>
          <w:trHeight w:val="309"/>
        </w:trPr>
        <w:tc>
          <w:tcPr>
            <w:tcW w:w="2248" w:type="pct"/>
            <w:tcMar>
              <w:left w:w="80" w:type="dxa"/>
            </w:tcMar>
          </w:tcPr>
          <w:p w14:paraId="3A92A8EC" w14:textId="77777777" w:rsidR="002B32A0" w:rsidRPr="00CE1D7F" w:rsidRDefault="002B32A0" w:rsidP="006258ED">
            <w:pPr>
              <w:pStyle w:val="Tabletext"/>
              <w:keepNext/>
              <w:keepLines/>
              <w:rPr>
                <w:rFonts w:eastAsia="Times New Roman" w:cs="Calibri"/>
                <w:b/>
                <w:bCs/>
                <w:szCs w:val="20"/>
                <w:lang w:eastAsia="en-AU"/>
              </w:rPr>
            </w:pPr>
            <w:r w:rsidRPr="00CE1D7F">
              <w:rPr>
                <w:rFonts w:eastAsia="Times New Roman" w:cs="Calibri"/>
                <w:b/>
                <w:bCs/>
                <w:szCs w:val="20"/>
                <w:lang w:eastAsia="en-AU"/>
              </w:rPr>
              <w:t>IH190100014</w:t>
            </w:r>
          </w:p>
        </w:tc>
        <w:tc>
          <w:tcPr>
            <w:tcW w:w="855" w:type="pct"/>
          </w:tcPr>
          <w:p w14:paraId="27673071" w14:textId="77777777" w:rsidR="002B32A0" w:rsidRPr="00CE1D7F" w:rsidRDefault="002B32A0" w:rsidP="006258ED">
            <w:pPr>
              <w:pStyle w:val="Tabletext"/>
              <w:keepNext/>
              <w:keepLines/>
              <w:rPr>
                <w:rStyle w:val="CaptionLabel"/>
                <w:bCs/>
              </w:rPr>
            </w:pPr>
          </w:p>
        </w:tc>
        <w:tc>
          <w:tcPr>
            <w:tcW w:w="855" w:type="pct"/>
          </w:tcPr>
          <w:p w14:paraId="3CBA1633" w14:textId="77777777" w:rsidR="002B32A0" w:rsidRPr="00CE1D7F" w:rsidRDefault="002B32A0" w:rsidP="006258ED">
            <w:pPr>
              <w:pStyle w:val="Tabletext"/>
              <w:keepNext/>
              <w:keepLines/>
              <w:rPr>
                <w:rStyle w:val="CaptionLabel"/>
                <w:bCs/>
              </w:rPr>
            </w:pPr>
          </w:p>
        </w:tc>
        <w:tc>
          <w:tcPr>
            <w:tcW w:w="1041" w:type="pct"/>
          </w:tcPr>
          <w:p w14:paraId="49F27061" w14:textId="77777777" w:rsidR="002B32A0" w:rsidRPr="00CE1D7F" w:rsidRDefault="002B32A0" w:rsidP="006258ED">
            <w:pPr>
              <w:pStyle w:val="Tabletext"/>
              <w:keepNext/>
              <w:keepLines/>
              <w:rPr>
                <w:b/>
                <w:bCs/>
              </w:rPr>
            </w:pPr>
          </w:p>
        </w:tc>
      </w:tr>
      <w:tr w:rsidR="002B32A0" w:rsidRPr="00CE1D7F" w14:paraId="04B7C4FE" w14:textId="77777777" w:rsidTr="000B0AC7">
        <w:trPr>
          <w:trHeight w:val="309"/>
        </w:trPr>
        <w:tc>
          <w:tcPr>
            <w:tcW w:w="2248" w:type="pct"/>
            <w:tcMar>
              <w:left w:w="80" w:type="dxa"/>
            </w:tcMar>
          </w:tcPr>
          <w:p w14:paraId="1F296A2D" w14:textId="77777777" w:rsidR="002B32A0" w:rsidRPr="00CE1D7F" w:rsidRDefault="002B32A0" w:rsidP="006258ED">
            <w:pPr>
              <w:pStyle w:val="Tabletext"/>
              <w:keepNext/>
              <w:keepLines/>
              <w:rPr>
                <w:rFonts w:eastAsia="Times New Roman" w:cs="Calibri"/>
                <w:szCs w:val="20"/>
                <w:lang w:eastAsia="en-AU"/>
              </w:rPr>
            </w:pPr>
            <w:r w:rsidRPr="00CE1D7F">
              <w:t>Non-academic partners</w:t>
            </w:r>
          </w:p>
        </w:tc>
        <w:tc>
          <w:tcPr>
            <w:tcW w:w="855" w:type="pct"/>
          </w:tcPr>
          <w:p w14:paraId="12DAF912" w14:textId="77777777" w:rsidR="002B32A0" w:rsidRPr="00CE1D7F" w:rsidRDefault="002B32A0" w:rsidP="006258ED">
            <w:pPr>
              <w:pStyle w:val="Tabletext"/>
              <w:keepNext/>
              <w:keepLines/>
              <w:rPr>
                <w:rStyle w:val="CaptionLabel"/>
                <w:b w:val="0"/>
                <w:bCs/>
              </w:rPr>
            </w:pPr>
            <w:r w:rsidRPr="00CE1D7F">
              <w:t>$0</w:t>
            </w:r>
          </w:p>
        </w:tc>
        <w:tc>
          <w:tcPr>
            <w:tcW w:w="855" w:type="pct"/>
          </w:tcPr>
          <w:p w14:paraId="7591EE45" w14:textId="77777777" w:rsidR="002B32A0" w:rsidRPr="00CE1D7F" w:rsidRDefault="002B32A0" w:rsidP="006258ED">
            <w:pPr>
              <w:pStyle w:val="Tabletext"/>
              <w:keepNext/>
              <w:keepLines/>
              <w:rPr>
                <w:rStyle w:val="CaptionLabel"/>
                <w:b w:val="0"/>
                <w:bCs/>
              </w:rPr>
            </w:pPr>
            <w:r w:rsidRPr="00CE1D7F">
              <w:t>$6,383,971</w:t>
            </w:r>
          </w:p>
        </w:tc>
        <w:tc>
          <w:tcPr>
            <w:tcW w:w="1041" w:type="pct"/>
          </w:tcPr>
          <w:p w14:paraId="7A6EB8E3" w14:textId="77777777" w:rsidR="002B32A0" w:rsidRPr="00CE1D7F" w:rsidRDefault="002B32A0" w:rsidP="006258ED">
            <w:pPr>
              <w:pStyle w:val="Tabletext"/>
              <w:keepNext/>
              <w:keepLines/>
              <w:rPr>
                <w:lang w:eastAsia="en-AU"/>
              </w:rPr>
            </w:pPr>
            <w:r w:rsidRPr="00CE1D7F">
              <w:t>$6,383,971</w:t>
            </w:r>
          </w:p>
        </w:tc>
      </w:tr>
      <w:tr w:rsidR="002B32A0" w:rsidRPr="00CE1D7F" w14:paraId="5141143F" w14:textId="77777777" w:rsidTr="000B0AC7">
        <w:trPr>
          <w:trHeight w:val="309"/>
        </w:trPr>
        <w:tc>
          <w:tcPr>
            <w:tcW w:w="2248" w:type="pct"/>
            <w:tcMar>
              <w:left w:w="80" w:type="dxa"/>
            </w:tcMar>
          </w:tcPr>
          <w:p w14:paraId="190D06BD" w14:textId="77777777" w:rsidR="002B32A0" w:rsidRPr="00CE1D7F" w:rsidRDefault="002B32A0" w:rsidP="006258ED">
            <w:pPr>
              <w:pStyle w:val="Tabletext"/>
              <w:keepNext/>
              <w:keepLines/>
              <w:rPr>
                <w:rFonts w:eastAsia="Times New Roman" w:cs="Calibri"/>
                <w:szCs w:val="20"/>
                <w:lang w:eastAsia="en-AU"/>
              </w:rPr>
            </w:pPr>
            <w:r w:rsidRPr="00CE1D7F">
              <w:t>Academic partners</w:t>
            </w:r>
          </w:p>
        </w:tc>
        <w:tc>
          <w:tcPr>
            <w:tcW w:w="855" w:type="pct"/>
          </w:tcPr>
          <w:p w14:paraId="23C8388F" w14:textId="77777777" w:rsidR="002B32A0" w:rsidRPr="00CE1D7F" w:rsidRDefault="002B32A0" w:rsidP="006258ED">
            <w:pPr>
              <w:pStyle w:val="Tabletext"/>
              <w:keepNext/>
              <w:keepLines/>
              <w:rPr>
                <w:rStyle w:val="CaptionLabel"/>
                <w:b w:val="0"/>
                <w:bCs/>
              </w:rPr>
            </w:pPr>
            <w:r w:rsidRPr="00CE1D7F">
              <w:t>$0</w:t>
            </w:r>
          </w:p>
        </w:tc>
        <w:tc>
          <w:tcPr>
            <w:tcW w:w="855" w:type="pct"/>
          </w:tcPr>
          <w:p w14:paraId="532E8CC1" w14:textId="77777777" w:rsidR="002B32A0" w:rsidRPr="00CE1D7F" w:rsidRDefault="002B32A0" w:rsidP="006258ED">
            <w:pPr>
              <w:pStyle w:val="Tabletext"/>
              <w:keepNext/>
              <w:keepLines/>
              <w:rPr>
                <w:rStyle w:val="CaptionLabel"/>
                <w:b w:val="0"/>
                <w:bCs/>
              </w:rPr>
            </w:pPr>
            <w:r w:rsidRPr="00CE1D7F">
              <w:t>$7,052,852</w:t>
            </w:r>
          </w:p>
        </w:tc>
        <w:tc>
          <w:tcPr>
            <w:tcW w:w="1041" w:type="pct"/>
          </w:tcPr>
          <w:p w14:paraId="3BDABAE7" w14:textId="77777777" w:rsidR="002B32A0" w:rsidRPr="00CE1D7F" w:rsidRDefault="002B32A0" w:rsidP="006258ED">
            <w:pPr>
              <w:pStyle w:val="Tabletext"/>
              <w:keepNext/>
              <w:keepLines/>
              <w:rPr>
                <w:lang w:eastAsia="en-AU"/>
              </w:rPr>
            </w:pPr>
            <w:r w:rsidRPr="00CE1D7F">
              <w:t>$7,052,852</w:t>
            </w:r>
          </w:p>
        </w:tc>
      </w:tr>
      <w:tr w:rsidR="002B32A0" w:rsidRPr="00CE1D7F" w14:paraId="55850C82" w14:textId="77777777" w:rsidTr="000B0AC7">
        <w:trPr>
          <w:trHeight w:val="325"/>
        </w:trPr>
        <w:tc>
          <w:tcPr>
            <w:tcW w:w="2248" w:type="pct"/>
            <w:tcMar>
              <w:left w:w="80" w:type="dxa"/>
            </w:tcMar>
          </w:tcPr>
          <w:p w14:paraId="48B2970B" w14:textId="77777777" w:rsidR="002B32A0" w:rsidRPr="00CE1D7F" w:rsidRDefault="002B32A0" w:rsidP="006258ED">
            <w:pPr>
              <w:pStyle w:val="Tabletext"/>
              <w:keepNext/>
              <w:keepLines/>
              <w:rPr>
                <w:rStyle w:val="CaptionLabel"/>
                <w:sz w:val="22"/>
              </w:rPr>
            </w:pPr>
            <w:r w:rsidRPr="00CE1D7F">
              <w:rPr>
                <w:rStyle w:val="CaptionLabel"/>
              </w:rPr>
              <w:t>Total</w:t>
            </w:r>
          </w:p>
        </w:tc>
        <w:tc>
          <w:tcPr>
            <w:tcW w:w="855" w:type="pct"/>
          </w:tcPr>
          <w:p w14:paraId="065958E4" w14:textId="77777777" w:rsidR="002B32A0" w:rsidRPr="00CE1D7F" w:rsidRDefault="002B32A0" w:rsidP="006258ED">
            <w:pPr>
              <w:pStyle w:val="Tabletext"/>
              <w:keepNext/>
              <w:keepLines/>
              <w:rPr>
                <w:rStyle w:val="CaptionLabel"/>
                <w:b w:val="0"/>
                <w:bCs/>
              </w:rPr>
            </w:pPr>
            <w:r w:rsidRPr="00CE1D7F">
              <w:rPr>
                <w:b/>
                <w:bCs/>
              </w:rPr>
              <w:t>$15,440,037</w:t>
            </w:r>
          </w:p>
        </w:tc>
        <w:tc>
          <w:tcPr>
            <w:tcW w:w="855" w:type="pct"/>
          </w:tcPr>
          <w:p w14:paraId="2CB3D8C7" w14:textId="77777777" w:rsidR="002B32A0" w:rsidRPr="00CE1D7F" w:rsidRDefault="002B32A0" w:rsidP="006258ED">
            <w:pPr>
              <w:pStyle w:val="Tabletext"/>
              <w:keepNext/>
              <w:keepLines/>
              <w:rPr>
                <w:rStyle w:val="CaptionLabel"/>
                <w:b w:val="0"/>
                <w:bCs/>
              </w:rPr>
            </w:pPr>
            <w:r w:rsidRPr="00CE1D7F">
              <w:rPr>
                <w:b/>
                <w:bCs/>
              </w:rPr>
              <w:t>$27,603,596</w:t>
            </w:r>
          </w:p>
        </w:tc>
        <w:tc>
          <w:tcPr>
            <w:tcW w:w="1041" w:type="pct"/>
          </w:tcPr>
          <w:p w14:paraId="0A901BBE" w14:textId="77777777" w:rsidR="002B32A0" w:rsidRPr="00CE1D7F" w:rsidRDefault="002B32A0" w:rsidP="006258ED">
            <w:pPr>
              <w:pStyle w:val="Tabletext"/>
              <w:keepNext/>
              <w:keepLines/>
              <w:rPr>
                <w:rStyle w:val="CaptionLabel"/>
                <w:b w:val="0"/>
                <w:bCs/>
              </w:rPr>
            </w:pPr>
            <w:r w:rsidRPr="00CE1D7F">
              <w:rPr>
                <w:b/>
                <w:bCs/>
              </w:rPr>
              <w:t>$43,043,633</w:t>
            </w:r>
          </w:p>
        </w:tc>
      </w:tr>
    </w:tbl>
    <w:p w14:paraId="3B77D5B5" w14:textId="77777777" w:rsidR="000B0AC7" w:rsidRPr="00CE1D7F" w:rsidRDefault="000B0AC7" w:rsidP="000B0AC7">
      <w:pPr>
        <w:pStyle w:val="Source"/>
        <w:spacing w:line="257" w:lineRule="auto"/>
        <w:ind w:left="2"/>
      </w:pPr>
      <w:r w:rsidRPr="00CE1D7F">
        <w:t>Source: ACIL Allen, various sources</w:t>
      </w:r>
    </w:p>
    <w:p w14:paraId="1D6D4321" w14:textId="77777777" w:rsidR="002B32A0" w:rsidRPr="00CE1D7F" w:rsidRDefault="002B32A0" w:rsidP="00C0169D">
      <w:pPr>
        <w:pStyle w:val="Heading2"/>
      </w:pPr>
      <w:bookmarkStart w:id="427" w:name="_Toc129964039"/>
      <w:bookmarkStart w:id="428" w:name="_Toc131174677"/>
      <w:bookmarkStart w:id="429" w:name="_Toc132970698"/>
      <w:bookmarkStart w:id="430" w:name="_Toc135323737"/>
      <w:r w:rsidRPr="00CE1D7F">
        <w:t>Activities</w:t>
      </w:r>
      <w:bookmarkEnd w:id="427"/>
      <w:bookmarkEnd w:id="428"/>
      <w:bookmarkEnd w:id="429"/>
      <w:bookmarkEnd w:id="430"/>
    </w:p>
    <w:p w14:paraId="03B51AF7" w14:textId="77777777" w:rsidR="002B32A0" w:rsidRPr="00CE1D7F" w:rsidRDefault="002B32A0" w:rsidP="00587F3E">
      <w:pPr>
        <w:pStyle w:val="BodyText"/>
        <w:keepNext/>
        <w:keepLines/>
      </w:pPr>
      <w:r w:rsidRPr="00CE1D7F">
        <w:t xml:space="preserve">The first ARC grant enabled the establishment of the </w:t>
      </w:r>
      <w:bookmarkStart w:id="431" w:name="_Hlk127954305"/>
      <w:r w:rsidRPr="00CE1D7F">
        <w:rPr>
          <w:i/>
          <w:iCs/>
        </w:rPr>
        <w:t>ARC Research Hub for the Commercial Development of Lobster Culture Systems</w:t>
      </w:r>
      <w:bookmarkEnd w:id="431"/>
      <w:r w:rsidRPr="00CE1D7F">
        <w:rPr>
          <w:i/>
          <w:iCs/>
        </w:rPr>
        <w:t xml:space="preserve">. </w:t>
      </w:r>
      <w:r w:rsidRPr="00CE1D7F">
        <w:t>The research focus for this Hub included:</w:t>
      </w:r>
    </w:p>
    <w:p w14:paraId="55D81E44" w14:textId="77777777" w:rsidR="002B32A0" w:rsidRPr="00CE1D7F" w:rsidRDefault="002B32A0" w:rsidP="00587F3E">
      <w:pPr>
        <w:pStyle w:val="ListBullet"/>
        <w:keepNext/>
        <w:keepLines/>
      </w:pPr>
      <w:r w:rsidRPr="00CE1D7F">
        <w:t>Developing and refining tropical rock lobster (TRL) broodstock holding protocols in a way that allows consistent year-round high-quality egg and larval production</w:t>
      </w:r>
    </w:p>
    <w:p w14:paraId="5F0DFACE" w14:textId="77777777" w:rsidR="002B32A0" w:rsidRPr="00CE1D7F" w:rsidRDefault="002B32A0" w:rsidP="00587F3E">
      <w:pPr>
        <w:pStyle w:val="ListBullet"/>
        <w:keepNext/>
        <w:keepLines/>
      </w:pPr>
      <w:r w:rsidRPr="00CE1D7F">
        <w:t xml:space="preserve">Designing, testing, refining and manufacturing larval mass culture vessels for lobsters. (These vessels are now being manufactured commercially and used by Ornatas in their facilities.) Specialised culture and holding vessels were also designed for the TRL’s puerulus phase. </w:t>
      </w:r>
    </w:p>
    <w:p w14:paraId="365BA474" w14:textId="77777777" w:rsidR="002B32A0" w:rsidRPr="00CE1D7F" w:rsidRDefault="002B32A0" w:rsidP="00587F3E">
      <w:pPr>
        <w:pStyle w:val="ListBullet"/>
        <w:keepNext/>
        <w:keepLines/>
      </w:pPr>
      <w:r w:rsidRPr="00CE1D7F">
        <w:t xml:space="preserve">Investigating the treatment of hatchery water to ensure it meets the specific requirements of lobster larvae. In particular how to manage the increased risk of disease due to the significant increase in density required to culture larvae in a hatchery compared to in the wild </w:t>
      </w:r>
    </w:p>
    <w:p w14:paraId="74C0B407" w14:textId="77777777" w:rsidR="002B32A0" w:rsidRPr="00CE1D7F" w:rsidRDefault="002B32A0" w:rsidP="00587F3E">
      <w:pPr>
        <w:pStyle w:val="ListBullet"/>
      </w:pPr>
      <w:r w:rsidRPr="00CE1D7F">
        <w:t>Investigating different strategies for addressing cannibalism during the period when the lobster larvae undergo metamorphosis during the moult from the final larval stage to the non-feeding puerulus phase. Lobsters moult to grow, which makes them vulnerable. Up to 10% of the metamorphosising larvae can be lost due to cannibalism by other less advanced larvae at this stage of their life cycle. There are a number of potential strategies to address this including manipulating the supply of feeds and the access that less developed larvae have to those metamorphosing.</w:t>
      </w:r>
    </w:p>
    <w:p w14:paraId="1FC77219" w14:textId="77777777" w:rsidR="002B32A0" w:rsidRPr="00CE1D7F" w:rsidRDefault="002B32A0" w:rsidP="00587F3E">
      <w:pPr>
        <w:pStyle w:val="ListBullet"/>
      </w:pPr>
      <w:r w:rsidRPr="00CE1D7F">
        <w:t xml:space="preserve">Developing rearing protocols and equipment to enhance juvenile lobster survival and growth. This research demonstrated the feasibility of holding and growing lobsters in onshore tank-based systems. </w:t>
      </w:r>
    </w:p>
    <w:p w14:paraId="4170DECE" w14:textId="77777777" w:rsidR="002B32A0" w:rsidRPr="00CE1D7F" w:rsidRDefault="002B32A0" w:rsidP="00587F3E">
      <w:pPr>
        <w:pStyle w:val="ListBullet2"/>
      </w:pPr>
      <w:r w:rsidRPr="00CE1D7F">
        <w:t xml:space="preserve">Further research in this area is being pursued with industry partner Ornatas as part of the </w:t>
      </w:r>
      <w:r w:rsidRPr="00CE1D7F">
        <w:rPr>
          <w:i/>
          <w:iCs/>
        </w:rPr>
        <w:t>ARC Research Hub for Sustainable Onshore Lobster Aquaculture</w:t>
      </w:r>
      <w:r w:rsidRPr="00CE1D7F">
        <w:t>.</w:t>
      </w:r>
    </w:p>
    <w:p w14:paraId="222067BE" w14:textId="77777777" w:rsidR="002B32A0" w:rsidRPr="00CE1D7F" w:rsidRDefault="002B32A0" w:rsidP="00587F3E">
      <w:pPr>
        <w:pStyle w:val="ListBullet"/>
      </w:pPr>
      <w:r w:rsidRPr="00CE1D7F">
        <w:t xml:space="preserve">Developing a manufactured larval feed that reduces cannibalism, encourages growth, positively impacts animal health, is affordable, and environmentally sustainable. Such a feed is required to minimise the opportunity for opportunistic disease outbreaks and optimising larval nutrition. It will also be essential for the establishment of commercial lobster grow out industry within Australia. </w:t>
      </w:r>
    </w:p>
    <w:p w14:paraId="5038B4DF" w14:textId="77777777" w:rsidR="002B32A0" w:rsidRPr="00CE1D7F" w:rsidRDefault="002B32A0" w:rsidP="00587F3E">
      <w:pPr>
        <w:pStyle w:val="ListBullet2"/>
      </w:pPr>
      <w:r w:rsidRPr="00CE1D7F">
        <w:t xml:space="preserve">A dedicated program of research to develop grow out feeds for TRL juveniles is being pursued by the new </w:t>
      </w:r>
      <w:bookmarkStart w:id="432" w:name="_Hlk127890057"/>
      <w:r w:rsidRPr="00CE1D7F">
        <w:rPr>
          <w:i/>
          <w:iCs/>
        </w:rPr>
        <w:t>ARC Research Hub for Sustainable Onshore Lobster Aquaculture</w:t>
      </w:r>
      <w:bookmarkEnd w:id="432"/>
    </w:p>
    <w:p w14:paraId="2A7FA87A" w14:textId="77777777" w:rsidR="002B32A0" w:rsidRPr="00CE1D7F" w:rsidRDefault="002B32A0" w:rsidP="002B32A0">
      <w:pPr>
        <w:pStyle w:val="BodyText"/>
      </w:pPr>
      <w:r w:rsidRPr="00CE1D7F">
        <w:t xml:space="preserve">The second ARC grant enabled the establishment of the </w:t>
      </w:r>
      <w:r w:rsidRPr="00CE1D7F">
        <w:rPr>
          <w:i/>
          <w:iCs/>
        </w:rPr>
        <w:t>ARC Research Hub for Sustainable Onshore Lobster Aquaculture.</w:t>
      </w:r>
      <w:r w:rsidRPr="00CE1D7F">
        <w:t xml:space="preserve"> The focus of this Hub was commercialising the technology that UTAS developed. As seen from the discussion above, the key challenges being addressed by the second Hub are developing ways to grow lobsters at high density onshore, and developing a suitable feed to grow the lobsters to market size (with a weight of around 1.2 kilograms each). </w:t>
      </w:r>
    </w:p>
    <w:p w14:paraId="7E6F2583" w14:textId="77777777" w:rsidR="002B32A0" w:rsidRPr="00CE1D7F" w:rsidRDefault="002B32A0" w:rsidP="002B32A0">
      <w:pPr>
        <w:pStyle w:val="BodyText"/>
      </w:pPr>
      <w:r w:rsidRPr="00CE1D7F">
        <w:t>The feed conversion rate is a measure of how many kilograms of feed are required to grow a kilogram of lobster. Currently, other lobster grow out industries are utilising fresh feeds where the feed conversion rates are 15, and the Hub is currently producing experimental feeds where the feed conversion rates are 1.5. The aim is to produce feed for less than $10 per kilogram. Further reductions are expected through collaboration with commercial feed producers.</w:t>
      </w:r>
    </w:p>
    <w:p w14:paraId="0924A6C8" w14:textId="0024D01A" w:rsidR="000B0AC7" w:rsidRPr="00CE1D7F" w:rsidRDefault="000B0AC7" w:rsidP="000B0AC7">
      <w:pPr>
        <w:pStyle w:val="Caption"/>
        <w:ind w:left="1308" w:hanging="1308"/>
      </w:pPr>
      <w:bookmarkStart w:id="433" w:name="_Ref129336304"/>
      <w:r w:rsidRPr="00CE1D7F">
        <w:rPr>
          <w:rStyle w:val="CaptionLabel"/>
        </w:rPr>
        <w:t>Figure </w:t>
      </w:r>
      <w:r w:rsidRPr="00CE1D7F">
        <w:rPr>
          <w:rStyle w:val="CaptionLabel"/>
        </w:rPr>
        <w:fldChar w:fldCharType="begin"/>
      </w:r>
      <w:r w:rsidRPr="00CE1D7F">
        <w:rPr>
          <w:rStyle w:val="CaptionLabel"/>
        </w:rPr>
        <w:instrText xml:space="preserve"> STYLEREF 1 \S \* MERGEFORMAT </w:instrText>
      </w:r>
      <w:r w:rsidRPr="00CE1D7F">
        <w:rPr>
          <w:rStyle w:val="CaptionLabel"/>
        </w:rPr>
        <w:fldChar w:fldCharType="separate"/>
      </w:r>
      <w:r>
        <w:rPr>
          <w:rStyle w:val="CaptionLabel"/>
          <w:noProof/>
        </w:rPr>
        <w:t>10</w:t>
      </w:r>
      <w:r w:rsidRPr="00CE1D7F">
        <w:rPr>
          <w:rStyle w:val="CaptionLabel"/>
        </w:rPr>
        <w:fldChar w:fldCharType="end"/>
      </w:r>
      <w:r w:rsidRPr="00CE1D7F">
        <w:rPr>
          <w:rStyle w:val="CaptionLabel"/>
        </w:rPr>
        <w:t>.</w:t>
      </w:r>
      <w:r w:rsidRPr="00CE1D7F">
        <w:rPr>
          <w:rStyle w:val="CaptionLabel"/>
        </w:rPr>
        <w:fldChar w:fldCharType="begin"/>
      </w:r>
      <w:r w:rsidRPr="00CE1D7F">
        <w:rPr>
          <w:rStyle w:val="CaptionLabel"/>
        </w:rPr>
        <w:instrText xml:space="preserve"> SEQ Figure \* ARABIC \S 1 \* MERGEFORMAT </w:instrText>
      </w:r>
      <w:r w:rsidRPr="00CE1D7F">
        <w:rPr>
          <w:rStyle w:val="CaptionLabel"/>
        </w:rPr>
        <w:fldChar w:fldCharType="separate"/>
      </w:r>
      <w:r>
        <w:rPr>
          <w:rStyle w:val="CaptionLabel"/>
          <w:noProof/>
        </w:rPr>
        <w:t>3</w:t>
      </w:r>
      <w:r w:rsidRPr="00CE1D7F">
        <w:rPr>
          <w:rStyle w:val="CaptionLabel"/>
        </w:rPr>
        <w:fldChar w:fldCharType="end"/>
      </w:r>
      <w:bookmarkEnd w:id="433"/>
      <w:r w:rsidRPr="00CE1D7F">
        <w:tab/>
        <w:t xml:space="preserve">Timelines of UTAS’s lobster aquaculture research and </w:t>
      </w:r>
    </w:p>
    <w:tbl>
      <w:tblPr>
        <w:tblStyle w:val="aacTableFigure"/>
        <w:tblW w:w="7983" w:type="dxa"/>
        <w:tblBorders>
          <w:top w:val="single" w:sz="4" w:space="0" w:color="000000"/>
          <w:bottom w:val="single" w:sz="4" w:space="0" w:color="000000"/>
        </w:tblBorders>
        <w:tblLayout w:type="fixed"/>
        <w:tblLook w:val="04A0" w:firstRow="1" w:lastRow="0" w:firstColumn="1" w:lastColumn="0" w:noHBand="0" w:noVBand="1"/>
      </w:tblPr>
      <w:tblGrid>
        <w:gridCol w:w="7983"/>
      </w:tblGrid>
      <w:tr w:rsidR="002B32A0" w:rsidRPr="00CE1D7F" w14:paraId="29B8104B" w14:textId="77777777" w:rsidTr="000B0AC7">
        <w:trPr>
          <w:trHeight w:val="11582"/>
        </w:trPr>
        <w:tc>
          <w:tcPr>
            <w:tcW w:w="7983" w:type="dxa"/>
            <w:shd w:val="clear" w:color="auto" w:fill="auto"/>
          </w:tcPr>
          <w:p w14:paraId="0698A9D5" w14:textId="77777777" w:rsidR="002B32A0" w:rsidRPr="00CE1D7F" w:rsidRDefault="002B32A0" w:rsidP="006258ED">
            <w:pPr>
              <w:pStyle w:val="Figure"/>
              <w:jc w:val="center"/>
            </w:pPr>
            <w:r w:rsidRPr="00CE1D7F">
              <w:rPr>
                <w:noProof/>
              </w:rPr>
              <w:drawing>
                <wp:inline distT="0" distB="0" distL="0" distR="0" wp14:anchorId="1F00666A" wp14:editId="6D65A238">
                  <wp:extent cx="5090533" cy="7255824"/>
                  <wp:effectExtent l="0" t="0" r="0" b="2540"/>
                  <wp:docPr id="14" name="Picture 14" descr="Timelines of UTAS’s lobster aquaculture research 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Timelines of UTAS’s lobster aquaculture research and"/>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102108" cy="7272322"/>
                          </a:xfrm>
                          <a:prstGeom prst="rect">
                            <a:avLst/>
                          </a:prstGeom>
                          <a:noFill/>
                        </pic:spPr>
                      </pic:pic>
                    </a:graphicData>
                  </a:graphic>
                </wp:inline>
              </w:drawing>
            </w:r>
          </w:p>
        </w:tc>
      </w:tr>
    </w:tbl>
    <w:p w14:paraId="701C8017" w14:textId="77777777" w:rsidR="000B0AC7" w:rsidRPr="00CE1D7F" w:rsidRDefault="000B0AC7" w:rsidP="000B0AC7">
      <w:pPr>
        <w:pStyle w:val="Source"/>
        <w:ind w:left="1308" w:hanging="1308"/>
      </w:pPr>
      <w:r w:rsidRPr="00CE1D7F">
        <w:t>Source: ACIL Allen</w:t>
      </w:r>
    </w:p>
    <w:p w14:paraId="106ADE2E" w14:textId="77777777" w:rsidR="000B0AC7" w:rsidRPr="00CE1D7F" w:rsidRDefault="000B0AC7" w:rsidP="006258ED">
      <w:pPr>
        <w:pStyle w:val="spacer"/>
      </w:pPr>
    </w:p>
    <w:p w14:paraId="4BB5BD4B" w14:textId="77777777" w:rsidR="002B32A0" w:rsidRPr="00CE1D7F" w:rsidRDefault="002B32A0" w:rsidP="00587F3E">
      <w:pPr>
        <w:pStyle w:val="Heading2"/>
      </w:pPr>
      <w:bookmarkStart w:id="434" w:name="_Toc129964040"/>
      <w:bookmarkStart w:id="435" w:name="_Toc131174678"/>
      <w:bookmarkStart w:id="436" w:name="_Toc132970699"/>
      <w:bookmarkStart w:id="437" w:name="_Toc135323738"/>
      <w:r w:rsidRPr="00CE1D7F">
        <w:t>Outputs</w:t>
      </w:r>
      <w:bookmarkEnd w:id="434"/>
      <w:bookmarkEnd w:id="435"/>
      <w:bookmarkEnd w:id="436"/>
      <w:bookmarkEnd w:id="437"/>
    </w:p>
    <w:p w14:paraId="162BD238" w14:textId="77777777" w:rsidR="002B32A0" w:rsidRPr="00CE1D7F" w:rsidRDefault="002B32A0" w:rsidP="00587F3E">
      <w:pPr>
        <w:pStyle w:val="Heading3"/>
      </w:pPr>
      <w:r w:rsidRPr="00CE1D7F">
        <w:t>Publications</w:t>
      </w:r>
    </w:p>
    <w:p w14:paraId="2A2C7E5E" w14:textId="77777777" w:rsidR="002B32A0" w:rsidRPr="00CE1D7F" w:rsidRDefault="002B32A0" w:rsidP="002B32A0">
      <w:pPr>
        <w:pStyle w:val="BodyText"/>
      </w:pPr>
      <w:r w:rsidRPr="00CE1D7F">
        <w:t xml:space="preserve">Since 2012, the research carried out under the 2 Hubs has led to the publication of a large number of refereed journal articles, conference publications and reports. Some examples are provided below: </w:t>
      </w:r>
    </w:p>
    <w:p w14:paraId="07F8B5B1" w14:textId="5368E083" w:rsidR="002B32A0" w:rsidRPr="00CE1D7F" w:rsidRDefault="002B32A0" w:rsidP="00587F3E">
      <w:pPr>
        <w:pStyle w:val="ListBullet"/>
      </w:pPr>
      <w:r w:rsidRPr="00CE1D7F">
        <w:t xml:space="preserve">Andrea Wirtz, Chris G. Carter, M. Basseer Codabaccus, Quinn P. Fitzgibbon, Ashley T. Townsend, Gregory G. Smith, Protein sources influence both apparent digestibility and gastrointestinal evacuation rate in juvenile slipper lobster (Thenus australiensis), Comparative Biochemistry and Physiology, Part A 265 (2022) 111121, </w:t>
      </w:r>
      <w:hyperlink r:id="rId196" w:history="1">
        <w:r w:rsidRPr="00CE1D7F">
          <w:rPr>
            <w:rStyle w:val="Hyperlink"/>
          </w:rPr>
          <w:t>https://doi.org/10.1016/j.cbpa.2021.111121</w:t>
        </w:r>
      </w:hyperlink>
      <w:r w:rsidRPr="00CE1D7F">
        <w:t xml:space="preserve"> </w:t>
      </w:r>
    </w:p>
    <w:p w14:paraId="6B5EFD19" w14:textId="55D7DA9E" w:rsidR="002B32A0" w:rsidRPr="00CE1D7F" w:rsidRDefault="002B32A0" w:rsidP="00587F3E">
      <w:pPr>
        <w:pStyle w:val="ListBullet"/>
      </w:pPr>
      <w:r w:rsidRPr="00CE1D7F">
        <w:t xml:space="preserve">Cameron J. Hyde, Quinn P. Fitzgibbon, Abigail Elizur, Gregory G. Smith and Tomer Ventura. </w:t>
      </w:r>
      <w:r w:rsidRPr="00CE1D7F">
        <w:rPr>
          <w:i/>
          <w:iCs/>
        </w:rPr>
        <w:t xml:space="preserve">CrustyBase: an interactive online database for crustacean transcriptomes, </w:t>
      </w:r>
      <w:r w:rsidRPr="00CE1D7F">
        <w:t xml:space="preserve">BMC Genomics (2020) 21:637, </w:t>
      </w:r>
      <w:hyperlink r:id="rId197" w:history="1">
        <w:r w:rsidRPr="00CE1D7F">
          <w:rPr>
            <w:rStyle w:val="Hyperlink"/>
          </w:rPr>
          <w:t>https://doi.org/10.1186/s12864-020-07063-2</w:t>
        </w:r>
      </w:hyperlink>
      <w:r w:rsidRPr="00CE1D7F">
        <w:t xml:space="preserve"> </w:t>
      </w:r>
    </w:p>
    <w:p w14:paraId="362091F5" w14:textId="500FB9F2" w:rsidR="002B32A0" w:rsidRPr="00CE1D7F" w:rsidRDefault="002B32A0" w:rsidP="00587F3E">
      <w:pPr>
        <w:pStyle w:val="ListBullet"/>
      </w:pPr>
      <w:r w:rsidRPr="00CE1D7F">
        <w:t xml:space="preserve">Katarzyna Kropielnicka-Kruk, Quinn P. Fitzgibbon, Basseer M. Codabaccus *, Andrew J. Trotter, Dean R. Giosio, Chris G. Carter and Gregory G. Smith, </w:t>
      </w:r>
      <w:r w:rsidRPr="00CE1D7F">
        <w:rPr>
          <w:i/>
          <w:iCs/>
        </w:rPr>
        <w:t>The Effect of Feed Frequency on Growth, Survival and Behaviour of Juvenile Spiny Lobster (Panulirus ornatus)</w:t>
      </w:r>
      <w:r w:rsidRPr="00CE1D7F">
        <w:t xml:space="preserve">, Animals 2022, 12, 2241. </w:t>
      </w:r>
      <w:hyperlink r:id="rId198" w:history="1">
        <w:r w:rsidRPr="00CE1D7F">
          <w:rPr>
            <w:rStyle w:val="Hyperlink"/>
          </w:rPr>
          <w:t>https://doi.org/10.3390/ani12172241</w:t>
        </w:r>
      </w:hyperlink>
      <w:r w:rsidRPr="00CE1D7F">
        <w:t xml:space="preserve"> </w:t>
      </w:r>
    </w:p>
    <w:p w14:paraId="1A8C30CF" w14:textId="77777777" w:rsidR="002B32A0" w:rsidRPr="00CE1D7F" w:rsidRDefault="002B32A0" w:rsidP="00587F3E">
      <w:pPr>
        <w:pStyle w:val="ListBullet"/>
      </w:pPr>
      <w:r w:rsidRPr="00CE1D7F">
        <w:t>Mei C. Ooi, Evan F. Goulden, Gregory G. Smith and Andrew R. Bridle, Predatory bacteria in the haemolymph of the cultured spiny lobster Panulirus ornatus, Microbiology 2021;167:001113, DOI 10.1099/mic.0.001113</w:t>
      </w:r>
      <w:r>
        <w:t xml:space="preserve"> </w:t>
      </w:r>
    </w:p>
    <w:p w14:paraId="0F392FA6" w14:textId="77777777" w:rsidR="002B32A0" w:rsidRPr="00CE1D7F" w:rsidRDefault="002B32A0" w:rsidP="00587F3E">
      <w:pPr>
        <w:pStyle w:val="ListBullet"/>
      </w:pPr>
      <w:r w:rsidRPr="00CE1D7F">
        <w:t xml:space="preserve">Smith, G., Knibb, W., Nguyen, N.H. &amp; Fitzgibbon, Q.P., </w:t>
      </w:r>
      <w:r w:rsidRPr="00CE1D7F">
        <w:rPr>
          <w:i/>
          <w:iCs/>
        </w:rPr>
        <w:t>Mass rearing of spiny lobster larvae in recirculation systems - do some broodstock produce larvae better adapted to culture</w:t>
      </w:r>
      <w:r w:rsidRPr="00CE1D7F">
        <w:t>?, Programme for RAStech 2019, 13-14 May, Washington DC (2019) [Conference Extract]</w:t>
      </w:r>
    </w:p>
    <w:p w14:paraId="1FE59A7F" w14:textId="476FEE70" w:rsidR="002B32A0" w:rsidRPr="00CE1D7F" w:rsidRDefault="002B32A0" w:rsidP="00587F3E">
      <w:pPr>
        <w:pStyle w:val="ListBullet"/>
      </w:pPr>
      <w:r w:rsidRPr="00CE1D7F">
        <w:t xml:space="preserve">Tara R. Kelly, Quinn P. Fitzgibbon, Dean R. Giosio, Andrew J. Trotter &amp; Gregory G. Smith, </w:t>
      </w:r>
      <w:r w:rsidRPr="00CE1D7F">
        <w:rPr>
          <w:i/>
          <w:iCs/>
        </w:rPr>
        <w:t>Development of a two</w:t>
      </w:r>
      <w:r w:rsidRPr="00CE1D7F">
        <w:rPr>
          <w:rFonts w:ascii="Cambria Math" w:hAnsi="Cambria Math" w:cs="Cambria Math"/>
          <w:i/>
          <w:iCs/>
        </w:rPr>
        <w:t>‑</w:t>
      </w:r>
      <w:r w:rsidRPr="00CE1D7F">
        <w:rPr>
          <w:i/>
          <w:iCs/>
        </w:rPr>
        <w:t>current choice flume behavioural bioassay for juvenile Panulirus ornatus response to moulting cues</w:t>
      </w:r>
      <w:r w:rsidRPr="00CE1D7F">
        <w:t xml:space="preserve">, Nature Scientific Reports | (2022) 12:21474 | </w:t>
      </w:r>
      <w:hyperlink r:id="rId199" w:history="1">
        <w:r w:rsidRPr="00CE1D7F">
          <w:rPr>
            <w:rStyle w:val="Hyperlink"/>
          </w:rPr>
          <w:t>https://doi.org/10.1038/s41598-022-25969-7</w:t>
        </w:r>
      </w:hyperlink>
      <w:r w:rsidRPr="00CE1D7F">
        <w:t xml:space="preserve"> </w:t>
      </w:r>
    </w:p>
    <w:p w14:paraId="4664AD8A" w14:textId="2627091D" w:rsidR="002B32A0" w:rsidRPr="00CE1D7F" w:rsidRDefault="002B32A0" w:rsidP="00587F3E">
      <w:pPr>
        <w:pStyle w:val="ListBullet"/>
      </w:pPr>
      <w:r w:rsidRPr="00CE1D7F">
        <w:t xml:space="preserve">Thomas M. Banks, Tianfang Wang, Quinn P. Fitzgibbon, Gregory G. Smith and Tomer Ventura, A Tale of 2 Lobsters—Transcriptomic Analysis Reveals a Potential Gap in the RNA Interference Pathway in the Tropical Rock Lobster Panulirus ornatus, Int. J. Mol. Sci. 2022, 23, 11752. </w:t>
      </w:r>
      <w:hyperlink r:id="rId200" w:history="1">
        <w:r w:rsidRPr="00CE1D7F">
          <w:rPr>
            <w:rStyle w:val="Hyperlink"/>
          </w:rPr>
          <w:t>https://doi.org/10.3390/ijms231911752</w:t>
        </w:r>
      </w:hyperlink>
      <w:r w:rsidRPr="00CE1D7F">
        <w:t xml:space="preserve"> </w:t>
      </w:r>
    </w:p>
    <w:p w14:paraId="1F6251D7" w14:textId="77777777" w:rsidR="002B32A0" w:rsidRPr="00CE1D7F" w:rsidRDefault="002B32A0" w:rsidP="00587F3E">
      <w:pPr>
        <w:pStyle w:val="ListBullet"/>
      </w:pPr>
      <w:r w:rsidRPr="00CE1D7F">
        <w:t xml:space="preserve">Wang, S., Carter, C.G., Fitzgibbon, Q.P. &amp; Smith, G.G., </w:t>
      </w:r>
      <w:r w:rsidRPr="00CE1D7F">
        <w:rPr>
          <w:i/>
          <w:iCs/>
        </w:rPr>
        <w:t>Respiratory metabolism of juvenile spiny lobster (Sagmariasus verreauxi) under different feeding conditions</w:t>
      </w:r>
      <w:r w:rsidRPr="00CE1D7F">
        <w:t>, Abstracts of the 18th International Symposium on Fish Nutrition and Feeding, 03-07 June 2018, Las Palmas de Gran Canaria, Spain (2019) [Conference Extract]</w:t>
      </w:r>
    </w:p>
    <w:p w14:paraId="19EA5C41" w14:textId="77777777" w:rsidR="002B32A0" w:rsidRPr="00CE1D7F" w:rsidRDefault="002B32A0" w:rsidP="00587F3E">
      <w:pPr>
        <w:pStyle w:val="Heading3"/>
      </w:pPr>
      <w:r w:rsidRPr="00CE1D7F">
        <w:t>Patents</w:t>
      </w:r>
    </w:p>
    <w:p w14:paraId="4EE1F777" w14:textId="77777777" w:rsidR="002B32A0" w:rsidRPr="00CE1D7F" w:rsidRDefault="002B32A0" w:rsidP="002B32A0">
      <w:pPr>
        <w:pStyle w:val="BodyText"/>
      </w:pPr>
      <w:r w:rsidRPr="00CE1D7F">
        <w:t>The following patents have either been granted or are pending:</w:t>
      </w:r>
    </w:p>
    <w:p w14:paraId="4DDF5F81" w14:textId="77777777" w:rsidR="002B32A0" w:rsidRPr="00CE1D7F" w:rsidRDefault="002B32A0" w:rsidP="00587F3E">
      <w:pPr>
        <w:pStyle w:val="ListBullet"/>
      </w:pPr>
      <w:r w:rsidRPr="00CE1D7F">
        <w:t>Feed compositions and uses for Tropical Rock Lobster aquaculture</w:t>
      </w:r>
      <w:r>
        <w:t>.</w:t>
      </w:r>
    </w:p>
    <w:p w14:paraId="0D5FB873" w14:textId="77777777" w:rsidR="002B32A0" w:rsidRPr="00CE1D7F" w:rsidRDefault="002B32A0" w:rsidP="00587F3E">
      <w:pPr>
        <w:pStyle w:val="ListBullet"/>
      </w:pPr>
      <w:r w:rsidRPr="00CE1D7F">
        <w:t>Larval culture tanks design and system operation</w:t>
      </w:r>
      <w:r>
        <w:t>.</w:t>
      </w:r>
    </w:p>
    <w:p w14:paraId="2C33CC6D" w14:textId="77777777" w:rsidR="002B32A0" w:rsidRPr="00CE1D7F" w:rsidRDefault="002B32A0" w:rsidP="00587F3E">
      <w:pPr>
        <w:pStyle w:val="ListBullet"/>
      </w:pPr>
      <w:r w:rsidRPr="00CE1D7F">
        <w:t>Lobster grow out tank design</w:t>
      </w:r>
    </w:p>
    <w:p w14:paraId="5A36315C" w14:textId="77777777" w:rsidR="002B32A0" w:rsidRPr="00CE1D7F" w:rsidRDefault="002B32A0" w:rsidP="00587F3E">
      <w:pPr>
        <w:pStyle w:val="ListBullet"/>
      </w:pPr>
      <w:r w:rsidRPr="00CE1D7F">
        <w:t>Lobster grow out feeds.</w:t>
      </w:r>
    </w:p>
    <w:p w14:paraId="6C10865D" w14:textId="77777777" w:rsidR="002B32A0" w:rsidRPr="00CE1D7F" w:rsidRDefault="002B32A0" w:rsidP="00587F3E">
      <w:pPr>
        <w:pStyle w:val="Heading3"/>
      </w:pPr>
      <w:r w:rsidRPr="00CE1D7F">
        <w:t>Awards</w:t>
      </w:r>
    </w:p>
    <w:p w14:paraId="50FF85DC" w14:textId="77777777" w:rsidR="002B32A0" w:rsidRPr="00CE1D7F" w:rsidRDefault="002B32A0" w:rsidP="002B32A0">
      <w:pPr>
        <w:pStyle w:val="BodyText"/>
      </w:pPr>
      <w:r w:rsidRPr="00CE1D7F">
        <w:t>The research funded by the ARC received 2 awards in 2018. One was the University of Tasmania Vice Chancellor’s Award for Outstanding Research Program, and the other was the Minister for Science and Technology’s Tasmanian STEM Innovation of the Year.</w:t>
      </w:r>
    </w:p>
    <w:p w14:paraId="75BF2E4C" w14:textId="77777777" w:rsidR="002B32A0" w:rsidRPr="00CE1D7F" w:rsidRDefault="002B32A0" w:rsidP="00587F3E">
      <w:pPr>
        <w:pStyle w:val="Heading3"/>
      </w:pPr>
      <w:r w:rsidRPr="00CE1D7F">
        <w:t>Innovation / commercialisation</w:t>
      </w:r>
    </w:p>
    <w:p w14:paraId="42601098" w14:textId="77777777" w:rsidR="002B32A0" w:rsidRPr="00CE1D7F" w:rsidRDefault="002B32A0" w:rsidP="002B32A0">
      <w:pPr>
        <w:pStyle w:val="BodyText"/>
      </w:pPr>
      <w:bookmarkStart w:id="438" w:name="_Hlk129164206"/>
      <w:r w:rsidRPr="00CE1D7F">
        <w:t>The technology developed by UTAS was licenced to Ornatas in 2018. This firm was specifically established to commercialise and use the technology to develop and operate a commercial lobster aquaculture facility.</w:t>
      </w:r>
    </w:p>
    <w:p w14:paraId="7A698223" w14:textId="77777777" w:rsidR="002B32A0" w:rsidRPr="00CE1D7F" w:rsidRDefault="002B32A0" w:rsidP="00587F3E">
      <w:pPr>
        <w:pStyle w:val="Heading2"/>
      </w:pPr>
      <w:bookmarkStart w:id="439" w:name="_Toc129964041"/>
      <w:bookmarkStart w:id="440" w:name="_Toc131174679"/>
      <w:bookmarkStart w:id="441" w:name="_Toc132970700"/>
      <w:bookmarkStart w:id="442" w:name="_Toc135323739"/>
      <w:bookmarkEnd w:id="438"/>
      <w:r w:rsidRPr="00CE1D7F">
        <w:t>Outcomes</w:t>
      </w:r>
      <w:bookmarkEnd w:id="439"/>
      <w:bookmarkEnd w:id="440"/>
      <w:bookmarkEnd w:id="441"/>
      <w:bookmarkEnd w:id="442"/>
      <w:r w:rsidRPr="00CE1D7F">
        <w:t xml:space="preserve"> </w:t>
      </w:r>
    </w:p>
    <w:p w14:paraId="3CB280A3" w14:textId="77777777" w:rsidR="002B32A0" w:rsidRPr="00CE1D7F" w:rsidRDefault="002B32A0" w:rsidP="00587F3E">
      <w:pPr>
        <w:pStyle w:val="Heading3"/>
      </w:pPr>
      <w:r w:rsidRPr="00CE1D7F">
        <w:t>Adoption</w:t>
      </w:r>
    </w:p>
    <w:p w14:paraId="26FDB3E0" w14:textId="136905AC" w:rsidR="002B32A0" w:rsidRPr="00CE1D7F" w:rsidRDefault="002B32A0" w:rsidP="002B32A0">
      <w:pPr>
        <w:pStyle w:val="BodyText"/>
      </w:pPr>
      <w:r w:rsidRPr="00CE1D7F">
        <w:t xml:space="preserve">The Australian firm Ornatas was established in June 2018. It has licenced the technology developed by the </w:t>
      </w:r>
      <w:r w:rsidRPr="00CE1D7F">
        <w:rPr>
          <w:i/>
          <w:iCs/>
        </w:rPr>
        <w:t>ARC Research Hub for the Commercial Development of Lobster Culture Systems</w:t>
      </w:r>
      <w:r w:rsidRPr="00CE1D7F">
        <w:t xml:space="preserve">. The firm has already had considerable success in using the results of the research by the Hubs to scale up their production of the puerulus stage of the lobster aquaculture production chain. In December 2020, the first tropical lobster larvae were hatched at the firm’s hatchery at Toomulla in Queensland (see </w:t>
      </w:r>
      <w:r w:rsidRPr="00F87D0E">
        <w:fldChar w:fldCharType="begin"/>
      </w:r>
      <w:r w:rsidRPr="00F87D0E">
        <w:instrText xml:space="preserve"> REF _Ref129336304 \h  \* MERGEFORMAT </w:instrText>
      </w:r>
      <w:r w:rsidRPr="00F87D0E">
        <w:fldChar w:fldCharType="separate"/>
      </w:r>
      <w:r w:rsidR="000B0AC7" w:rsidRPr="000B0AC7">
        <w:t>Figure 10.3</w:t>
      </w:r>
      <w:r w:rsidRPr="00F87D0E">
        <w:fldChar w:fldCharType="end"/>
      </w:r>
      <w:r w:rsidRPr="00CE1D7F">
        <w:t xml:space="preserve">). Production increased rapidly from 200-300 hundred initially up to around 11 thousand in 2021. In 2022, Ornatas produced some 32 thousand lobsters at the puerulus stage of their life cycle and around 18 thousand at the juvenile stage. The firm is expecting to increase puerulus production to around 80 thousand in 2023. They expect that a similar proportion (i.e. over 40%) to reach the juvenile stage. </w:t>
      </w:r>
    </w:p>
    <w:p w14:paraId="6DEA56DD" w14:textId="3BB9BBA1" w:rsidR="002B32A0" w:rsidRPr="00CE1D7F" w:rsidRDefault="002B32A0" w:rsidP="002B32A0">
      <w:pPr>
        <w:pStyle w:val="BodyText"/>
      </w:pPr>
      <w:bookmarkStart w:id="443" w:name="_Hlk128134001"/>
      <w:r w:rsidRPr="00CE1D7F">
        <w:t xml:space="preserve">In February 2022, Ornatas commissioned a 12-tank lobster hatchery at Toomulla Beach (see </w:t>
      </w:r>
      <w:r w:rsidRPr="00F87D0E">
        <w:fldChar w:fldCharType="begin"/>
      </w:r>
      <w:r w:rsidRPr="00F87D0E">
        <w:instrText xml:space="preserve"> REF _Ref129336405 \h  \* MERGEFORMAT </w:instrText>
      </w:r>
      <w:r w:rsidRPr="00F87D0E">
        <w:fldChar w:fldCharType="separate"/>
      </w:r>
      <w:r w:rsidR="000B0AC7" w:rsidRPr="000B0AC7">
        <w:t>Figure 10.4</w:t>
      </w:r>
      <w:r w:rsidRPr="00F87D0E">
        <w:fldChar w:fldCharType="end"/>
      </w:r>
      <w:r w:rsidRPr="00CE1D7F">
        <w:t>). Production of commercial quantities of lobsters is expected to commence by 2025. They have already established partnerships with marketing and distribution companies. Ornatas believes their annual lobster production could increase to 1,000 tonnes by 2032 with a value of $100</w:t>
      </w:r>
      <w:r>
        <w:t> million</w:t>
      </w:r>
      <w:r w:rsidRPr="00CE1D7F">
        <w:t>. They expect lobster aquaculture to become a $150</w:t>
      </w:r>
      <w:r>
        <w:t> million</w:t>
      </w:r>
      <w:r w:rsidRPr="00CE1D7F">
        <w:t xml:space="preserve"> industry by around 2036.</w:t>
      </w:r>
      <w:r>
        <w:t xml:space="preserve"> </w:t>
      </w:r>
    </w:p>
    <w:p w14:paraId="6CE77CA3" w14:textId="77EFC324" w:rsidR="000B0AC7" w:rsidRPr="00CE1D7F" w:rsidRDefault="000B0AC7" w:rsidP="000B0AC7">
      <w:pPr>
        <w:pStyle w:val="Caption"/>
        <w:ind w:left="1308" w:hanging="1308"/>
      </w:pPr>
      <w:bookmarkStart w:id="444" w:name="_Ref129336405"/>
      <w:bookmarkEnd w:id="443"/>
      <w:r w:rsidRPr="00CE1D7F">
        <w:rPr>
          <w:rStyle w:val="CaptionLabel"/>
        </w:rPr>
        <w:t>Figure </w:t>
      </w:r>
      <w:r w:rsidRPr="00CE1D7F">
        <w:rPr>
          <w:rStyle w:val="CaptionLabel"/>
        </w:rPr>
        <w:fldChar w:fldCharType="begin"/>
      </w:r>
      <w:r w:rsidRPr="00CE1D7F">
        <w:rPr>
          <w:rStyle w:val="CaptionLabel"/>
        </w:rPr>
        <w:instrText xml:space="preserve"> STYLEREF 1 \S \* MERGEFORMAT </w:instrText>
      </w:r>
      <w:r w:rsidRPr="00CE1D7F">
        <w:rPr>
          <w:rStyle w:val="CaptionLabel"/>
        </w:rPr>
        <w:fldChar w:fldCharType="separate"/>
      </w:r>
      <w:r>
        <w:rPr>
          <w:rStyle w:val="CaptionLabel"/>
          <w:noProof/>
        </w:rPr>
        <w:t>10</w:t>
      </w:r>
      <w:r w:rsidRPr="00CE1D7F">
        <w:rPr>
          <w:rStyle w:val="CaptionLabel"/>
        </w:rPr>
        <w:fldChar w:fldCharType="end"/>
      </w:r>
      <w:r w:rsidRPr="00CE1D7F">
        <w:rPr>
          <w:rStyle w:val="CaptionLabel"/>
        </w:rPr>
        <w:t>.</w:t>
      </w:r>
      <w:r w:rsidRPr="00CE1D7F">
        <w:rPr>
          <w:rStyle w:val="CaptionLabel"/>
        </w:rPr>
        <w:fldChar w:fldCharType="begin"/>
      </w:r>
      <w:r w:rsidRPr="00CE1D7F">
        <w:rPr>
          <w:rStyle w:val="CaptionLabel"/>
        </w:rPr>
        <w:instrText xml:space="preserve"> SEQ Figure \* ARABIC \S 1 \* MERGEFORMAT </w:instrText>
      </w:r>
      <w:r w:rsidRPr="00CE1D7F">
        <w:rPr>
          <w:rStyle w:val="CaptionLabel"/>
        </w:rPr>
        <w:fldChar w:fldCharType="separate"/>
      </w:r>
      <w:r>
        <w:rPr>
          <w:rStyle w:val="CaptionLabel"/>
          <w:noProof/>
        </w:rPr>
        <w:t>4</w:t>
      </w:r>
      <w:r w:rsidRPr="00CE1D7F">
        <w:rPr>
          <w:rStyle w:val="CaptionLabel"/>
        </w:rPr>
        <w:fldChar w:fldCharType="end"/>
      </w:r>
      <w:bookmarkEnd w:id="444"/>
      <w:r w:rsidRPr="00CE1D7F">
        <w:tab/>
        <w:t>Ornatas’ lobster hatchery at Toomulla in Queensland</w:t>
      </w:r>
    </w:p>
    <w:tbl>
      <w:tblPr>
        <w:tblStyle w:val="aacTableFigure"/>
        <w:tblW w:w="7964" w:type="dxa"/>
        <w:tblBorders>
          <w:top w:val="single" w:sz="4" w:space="0" w:color="000000"/>
          <w:bottom w:val="single" w:sz="4" w:space="0" w:color="000000"/>
        </w:tblBorders>
        <w:tblLayout w:type="fixed"/>
        <w:tblLook w:val="04A0" w:firstRow="1" w:lastRow="0" w:firstColumn="1" w:lastColumn="0" w:noHBand="0" w:noVBand="1"/>
      </w:tblPr>
      <w:tblGrid>
        <w:gridCol w:w="7964"/>
      </w:tblGrid>
      <w:tr w:rsidR="002B32A0" w:rsidRPr="00CE1D7F" w14:paraId="360306CF" w14:textId="77777777" w:rsidTr="000B0AC7">
        <w:trPr>
          <w:trHeight w:val="1562"/>
        </w:trPr>
        <w:tc>
          <w:tcPr>
            <w:tcW w:w="7964" w:type="dxa"/>
            <w:shd w:val="clear" w:color="auto" w:fill="auto"/>
          </w:tcPr>
          <w:p w14:paraId="2885F489" w14:textId="77777777" w:rsidR="002B32A0" w:rsidRPr="00CE1D7F" w:rsidRDefault="002B32A0" w:rsidP="00587F3E">
            <w:pPr>
              <w:pStyle w:val="Figure"/>
              <w:spacing w:before="120"/>
              <w:jc w:val="center"/>
            </w:pPr>
            <w:r w:rsidRPr="00CE1D7F">
              <w:rPr>
                <w:noProof/>
              </w:rPr>
              <w:drawing>
                <wp:inline distT="0" distB="0" distL="0" distR="0" wp14:anchorId="6F0D3F41" wp14:editId="6A40A16A">
                  <wp:extent cx="2648197" cy="1766359"/>
                  <wp:effectExtent l="0" t="0" r="0" b="5715"/>
                  <wp:docPr id="100" name="Picture 100" descr="Ornatas’ lobster hatchery at Toomulla in Queen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Ornatas’ lobster hatchery at Toomulla in Queensland"/>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2668265" cy="1779744"/>
                          </a:xfrm>
                          <a:prstGeom prst="rect">
                            <a:avLst/>
                          </a:prstGeom>
                          <a:noFill/>
                          <a:ln>
                            <a:noFill/>
                          </a:ln>
                        </pic:spPr>
                      </pic:pic>
                    </a:graphicData>
                  </a:graphic>
                </wp:inline>
              </w:drawing>
            </w:r>
          </w:p>
        </w:tc>
      </w:tr>
    </w:tbl>
    <w:p w14:paraId="18C631F5" w14:textId="77777777" w:rsidR="000B0AC7" w:rsidRPr="00CE1D7F" w:rsidRDefault="000B0AC7" w:rsidP="000B0AC7">
      <w:pPr>
        <w:pStyle w:val="Source"/>
        <w:ind w:left="1308" w:hanging="1308"/>
      </w:pPr>
      <w:r w:rsidRPr="00CE1D7F">
        <w:t>Source: Ornatas</w:t>
      </w:r>
    </w:p>
    <w:p w14:paraId="06774977" w14:textId="77777777" w:rsidR="000B0AC7" w:rsidRPr="00CE1D7F" w:rsidRDefault="000B0AC7" w:rsidP="006258ED">
      <w:pPr>
        <w:pStyle w:val="spacer"/>
      </w:pPr>
    </w:p>
    <w:p w14:paraId="08B2E4EF" w14:textId="77777777" w:rsidR="002B32A0" w:rsidRPr="00CE1D7F" w:rsidRDefault="002B32A0" w:rsidP="002B32A0">
      <w:pPr>
        <w:pStyle w:val="BodyText"/>
      </w:pPr>
      <w:r w:rsidRPr="00CE1D7F">
        <w:t>Based on ACIL Allen’s consultations with stakeholders we expect that commercial sales of lobsters will commence in 2023 and that annual production will increase to 1,000 tonnes by 2032. For our economic analysis, ACIL Allen has assumed that production will be 20 tonnes in 2025 and increase by 10 tonnes each year until 2028. If all goes well, production could ramp up quickly to 1,000 tonnes a year by 2032. Significant investment will be required to expand the annual production of this emerging industry to 1,000 tonnes. Industry estimates suggest that the expansion would require $100</w:t>
      </w:r>
      <w:r>
        <w:t> million</w:t>
      </w:r>
      <w:r w:rsidRPr="00CE1D7F">
        <w:t xml:space="preserve"> in investment.</w:t>
      </w:r>
    </w:p>
    <w:p w14:paraId="5205571A" w14:textId="77777777" w:rsidR="002B32A0" w:rsidRPr="00CE1D7F" w:rsidRDefault="002B32A0" w:rsidP="00587F3E">
      <w:pPr>
        <w:pStyle w:val="Heading3"/>
      </w:pPr>
      <w:r w:rsidRPr="00CE1D7F">
        <w:t>Alignment with government strategic priorities</w:t>
      </w:r>
    </w:p>
    <w:p w14:paraId="31EB55B7" w14:textId="77777777" w:rsidR="002B32A0" w:rsidRPr="00CE1D7F" w:rsidRDefault="002B32A0" w:rsidP="002B32A0">
      <w:pPr>
        <w:pStyle w:val="BodyText"/>
      </w:pPr>
      <w:bookmarkStart w:id="445" w:name="_Hlk129164179"/>
      <w:r w:rsidRPr="00CE1D7F">
        <w:t xml:space="preserve">The research undertaken by UTAS aligns with several </w:t>
      </w:r>
      <w:r>
        <w:rPr>
          <w:szCs w:val="24"/>
        </w:rPr>
        <w:t xml:space="preserve">National </w:t>
      </w:r>
      <w:r w:rsidRPr="00CE1D7F">
        <w:t>Science and Research Priorities, namely:</w:t>
      </w:r>
      <w:r w:rsidRPr="00DC5FAA">
        <w:rPr>
          <w:rStyle w:val="FootnoteReference"/>
        </w:rPr>
        <w:t xml:space="preserve"> </w:t>
      </w:r>
      <w:r w:rsidRPr="00CE1D7F">
        <w:rPr>
          <w:rStyle w:val="FootnoteReference"/>
        </w:rPr>
        <w:footnoteReference w:id="180"/>
      </w:r>
    </w:p>
    <w:p w14:paraId="2C441C15" w14:textId="77777777" w:rsidR="002B32A0" w:rsidRPr="00CE1D7F" w:rsidRDefault="002B32A0" w:rsidP="00587F3E">
      <w:pPr>
        <w:pStyle w:val="ListBullet"/>
      </w:pPr>
      <w:r w:rsidRPr="00CE1D7F">
        <w:rPr>
          <w:i/>
          <w:iCs/>
        </w:rPr>
        <w:t>Food</w:t>
      </w:r>
      <w:r w:rsidRPr="00CE1D7F">
        <w:t xml:space="preserve"> – the research done by UTAS is expected to lead to a significant increase in Australia’s ability to grow and supply lobsters to the domestic and export markets</w:t>
      </w:r>
      <w:r>
        <w:t>.</w:t>
      </w:r>
    </w:p>
    <w:p w14:paraId="4BF619DC" w14:textId="77777777" w:rsidR="002B32A0" w:rsidRPr="00CE1D7F" w:rsidRDefault="002B32A0" w:rsidP="00587F3E">
      <w:pPr>
        <w:pStyle w:val="ListBullet"/>
      </w:pPr>
      <w:r w:rsidRPr="00CE1D7F">
        <w:rPr>
          <w:i/>
          <w:iCs/>
        </w:rPr>
        <w:t xml:space="preserve">Advanced manufacturing </w:t>
      </w:r>
      <w:r w:rsidRPr="00CE1D7F">
        <w:t>– Specialised design and plastic fabrication of rotomolded tank materials to construct lobster mass rearing systems</w:t>
      </w:r>
      <w:r>
        <w:t>.</w:t>
      </w:r>
    </w:p>
    <w:p w14:paraId="3B4AEAA8" w14:textId="77777777" w:rsidR="002B32A0" w:rsidRPr="00CE1D7F" w:rsidRDefault="002B32A0" w:rsidP="00587F3E">
      <w:pPr>
        <w:pStyle w:val="ListBullet"/>
      </w:pPr>
      <w:r w:rsidRPr="00CE1D7F">
        <w:rPr>
          <w:i/>
          <w:iCs/>
        </w:rPr>
        <w:t>Environmental change</w:t>
      </w:r>
      <w:r w:rsidRPr="00CE1D7F">
        <w:t xml:space="preserve"> – The research carried out by the 2 Hubs has had a strong focus on ensuring the environmental sustainability of lobster aquaculture through feed development and onshore lobster culture systems.</w:t>
      </w:r>
    </w:p>
    <w:p w14:paraId="441911C9" w14:textId="77777777" w:rsidR="002B32A0" w:rsidRPr="00CE1D7F" w:rsidRDefault="002B32A0" w:rsidP="002B32A0">
      <w:pPr>
        <w:pStyle w:val="BodyText"/>
      </w:pPr>
      <w:r w:rsidRPr="00CE1D7F">
        <w:t>The recently released terms of reference for the government’s review of its science priorities identifies 3 priorities that could possibly form part of a refreshed set of priorities:</w:t>
      </w:r>
      <w:r w:rsidRPr="00CE1D7F">
        <w:rPr>
          <w:rStyle w:val="FootnoteReference"/>
        </w:rPr>
        <w:footnoteReference w:id="181"/>
      </w:r>
    </w:p>
    <w:p w14:paraId="10CC354C" w14:textId="77777777" w:rsidR="002B32A0" w:rsidRPr="00CE1D7F" w:rsidRDefault="002B32A0" w:rsidP="00587F3E">
      <w:pPr>
        <w:pStyle w:val="ListBullet"/>
      </w:pPr>
      <w:r w:rsidRPr="00CE1D7F">
        <w:t>Supporting stronger action on climate change, including investments in renewable energy, reducing emissions and transitioning to a net zero world.</w:t>
      </w:r>
    </w:p>
    <w:p w14:paraId="05255FF5" w14:textId="77777777" w:rsidR="002B32A0" w:rsidRPr="00CE1D7F" w:rsidRDefault="002B32A0" w:rsidP="00587F3E">
      <w:pPr>
        <w:pStyle w:val="ListBullet"/>
      </w:pPr>
      <w:r w:rsidRPr="00CE1D7F">
        <w:t>Elevating and investing in First Nations perspectives on science, technology and innovation.</w:t>
      </w:r>
    </w:p>
    <w:p w14:paraId="05DEE817" w14:textId="77777777" w:rsidR="002B32A0" w:rsidRPr="00CE1D7F" w:rsidRDefault="002B32A0" w:rsidP="00587F3E">
      <w:pPr>
        <w:pStyle w:val="ListBullet"/>
      </w:pPr>
      <w:r w:rsidRPr="00CE1D7F">
        <w:t>Harnessing the potential of emerging technologies and scientific research in pursuit of not only economic growth but improved Australian wellbeing.</w:t>
      </w:r>
      <w:r w:rsidRPr="00CE1D7F">
        <w:rPr>
          <w:rStyle w:val="FootnoteReference"/>
        </w:rPr>
        <w:footnoteReference w:id="182"/>
      </w:r>
    </w:p>
    <w:p w14:paraId="537A62AB" w14:textId="77777777" w:rsidR="002B32A0" w:rsidRPr="00CE1D7F" w:rsidRDefault="002B32A0" w:rsidP="002B32A0">
      <w:pPr>
        <w:pStyle w:val="BodyText"/>
      </w:pPr>
      <w:r w:rsidRPr="00CE1D7F">
        <w:t>The government has also said that when finalising the revised priorities, it will consider how they:</w:t>
      </w:r>
    </w:p>
    <w:p w14:paraId="19280953" w14:textId="77777777" w:rsidR="002B32A0" w:rsidRPr="00CE1D7F" w:rsidRDefault="002B32A0" w:rsidP="00587F3E">
      <w:pPr>
        <w:pStyle w:val="ListBullet"/>
      </w:pPr>
      <w:r w:rsidRPr="00CE1D7F">
        <w:t>Reflect the key challenges and opportunities facing Australia</w:t>
      </w:r>
      <w:r>
        <w:t>.</w:t>
      </w:r>
    </w:p>
    <w:p w14:paraId="2FFA6868" w14:textId="77777777" w:rsidR="002B32A0" w:rsidRPr="00CE1D7F" w:rsidRDefault="002B32A0" w:rsidP="00587F3E">
      <w:pPr>
        <w:pStyle w:val="ListBullet"/>
      </w:pPr>
      <w:r w:rsidRPr="00CE1D7F">
        <w:t>Align with government priorities, such as the National Reconstruction Fund</w:t>
      </w:r>
      <w:r>
        <w:t>.</w:t>
      </w:r>
    </w:p>
    <w:p w14:paraId="34841A8D" w14:textId="77777777" w:rsidR="002B32A0" w:rsidRPr="00CE1D7F" w:rsidRDefault="002B32A0" w:rsidP="00587F3E">
      <w:pPr>
        <w:pStyle w:val="ListBullet"/>
      </w:pPr>
      <w:r w:rsidRPr="00CE1D7F">
        <w:t>Reflect Australia’s competitive and comparative advantages</w:t>
      </w:r>
      <w:r>
        <w:t>.</w:t>
      </w:r>
    </w:p>
    <w:p w14:paraId="4AFB529D" w14:textId="77777777" w:rsidR="002B32A0" w:rsidRPr="00CE1D7F" w:rsidRDefault="002B32A0" w:rsidP="00587F3E">
      <w:pPr>
        <w:pStyle w:val="ListBullet"/>
      </w:pPr>
      <w:r w:rsidRPr="00CE1D7F">
        <w:t>Inform and align government decision making and investment into the future</w:t>
      </w:r>
      <w:r>
        <w:t>.</w:t>
      </w:r>
    </w:p>
    <w:p w14:paraId="269D1E23" w14:textId="77777777" w:rsidR="002B32A0" w:rsidRPr="00CE1D7F" w:rsidRDefault="002B32A0" w:rsidP="00587F3E">
      <w:pPr>
        <w:pStyle w:val="ListBullet"/>
      </w:pPr>
      <w:r w:rsidRPr="00CE1D7F">
        <w:t>Provide greater certainty and focus for investment, including by industry</w:t>
      </w:r>
      <w:r>
        <w:t>.</w:t>
      </w:r>
    </w:p>
    <w:p w14:paraId="7499FB08" w14:textId="77777777" w:rsidR="002B32A0" w:rsidRPr="00CE1D7F" w:rsidRDefault="002B32A0" w:rsidP="00587F3E">
      <w:pPr>
        <w:pStyle w:val="ListBullet"/>
      </w:pPr>
      <w:r w:rsidRPr="00CE1D7F">
        <w:t>Be reviewed and updated to ensure they remain contemporary and responsive to Australia’s needs.</w:t>
      </w:r>
    </w:p>
    <w:p w14:paraId="52404556" w14:textId="77777777" w:rsidR="002B32A0" w:rsidRPr="00CE1D7F" w:rsidRDefault="002B32A0" w:rsidP="00587F3E">
      <w:pPr>
        <w:pStyle w:val="Heading2"/>
      </w:pPr>
      <w:bookmarkStart w:id="446" w:name="_Toc129964042"/>
      <w:bookmarkStart w:id="447" w:name="_Toc131174680"/>
      <w:bookmarkStart w:id="448" w:name="_Toc132970701"/>
      <w:bookmarkStart w:id="449" w:name="_Toc135323740"/>
      <w:bookmarkEnd w:id="445"/>
      <w:r w:rsidRPr="00CE1D7F">
        <w:t>Impacts</w:t>
      </w:r>
      <w:bookmarkEnd w:id="446"/>
      <w:bookmarkEnd w:id="447"/>
      <w:bookmarkEnd w:id="448"/>
      <w:bookmarkEnd w:id="449"/>
    </w:p>
    <w:p w14:paraId="06B0CF95" w14:textId="77777777" w:rsidR="002B32A0" w:rsidRPr="00CE1D7F" w:rsidRDefault="002B32A0" w:rsidP="00587F3E">
      <w:pPr>
        <w:pStyle w:val="Heading3"/>
      </w:pPr>
      <w:r w:rsidRPr="00CE1D7F">
        <w:t xml:space="preserve">Economic impacts </w:t>
      </w:r>
    </w:p>
    <w:p w14:paraId="48184AB7" w14:textId="77777777" w:rsidR="002B32A0" w:rsidRPr="00CE1D7F" w:rsidRDefault="002B32A0" w:rsidP="002B32A0">
      <w:pPr>
        <w:pStyle w:val="Heading4"/>
      </w:pPr>
      <w:r w:rsidRPr="00CE1D7F">
        <w:t>Counterfactual</w:t>
      </w:r>
    </w:p>
    <w:p w14:paraId="66F7222C" w14:textId="77777777" w:rsidR="002B32A0" w:rsidRPr="00CE1D7F" w:rsidRDefault="002B32A0" w:rsidP="002B32A0">
      <w:pPr>
        <w:pStyle w:val="BodyText"/>
      </w:pPr>
      <w:r w:rsidRPr="00CE1D7F">
        <w:t xml:space="preserve">UTAS advised that the ARC grants allowed them to bring nutritionists, engineers, physiologists, aqua culturists, sociologists, geneticists into the research effort. These are multidisciplinary specialists that cannot be brought together to work on a project without significant funding. </w:t>
      </w:r>
    </w:p>
    <w:p w14:paraId="31E6EE11" w14:textId="77777777" w:rsidR="002B32A0" w:rsidRPr="00CE1D7F" w:rsidRDefault="002B32A0" w:rsidP="002B32A0">
      <w:pPr>
        <w:pStyle w:val="BodyText"/>
      </w:pPr>
      <w:r w:rsidRPr="00CE1D7F">
        <w:t xml:space="preserve">Based on its discussions with stakeholders, ACIL Allen believes that without the research conducted as a result of the 2 ARC grants there would be little to no prospect of any successful lobster aquaculture business being established in Australia in the medium to long term. </w:t>
      </w:r>
    </w:p>
    <w:p w14:paraId="0347D43A" w14:textId="77777777" w:rsidR="002B32A0" w:rsidRPr="00CE1D7F" w:rsidRDefault="002B32A0" w:rsidP="002B32A0">
      <w:pPr>
        <w:pStyle w:val="BodyText"/>
      </w:pPr>
      <w:r w:rsidRPr="00CE1D7F">
        <w:t xml:space="preserve">In our consultations with Ornatas they noted that </w:t>
      </w:r>
    </w:p>
    <w:p w14:paraId="75A56492" w14:textId="77777777" w:rsidR="002B32A0" w:rsidRPr="00CE1D7F" w:rsidRDefault="002B32A0" w:rsidP="002B32A0">
      <w:pPr>
        <w:pStyle w:val="Quote"/>
      </w:pPr>
      <w:r w:rsidRPr="00CE1D7F">
        <w:t>ARC funding was critical to getting things started. In particular, having 2 ARC hubs back to back produced a lot of momentum for the commercialisation of hatchery technologies, and Ornatas’ parallel investment in infrastructure and operations. That momentum contributed to their ability to access other business grants from government that are critical to fast-track development of the new lobster aquaculture industry.</w:t>
      </w:r>
    </w:p>
    <w:p w14:paraId="65103B63" w14:textId="77777777" w:rsidR="002B32A0" w:rsidRPr="00CE1D7F" w:rsidRDefault="002B32A0" w:rsidP="002B32A0">
      <w:pPr>
        <w:pStyle w:val="Heading4"/>
      </w:pPr>
      <w:r w:rsidRPr="00CE1D7F">
        <w:t>Attribution</w:t>
      </w:r>
    </w:p>
    <w:p w14:paraId="3AC32998" w14:textId="77777777" w:rsidR="002B32A0" w:rsidRPr="00CE1D7F" w:rsidRDefault="002B32A0" w:rsidP="002B32A0">
      <w:pPr>
        <w:pStyle w:val="BodyText"/>
      </w:pPr>
      <w:bookmarkStart w:id="450" w:name="_Hlk128578073"/>
      <w:r w:rsidRPr="00CE1D7F">
        <w:t>The attribution describes the percentage of benefits that can be reasonably attributed to the ARC due to their role in the funding of the research.</w:t>
      </w:r>
    </w:p>
    <w:bookmarkEnd w:id="450"/>
    <w:p w14:paraId="6C1F83E2" w14:textId="2F2571CD" w:rsidR="002B32A0" w:rsidRPr="00CE1D7F" w:rsidRDefault="002B32A0" w:rsidP="002B32A0">
      <w:pPr>
        <w:pStyle w:val="BodyText"/>
      </w:pPr>
      <w:r w:rsidRPr="00CE1D7F">
        <w:t xml:space="preserve">ACIL Allen believes that it would be appropriate to attribute 50% of the benefits delivered by the lobster aquaculture project to the ARCs funding for the 2 Hubs. Ornatas noted that it would not exist today in the absence of the research supported by the 2 ARC grants provided under the project. However, a 50% attribution recognises the significant history of the research (see </w:t>
      </w:r>
      <w:r w:rsidRPr="00F87D0E">
        <w:fldChar w:fldCharType="begin"/>
      </w:r>
      <w:r w:rsidRPr="00F87D0E">
        <w:instrText xml:space="preserve"> REF _Ref129336304 \h  \* MERGEFORMAT </w:instrText>
      </w:r>
      <w:r w:rsidRPr="00F87D0E">
        <w:fldChar w:fldCharType="separate"/>
      </w:r>
      <w:r w:rsidR="000B0AC7" w:rsidRPr="000B0AC7">
        <w:t>Figure 10.3</w:t>
      </w:r>
      <w:r w:rsidRPr="00F87D0E">
        <w:fldChar w:fldCharType="end"/>
      </w:r>
      <w:r w:rsidRPr="00CE1D7F">
        <w:t xml:space="preserve">), and the impact of the other organisations involved in this research contributing cash and in-kind, and the in-direct investment by the industry partner to commercialise the science. Ornatas confirmed that a 50% attribution was an appropriate assumption. </w:t>
      </w:r>
    </w:p>
    <w:p w14:paraId="101362E0" w14:textId="77777777" w:rsidR="002B32A0" w:rsidRPr="00CE1D7F" w:rsidRDefault="002B32A0" w:rsidP="002B32A0">
      <w:pPr>
        <w:pStyle w:val="Heading4"/>
      </w:pPr>
      <w:r w:rsidRPr="00CE1D7F">
        <w:t>Methodology and key assumptions</w:t>
      </w:r>
    </w:p>
    <w:p w14:paraId="52C4E2E5" w14:textId="67AB25E8" w:rsidR="002B32A0" w:rsidRPr="00CE1D7F" w:rsidRDefault="002B32A0" w:rsidP="002B32A0">
      <w:pPr>
        <w:pStyle w:val="BodyText"/>
      </w:pPr>
      <w:r w:rsidRPr="00CE1D7F">
        <w:t xml:space="preserve">The cost-benefit analysis (CBA) estimates the costs and identified benefits of Ornatas’ lobster production. As discussed above, Ornatas was expressly established to commercialise the University of Tasmania’s ARC-funded research. The CBA compares the total costs of the Industrial Transformation Research Hub grants (see </w:t>
      </w:r>
      <w:r>
        <w:t>Section </w:t>
      </w:r>
      <w:r w:rsidRPr="00F87D0E">
        <w:fldChar w:fldCharType="begin"/>
      </w:r>
      <w:r w:rsidRPr="00F87D0E">
        <w:instrText xml:space="preserve"> REF _Ref127971740 \n \h  \* MERGEFORMAT </w:instrText>
      </w:r>
      <w:r w:rsidRPr="00F87D0E">
        <w:fldChar w:fldCharType="separate"/>
      </w:r>
      <w:r w:rsidR="000B0AC7">
        <w:t>8.4</w:t>
      </w:r>
      <w:r w:rsidRPr="00F87D0E">
        <w:fldChar w:fldCharType="end"/>
      </w:r>
      <w:r w:rsidRPr="00CE1D7F">
        <w:t>) and Ornatas’ establishment costs to the benefits to Ornatas in terms of revenue.</w:t>
      </w:r>
    </w:p>
    <w:p w14:paraId="66415BE2" w14:textId="77777777" w:rsidR="002B32A0" w:rsidRPr="00CE1D7F" w:rsidRDefault="002B32A0" w:rsidP="002B32A0">
      <w:pPr>
        <w:pStyle w:val="BodyText"/>
      </w:pPr>
      <w:r w:rsidRPr="00CE1D7F">
        <w:t>The following assumptions underpin the CBA:</w:t>
      </w:r>
    </w:p>
    <w:p w14:paraId="746ECE21" w14:textId="77777777" w:rsidR="002B32A0" w:rsidRPr="00CE1D7F" w:rsidRDefault="002B32A0" w:rsidP="002B32A0">
      <w:pPr>
        <w:pStyle w:val="ListBullet"/>
        <w:numPr>
          <w:ilvl w:val="0"/>
          <w:numId w:val="43"/>
        </w:numPr>
      </w:pPr>
      <w:r w:rsidRPr="00CE1D7F">
        <w:t>Discount rate of 7% was used in the central case. Discount rates of 3% and 10% were used for lower- and upper-bound sensitivity testing respectively.</w:t>
      </w:r>
    </w:p>
    <w:p w14:paraId="59E6D0CE" w14:textId="77777777" w:rsidR="002B32A0" w:rsidRPr="00CE1D7F" w:rsidRDefault="002B32A0" w:rsidP="002B32A0">
      <w:pPr>
        <w:pStyle w:val="ListBullet"/>
        <w:numPr>
          <w:ilvl w:val="0"/>
          <w:numId w:val="43"/>
        </w:numPr>
      </w:pPr>
      <w:r w:rsidRPr="00CE1D7F">
        <w:t>Value of lobster is $100 per kilogram</w:t>
      </w:r>
    </w:p>
    <w:p w14:paraId="06E562C1" w14:textId="77777777" w:rsidR="002B32A0" w:rsidRPr="00CE1D7F" w:rsidRDefault="002B32A0" w:rsidP="002B32A0">
      <w:pPr>
        <w:pStyle w:val="ListBullet"/>
        <w:numPr>
          <w:ilvl w:val="0"/>
          <w:numId w:val="43"/>
        </w:numPr>
      </w:pPr>
      <w:r w:rsidRPr="00CE1D7F">
        <w:t>The analysis period is from 2012 (from the start of ARC funding) to 2046 (35-year analysis period, inclusive of starting year). This is consistent across all the ARC case study CBAs.</w:t>
      </w:r>
    </w:p>
    <w:p w14:paraId="290A3984" w14:textId="77777777" w:rsidR="002B32A0" w:rsidRPr="00CE1D7F" w:rsidRDefault="002B32A0" w:rsidP="00587F3E">
      <w:pPr>
        <w:pStyle w:val="ListBullet"/>
      </w:pPr>
      <w:r w:rsidRPr="00CE1D7F">
        <w:t>Ornatas noted that without the ARC funding for the 2 Hubs, the production of aquaculture-grown lobsters in Australia would not have occurred. Therefore, benefits are counted until the end of the analysis period.</w:t>
      </w:r>
    </w:p>
    <w:p w14:paraId="084D47A9" w14:textId="77777777" w:rsidR="002B32A0" w:rsidRPr="00CE1D7F" w:rsidRDefault="002B32A0" w:rsidP="002B32A0">
      <w:pPr>
        <w:pStyle w:val="Heading4"/>
      </w:pPr>
      <w:r w:rsidRPr="00CE1D7F">
        <w:t>Costs</w:t>
      </w:r>
    </w:p>
    <w:p w14:paraId="17C2D58B" w14:textId="77777777" w:rsidR="002B32A0" w:rsidRPr="00CE1D7F" w:rsidRDefault="002B32A0" w:rsidP="002B32A0">
      <w:pPr>
        <w:pStyle w:val="BodyText"/>
      </w:pPr>
      <w:r w:rsidRPr="00CE1D7F">
        <w:t>The nominal costs included in the CBA are:</w:t>
      </w:r>
    </w:p>
    <w:p w14:paraId="28870359" w14:textId="6BCCF887" w:rsidR="002B32A0" w:rsidRPr="00CE1D7F" w:rsidRDefault="002B32A0" w:rsidP="00587F3E">
      <w:pPr>
        <w:pStyle w:val="ListBullet"/>
      </w:pPr>
      <w:r w:rsidRPr="00CE1D7F">
        <w:t xml:space="preserve">The cash and in-kind contribution of the ARC Linkage grants (see </w:t>
      </w:r>
      <w:r>
        <w:t>Section </w:t>
      </w:r>
      <w:r w:rsidRPr="00F87D0E">
        <w:fldChar w:fldCharType="begin"/>
      </w:r>
      <w:r w:rsidRPr="00F87D0E">
        <w:instrText xml:space="preserve"> REF _Ref127971740 \n \h  \* MERGEFORMAT </w:instrText>
      </w:r>
      <w:r w:rsidRPr="00F87D0E">
        <w:fldChar w:fldCharType="separate"/>
      </w:r>
      <w:r w:rsidR="000B0AC7">
        <w:t>8.4</w:t>
      </w:r>
      <w:r w:rsidRPr="00F87D0E">
        <w:fldChar w:fldCharType="end"/>
      </w:r>
      <w:r w:rsidRPr="00CE1D7F">
        <w:t xml:space="preserve">). </w:t>
      </w:r>
    </w:p>
    <w:p w14:paraId="5E983C9B" w14:textId="77777777" w:rsidR="002B32A0" w:rsidRPr="00CE1D7F" w:rsidRDefault="002B32A0" w:rsidP="00587F3E">
      <w:pPr>
        <w:pStyle w:val="ListBullet"/>
      </w:pPr>
      <w:r w:rsidRPr="00CE1D7F">
        <w:t>Ornatas’s costs involved in developing and ramping up lobster production facilities.</w:t>
      </w:r>
      <w:r w:rsidRPr="00CE1D7F">
        <w:rPr>
          <w:rStyle w:val="FootnoteReference"/>
        </w:rPr>
        <w:footnoteReference w:id="183"/>
      </w:r>
    </w:p>
    <w:p w14:paraId="1159E6E5" w14:textId="77777777" w:rsidR="002B32A0" w:rsidRPr="00CE1D7F" w:rsidRDefault="002B32A0" w:rsidP="002B32A0">
      <w:pPr>
        <w:pStyle w:val="BodyText"/>
      </w:pPr>
      <w:r w:rsidRPr="00CE1D7F">
        <w:t xml:space="preserve">These nominal costs are adjusted for inflation using the Consumer Price Index by year, which produces the real costs (costs in 2022 dollars). </w:t>
      </w:r>
    </w:p>
    <w:p w14:paraId="40FB97D6" w14:textId="77777777" w:rsidR="002B32A0" w:rsidRPr="00CE1D7F" w:rsidRDefault="002B32A0" w:rsidP="002B32A0">
      <w:pPr>
        <w:pStyle w:val="Heading4"/>
      </w:pPr>
      <w:r w:rsidRPr="00CE1D7F">
        <w:t>Benefits</w:t>
      </w:r>
    </w:p>
    <w:p w14:paraId="0EFCD2DF" w14:textId="77777777" w:rsidR="002B32A0" w:rsidRPr="00CE1D7F" w:rsidRDefault="002B32A0" w:rsidP="002B32A0">
      <w:pPr>
        <w:pStyle w:val="BodyText"/>
      </w:pPr>
      <w:bookmarkStart w:id="451" w:name="_Hlk128133105"/>
      <w:r w:rsidRPr="00CE1D7F">
        <w:t>The benefit is the revenue generated by Ornatas through its production of lobsters, adjusted for attribution to ARC.</w:t>
      </w:r>
    </w:p>
    <w:p w14:paraId="14327E98" w14:textId="77777777" w:rsidR="002B32A0" w:rsidRPr="00CE1D7F" w:rsidRDefault="002B32A0" w:rsidP="002B32A0">
      <w:pPr>
        <w:pStyle w:val="BodyText"/>
      </w:pPr>
      <w:r w:rsidRPr="00CE1D7F">
        <w:t>The nominal benefits by year are calculated by taking the tonnes of lobster production, multiplied by the value of lobster per tonne, adjusted for the attribution to the ARC-funded research:</w:t>
      </w:r>
    </w:p>
    <w:p w14:paraId="702F4EEE" w14:textId="77777777" w:rsidR="002B32A0" w:rsidRPr="00CE1D7F" w:rsidRDefault="002B32A0" w:rsidP="002B32A0">
      <w:pPr>
        <w:pStyle w:val="BodyText"/>
        <w:rPr>
          <w:rFonts w:eastAsiaTheme="minorEastAsia"/>
        </w:rPr>
      </w:pPr>
      <m:oMathPara>
        <m:oMath>
          <m:r>
            <w:rPr>
              <w:rFonts w:ascii="Cambria Math" w:hAnsi="Cambria Math"/>
            </w:rPr>
            <m:t xml:space="preserve">Quantiy of lobster produced </m:t>
          </m:r>
          <m:d>
            <m:dPr>
              <m:ctrlPr>
                <w:rPr>
                  <w:rFonts w:ascii="Cambria Math" w:hAnsi="Cambria Math"/>
                  <w:i/>
                </w:rPr>
              </m:ctrlPr>
            </m:dPr>
            <m:e>
              <m:r>
                <w:rPr>
                  <w:rFonts w:ascii="Cambria Math" w:hAnsi="Cambria Math"/>
                </w:rPr>
                <m:t>t</m:t>
              </m:r>
            </m:e>
          </m:d>
          <m:r>
            <w:rPr>
              <w:rFonts w:ascii="Cambria Math" w:hAnsi="Cambria Math"/>
            </w:rPr>
            <m:t xml:space="preserve">×value of lobster </m:t>
          </m:r>
          <m:d>
            <m:dPr>
              <m:ctrlPr>
                <w:rPr>
                  <w:rFonts w:ascii="Cambria Math" w:hAnsi="Cambria Math"/>
                  <w:i/>
                </w:rPr>
              </m:ctrlPr>
            </m:dPr>
            <m:e>
              <m:r>
                <w:rPr>
                  <w:rFonts w:ascii="Cambria Math" w:hAnsi="Cambria Math"/>
                </w:rPr>
                <m:t>$/t</m:t>
              </m:r>
            </m:e>
          </m:d>
          <m:r>
            <w:rPr>
              <w:rFonts w:ascii="Cambria Math" w:hAnsi="Cambria Math"/>
            </w:rPr>
            <m:t>×attribution to ARC funded research</m:t>
          </m:r>
          <m:d>
            <m:dPr>
              <m:ctrlPr>
                <w:rPr>
                  <w:rFonts w:ascii="Cambria Math" w:hAnsi="Cambria Math"/>
                  <w:i/>
                </w:rPr>
              </m:ctrlPr>
            </m:dPr>
            <m:e>
              <m:r>
                <w:rPr>
                  <w:rFonts w:ascii="Cambria Math" w:hAnsi="Cambria Math"/>
                </w:rPr>
                <m:t>%</m:t>
              </m:r>
            </m:e>
          </m:d>
          <m:r>
            <w:rPr>
              <w:rFonts w:ascii="Cambria Math" w:hAnsi="Cambria Math"/>
            </w:rPr>
            <m:t>=Nominal benefit ($)</m:t>
          </m:r>
          <m:r>
            <w:rPr>
              <w:rStyle w:val="FootnoteReference"/>
              <w:rFonts w:ascii="Cambria Math" w:hAnsi="Cambria Math"/>
              <w:i/>
            </w:rPr>
            <w:footnoteReference w:id="184"/>
          </m:r>
        </m:oMath>
      </m:oMathPara>
    </w:p>
    <w:p w14:paraId="61F3E5C3" w14:textId="77777777" w:rsidR="002B32A0" w:rsidRPr="00CE1D7F" w:rsidRDefault="002B32A0" w:rsidP="002B32A0">
      <w:pPr>
        <w:pStyle w:val="BodyText"/>
      </w:pPr>
      <w:r w:rsidRPr="00CE1D7F">
        <w:t>These nominal benefits are adjusted for inflation using the Consumer Price Index by year, which produces the real benefits (benefits in 2022 dollars).</w:t>
      </w:r>
      <w:r>
        <w:t xml:space="preserve"> </w:t>
      </w:r>
    </w:p>
    <w:bookmarkEnd w:id="451"/>
    <w:p w14:paraId="64C259DB" w14:textId="77777777" w:rsidR="002B32A0" w:rsidRPr="00CE1D7F" w:rsidRDefault="002B32A0" w:rsidP="002B32A0">
      <w:pPr>
        <w:pStyle w:val="Heading4"/>
      </w:pPr>
      <w:r w:rsidRPr="00CE1D7F">
        <w:t>Calculation of NPV and CBR</w:t>
      </w:r>
      <w:bookmarkStart w:id="452" w:name="_Hlk128133893"/>
    </w:p>
    <w:p w14:paraId="0EFE159B" w14:textId="5D4E07B4" w:rsidR="002B32A0" w:rsidRPr="00CE1D7F" w:rsidRDefault="002B32A0" w:rsidP="002B32A0">
      <w:pPr>
        <w:pStyle w:val="BodyText"/>
      </w:pPr>
      <w:r w:rsidRPr="00CE1D7F">
        <w:t xml:space="preserve">The estimated benefits and costs are provided in </w:t>
      </w:r>
      <w:r w:rsidRPr="00F87D0E">
        <w:fldChar w:fldCharType="begin"/>
      </w:r>
      <w:r w:rsidRPr="00F87D0E">
        <w:instrText xml:space="preserve"> REF _Ref129337924 \h  \* MERGEFORMAT </w:instrText>
      </w:r>
      <w:r w:rsidRPr="00F87D0E">
        <w:fldChar w:fldCharType="separate"/>
      </w:r>
      <w:r w:rsidR="000B0AC7" w:rsidRPr="000B0AC7">
        <w:t>Table 10.2</w:t>
      </w:r>
      <w:r w:rsidRPr="00F87D0E">
        <w:fldChar w:fldCharType="end"/>
      </w:r>
      <w:r w:rsidRPr="00CE1D7F">
        <w:t xml:space="preserve"> for discount rates of 3%, 7% and 10%. </w:t>
      </w:r>
    </w:p>
    <w:p w14:paraId="448F9621" w14:textId="77777777" w:rsidR="002B32A0" w:rsidRPr="00CE1D7F" w:rsidRDefault="002B32A0" w:rsidP="002B32A0">
      <w:pPr>
        <w:pStyle w:val="BodyText"/>
      </w:pPr>
      <w:r w:rsidRPr="00CE1D7F">
        <w:t>The benefit-cost ratio (BCR), obtained by dividing the present value of benefits by the present value of costs using a 7% real discount rate, is positive at a value of 3.08. The present value of costs is $96.7</w:t>
      </w:r>
      <w:r>
        <w:t> million</w:t>
      </w:r>
      <w:r w:rsidRPr="00CE1D7F">
        <w:t>, the benefits are estimated at $297.7</w:t>
      </w:r>
      <w:r>
        <w:t> million</w:t>
      </w:r>
      <w:r w:rsidRPr="00CE1D7F">
        <w:t>, resulting in a NPV of $201.1</w:t>
      </w:r>
      <w:r>
        <w:t> million</w:t>
      </w:r>
      <w:r w:rsidRPr="00CE1D7F">
        <w:t>.</w:t>
      </w:r>
    </w:p>
    <w:p w14:paraId="537F3A04" w14:textId="086B60D5" w:rsidR="002B32A0" w:rsidRPr="00CE1D7F" w:rsidRDefault="002B32A0" w:rsidP="000B0AC7">
      <w:pPr>
        <w:pStyle w:val="BodyText"/>
        <w:ind w:left="1308" w:hanging="1308"/>
      </w:pPr>
      <w:bookmarkStart w:id="453" w:name="_Ref129337924"/>
      <w:r w:rsidRPr="00CE1D7F">
        <w:rPr>
          <w:rStyle w:val="CaptionLabel"/>
        </w:rPr>
        <w:t>Table </w:t>
      </w:r>
      <w:r w:rsidRPr="00CE1D7F">
        <w:rPr>
          <w:rStyle w:val="CaptionLabel"/>
        </w:rPr>
        <w:fldChar w:fldCharType="begin"/>
      </w:r>
      <w:r w:rsidRPr="00CE1D7F">
        <w:rPr>
          <w:rStyle w:val="CaptionLabel"/>
        </w:rPr>
        <w:instrText xml:space="preserve"> STYLEREF 1 \S \* MERGEFORMAT </w:instrText>
      </w:r>
      <w:r w:rsidRPr="00CE1D7F">
        <w:rPr>
          <w:rStyle w:val="CaptionLabel"/>
        </w:rPr>
        <w:fldChar w:fldCharType="separate"/>
      </w:r>
      <w:r w:rsidR="000B0AC7">
        <w:rPr>
          <w:rStyle w:val="CaptionLabel"/>
          <w:noProof/>
        </w:rPr>
        <w:t>10</w:t>
      </w:r>
      <w:r w:rsidRPr="00CE1D7F">
        <w:rPr>
          <w:rStyle w:val="CaptionLabel"/>
        </w:rPr>
        <w:fldChar w:fldCharType="end"/>
      </w:r>
      <w:r w:rsidRPr="00CE1D7F">
        <w:rPr>
          <w:rStyle w:val="CaptionLabel"/>
        </w:rPr>
        <w:t>.</w:t>
      </w:r>
      <w:r w:rsidRPr="00CE1D7F">
        <w:rPr>
          <w:rStyle w:val="CaptionLabel"/>
        </w:rPr>
        <w:fldChar w:fldCharType="begin"/>
      </w:r>
      <w:r w:rsidRPr="00CE1D7F">
        <w:rPr>
          <w:rStyle w:val="CaptionLabel"/>
        </w:rPr>
        <w:instrText xml:space="preserve"> SEQ Table \* ARABIC \S 1 \* MERGEFORMAT </w:instrText>
      </w:r>
      <w:r w:rsidRPr="00CE1D7F">
        <w:rPr>
          <w:rStyle w:val="CaptionLabel"/>
        </w:rPr>
        <w:fldChar w:fldCharType="separate"/>
      </w:r>
      <w:r w:rsidR="000B0AC7">
        <w:rPr>
          <w:rStyle w:val="CaptionLabel"/>
          <w:noProof/>
        </w:rPr>
        <w:t>2</w:t>
      </w:r>
      <w:r w:rsidRPr="00CE1D7F">
        <w:rPr>
          <w:rStyle w:val="CaptionLabel"/>
        </w:rPr>
        <w:fldChar w:fldCharType="end"/>
      </w:r>
      <w:bookmarkEnd w:id="453"/>
      <w:r w:rsidRPr="00CE1D7F">
        <w:tab/>
        <w:t>Summary of benefits and costs (2022$)</w:t>
      </w:r>
    </w:p>
    <w:tbl>
      <w:tblPr>
        <w:tblStyle w:val="aacTableBasic"/>
        <w:tblW w:w="7865" w:type="dxa"/>
        <w:tblLayout w:type="fixed"/>
        <w:tblLook w:val="04A0" w:firstRow="1" w:lastRow="0" w:firstColumn="1" w:lastColumn="0" w:noHBand="0" w:noVBand="1"/>
        <w:tblCaption w:val="Table 10.2"/>
        <w:tblDescription w:val="Summary of benefits and costs (2022$)"/>
      </w:tblPr>
      <w:tblGrid>
        <w:gridCol w:w="2552"/>
        <w:gridCol w:w="1826"/>
        <w:gridCol w:w="1742"/>
        <w:gridCol w:w="1745"/>
      </w:tblGrid>
      <w:tr w:rsidR="002B32A0" w:rsidRPr="00CE1D7F" w14:paraId="7A39D902" w14:textId="77777777" w:rsidTr="000B0AC7">
        <w:trPr>
          <w:cnfStyle w:val="100000000000" w:firstRow="1" w:lastRow="0" w:firstColumn="0" w:lastColumn="0" w:oddVBand="0" w:evenVBand="0" w:oddHBand="0" w:evenHBand="0" w:firstRowFirstColumn="0" w:firstRowLastColumn="0" w:lastRowFirstColumn="0" w:lastRowLastColumn="0"/>
          <w:trHeight w:val="295"/>
        </w:trPr>
        <w:tc>
          <w:tcPr>
            <w:tcW w:w="2552" w:type="dxa"/>
            <w:tcBorders>
              <w:top w:val="nil"/>
            </w:tcBorders>
            <w:shd w:val="solid" w:color="140034" w:fill="140034"/>
            <w:tcMar>
              <w:left w:w="80" w:type="dxa"/>
            </w:tcMar>
          </w:tcPr>
          <w:p w14:paraId="52E196F9" w14:textId="77777777" w:rsidR="002B32A0" w:rsidRPr="00CE1D7F" w:rsidRDefault="002B32A0" w:rsidP="006258ED">
            <w:pPr>
              <w:pStyle w:val="Tablecolumnheadings"/>
            </w:pPr>
            <w:bookmarkStart w:id="454" w:name="_Hlk127967337"/>
          </w:p>
        </w:tc>
        <w:tc>
          <w:tcPr>
            <w:tcW w:w="1826" w:type="dxa"/>
            <w:tcBorders>
              <w:top w:val="nil"/>
            </w:tcBorders>
            <w:shd w:val="solid" w:color="140034" w:fill="140034"/>
            <w:hideMark/>
          </w:tcPr>
          <w:p w14:paraId="3369C166" w14:textId="77777777" w:rsidR="002B32A0" w:rsidRPr="00CE1D7F" w:rsidRDefault="002B32A0" w:rsidP="006258ED">
            <w:pPr>
              <w:pStyle w:val="Tablecolumnheadings"/>
              <w:jc w:val="center"/>
            </w:pPr>
            <w:r w:rsidRPr="00CE1D7F">
              <w:t>Discount rate 3%</w:t>
            </w:r>
          </w:p>
        </w:tc>
        <w:tc>
          <w:tcPr>
            <w:tcW w:w="1742" w:type="dxa"/>
            <w:tcBorders>
              <w:top w:val="nil"/>
            </w:tcBorders>
            <w:shd w:val="solid" w:color="140034" w:fill="140034"/>
            <w:hideMark/>
          </w:tcPr>
          <w:p w14:paraId="7B2D31F4" w14:textId="77777777" w:rsidR="002B32A0" w:rsidRPr="00CE1D7F" w:rsidRDefault="002B32A0" w:rsidP="006258ED">
            <w:pPr>
              <w:pStyle w:val="Tablecolumnheadings"/>
              <w:jc w:val="center"/>
            </w:pPr>
            <w:r w:rsidRPr="00CE1D7F">
              <w:t>Discount rate 7%</w:t>
            </w:r>
          </w:p>
        </w:tc>
        <w:tc>
          <w:tcPr>
            <w:tcW w:w="1745" w:type="dxa"/>
            <w:tcBorders>
              <w:top w:val="nil"/>
            </w:tcBorders>
            <w:shd w:val="solid" w:color="140034" w:fill="140034"/>
            <w:hideMark/>
          </w:tcPr>
          <w:p w14:paraId="0FE25DEC" w14:textId="77777777" w:rsidR="002B32A0" w:rsidRPr="00CE1D7F" w:rsidRDefault="002B32A0" w:rsidP="006258ED">
            <w:pPr>
              <w:pStyle w:val="Tablecolumnheadings"/>
              <w:jc w:val="center"/>
            </w:pPr>
            <w:r w:rsidRPr="00CE1D7F">
              <w:t>Discount rate 10%</w:t>
            </w:r>
          </w:p>
        </w:tc>
      </w:tr>
      <w:tr w:rsidR="002B32A0" w:rsidRPr="00CE1D7F" w14:paraId="0818D2A5" w14:textId="77777777" w:rsidTr="000B0AC7">
        <w:trPr>
          <w:trHeight w:val="277"/>
        </w:trPr>
        <w:tc>
          <w:tcPr>
            <w:tcW w:w="2552" w:type="dxa"/>
            <w:tcMar>
              <w:left w:w="80" w:type="dxa"/>
            </w:tcMar>
            <w:hideMark/>
          </w:tcPr>
          <w:p w14:paraId="18471D5C" w14:textId="77777777" w:rsidR="002B32A0" w:rsidRPr="00CE1D7F" w:rsidRDefault="002B32A0" w:rsidP="006258ED">
            <w:pPr>
              <w:pStyle w:val="Tableunitsrow"/>
              <w:rPr>
                <w:b/>
                <w:bCs/>
              </w:rPr>
            </w:pPr>
            <w:r w:rsidRPr="00CE1D7F">
              <w:rPr>
                <w:b/>
                <w:bCs/>
              </w:rPr>
              <w:t>Present value costs</w:t>
            </w:r>
          </w:p>
        </w:tc>
        <w:tc>
          <w:tcPr>
            <w:tcW w:w="1826" w:type="dxa"/>
          </w:tcPr>
          <w:p w14:paraId="7B3E212B" w14:textId="77777777" w:rsidR="002B32A0" w:rsidRPr="00A014AC" w:rsidRDefault="002B32A0" w:rsidP="006258ED">
            <w:pPr>
              <w:pStyle w:val="Tableunitsrow"/>
            </w:pPr>
          </w:p>
        </w:tc>
        <w:tc>
          <w:tcPr>
            <w:tcW w:w="1742" w:type="dxa"/>
          </w:tcPr>
          <w:p w14:paraId="198B6B28" w14:textId="77777777" w:rsidR="002B32A0" w:rsidRPr="00A014AC" w:rsidRDefault="002B32A0" w:rsidP="006258ED">
            <w:pPr>
              <w:pStyle w:val="Tableunitsrow"/>
            </w:pPr>
          </w:p>
        </w:tc>
        <w:tc>
          <w:tcPr>
            <w:tcW w:w="1745" w:type="dxa"/>
          </w:tcPr>
          <w:p w14:paraId="149A8CD0" w14:textId="77777777" w:rsidR="002B32A0" w:rsidRPr="00A014AC" w:rsidRDefault="002B32A0" w:rsidP="006258ED">
            <w:pPr>
              <w:pStyle w:val="Tableunitsrow"/>
            </w:pPr>
          </w:p>
        </w:tc>
      </w:tr>
      <w:tr w:rsidR="002B32A0" w:rsidRPr="00CE1D7F" w14:paraId="463CC8CB" w14:textId="77777777" w:rsidTr="000B0AC7">
        <w:trPr>
          <w:trHeight w:val="277"/>
        </w:trPr>
        <w:tc>
          <w:tcPr>
            <w:tcW w:w="2552" w:type="dxa"/>
            <w:tcMar>
              <w:left w:w="80" w:type="dxa"/>
            </w:tcMar>
          </w:tcPr>
          <w:p w14:paraId="3B55B791" w14:textId="77777777" w:rsidR="002B32A0" w:rsidRPr="00CE1D7F" w:rsidRDefault="002B32A0" w:rsidP="006258ED">
            <w:pPr>
              <w:pStyle w:val="Tabletext"/>
            </w:pPr>
            <w:r>
              <w:t>ARC-funded</w:t>
            </w:r>
            <w:r w:rsidRPr="00CE1D7F">
              <w:t xml:space="preserve"> research costs</w:t>
            </w:r>
          </w:p>
        </w:tc>
        <w:tc>
          <w:tcPr>
            <w:tcW w:w="1826" w:type="dxa"/>
          </w:tcPr>
          <w:p w14:paraId="62701548" w14:textId="77777777" w:rsidR="002B32A0" w:rsidRPr="00CE1D7F" w:rsidRDefault="002B32A0" w:rsidP="006258ED">
            <w:pPr>
              <w:pStyle w:val="Tabletext"/>
              <w:jc w:val="center"/>
            </w:pPr>
            <w:r w:rsidRPr="00CE1D7F">
              <w:t>$51,173,551</w:t>
            </w:r>
          </w:p>
        </w:tc>
        <w:tc>
          <w:tcPr>
            <w:tcW w:w="1742" w:type="dxa"/>
          </w:tcPr>
          <w:p w14:paraId="00ED62AC" w14:textId="77777777" w:rsidR="002B32A0" w:rsidRPr="00CE1D7F" w:rsidRDefault="002B32A0" w:rsidP="006258ED">
            <w:pPr>
              <w:pStyle w:val="Tabletext"/>
              <w:jc w:val="center"/>
            </w:pPr>
            <w:r w:rsidRPr="00CE1D7F">
              <w:t>$59,015,405</w:t>
            </w:r>
          </w:p>
        </w:tc>
        <w:tc>
          <w:tcPr>
            <w:tcW w:w="1745" w:type="dxa"/>
          </w:tcPr>
          <w:p w14:paraId="2DEF0919" w14:textId="77777777" w:rsidR="002B32A0" w:rsidRPr="00CE1D7F" w:rsidRDefault="002B32A0" w:rsidP="006258ED">
            <w:pPr>
              <w:pStyle w:val="Tabletext"/>
              <w:jc w:val="center"/>
            </w:pPr>
            <w:r w:rsidRPr="00CE1D7F">
              <w:t>$66,335,174</w:t>
            </w:r>
          </w:p>
        </w:tc>
      </w:tr>
      <w:tr w:rsidR="002B32A0" w:rsidRPr="00CE1D7F" w14:paraId="503BFFE9" w14:textId="77777777" w:rsidTr="000B0AC7">
        <w:trPr>
          <w:trHeight w:val="277"/>
        </w:trPr>
        <w:tc>
          <w:tcPr>
            <w:tcW w:w="2552" w:type="dxa"/>
            <w:tcMar>
              <w:left w:w="80" w:type="dxa"/>
            </w:tcMar>
          </w:tcPr>
          <w:p w14:paraId="24EFE861" w14:textId="77777777" w:rsidR="002B32A0" w:rsidRPr="00CE1D7F" w:rsidRDefault="002B32A0" w:rsidP="006258ED">
            <w:pPr>
              <w:pStyle w:val="Tabletext"/>
            </w:pPr>
            <w:r w:rsidRPr="00CE1D7F">
              <w:t>Ornatas' Costs</w:t>
            </w:r>
          </w:p>
        </w:tc>
        <w:tc>
          <w:tcPr>
            <w:tcW w:w="1826" w:type="dxa"/>
          </w:tcPr>
          <w:p w14:paraId="22B29E1E" w14:textId="77777777" w:rsidR="002B32A0" w:rsidRPr="00CE1D7F" w:rsidRDefault="002B32A0" w:rsidP="006258ED">
            <w:pPr>
              <w:pStyle w:val="Tabletext"/>
              <w:jc w:val="center"/>
            </w:pPr>
            <w:r w:rsidRPr="00CE1D7F">
              <w:t>$40,225,523</w:t>
            </w:r>
          </w:p>
        </w:tc>
        <w:tc>
          <w:tcPr>
            <w:tcW w:w="1742" w:type="dxa"/>
          </w:tcPr>
          <w:p w14:paraId="3968A650" w14:textId="77777777" w:rsidR="002B32A0" w:rsidRPr="00CE1D7F" w:rsidRDefault="002B32A0" w:rsidP="006258ED">
            <w:pPr>
              <w:pStyle w:val="Tabletext"/>
              <w:jc w:val="center"/>
            </w:pPr>
            <w:r w:rsidRPr="00CE1D7F">
              <w:t>$37,646,565</w:t>
            </w:r>
          </w:p>
        </w:tc>
        <w:tc>
          <w:tcPr>
            <w:tcW w:w="1745" w:type="dxa"/>
          </w:tcPr>
          <w:p w14:paraId="7EC1147D" w14:textId="77777777" w:rsidR="002B32A0" w:rsidRPr="00CE1D7F" w:rsidRDefault="002B32A0" w:rsidP="006258ED">
            <w:pPr>
              <w:pStyle w:val="Tabletext"/>
              <w:jc w:val="center"/>
            </w:pPr>
            <w:r w:rsidRPr="00CE1D7F">
              <w:t>$36,280,758</w:t>
            </w:r>
          </w:p>
        </w:tc>
      </w:tr>
      <w:tr w:rsidR="002B32A0" w:rsidRPr="00CE1D7F" w14:paraId="768EC858" w14:textId="77777777" w:rsidTr="000B0AC7">
        <w:trPr>
          <w:trHeight w:val="277"/>
        </w:trPr>
        <w:tc>
          <w:tcPr>
            <w:tcW w:w="2552" w:type="dxa"/>
            <w:tcMar>
              <w:left w:w="80" w:type="dxa"/>
            </w:tcMar>
            <w:hideMark/>
          </w:tcPr>
          <w:p w14:paraId="28D57B44" w14:textId="77777777" w:rsidR="002B32A0" w:rsidRPr="00CE1D7F" w:rsidRDefault="002B32A0" w:rsidP="006258ED">
            <w:pPr>
              <w:pStyle w:val="Tabletext"/>
              <w:rPr>
                <w:i/>
                <w:iCs/>
              </w:rPr>
            </w:pPr>
            <w:r w:rsidRPr="00CE1D7F">
              <w:rPr>
                <w:i/>
                <w:iCs/>
              </w:rPr>
              <w:t>Total PV costs</w:t>
            </w:r>
          </w:p>
        </w:tc>
        <w:tc>
          <w:tcPr>
            <w:tcW w:w="1826" w:type="dxa"/>
            <w:hideMark/>
          </w:tcPr>
          <w:p w14:paraId="20E6AF94" w14:textId="77777777" w:rsidR="002B32A0" w:rsidRPr="00A014AC" w:rsidRDefault="002B32A0" w:rsidP="006258ED">
            <w:pPr>
              <w:pStyle w:val="Tabletext"/>
              <w:jc w:val="center"/>
              <w:rPr>
                <w:i/>
                <w:iCs/>
              </w:rPr>
            </w:pPr>
            <w:r w:rsidRPr="00CE1D7F">
              <w:rPr>
                <w:i/>
                <w:iCs/>
              </w:rPr>
              <w:t>$91,399,075</w:t>
            </w:r>
          </w:p>
        </w:tc>
        <w:tc>
          <w:tcPr>
            <w:tcW w:w="1742" w:type="dxa"/>
            <w:hideMark/>
          </w:tcPr>
          <w:p w14:paraId="4CEA8C5E" w14:textId="77777777" w:rsidR="002B32A0" w:rsidRPr="00A014AC" w:rsidRDefault="002B32A0" w:rsidP="006258ED">
            <w:pPr>
              <w:pStyle w:val="Tabletext"/>
              <w:jc w:val="center"/>
              <w:rPr>
                <w:i/>
                <w:iCs/>
              </w:rPr>
            </w:pPr>
            <w:r w:rsidRPr="00CE1D7F">
              <w:rPr>
                <w:i/>
                <w:iCs/>
              </w:rPr>
              <w:t>$96,661,971</w:t>
            </w:r>
          </w:p>
        </w:tc>
        <w:tc>
          <w:tcPr>
            <w:tcW w:w="1745" w:type="dxa"/>
            <w:hideMark/>
          </w:tcPr>
          <w:p w14:paraId="5D17D68D" w14:textId="77777777" w:rsidR="002B32A0" w:rsidRPr="00A014AC" w:rsidRDefault="002B32A0" w:rsidP="006258ED">
            <w:pPr>
              <w:pStyle w:val="Tabletext"/>
              <w:jc w:val="center"/>
              <w:rPr>
                <w:i/>
                <w:iCs/>
              </w:rPr>
            </w:pPr>
            <w:r w:rsidRPr="00CE1D7F">
              <w:rPr>
                <w:i/>
                <w:iCs/>
              </w:rPr>
              <w:t>$102,615,931</w:t>
            </w:r>
          </w:p>
        </w:tc>
      </w:tr>
      <w:tr w:rsidR="002B32A0" w:rsidRPr="00CE1D7F" w14:paraId="005AFA24" w14:textId="77777777" w:rsidTr="000B0AC7">
        <w:trPr>
          <w:trHeight w:val="261"/>
        </w:trPr>
        <w:tc>
          <w:tcPr>
            <w:tcW w:w="2552" w:type="dxa"/>
            <w:tcMar>
              <w:left w:w="80" w:type="dxa"/>
            </w:tcMar>
            <w:hideMark/>
          </w:tcPr>
          <w:p w14:paraId="5EA8D21A" w14:textId="77777777" w:rsidR="002B32A0" w:rsidRPr="00CE1D7F" w:rsidRDefault="002B32A0" w:rsidP="006258ED">
            <w:pPr>
              <w:pStyle w:val="Tableunitsrow"/>
              <w:rPr>
                <w:b/>
                <w:bCs/>
              </w:rPr>
            </w:pPr>
            <w:r w:rsidRPr="00CE1D7F">
              <w:rPr>
                <w:b/>
                <w:bCs/>
              </w:rPr>
              <w:t>Present value benefits</w:t>
            </w:r>
          </w:p>
        </w:tc>
        <w:tc>
          <w:tcPr>
            <w:tcW w:w="1826" w:type="dxa"/>
          </w:tcPr>
          <w:p w14:paraId="0D910C49" w14:textId="77777777" w:rsidR="002B32A0" w:rsidRPr="00A014AC" w:rsidRDefault="002B32A0" w:rsidP="006258ED">
            <w:pPr>
              <w:pStyle w:val="Tableunitsrow"/>
              <w:jc w:val="center"/>
            </w:pPr>
          </w:p>
        </w:tc>
        <w:tc>
          <w:tcPr>
            <w:tcW w:w="1742" w:type="dxa"/>
          </w:tcPr>
          <w:p w14:paraId="10910206" w14:textId="77777777" w:rsidR="002B32A0" w:rsidRPr="00A014AC" w:rsidRDefault="002B32A0" w:rsidP="006258ED">
            <w:pPr>
              <w:pStyle w:val="Tableunitsrow"/>
              <w:jc w:val="center"/>
            </w:pPr>
          </w:p>
        </w:tc>
        <w:tc>
          <w:tcPr>
            <w:tcW w:w="1745" w:type="dxa"/>
          </w:tcPr>
          <w:p w14:paraId="260747D2" w14:textId="77777777" w:rsidR="002B32A0" w:rsidRPr="00A014AC" w:rsidRDefault="002B32A0" w:rsidP="006258ED">
            <w:pPr>
              <w:pStyle w:val="Tableunitsrow"/>
              <w:jc w:val="center"/>
            </w:pPr>
          </w:p>
        </w:tc>
      </w:tr>
      <w:tr w:rsidR="002B32A0" w:rsidRPr="00CE1D7F" w14:paraId="6ACB8641" w14:textId="77777777" w:rsidTr="000B0AC7">
        <w:trPr>
          <w:trHeight w:val="277"/>
        </w:trPr>
        <w:tc>
          <w:tcPr>
            <w:tcW w:w="2552" w:type="dxa"/>
            <w:tcMar>
              <w:left w:w="80" w:type="dxa"/>
            </w:tcMar>
            <w:hideMark/>
          </w:tcPr>
          <w:p w14:paraId="3D3AE90E" w14:textId="77777777" w:rsidR="002B32A0" w:rsidRPr="00CE1D7F" w:rsidRDefault="002B32A0" w:rsidP="006258ED">
            <w:pPr>
              <w:pStyle w:val="Tabletext"/>
            </w:pPr>
            <w:r w:rsidRPr="00CE1D7F">
              <w:t>Value of lobster production</w:t>
            </w:r>
          </w:p>
        </w:tc>
        <w:tc>
          <w:tcPr>
            <w:tcW w:w="1826" w:type="dxa"/>
            <w:hideMark/>
          </w:tcPr>
          <w:p w14:paraId="180B9DD9" w14:textId="77777777" w:rsidR="002B32A0" w:rsidRPr="00A014AC" w:rsidRDefault="002B32A0" w:rsidP="006258ED">
            <w:pPr>
              <w:pStyle w:val="Tabletext"/>
              <w:jc w:val="center"/>
            </w:pPr>
            <w:r w:rsidRPr="00CE1D7F">
              <w:t>$627,078,392</w:t>
            </w:r>
          </w:p>
        </w:tc>
        <w:tc>
          <w:tcPr>
            <w:tcW w:w="1742" w:type="dxa"/>
            <w:hideMark/>
          </w:tcPr>
          <w:p w14:paraId="10B354F1" w14:textId="77777777" w:rsidR="002B32A0" w:rsidRPr="00A014AC" w:rsidRDefault="002B32A0" w:rsidP="006258ED">
            <w:pPr>
              <w:pStyle w:val="Tabletext"/>
              <w:jc w:val="center"/>
            </w:pPr>
            <w:r w:rsidRPr="00CE1D7F">
              <w:t>$297,724,797</w:t>
            </w:r>
          </w:p>
        </w:tc>
        <w:tc>
          <w:tcPr>
            <w:tcW w:w="1745" w:type="dxa"/>
            <w:hideMark/>
          </w:tcPr>
          <w:p w14:paraId="4ACE637D" w14:textId="77777777" w:rsidR="002B32A0" w:rsidRPr="00A014AC" w:rsidRDefault="002B32A0" w:rsidP="006258ED">
            <w:pPr>
              <w:pStyle w:val="Tabletext"/>
              <w:jc w:val="center"/>
            </w:pPr>
            <w:r w:rsidRPr="00CE1D7F">
              <w:t>$201,506,061</w:t>
            </w:r>
          </w:p>
        </w:tc>
      </w:tr>
      <w:tr w:rsidR="002B32A0" w:rsidRPr="00CE1D7F" w14:paraId="30EF8426" w14:textId="77777777" w:rsidTr="000B0AC7">
        <w:trPr>
          <w:trHeight w:val="277"/>
        </w:trPr>
        <w:tc>
          <w:tcPr>
            <w:tcW w:w="2552" w:type="dxa"/>
            <w:tcMar>
              <w:left w:w="80" w:type="dxa"/>
            </w:tcMar>
            <w:hideMark/>
          </w:tcPr>
          <w:p w14:paraId="1CEA4F45" w14:textId="77777777" w:rsidR="002B32A0" w:rsidRPr="00CE1D7F" w:rsidRDefault="002B32A0" w:rsidP="006258ED">
            <w:pPr>
              <w:pStyle w:val="Tableunitsrow"/>
              <w:rPr>
                <w:b/>
                <w:bCs/>
              </w:rPr>
            </w:pPr>
            <w:r w:rsidRPr="00CE1D7F">
              <w:rPr>
                <w:b/>
                <w:bCs/>
              </w:rPr>
              <w:t>Results</w:t>
            </w:r>
          </w:p>
        </w:tc>
        <w:tc>
          <w:tcPr>
            <w:tcW w:w="1826" w:type="dxa"/>
          </w:tcPr>
          <w:p w14:paraId="63EFD405" w14:textId="77777777" w:rsidR="002B32A0" w:rsidRPr="00A014AC" w:rsidRDefault="002B32A0" w:rsidP="006258ED">
            <w:pPr>
              <w:pStyle w:val="Tableunitsrow"/>
              <w:jc w:val="center"/>
            </w:pPr>
          </w:p>
        </w:tc>
        <w:tc>
          <w:tcPr>
            <w:tcW w:w="1742" w:type="dxa"/>
          </w:tcPr>
          <w:p w14:paraId="02A5A860" w14:textId="77777777" w:rsidR="002B32A0" w:rsidRPr="00A014AC" w:rsidRDefault="002B32A0" w:rsidP="006258ED">
            <w:pPr>
              <w:pStyle w:val="Tableunitsrow"/>
              <w:jc w:val="center"/>
            </w:pPr>
          </w:p>
        </w:tc>
        <w:tc>
          <w:tcPr>
            <w:tcW w:w="1745" w:type="dxa"/>
          </w:tcPr>
          <w:p w14:paraId="28391536" w14:textId="77777777" w:rsidR="002B32A0" w:rsidRPr="00A014AC" w:rsidRDefault="002B32A0" w:rsidP="006258ED">
            <w:pPr>
              <w:pStyle w:val="Tableunitsrow"/>
              <w:jc w:val="center"/>
            </w:pPr>
          </w:p>
        </w:tc>
      </w:tr>
      <w:tr w:rsidR="002B32A0" w:rsidRPr="00CE1D7F" w14:paraId="381A1C4F" w14:textId="77777777" w:rsidTr="000B0AC7">
        <w:trPr>
          <w:trHeight w:val="261"/>
        </w:trPr>
        <w:tc>
          <w:tcPr>
            <w:tcW w:w="2552" w:type="dxa"/>
            <w:tcMar>
              <w:left w:w="80" w:type="dxa"/>
            </w:tcMar>
            <w:hideMark/>
          </w:tcPr>
          <w:p w14:paraId="6FAD73E1" w14:textId="77777777" w:rsidR="002B32A0" w:rsidRPr="00CE1D7F" w:rsidRDefault="002B32A0" w:rsidP="006258ED">
            <w:pPr>
              <w:pStyle w:val="Tabletext"/>
            </w:pPr>
            <w:r w:rsidRPr="00CE1D7F">
              <w:rPr>
                <w:b/>
                <w:bCs/>
              </w:rPr>
              <w:t>NPV</w:t>
            </w:r>
          </w:p>
        </w:tc>
        <w:tc>
          <w:tcPr>
            <w:tcW w:w="1826" w:type="dxa"/>
            <w:hideMark/>
          </w:tcPr>
          <w:p w14:paraId="6C4362EA" w14:textId="77777777" w:rsidR="002B32A0" w:rsidRPr="00A014AC" w:rsidRDefault="002B32A0" w:rsidP="006258ED">
            <w:pPr>
              <w:pStyle w:val="Tabletext"/>
              <w:jc w:val="center"/>
              <w:rPr>
                <w:b/>
                <w:bCs/>
              </w:rPr>
            </w:pPr>
            <w:r w:rsidRPr="00CE1D7F">
              <w:rPr>
                <w:b/>
                <w:bCs/>
              </w:rPr>
              <w:t>$535,679,318</w:t>
            </w:r>
          </w:p>
        </w:tc>
        <w:tc>
          <w:tcPr>
            <w:tcW w:w="1742" w:type="dxa"/>
            <w:hideMark/>
          </w:tcPr>
          <w:p w14:paraId="7036A5AA" w14:textId="77777777" w:rsidR="002B32A0" w:rsidRPr="00A014AC" w:rsidRDefault="002B32A0" w:rsidP="006258ED">
            <w:pPr>
              <w:pStyle w:val="Tabletext"/>
              <w:jc w:val="center"/>
              <w:rPr>
                <w:b/>
                <w:bCs/>
              </w:rPr>
            </w:pPr>
            <w:r w:rsidRPr="00CE1D7F">
              <w:rPr>
                <w:b/>
                <w:bCs/>
              </w:rPr>
              <w:t>$201,062,826</w:t>
            </w:r>
          </w:p>
        </w:tc>
        <w:tc>
          <w:tcPr>
            <w:tcW w:w="1745" w:type="dxa"/>
            <w:hideMark/>
          </w:tcPr>
          <w:p w14:paraId="7B7E51EE" w14:textId="77777777" w:rsidR="002B32A0" w:rsidRPr="00A014AC" w:rsidRDefault="002B32A0" w:rsidP="006258ED">
            <w:pPr>
              <w:pStyle w:val="Tabletext"/>
              <w:jc w:val="center"/>
              <w:rPr>
                <w:b/>
                <w:bCs/>
              </w:rPr>
            </w:pPr>
            <w:r w:rsidRPr="00CE1D7F">
              <w:rPr>
                <w:b/>
                <w:bCs/>
              </w:rPr>
              <w:t>$98,890,130</w:t>
            </w:r>
          </w:p>
        </w:tc>
      </w:tr>
      <w:tr w:rsidR="002B32A0" w:rsidRPr="00CE1D7F" w14:paraId="45D5C0F5" w14:textId="77777777" w:rsidTr="000B0AC7">
        <w:trPr>
          <w:trHeight w:val="277"/>
        </w:trPr>
        <w:tc>
          <w:tcPr>
            <w:tcW w:w="2552" w:type="dxa"/>
            <w:tcMar>
              <w:left w:w="80" w:type="dxa"/>
            </w:tcMar>
            <w:hideMark/>
          </w:tcPr>
          <w:p w14:paraId="5CBCDE7C" w14:textId="77777777" w:rsidR="002B32A0" w:rsidRPr="00CE1D7F" w:rsidRDefault="002B32A0" w:rsidP="006258ED">
            <w:pPr>
              <w:pStyle w:val="Tabletext"/>
            </w:pPr>
            <w:r w:rsidRPr="00CE1D7F">
              <w:rPr>
                <w:b/>
                <w:bCs/>
              </w:rPr>
              <w:t>BCR</w:t>
            </w:r>
          </w:p>
        </w:tc>
        <w:tc>
          <w:tcPr>
            <w:tcW w:w="1826" w:type="dxa"/>
            <w:hideMark/>
          </w:tcPr>
          <w:p w14:paraId="54B02871" w14:textId="77777777" w:rsidR="002B32A0" w:rsidRPr="00A014AC" w:rsidRDefault="002B32A0" w:rsidP="006258ED">
            <w:pPr>
              <w:pStyle w:val="Tabletext"/>
              <w:jc w:val="center"/>
              <w:rPr>
                <w:b/>
                <w:bCs/>
              </w:rPr>
            </w:pPr>
            <w:r w:rsidRPr="00CE1D7F">
              <w:rPr>
                <w:b/>
                <w:bCs/>
              </w:rPr>
              <w:t>6.86</w:t>
            </w:r>
          </w:p>
        </w:tc>
        <w:tc>
          <w:tcPr>
            <w:tcW w:w="1742" w:type="dxa"/>
            <w:hideMark/>
          </w:tcPr>
          <w:p w14:paraId="050C5863" w14:textId="77777777" w:rsidR="002B32A0" w:rsidRPr="00A014AC" w:rsidRDefault="002B32A0" w:rsidP="006258ED">
            <w:pPr>
              <w:pStyle w:val="Tabletext"/>
              <w:jc w:val="center"/>
              <w:rPr>
                <w:b/>
                <w:bCs/>
              </w:rPr>
            </w:pPr>
            <w:r w:rsidRPr="00CE1D7F">
              <w:rPr>
                <w:b/>
                <w:bCs/>
              </w:rPr>
              <w:t>3.08</w:t>
            </w:r>
          </w:p>
        </w:tc>
        <w:tc>
          <w:tcPr>
            <w:tcW w:w="1745" w:type="dxa"/>
            <w:hideMark/>
          </w:tcPr>
          <w:p w14:paraId="45A77F91" w14:textId="77777777" w:rsidR="002B32A0" w:rsidRPr="00A014AC" w:rsidRDefault="002B32A0" w:rsidP="006258ED">
            <w:pPr>
              <w:pStyle w:val="Tabletext"/>
              <w:jc w:val="center"/>
              <w:rPr>
                <w:b/>
                <w:bCs/>
              </w:rPr>
            </w:pPr>
            <w:r w:rsidRPr="00CE1D7F">
              <w:rPr>
                <w:b/>
                <w:bCs/>
              </w:rPr>
              <w:t>1.96</w:t>
            </w:r>
          </w:p>
        </w:tc>
      </w:tr>
      <w:tr w:rsidR="002B32A0" w:rsidRPr="00CE1D7F" w14:paraId="3C146ABA" w14:textId="77777777" w:rsidTr="000B0AC7">
        <w:trPr>
          <w:trHeight w:val="451"/>
        </w:trPr>
        <w:tc>
          <w:tcPr>
            <w:tcW w:w="7865" w:type="dxa"/>
            <w:gridSpan w:val="4"/>
            <w:tcMar>
              <w:left w:w="80" w:type="dxa"/>
            </w:tcMar>
            <w:hideMark/>
          </w:tcPr>
          <w:p w14:paraId="34584455" w14:textId="77777777" w:rsidR="002B32A0" w:rsidRPr="00CE1D7F" w:rsidRDefault="002B32A0" w:rsidP="006258ED">
            <w:pPr>
              <w:pStyle w:val="Source"/>
              <w:spacing w:line="256" w:lineRule="auto"/>
            </w:pPr>
            <w:r w:rsidRPr="00CE1D7F">
              <w:t>Source: ACIL Allen</w:t>
            </w:r>
          </w:p>
          <w:p w14:paraId="394235BD" w14:textId="77777777" w:rsidR="002B32A0" w:rsidRPr="00CE1D7F" w:rsidRDefault="002B32A0" w:rsidP="006258ED">
            <w:pPr>
              <w:pStyle w:val="Source"/>
              <w:spacing w:line="256" w:lineRule="auto"/>
            </w:pPr>
            <w:r w:rsidRPr="00CE1D7F">
              <w:t>Note: All discount rates are real (i.e., discount rates are applied to real costs and benefits)</w:t>
            </w:r>
          </w:p>
        </w:tc>
      </w:tr>
    </w:tbl>
    <w:p w14:paraId="54A16158" w14:textId="77777777" w:rsidR="000B0AC7" w:rsidRPr="00A014AC" w:rsidRDefault="000B0AC7" w:rsidP="000B0AC7">
      <w:pPr>
        <w:pStyle w:val="spacer"/>
        <w:spacing w:line="256" w:lineRule="auto"/>
      </w:pPr>
    </w:p>
    <w:bookmarkEnd w:id="454"/>
    <w:p w14:paraId="72E7A8F7" w14:textId="3149A915" w:rsidR="002B32A0" w:rsidRPr="00CE1D7F" w:rsidRDefault="002B32A0" w:rsidP="002B32A0">
      <w:pPr>
        <w:spacing w:before="113" w:after="60"/>
        <w:ind w:right="462"/>
      </w:pPr>
      <w:r w:rsidRPr="00CE1D7F">
        <w:t xml:space="preserve">The present value of benefits and costs of the ARC-funded research by year are shown in </w:t>
      </w:r>
      <w:r w:rsidRPr="00F87D0E">
        <w:fldChar w:fldCharType="begin"/>
      </w:r>
      <w:r w:rsidRPr="00F87D0E">
        <w:instrText xml:space="preserve"> REF _Ref129336854 \h  \* MERGEFORMAT </w:instrText>
      </w:r>
      <w:r w:rsidRPr="00F87D0E">
        <w:fldChar w:fldCharType="separate"/>
      </w:r>
      <w:r w:rsidR="000B0AC7" w:rsidRPr="000B0AC7">
        <w:t>Figure 10.5</w:t>
      </w:r>
      <w:r w:rsidRPr="00F87D0E">
        <w:fldChar w:fldCharType="end"/>
      </w:r>
      <w:r w:rsidRPr="00CE1D7F">
        <w:t>.</w:t>
      </w:r>
    </w:p>
    <w:p w14:paraId="260CED9E" w14:textId="0287905D" w:rsidR="000B0AC7" w:rsidRPr="00CE1D7F" w:rsidRDefault="000B0AC7" w:rsidP="000B0AC7">
      <w:pPr>
        <w:pStyle w:val="Caption"/>
        <w:spacing w:line="256" w:lineRule="auto"/>
        <w:ind w:left="-677" w:hanging="1308"/>
      </w:pPr>
      <w:bookmarkStart w:id="455" w:name="_Ref129336854"/>
      <w:r w:rsidRPr="00CE1D7F">
        <w:rPr>
          <w:rStyle w:val="CaptionLabel"/>
        </w:rPr>
        <w:t>Figure </w:t>
      </w:r>
      <w:r w:rsidRPr="00CE1D7F">
        <w:rPr>
          <w:rStyle w:val="CaptionLabel"/>
        </w:rPr>
        <w:fldChar w:fldCharType="begin"/>
      </w:r>
      <w:r w:rsidRPr="00CE1D7F">
        <w:rPr>
          <w:rStyle w:val="CaptionLabel"/>
        </w:rPr>
        <w:instrText xml:space="preserve"> STYLEREF 1 \S \* MERGEFORMAT </w:instrText>
      </w:r>
      <w:r w:rsidRPr="00CE1D7F">
        <w:rPr>
          <w:rStyle w:val="CaptionLabel"/>
        </w:rPr>
        <w:fldChar w:fldCharType="separate"/>
      </w:r>
      <w:r>
        <w:rPr>
          <w:rStyle w:val="CaptionLabel"/>
          <w:noProof/>
        </w:rPr>
        <w:t>10</w:t>
      </w:r>
      <w:r w:rsidRPr="00CE1D7F">
        <w:rPr>
          <w:rStyle w:val="CaptionLabel"/>
        </w:rPr>
        <w:fldChar w:fldCharType="end"/>
      </w:r>
      <w:r w:rsidRPr="00CE1D7F">
        <w:rPr>
          <w:rStyle w:val="CaptionLabel"/>
        </w:rPr>
        <w:t>.</w:t>
      </w:r>
      <w:r w:rsidRPr="00CE1D7F">
        <w:rPr>
          <w:rStyle w:val="CaptionLabel"/>
        </w:rPr>
        <w:fldChar w:fldCharType="begin"/>
      </w:r>
      <w:r w:rsidRPr="00CE1D7F">
        <w:rPr>
          <w:rStyle w:val="CaptionLabel"/>
        </w:rPr>
        <w:instrText xml:space="preserve"> SEQ Figure \* ARABIC \S 1 \* MERGEFORMAT </w:instrText>
      </w:r>
      <w:r w:rsidRPr="00CE1D7F">
        <w:rPr>
          <w:rStyle w:val="CaptionLabel"/>
        </w:rPr>
        <w:fldChar w:fldCharType="separate"/>
      </w:r>
      <w:r>
        <w:rPr>
          <w:rStyle w:val="CaptionLabel"/>
          <w:noProof/>
        </w:rPr>
        <w:t>5</w:t>
      </w:r>
      <w:r w:rsidRPr="00CE1D7F">
        <w:rPr>
          <w:rStyle w:val="CaptionLabel"/>
        </w:rPr>
        <w:fldChar w:fldCharType="end"/>
      </w:r>
      <w:bookmarkEnd w:id="455"/>
      <w:r w:rsidRPr="00CE1D7F">
        <w:tab/>
        <w:t>Present value costs and benefits by year (7% DR)</w:t>
      </w:r>
    </w:p>
    <w:tbl>
      <w:tblPr>
        <w:tblStyle w:val="aacTableFigure-Wide"/>
        <w:tblW w:w="6250" w:type="pct"/>
        <w:tblBorders>
          <w:top w:val="single" w:sz="4" w:space="0" w:color="000000"/>
          <w:bottom w:val="single" w:sz="4" w:space="0" w:color="000000"/>
        </w:tblBorders>
        <w:tblLook w:val="04A0" w:firstRow="1" w:lastRow="0" w:firstColumn="1" w:lastColumn="0" w:noHBand="0" w:noVBand="1"/>
      </w:tblPr>
      <w:tblGrid>
        <w:gridCol w:w="9920"/>
      </w:tblGrid>
      <w:tr w:rsidR="002B32A0" w:rsidRPr="00CE1D7F" w14:paraId="4AD73EBC" w14:textId="77777777" w:rsidTr="000B0AC7">
        <w:tc>
          <w:tcPr>
            <w:tcW w:w="5000" w:type="pct"/>
            <w:shd w:val="clear" w:color="auto" w:fill="auto"/>
            <w:hideMark/>
          </w:tcPr>
          <w:p w14:paraId="7F5A6B67" w14:textId="59049DEA" w:rsidR="002B32A0" w:rsidRPr="00CE1D7F" w:rsidRDefault="002B32A0" w:rsidP="006258ED">
            <w:pPr>
              <w:pStyle w:val="Figure"/>
              <w:spacing w:line="256" w:lineRule="auto"/>
            </w:pPr>
            <w:r w:rsidRPr="00CE1D7F">
              <w:rPr>
                <w:noProof/>
              </w:rPr>
              <w:drawing>
                <wp:inline distT="0" distB="0" distL="0" distR="0" wp14:anchorId="4C7D42A3" wp14:editId="3CB0A1DE">
                  <wp:extent cx="6141720" cy="2827020"/>
                  <wp:effectExtent l="0" t="0" r="0" b="0"/>
                  <wp:docPr id="717" name="Picture 717" descr="Present value costs and benefits by year (7% DR), see description in text abov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 name="Picture 717" descr="Present value costs and benefits by year (7% DR), see description in text above figure."/>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6141720" cy="2827020"/>
                          </a:xfrm>
                          <a:prstGeom prst="rect">
                            <a:avLst/>
                          </a:prstGeom>
                          <a:noFill/>
                        </pic:spPr>
                      </pic:pic>
                    </a:graphicData>
                  </a:graphic>
                </wp:inline>
              </w:drawing>
            </w:r>
          </w:p>
        </w:tc>
      </w:tr>
    </w:tbl>
    <w:p w14:paraId="3BF37301" w14:textId="77777777" w:rsidR="000B0AC7" w:rsidRPr="00CE1D7F" w:rsidRDefault="000B0AC7" w:rsidP="000B0AC7">
      <w:pPr>
        <w:pStyle w:val="Source"/>
        <w:spacing w:line="256" w:lineRule="auto"/>
        <w:ind w:left="-677" w:hanging="1308"/>
      </w:pPr>
      <w:r w:rsidRPr="00CE1D7F">
        <w:t>Source: ACIL Allen</w:t>
      </w:r>
    </w:p>
    <w:p w14:paraId="058FC329" w14:textId="77777777" w:rsidR="000B0AC7" w:rsidRPr="00CE1D7F" w:rsidRDefault="000B0AC7" w:rsidP="006258ED">
      <w:pPr>
        <w:pStyle w:val="spacer"/>
        <w:spacing w:line="256" w:lineRule="auto"/>
      </w:pPr>
    </w:p>
    <w:bookmarkEnd w:id="452"/>
    <w:p w14:paraId="2572D15B" w14:textId="77777777" w:rsidR="002B32A0" w:rsidRPr="00CE1D7F" w:rsidRDefault="002B32A0" w:rsidP="002B32A0">
      <w:pPr>
        <w:pStyle w:val="Heading4"/>
      </w:pPr>
      <w:r w:rsidRPr="00CE1D7F">
        <w:t>Sensitivity testing</w:t>
      </w:r>
    </w:p>
    <w:p w14:paraId="40D651C5" w14:textId="4360EBCF" w:rsidR="002B32A0" w:rsidRPr="00CE1D7F" w:rsidRDefault="002B32A0" w:rsidP="002B32A0">
      <w:pPr>
        <w:pStyle w:val="BodyText"/>
      </w:pPr>
      <w:r w:rsidRPr="00CE1D7F">
        <w:t>Sensitivity testing at the 3 and 10% real discount rates</w:t>
      </w:r>
      <w:r w:rsidRPr="00CE1D7F">
        <w:rPr>
          <w:rStyle w:val="FootnoteReference"/>
        </w:rPr>
        <w:footnoteReference w:id="185"/>
      </w:r>
      <w:r w:rsidRPr="00CE1D7F">
        <w:t xml:space="preserve"> was conducted for this analysis (see </w:t>
      </w:r>
      <w:r w:rsidRPr="00F87D0E">
        <w:fldChar w:fldCharType="begin"/>
      </w:r>
      <w:r w:rsidRPr="00F87D0E">
        <w:instrText xml:space="preserve"> REF _Ref129337924 \h  \* MERGEFORMAT </w:instrText>
      </w:r>
      <w:r w:rsidRPr="00F87D0E">
        <w:fldChar w:fldCharType="separate"/>
      </w:r>
      <w:r w:rsidR="000B0AC7" w:rsidRPr="000B0AC7">
        <w:t>Table 10.2</w:t>
      </w:r>
      <w:r w:rsidRPr="00F87D0E">
        <w:fldChar w:fldCharType="end"/>
      </w:r>
      <w:r w:rsidRPr="00CE1D7F">
        <w:t xml:space="preserve"> above). Sensitivity testing at these 3 rates shows that although the magnitude of the NPV changes at these 3 rates, the NPV remains positive even at a high discount rate of 10%. </w:t>
      </w:r>
    </w:p>
    <w:p w14:paraId="790BD7DE" w14:textId="028422CF" w:rsidR="002B32A0" w:rsidRPr="00CE1D7F" w:rsidRDefault="002B32A0" w:rsidP="002B32A0">
      <w:pPr>
        <w:rPr>
          <w:b/>
        </w:rPr>
      </w:pPr>
      <w:r w:rsidRPr="00CE1D7F">
        <w:t xml:space="preserve">Sensitivity testing was also conducted for the value of lobster per kilogram. The central case was $100/kg based on discussions with Ornatas. The CBA results were tested with a lower bound value of lobster of $50/kg (50% below the central case) and an upper bound value of lobster of $75/kg (50% above the central case). The results in </w:t>
      </w:r>
      <w:r w:rsidRPr="00F87D0E">
        <w:fldChar w:fldCharType="begin"/>
      </w:r>
      <w:r w:rsidRPr="00F87D0E">
        <w:instrText xml:space="preserve"> REF _Ref129338002 \h  \* MERGEFORMAT </w:instrText>
      </w:r>
      <w:r w:rsidRPr="00F87D0E">
        <w:fldChar w:fldCharType="separate"/>
      </w:r>
      <w:r w:rsidR="000B0AC7" w:rsidRPr="000B0AC7">
        <w:t>Table 10.3</w:t>
      </w:r>
      <w:r w:rsidRPr="00F87D0E">
        <w:fldChar w:fldCharType="end"/>
      </w:r>
      <w:r w:rsidRPr="00CE1D7F">
        <w:t xml:space="preserve"> show </w:t>
      </w:r>
      <w:bookmarkStart w:id="456" w:name="_Hlk128388215"/>
      <w:r w:rsidRPr="00CE1D7F">
        <w:t>that the Net Present Value would fall from $201.1</w:t>
      </w:r>
      <w:r>
        <w:t> million</w:t>
      </w:r>
      <w:r w:rsidRPr="00CE1D7F">
        <w:t xml:space="preserve"> to $52.2</w:t>
      </w:r>
      <w:r>
        <w:t> million</w:t>
      </w:r>
      <w:r w:rsidRPr="00CE1D7F">
        <w:t xml:space="preserve"> and the BCR would fall from 3.08 to 1.54 if the value of lobster fell by 50%. </w:t>
      </w:r>
      <w:bookmarkEnd w:id="456"/>
      <w:r w:rsidRPr="00CE1D7F">
        <w:t>Whereas the NPV would rise to $349.9</w:t>
      </w:r>
      <w:r>
        <w:t> million</w:t>
      </w:r>
      <w:r w:rsidRPr="00CE1D7F">
        <w:t xml:space="preserve"> and the BCR would rise to 4.62 if the value of lobster increased by 50%. The NPV remains positive even at the lower bound test of $50/kg. This demonstrates that the estimated benefits of this project outweigh the project costs, even under significantly more conservative assumptions. </w:t>
      </w:r>
    </w:p>
    <w:p w14:paraId="56654FAA" w14:textId="3819D192" w:rsidR="002B32A0" w:rsidRPr="00CE1D7F" w:rsidRDefault="002B32A0" w:rsidP="000B0AC7">
      <w:pPr>
        <w:pStyle w:val="Caption"/>
        <w:ind w:left="1308" w:hanging="1308"/>
        <w:rPr>
          <w:bCs/>
        </w:rPr>
      </w:pPr>
      <w:bookmarkStart w:id="457" w:name="_Ref129338002"/>
      <w:r w:rsidRPr="00CE1D7F">
        <w:rPr>
          <w:rStyle w:val="CaptionLabel"/>
        </w:rPr>
        <w:t>Table </w:t>
      </w:r>
      <w:r w:rsidRPr="00CE1D7F">
        <w:rPr>
          <w:rStyle w:val="CaptionLabel"/>
        </w:rPr>
        <w:fldChar w:fldCharType="begin"/>
      </w:r>
      <w:r w:rsidRPr="00CE1D7F">
        <w:rPr>
          <w:rStyle w:val="CaptionLabel"/>
        </w:rPr>
        <w:instrText xml:space="preserve"> STYLEREF 1 \S \* MERGEFORMAT </w:instrText>
      </w:r>
      <w:r w:rsidRPr="00CE1D7F">
        <w:rPr>
          <w:rStyle w:val="CaptionLabel"/>
        </w:rPr>
        <w:fldChar w:fldCharType="separate"/>
      </w:r>
      <w:r w:rsidR="000B0AC7">
        <w:rPr>
          <w:rStyle w:val="CaptionLabel"/>
          <w:noProof/>
        </w:rPr>
        <w:t>10</w:t>
      </w:r>
      <w:r w:rsidRPr="00CE1D7F">
        <w:rPr>
          <w:rStyle w:val="CaptionLabel"/>
        </w:rPr>
        <w:fldChar w:fldCharType="end"/>
      </w:r>
      <w:r w:rsidRPr="00CE1D7F">
        <w:rPr>
          <w:rStyle w:val="CaptionLabel"/>
        </w:rPr>
        <w:t>.</w:t>
      </w:r>
      <w:r w:rsidRPr="00CE1D7F">
        <w:rPr>
          <w:rStyle w:val="CaptionLabel"/>
        </w:rPr>
        <w:fldChar w:fldCharType="begin"/>
      </w:r>
      <w:r w:rsidRPr="00CE1D7F">
        <w:rPr>
          <w:rStyle w:val="CaptionLabel"/>
        </w:rPr>
        <w:instrText xml:space="preserve"> SEQ Table \* ARABIC \S 1 \* MERGEFORMAT </w:instrText>
      </w:r>
      <w:r w:rsidRPr="00CE1D7F">
        <w:rPr>
          <w:rStyle w:val="CaptionLabel"/>
        </w:rPr>
        <w:fldChar w:fldCharType="separate"/>
      </w:r>
      <w:r w:rsidR="000B0AC7">
        <w:rPr>
          <w:rStyle w:val="CaptionLabel"/>
          <w:noProof/>
        </w:rPr>
        <w:t>3</w:t>
      </w:r>
      <w:r w:rsidRPr="00CE1D7F">
        <w:rPr>
          <w:rStyle w:val="CaptionLabel"/>
        </w:rPr>
        <w:fldChar w:fldCharType="end"/>
      </w:r>
      <w:bookmarkEnd w:id="457"/>
      <w:r w:rsidRPr="00CE1D7F">
        <w:rPr>
          <w:rStyle w:val="CaptionLabel"/>
        </w:rPr>
        <w:tab/>
      </w:r>
      <w:r w:rsidRPr="00CE1D7F">
        <w:rPr>
          <w:rStyle w:val="CaptionLabel"/>
          <w:b w:val="0"/>
        </w:rPr>
        <w:t>Sensitivity testing value of lobster (7% DR, 2022$)</w:t>
      </w:r>
    </w:p>
    <w:tbl>
      <w:tblPr>
        <w:tblStyle w:val="aacTableBasic"/>
        <w:tblW w:w="7929" w:type="dxa"/>
        <w:tblLayout w:type="fixed"/>
        <w:tblLook w:val="04A0" w:firstRow="1" w:lastRow="0" w:firstColumn="1" w:lastColumn="0" w:noHBand="0" w:noVBand="1"/>
        <w:tblCaption w:val="Table 10.3"/>
        <w:tblDescription w:val="Sensitivity testing value of lobster (7% DR, 2022$)"/>
      </w:tblPr>
      <w:tblGrid>
        <w:gridCol w:w="1132"/>
        <w:gridCol w:w="2264"/>
        <w:gridCol w:w="2264"/>
        <w:gridCol w:w="2205"/>
        <w:gridCol w:w="64"/>
      </w:tblGrid>
      <w:tr w:rsidR="002B32A0" w:rsidRPr="00CE1D7F" w14:paraId="3C1E2D67" w14:textId="77777777" w:rsidTr="000B0AC7">
        <w:trPr>
          <w:cnfStyle w:val="100000000000" w:firstRow="1" w:lastRow="0" w:firstColumn="0" w:lastColumn="0" w:oddVBand="0" w:evenVBand="0" w:oddHBand="0" w:evenHBand="0" w:firstRowFirstColumn="0" w:firstRowLastColumn="0" w:lastRowFirstColumn="0" w:lastRowLastColumn="0"/>
          <w:trHeight w:val="323"/>
        </w:trPr>
        <w:tc>
          <w:tcPr>
            <w:tcW w:w="1132" w:type="dxa"/>
            <w:tcBorders>
              <w:top w:val="nil"/>
            </w:tcBorders>
            <w:shd w:val="solid" w:color="140034" w:fill="140034"/>
            <w:noWrap/>
            <w:tcMar>
              <w:left w:w="80" w:type="dxa"/>
            </w:tcMar>
          </w:tcPr>
          <w:p w14:paraId="07AE1BE1" w14:textId="77777777" w:rsidR="002B32A0" w:rsidRPr="00CE1D7F" w:rsidRDefault="002B32A0" w:rsidP="006258ED">
            <w:pPr>
              <w:pStyle w:val="Tablecolumnheadings"/>
              <w:rPr>
                <w:lang w:eastAsia="ja-JP"/>
              </w:rPr>
            </w:pPr>
          </w:p>
        </w:tc>
        <w:tc>
          <w:tcPr>
            <w:tcW w:w="2264" w:type="dxa"/>
            <w:tcBorders>
              <w:top w:val="nil"/>
            </w:tcBorders>
            <w:shd w:val="solid" w:color="140034" w:fill="140034"/>
            <w:noWrap/>
            <w:hideMark/>
          </w:tcPr>
          <w:p w14:paraId="3D704887" w14:textId="77777777" w:rsidR="002B32A0" w:rsidRPr="00CE1D7F" w:rsidRDefault="002B32A0" w:rsidP="006258ED">
            <w:pPr>
              <w:pStyle w:val="Tablecolumnheadings"/>
              <w:jc w:val="center"/>
              <w:rPr>
                <w:rFonts w:ascii="Calibri" w:hAnsi="Calibri" w:cs="Calibri"/>
                <w:color w:val="000000"/>
                <w:lang w:eastAsia="ja-JP"/>
              </w:rPr>
            </w:pPr>
            <w:r w:rsidRPr="00CE1D7F">
              <w:t>Value of lobster $50/kg</w:t>
            </w:r>
          </w:p>
        </w:tc>
        <w:tc>
          <w:tcPr>
            <w:tcW w:w="2264" w:type="dxa"/>
            <w:tcBorders>
              <w:top w:val="nil"/>
            </w:tcBorders>
            <w:shd w:val="solid" w:color="140034" w:fill="140034"/>
            <w:noWrap/>
            <w:hideMark/>
          </w:tcPr>
          <w:p w14:paraId="179B28F4" w14:textId="77777777" w:rsidR="002B32A0" w:rsidRPr="00CE1D7F" w:rsidRDefault="002B32A0" w:rsidP="006258ED">
            <w:pPr>
              <w:pStyle w:val="Tablecolumnheadings"/>
              <w:jc w:val="center"/>
              <w:rPr>
                <w:rFonts w:ascii="Calibri" w:hAnsi="Calibri" w:cs="Calibri"/>
                <w:color w:val="000000"/>
                <w:lang w:eastAsia="ja-JP"/>
              </w:rPr>
            </w:pPr>
            <w:r w:rsidRPr="00CE1D7F">
              <w:t>Value of lobster $100/kg</w:t>
            </w:r>
          </w:p>
        </w:tc>
        <w:tc>
          <w:tcPr>
            <w:tcW w:w="2269" w:type="dxa"/>
            <w:gridSpan w:val="2"/>
            <w:tcBorders>
              <w:top w:val="nil"/>
            </w:tcBorders>
            <w:shd w:val="solid" w:color="140034" w:fill="140034"/>
            <w:noWrap/>
            <w:hideMark/>
          </w:tcPr>
          <w:p w14:paraId="367EDE2D" w14:textId="77777777" w:rsidR="002B32A0" w:rsidRPr="00CE1D7F" w:rsidRDefault="002B32A0" w:rsidP="006258ED">
            <w:pPr>
              <w:pStyle w:val="Tablecolumnheadings"/>
              <w:jc w:val="center"/>
              <w:rPr>
                <w:rFonts w:ascii="Calibri" w:hAnsi="Calibri" w:cs="Calibri"/>
                <w:color w:val="000000"/>
                <w:lang w:eastAsia="ja-JP"/>
              </w:rPr>
            </w:pPr>
            <w:r w:rsidRPr="00CE1D7F">
              <w:t>Value of lobster $150/kg</w:t>
            </w:r>
          </w:p>
        </w:tc>
      </w:tr>
      <w:tr w:rsidR="002B32A0" w:rsidRPr="00CE1D7F" w14:paraId="4472A64A" w14:textId="77777777" w:rsidTr="000B0AC7">
        <w:trPr>
          <w:trHeight w:val="298"/>
        </w:trPr>
        <w:tc>
          <w:tcPr>
            <w:tcW w:w="1132" w:type="dxa"/>
            <w:noWrap/>
            <w:tcMar>
              <w:left w:w="80" w:type="dxa"/>
            </w:tcMar>
            <w:hideMark/>
          </w:tcPr>
          <w:p w14:paraId="6CC0A613" w14:textId="77777777" w:rsidR="002B32A0" w:rsidRPr="00CE1D7F" w:rsidRDefault="002B32A0" w:rsidP="006258ED">
            <w:pPr>
              <w:pStyle w:val="Tabletext"/>
              <w:rPr>
                <w:szCs w:val="20"/>
              </w:rPr>
            </w:pPr>
            <w:r w:rsidRPr="00CE1D7F">
              <w:rPr>
                <w:szCs w:val="20"/>
              </w:rPr>
              <w:t>Costs</w:t>
            </w:r>
          </w:p>
        </w:tc>
        <w:tc>
          <w:tcPr>
            <w:tcW w:w="2264" w:type="dxa"/>
            <w:noWrap/>
            <w:hideMark/>
          </w:tcPr>
          <w:p w14:paraId="35B0290E" w14:textId="77777777" w:rsidR="002B32A0" w:rsidRPr="00CE1D7F" w:rsidRDefault="002B32A0" w:rsidP="006258ED">
            <w:pPr>
              <w:pStyle w:val="Tabletext"/>
              <w:jc w:val="center"/>
              <w:rPr>
                <w:b/>
                <w:bCs/>
                <w:szCs w:val="20"/>
              </w:rPr>
            </w:pPr>
            <w:r w:rsidRPr="00CE1D7F">
              <w:t>$96,661,971</w:t>
            </w:r>
          </w:p>
        </w:tc>
        <w:tc>
          <w:tcPr>
            <w:tcW w:w="2264" w:type="dxa"/>
            <w:noWrap/>
            <w:hideMark/>
          </w:tcPr>
          <w:p w14:paraId="4223C531" w14:textId="77777777" w:rsidR="002B32A0" w:rsidRPr="00CE1D7F" w:rsidRDefault="002B32A0" w:rsidP="006258ED">
            <w:pPr>
              <w:pStyle w:val="Tabletext"/>
              <w:jc w:val="center"/>
              <w:rPr>
                <w:szCs w:val="20"/>
              </w:rPr>
            </w:pPr>
            <w:r w:rsidRPr="00CE1D7F">
              <w:t>$96,661,971</w:t>
            </w:r>
          </w:p>
        </w:tc>
        <w:tc>
          <w:tcPr>
            <w:tcW w:w="2269" w:type="dxa"/>
            <w:gridSpan w:val="2"/>
            <w:noWrap/>
            <w:hideMark/>
          </w:tcPr>
          <w:p w14:paraId="7150D119" w14:textId="77777777" w:rsidR="002B32A0" w:rsidRPr="00CE1D7F" w:rsidRDefault="002B32A0" w:rsidP="006258ED">
            <w:pPr>
              <w:pStyle w:val="Tabletext"/>
              <w:jc w:val="center"/>
              <w:rPr>
                <w:szCs w:val="20"/>
              </w:rPr>
            </w:pPr>
            <w:r w:rsidRPr="00CE1D7F">
              <w:t>$96,661,971</w:t>
            </w:r>
          </w:p>
        </w:tc>
      </w:tr>
      <w:tr w:rsidR="002B32A0" w:rsidRPr="00CE1D7F" w14:paraId="57E1D338" w14:textId="77777777" w:rsidTr="000B0AC7">
        <w:trPr>
          <w:trHeight w:val="298"/>
        </w:trPr>
        <w:tc>
          <w:tcPr>
            <w:tcW w:w="1132" w:type="dxa"/>
            <w:noWrap/>
            <w:tcMar>
              <w:left w:w="80" w:type="dxa"/>
            </w:tcMar>
            <w:hideMark/>
          </w:tcPr>
          <w:p w14:paraId="7D62489C" w14:textId="77777777" w:rsidR="002B32A0" w:rsidRPr="00CE1D7F" w:rsidRDefault="002B32A0" w:rsidP="006258ED">
            <w:pPr>
              <w:pStyle w:val="Tabletext"/>
              <w:rPr>
                <w:szCs w:val="20"/>
              </w:rPr>
            </w:pPr>
            <w:r w:rsidRPr="00CE1D7F">
              <w:rPr>
                <w:szCs w:val="20"/>
              </w:rPr>
              <w:t>Benefits</w:t>
            </w:r>
          </w:p>
        </w:tc>
        <w:tc>
          <w:tcPr>
            <w:tcW w:w="2264" w:type="dxa"/>
            <w:noWrap/>
            <w:hideMark/>
          </w:tcPr>
          <w:p w14:paraId="3E887FCF" w14:textId="77777777" w:rsidR="002B32A0" w:rsidRPr="00CE1D7F" w:rsidRDefault="002B32A0" w:rsidP="006258ED">
            <w:pPr>
              <w:pStyle w:val="Tabletext"/>
              <w:jc w:val="center"/>
              <w:rPr>
                <w:b/>
                <w:bCs/>
                <w:szCs w:val="20"/>
              </w:rPr>
            </w:pPr>
            <w:r w:rsidRPr="00CE1D7F">
              <w:t>$148,862,398</w:t>
            </w:r>
          </w:p>
        </w:tc>
        <w:tc>
          <w:tcPr>
            <w:tcW w:w="2264" w:type="dxa"/>
            <w:noWrap/>
            <w:hideMark/>
          </w:tcPr>
          <w:p w14:paraId="159BFAD9" w14:textId="77777777" w:rsidR="002B32A0" w:rsidRPr="00CE1D7F" w:rsidRDefault="002B32A0" w:rsidP="006258ED">
            <w:pPr>
              <w:pStyle w:val="Tabletext"/>
              <w:jc w:val="center"/>
              <w:rPr>
                <w:szCs w:val="20"/>
              </w:rPr>
            </w:pPr>
            <w:r w:rsidRPr="00CE1D7F">
              <w:t>$297,724,797</w:t>
            </w:r>
          </w:p>
        </w:tc>
        <w:tc>
          <w:tcPr>
            <w:tcW w:w="2269" w:type="dxa"/>
            <w:gridSpan w:val="2"/>
            <w:noWrap/>
            <w:hideMark/>
          </w:tcPr>
          <w:p w14:paraId="1BF317B9" w14:textId="77777777" w:rsidR="002B32A0" w:rsidRPr="00CE1D7F" w:rsidRDefault="002B32A0" w:rsidP="006258ED">
            <w:pPr>
              <w:pStyle w:val="Tabletext"/>
              <w:jc w:val="center"/>
              <w:rPr>
                <w:szCs w:val="20"/>
              </w:rPr>
            </w:pPr>
            <w:r w:rsidRPr="00CE1D7F">
              <w:t>$446,587,195</w:t>
            </w:r>
          </w:p>
        </w:tc>
      </w:tr>
      <w:tr w:rsidR="002B32A0" w:rsidRPr="00CE1D7F" w14:paraId="3D7C959C" w14:textId="77777777" w:rsidTr="000B0AC7">
        <w:trPr>
          <w:trHeight w:val="298"/>
        </w:trPr>
        <w:tc>
          <w:tcPr>
            <w:tcW w:w="1132" w:type="dxa"/>
            <w:noWrap/>
            <w:tcMar>
              <w:left w:w="80" w:type="dxa"/>
            </w:tcMar>
            <w:hideMark/>
          </w:tcPr>
          <w:p w14:paraId="0D710255" w14:textId="77777777" w:rsidR="002B32A0" w:rsidRPr="00CE1D7F" w:rsidRDefault="002B32A0" w:rsidP="006258ED">
            <w:pPr>
              <w:pStyle w:val="Tabletext"/>
              <w:rPr>
                <w:b/>
                <w:bCs/>
                <w:szCs w:val="20"/>
              </w:rPr>
            </w:pPr>
            <w:r w:rsidRPr="00CE1D7F">
              <w:rPr>
                <w:b/>
                <w:bCs/>
                <w:szCs w:val="20"/>
              </w:rPr>
              <w:t>Net impact</w:t>
            </w:r>
          </w:p>
        </w:tc>
        <w:tc>
          <w:tcPr>
            <w:tcW w:w="2264" w:type="dxa"/>
            <w:noWrap/>
            <w:hideMark/>
          </w:tcPr>
          <w:p w14:paraId="43733B70" w14:textId="77777777" w:rsidR="002B32A0" w:rsidRPr="00CE1D7F" w:rsidRDefault="002B32A0" w:rsidP="006258ED">
            <w:pPr>
              <w:pStyle w:val="Tabletext"/>
              <w:jc w:val="center"/>
              <w:rPr>
                <w:b/>
                <w:bCs/>
                <w:szCs w:val="20"/>
              </w:rPr>
            </w:pPr>
            <w:r w:rsidRPr="00CE1D7F">
              <w:rPr>
                <w:b/>
                <w:bCs/>
              </w:rPr>
              <w:t>$52,200,428</w:t>
            </w:r>
          </w:p>
        </w:tc>
        <w:tc>
          <w:tcPr>
            <w:tcW w:w="2264" w:type="dxa"/>
            <w:noWrap/>
            <w:hideMark/>
          </w:tcPr>
          <w:p w14:paraId="36BC193F" w14:textId="77777777" w:rsidR="002B32A0" w:rsidRPr="00CE1D7F" w:rsidRDefault="002B32A0" w:rsidP="006258ED">
            <w:pPr>
              <w:pStyle w:val="Tabletext"/>
              <w:jc w:val="center"/>
              <w:rPr>
                <w:b/>
                <w:bCs/>
                <w:szCs w:val="20"/>
              </w:rPr>
            </w:pPr>
            <w:bookmarkStart w:id="458" w:name="_Hlk128390760"/>
            <w:r w:rsidRPr="00CE1D7F">
              <w:rPr>
                <w:b/>
                <w:bCs/>
              </w:rPr>
              <w:t>$201,062,826</w:t>
            </w:r>
            <w:bookmarkEnd w:id="458"/>
          </w:p>
        </w:tc>
        <w:tc>
          <w:tcPr>
            <w:tcW w:w="2269" w:type="dxa"/>
            <w:gridSpan w:val="2"/>
            <w:noWrap/>
            <w:hideMark/>
          </w:tcPr>
          <w:p w14:paraId="69214C64" w14:textId="77777777" w:rsidR="002B32A0" w:rsidRPr="00CE1D7F" w:rsidRDefault="002B32A0" w:rsidP="006258ED">
            <w:pPr>
              <w:pStyle w:val="Tabletext"/>
              <w:jc w:val="center"/>
              <w:rPr>
                <w:b/>
                <w:bCs/>
                <w:szCs w:val="20"/>
              </w:rPr>
            </w:pPr>
            <w:r w:rsidRPr="00CE1D7F">
              <w:rPr>
                <w:b/>
                <w:bCs/>
              </w:rPr>
              <w:t>$349,925,224</w:t>
            </w:r>
          </w:p>
        </w:tc>
      </w:tr>
      <w:tr w:rsidR="002B32A0" w:rsidRPr="00CE1D7F" w14:paraId="5321AD7D" w14:textId="77777777" w:rsidTr="000B0AC7">
        <w:trPr>
          <w:trHeight w:val="298"/>
        </w:trPr>
        <w:tc>
          <w:tcPr>
            <w:tcW w:w="1132" w:type="dxa"/>
            <w:noWrap/>
            <w:tcMar>
              <w:left w:w="80" w:type="dxa"/>
            </w:tcMar>
            <w:hideMark/>
          </w:tcPr>
          <w:p w14:paraId="6F84501F" w14:textId="77777777" w:rsidR="002B32A0" w:rsidRPr="00CE1D7F" w:rsidRDefault="002B32A0" w:rsidP="006258ED">
            <w:pPr>
              <w:pStyle w:val="Tabletext"/>
              <w:rPr>
                <w:b/>
                <w:bCs/>
                <w:szCs w:val="20"/>
              </w:rPr>
            </w:pPr>
            <w:r w:rsidRPr="00CE1D7F">
              <w:rPr>
                <w:b/>
                <w:bCs/>
                <w:szCs w:val="20"/>
              </w:rPr>
              <w:t>BCR</w:t>
            </w:r>
          </w:p>
        </w:tc>
        <w:tc>
          <w:tcPr>
            <w:tcW w:w="2264" w:type="dxa"/>
            <w:noWrap/>
            <w:hideMark/>
          </w:tcPr>
          <w:p w14:paraId="420295EB" w14:textId="77777777" w:rsidR="002B32A0" w:rsidRPr="00CE1D7F" w:rsidRDefault="002B32A0" w:rsidP="006258ED">
            <w:pPr>
              <w:pStyle w:val="Tabletext"/>
              <w:jc w:val="center"/>
              <w:rPr>
                <w:b/>
                <w:bCs/>
                <w:szCs w:val="20"/>
              </w:rPr>
            </w:pPr>
            <w:r w:rsidRPr="00CE1D7F">
              <w:rPr>
                <w:b/>
                <w:bCs/>
              </w:rPr>
              <w:t>1.54</w:t>
            </w:r>
          </w:p>
        </w:tc>
        <w:tc>
          <w:tcPr>
            <w:tcW w:w="2264" w:type="dxa"/>
            <w:noWrap/>
            <w:hideMark/>
          </w:tcPr>
          <w:p w14:paraId="783E3E7F" w14:textId="77777777" w:rsidR="002B32A0" w:rsidRPr="00CE1D7F" w:rsidRDefault="002B32A0" w:rsidP="006258ED">
            <w:pPr>
              <w:pStyle w:val="Tabletext"/>
              <w:jc w:val="center"/>
              <w:rPr>
                <w:b/>
                <w:bCs/>
                <w:szCs w:val="20"/>
              </w:rPr>
            </w:pPr>
            <w:r w:rsidRPr="00CE1D7F">
              <w:rPr>
                <w:b/>
                <w:bCs/>
              </w:rPr>
              <w:t>3.08</w:t>
            </w:r>
          </w:p>
        </w:tc>
        <w:tc>
          <w:tcPr>
            <w:tcW w:w="2269" w:type="dxa"/>
            <w:gridSpan w:val="2"/>
            <w:noWrap/>
            <w:hideMark/>
          </w:tcPr>
          <w:p w14:paraId="06F07E15" w14:textId="77777777" w:rsidR="002B32A0" w:rsidRPr="00CE1D7F" w:rsidRDefault="002B32A0" w:rsidP="006258ED">
            <w:pPr>
              <w:pStyle w:val="Tabletext"/>
              <w:jc w:val="center"/>
              <w:rPr>
                <w:b/>
                <w:bCs/>
                <w:szCs w:val="20"/>
              </w:rPr>
            </w:pPr>
            <w:r w:rsidRPr="00CE1D7F">
              <w:rPr>
                <w:b/>
                <w:bCs/>
              </w:rPr>
              <w:t>4.62</w:t>
            </w:r>
          </w:p>
        </w:tc>
      </w:tr>
      <w:tr w:rsidR="002B32A0" w:rsidRPr="00CE1D7F" w14:paraId="5EA5D314" w14:textId="77777777" w:rsidTr="000B0AC7">
        <w:trPr>
          <w:gridAfter w:val="1"/>
          <w:wAfter w:w="64" w:type="dxa"/>
          <w:trHeight w:val="85"/>
        </w:trPr>
        <w:tc>
          <w:tcPr>
            <w:tcW w:w="7865" w:type="dxa"/>
            <w:gridSpan w:val="4"/>
            <w:tcMar>
              <w:left w:w="80" w:type="dxa"/>
            </w:tcMar>
            <w:hideMark/>
          </w:tcPr>
          <w:p w14:paraId="4E0987A6" w14:textId="77777777" w:rsidR="002B32A0" w:rsidRPr="00CE1D7F" w:rsidRDefault="002B32A0" w:rsidP="006258ED">
            <w:pPr>
              <w:pStyle w:val="Source"/>
              <w:spacing w:line="256" w:lineRule="auto"/>
            </w:pPr>
            <w:r w:rsidRPr="00CE1D7F">
              <w:t>Source: ACIL Allen</w:t>
            </w:r>
          </w:p>
        </w:tc>
      </w:tr>
    </w:tbl>
    <w:p w14:paraId="62FFD3EA" w14:textId="77777777" w:rsidR="000B0AC7" w:rsidRPr="00CE1D7F" w:rsidRDefault="000B0AC7" w:rsidP="000B0AC7">
      <w:pPr>
        <w:pStyle w:val="spacer"/>
        <w:spacing w:line="256" w:lineRule="auto"/>
        <w:rPr>
          <w:lang w:eastAsia="ja-JP"/>
        </w:rPr>
      </w:pPr>
    </w:p>
    <w:p w14:paraId="4C0AC95E" w14:textId="45D68B67" w:rsidR="002B32A0" w:rsidRPr="00CE1D7F" w:rsidRDefault="002B32A0" w:rsidP="002B32A0">
      <w:pPr>
        <w:pStyle w:val="BodyText"/>
      </w:pPr>
      <w:bookmarkStart w:id="459" w:name="_Hlk128656251"/>
      <w:r w:rsidRPr="00CE1D7F">
        <w:t xml:space="preserve">Sensitivity testing was also conducted for the attribution of benefits to ARC. The central case was an attribution of 50%. The CBA results were tested with a lower bound attribution of 40% and an upper bound attribution of 60%. The results in </w:t>
      </w:r>
      <w:r w:rsidRPr="00F87D0E">
        <w:fldChar w:fldCharType="begin"/>
      </w:r>
      <w:r w:rsidRPr="00F87D0E">
        <w:instrText xml:space="preserve"> REF _Ref129338028 \h  \* MERGEFORMAT </w:instrText>
      </w:r>
      <w:r w:rsidRPr="00F87D0E">
        <w:fldChar w:fldCharType="separate"/>
      </w:r>
      <w:r w:rsidR="000B0AC7" w:rsidRPr="000B0AC7">
        <w:t>Table 10.4</w:t>
      </w:r>
      <w:r w:rsidRPr="00F87D0E">
        <w:fldChar w:fldCharType="end"/>
      </w:r>
      <w:r w:rsidRPr="00CE1D7F">
        <w:t xml:space="preserve"> show that the NPV would fall from $201.1</w:t>
      </w:r>
      <w:r>
        <w:t> million</w:t>
      </w:r>
      <w:r w:rsidRPr="00CE1D7F">
        <w:t xml:space="preserve"> to $141.5</w:t>
      </w:r>
      <w:r>
        <w:t> million</w:t>
      </w:r>
      <w:r w:rsidRPr="00CE1D7F">
        <w:t xml:space="preserve"> and the BCR would fall from 3.08 to 2.46 if the attribution is reduced to 40%. Whereas the Net Present Value would rise to $260.6</w:t>
      </w:r>
      <w:r>
        <w:t> million</w:t>
      </w:r>
      <w:r w:rsidRPr="00CE1D7F">
        <w:t xml:space="preserve"> and the BCR would rise to 3.70 if the attribution was increased to 100%. The CBA is positive at all 3 discount rates. </w:t>
      </w:r>
    </w:p>
    <w:p w14:paraId="54DC088B" w14:textId="4DE0C558" w:rsidR="002B32A0" w:rsidRPr="00CE1D7F" w:rsidRDefault="002B32A0" w:rsidP="000B0AC7">
      <w:pPr>
        <w:pStyle w:val="Caption"/>
        <w:ind w:left="1290" w:hanging="1308"/>
        <w:rPr>
          <w:bCs/>
        </w:rPr>
      </w:pPr>
      <w:bookmarkStart w:id="460" w:name="_Ref129338028"/>
      <w:r w:rsidRPr="00CE1D7F">
        <w:rPr>
          <w:rStyle w:val="CaptionLabel"/>
        </w:rPr>
        <w:t>Table </w:t>
      </w:r>
      <w:r w:rsidRPr="00CE1D7F">
        <w:rPr>
          <w:rStyle w:val="CaptionLabel"/>
        </w:rPr>
        <w:fldChar w:fldCharType="begin"/>
      </w:r>
      <w:r w:rsidRPr="00CE1D7F">
        <w:rPr>
          <w:rStyle w:val="CaptionLabel"/>
        </w:rPr>
        <w:instrText xml:space="preserve"> STYLEREF 1 \S \* MERGEFORMAT </w:instrText>
      </w:r>
      <w:r w:rsidRPr="00CE1D7F">
        <w:rPr>
          <w:rStyle w:val="CaptionLabel"/>
        </w:rPr>
        <w:fldChar w:fldCharType="separate"/>
      </w:r>
      <w:r w:rsidR="000B0AC7">
        <w:rPr>
          <w:rStyle w:val="CaptionLabel"/>
          <w:noProof/>
        </w:rPr>
        <w:t>10</w:t>
      </w:r>
      <w:r w:rsidRPr="00CE1D7F">
        <w:rPr>
          <w:rStyle w:val="CaptionLabel"/>
        </w:rPr>
        <w:fldChar w:fldCharType="end"/>
      </w:r>
      <w:r w:rsidRPr="00CE1D7F">
        <w:rPr>
          <w:rStyle w:val="CaptionLabel"/>
        </w:rPr>
        <w:t>.</w:t>
      </w:r>
      <w:r w:rsidRPr="00CE1D7F">
        <w:rPr>
          <w:rStyle w:val="CaptionLabel"/>
        </w:rPr>
        <w:fldChar w:fldCharType="begin"/>
      </w:r>
      <w:r w:rsidRPr="00CE1D7F">
        <w:rPr>
          <w:rStyle w:val="CaptionLabel"/>
        </w:rPr>
        <w:instrText xml:space="preserve"> SEQ Table \* ARABIC \S 1 \* MERGEFORMAT </w:instrText>
      </w:r>
      <w:r w:rsidRPr="00CE1D7F">
        <w:rPr>
          <w:rStyle w:val="CaptionLabel"/>
        </w:rPr>
        <w:fldChar w:fldCharType="separate"/>
      </w:r>
      <w:r w:rsidR="000B0AC7">
        <w:rPr>
          <w:rStyle w:val="CaptionLabel"/>
          <w:noProof/>
        </w:rPr>
        <w:t>4</w:t>
      </w:r>
      <w:r w:rsidRPr="00CE1D7F">
        <w:rPr>
          <w:rStyle w:val="CaptionLabel"/>
        </w:rPr>
        <w:fldChar w:fldCharType="end"/>
      </w:r>
      <w:bookmarkEnd w:id="460"/>
      <w:r w:rsidRPr="00CE1D7F">
        <w:rPr>
          <w:rStyle w:val="CaptionLabel"/>
        </w:rPr>
        <w:tab/>
      </w:r>
      <w:r w:rsidRPr="00CE1D7F">
        <w:rPr>
          <w:rStyle w:val="CaptionLabel"/>
          <w:b w:val="0"/>
        </w:rPr>
        <w:t>Sensitivity testing attribution to ARC (7% DR, 2022$)</w:t>
      </w:r>
    </w:p>
    <w:tbl>
      <w:tblPr>
        <w:tblStyle w:val="aacTableBasic"/>
        <w:tblW w:w="7954" w:type="dxa"/>
        <w:tblInd w:w="-18" w:type="dxa"/>
        <w:tblLayout w:type="fixed"/>
        <w:tblLook w:val="04A0" w:firstRow="1" w:lastRow="0" w:firstColumn="1" w:lastColumn="0" w:noHBand="0" w:noVBand="1"/>
        <w:tblCaption w:val="Table 10.4"/>
        <w:tblDescription w:val="Sensitivity testing attribution to ARC (7% DR, 2022$)"/>
      </w:tblPr>
      <w:tblGrid>
        <w:gridCol w:w="1134"/>
        <w:gridCol w:w="2273"/>
        <w:gridCol w:w="2273"/>
        <w:gridCol w:w="2185"/>
        <w:gridCol w:w="89"/>
      </w:tblGrid>
      <w:tr w:rsidR="002B32A0" w:rsidRPr="00CE1D7F" w14:paraId="061FDCE4" w14:textId="77777777" w:rsidTr="000B0AC7">
        <w:trPr>
          <w:cnfStyle w:val="100000000000" w:firstRow="1" w:lastRow="0" w:firstColumn="0" w:lastColumn="0" w:oddVBand="0" w:evenVBand="0" w:oddHBand="0" w:evenHBand="0" w:firstRowFirstColumn="0" w:firstRowLastColumn="0" w:lastRowFirstColumn="0" w:lastRowLastColumn="0"/>
          <w:trHeight w:val="323"/>
        </w:trPr>
        <w:tc>
          <w:tcPr>
            <w:tcW w:w="1134" w:type="dxa"/>
            <w:tcBorders>
              <w:top w:val="nil"/>
            </w:tcBorders>
            <w:shd w:val="solid" w:color="140034" w:fill="140034"/>
            <w:noWrap/>
            <w:tcMar>
              <w:left w:w="80" w:type="dxa"/>
            </w:tcMar>
          </w:tcPr>
          <w:p w14:paraId="18409DD5" w14:textId="77777777" w:rsidR="002B32A0" w:rsidRPr="00CE1D7F" w:rsidRDefault="002B32A0" w:rsidP="006258ED">
            <w:pPr>
              <w:pStyle w:val="Tablecolumnheadings"/>
              <w:rPr>
                <w:lang w:eastAsia="ja-JP"/>
              </w:rPr>
            </w:pPr>
          </w:p>
        </w:tc>
        <w:tc>
          <w:tcPr>
            <w:tcW w:w="2273" w:type="dxa"/>
            <w:tcBorders>
              <w:top w:val="nil"/>
            </w:tcBorders>
            <w:shd w:val="solid" w:color="140034" w:fill="140034"/>
            <w:noWrap/>
            <w:hideMark/>
          </w:tcPr>
          <w:p w14:paraId="01F3A5FC" w14:textId="77777777" w:rsidR="002B32A0" w:rsidRPr="00CE1D7F" w:rsidRDefault="002B32A0" w:rsidP="006258ED">
            <w:pPr>
              <w:pStyle w:val="Tablecolumnheadings"/>
              <w:jc w:val="center"/>
              <w:rPr>
                <w:rFonts w:ascii="Calibri" w:hAnsi="Calibri" w:cs="Calibri"/>
                <w:color w:val="000000"/>
                <w:lang w:eastAsia="ja-JP"/>
              </w:rPr>
            </w:pPr>
            <w:r w:rsidRPr="00CE1D7F">
              <w:t>40% attribution</w:t>
            </w:r>
          </w:p>
        </w:tc>
        <w:tc>
          <w:tcPr>
            <w:tcW w:w="2273" w:type="dxa"/>
            <w:tcBorders>
              <w:top w:val="nil"/>
            </w:tcBorders>
            <w:shd w:val="solid" w:color="140034" w:fill="140034"/>
            <w:noWrap/>
            <w:hideMark/>
          </w:tcPr>
          <w:p w14:paraId="7B337176" w14:textId="77777777" w:rsidR="002B32A0" w:rsidRPr="00CE1D7F" w:rsidRDefault="002B32A0" w:rsidP="006258ED">
            <w:pPr>
              <w:pStyle w:val="Tablecolumnheadings"/>
              <w:jc w:val="center"/>
              <w:rPr>
                <w:rFonts w:ascii="Calibri" w:hAnsi="Calibri" w:cs="Calibri"/>
                <w:color w:val="000000"/>
                <w:lang w:eastAsia="ja-JP"/>
              </w:rPr>
            </w:pPr>
            <w:r w:rsidRPr="00CE1D7F">
              <w:t>50% attribution</w:t>
            </w:r>
          </w:p>
        </w:tc>
        <w:tc>
          <w:tcPr>
            <w:tcW w:w="2274" w:type="dxa"/>
            <w:gridSpan w:val="2"/>
            <w:tcBorders>
              <w:top w:val="nil"/>
            </w:tcBorders>
            <w:shd w:val="solid" w:color="140034" w:fill="140034"/>
            <w:noWrap/>
            <w:hideMark/>
          </w:tcPr>
          <w:p w14:paraId="7F94AF8E" w14:textId="77777777" w:rsidR="002B32A0" w:rsidRPr="00CE1D7F" w:rsidRDefault="002B32A0" w:rsidP="006258ED">
            <w:pPr>
              <w:pStyle w:val="Tablecolumnheadings"/>
              <w:jc w:val="center"/>
              <w:rPr>
                <w:rFonts w:ascii="Calibri" w:hAnsi="Calibri" w:cs="Calibri"/>
                <w:color w:val="000000"/>
                <w:lang w:eastAsia="ja-JP"/>
              </w:rPr>
            </w:pPr>
            <w:r w:rsidRPr="00CE1D7F">
              <w:t>60% attribution</w:t>
            </w:r>
          </w:p>
        </w:tc>
      </w:tr>
      <w:tr w:rsidR="002B32A0" w:rsidRPr="00CE1D7F" w14:paraId="5EA202C3" w14:textId="77777777" w:rsidTr="000B0AC7">
        <w:trPr>
          <w:trHeight w:val="298"/>
        </w:trPr>
        <w:tc>
          <w:tcPr>
            <w:tcW w:w="1134" w:type="dxa"/>
            <w:noWrap/>
            <w:tcMar>
              <w:left w:w="80" w:type="dxa"/>
            </w:tcMar>
            <w:hideMark/>
          </w:tcPr>
          <w:p w14:paraId="0F69C583" w14:textId="77777777" w:rsidR="002B32A0" w:rsidRPr="00CE1D7F" w:rsidRDefault="002B32A0" w:rsidP="006258ED">
            <w:pPr>
              <w:pStyle w:val="Tabletext"/>
              <w:rPr>
                <w:szCs w:val="20"/>
              </w:rPr>
            </w:pPr>
            <w:r w:rsidRPr="00CE1D7F">
              <w:rPr>
                <w:szCs w:val="20"/>
              </w:rPr>
              <w:t>Costs</w:t>
            </w:r>
          </w:p>
        </w:tc>
        <w:tc>
          <w:tcPr>
            <w:tcW w:w="2273" w:type="dxa"/>
            <w:noWrap/>
          </w:tcPr>
          <w:p w14:paraId="67CAEC48" w14:textId="77777777" w:rsidR="002B32A0" w:rsidRPr="00CE1D7F" w:rsidRDefault="002B32A0" w:rsidP="006258ED">
            <w:pPr>
              <w:pStyle w:val="Tabletext"/>
              <w:jc w:val="center"/>
              <w:rPr>
                <w:szCs w:val="20"/>
              </w:rPr>
            </w:pPr>
            <w:r w:rsidRPr="00CE1D7F">
              <w:t>$96,661,971</w:t>
            </w:r>
          </w:p>
        </w:tc>
        <w:tc>
          <w:tcPr>
            <w:tcW w:w="2273" w:type="dxa"/>
            <w:noWrap/>
            <w:hideMark/>
          </w:tcPr>
          <w:p w14:paraId="6ED7811C" w14:textId="77777777" w:rsidR="002B32A0" w:rsidRPr="00CE1D7F" w:rsidRDefault="002B32A0" w:rsidP="006258ED">
            <w:pPr>
              <w:pStyle w:val="Tabletext"/>
              <w:jc w:val="center"/>
              <w:rPr>
                <w:szCs w:val="20"/>
              </w:rPr>
            </w:pPr>
            <w:r w:rsidRPr="00CE1D7F">
              <w:t>$96,661,971</w:t>
            </w:r>
          </w:p>
        </w:tc>
        <w:tc>
          <w:tcPr>
            <w:tcW w:w="2274" w:type="dxa"/>
            <w:gridSpan w:val="2"/>
            <w:noWrap/>
          </w:tcPr>
          <w:p w14:paraId="5C811225" w14:textId="77777777" w:rsidR="002B32A0" w:rsidRPr="00CE1D7F" w:rsidRDefault="002B32A0" w:rsidP="006258ED">
            <w:pPr>
              <w:pStyle w:val="Tabletext"/>
              <w:jc w:val="center"/>
              <w:rPr>
                <w:szCs w:val="20"/>
              </w:rPr>
            </w:pPr>
            <w:r w:rsidRPr="00CE1D7F">
              <w:t>$96,661,971</w:t>
            </w:r>
          </w:p>
        </w:tc>
      </w:tr>
      <w:tr w:rsidR="002B32A0" w:rsidRPr="00CE1D7F" w14:paraId="57CB4E56" w14:textId="77777777" w:rsidTr="000B0AC7">
        <w:trPr>
          <w:trHeight w:val="298"/>
        </w:trPr>
        <w:tc>
          <w:tcPr>
            <w:tcW w:w="1134" w:type="dxa"/>
            <w:noWrap/>
            <w:tcMar>
              <w:left w:w="80" w:type="dxa"/>
            </w:tcMar>
            <w:hideMark/>
          </w:tcPr>
          <w:p w14:paraId="0850CD35" w14:textId="77777777" w:rsidR="002B32A0" w:rsidRPr="00CE1D7F" w:rsidRDefault="002B32A0" w:rsidP="006258ED">
            <w:pPr>
              <w:pStyle w:val="Tabletext"/>
              <w:rPr>
                <w:szCs w:val="20"/>
              </w:rPr>
            </w:pPr>
            <w:r w:rsidRPr="00CE1D7F">
              <w:rPr>
                <w:szCs w:val="20"/>
              </w:rPr>
              <w:t>Benefits</w:t>
            </w:r>
          </w:p>
        </w:tc>
        <w:tc>
          <w:tcPr>
            <w:tcW w:w="2273" w:type="dxa"/>
            <w:noWrap/>
          </w:tcPr>
          <w:p w14:paraId="1EDD1FFB" w14:textId="77777777" w:rsidR="002B32A0" w:rsidRPr="00CE1D7F" w:rsidRDefault="002B32A0" w:rsidP="006258ED">
            <w:pPr>
              <w:pStyle w:val="Tabletext"/>
              <w:jc w:val="center"/>
              <w:rPr>
                <w:szCs w:val="20"/>
              </w:rPr>
            </w:pPr>
            <w:r w:rsidRPr="00CE1D7F">
              <w:t>$238,179,837</w:t>
            </w:r>
          </w:p>
        </w:tc>
        <w:tc>
          <w:tcPr>
            <w:tcW w:w="2273" w:type="dxa"/>
            <w:noWrap/>
            <w:hideMark/>
          </w:tcPr>
          <w:p w14:paraId="24209CBA" w14:textId="77777777" w:rsidR="002B32A0" w:rsidRPr="00CE1D7F" w:rsidRDefault="002B32A0" w:rsidP="006258ED">
            <w:pPr>
              <w:pStyle w:val="Tabletext"/>
              <w:jc w:val="center"/>
              <w:rPr>
                <w:szCs w:val="20"/>
              </w:rPr>
            </w:pPr>
            <w:r w:rsidRPr="00CE1D7F">
              <w:t>$297,724,797</w:t>
            </w:r>
          </w:p>
        </w:tc>
        <w:tc>
          <w:tcPr>
            <w:tcW w:w="2274" w:type="dxa"/>
            <w:gridSpan w:val="2"/>
            <w:noWrap/>
          </w:tcPr>
          <w:p w14:paraId="12295C6C" w14:textId="77777777" w:rsidR="002B32A0" w:rsidRPr="00CE1D7F" w:rsidRDefault="002B32A0" w:rsidP="006258ED">
            <w:pPr>
              <w:pStyle w:val="Tabletext"/>
              <w:jc w:val="center"/>
              <w:rPr>
                <w:szCs w:val="20"/>
              </w:rPr>
            </w:pPr>
            <w:r w:rsidRPr="00CE1D7F">
              <w:t>$357,269,756</w:t>
            </w:r>
          </w:p>
        </w:tc>
      </w:tr>
      <w:tr w:rsidR="002B32A0" w:rsidRPr="00CE1D7F" w14:paraId="3E190CD6" w14:textId="77777777" w:rsidTr="000B0AC7">
        <w:trPr>
          <w:trHeight w:val="298"/>
        </w:trPr>
        <w:tc>
          <w:tcPr>
            <w:tcW w:w="1134" w:type="dxa"/>
            <w:noWrap/>
            <w:tcMar>
              <w:left w:w="80" w:type="dxa"/>
            </w:tcMar>
            <w:hideMark/>
          </w:tcPr>
          <w:p w14:paraId="2D890E70" w14:textId="77777777" w:rsidR="002B32A0" w:rsidRPr="00CE1D7F" w:rsidRDefault="002B32A0" w:rsidP="006258ED">
            <w:pPr>
              <w:pStyle w:val="Tabletext"/>
              <w:rPr>
                <w:b/>
                <w:bCs/>
                <w:szCs w:val="20"/>
              </w:rPr>
            </w:pPr>
            <w:r w:rsidRPr="00CE1D7F">
              <w:rPr>
                <w:b/>
                <w:bCs/>
                <w:szCs w:val="20"/>
              </w:rPr>
              <w:t>Net impact</w:t>
            </w:r>
          </w:p>
        </w:tc>
        <w:tc>
          <w:tcPr>
            <w:tcW w:w="2273" w:type="dxa"/>
            <w:noWrap/>
          </w:tcPr>
          <w:p w14:paraId="7DFBA651" w14:textId="77777777" w:rsidR="002B32A0" w:rsidRPr="00CE1D7F" w:rsidRDefault="002B32A0" w:rsidP="006258ED">
            <w:pPr>
              <w:pStyle w:val="Tabletext"/>
              <w:jc w:val="center"/>
              <w:rPr>
                <w:b/>
                <w:bCs/>
                <w:szCs w:val="20"/>
              </w:rPr>
            </w:pPr>
            <w:r w:rsidRPr="00CE1D7F">
              <w:rPr>
                <w:b/>
                <w:bCs/>
              </w:rPr>
              <w:t>$141,517,867</w:t>
            </w:r>
          </w:p>
        </w:tc>
        <w:tc>
          <w:tcPr>
            <w:tcW w:w="2273" w:type="dxa"/>
            <w:noWrap/>
            <w:hideMark/>
          </w:tcPr>
          <w:p w14:paraId="3A286424" w14:textId="77777777" w:rsidR="002B32A0" w:rsidRPr="00CE1D7F" w:rsidRDefault="002B32A0" w:rsidP="006258ED">
            <w:pPr>
              <w:pStyle w:val="Tabletext"/>
              <w:jc w:val="center"/>
              <w:rPr>
                <w:b/>
                <w:bCs/>
                <w:szCs w:val="20"/>
              </w:rPr>
            </w:pPr>
            <w:r w:rsidRPr="00CE1D7F">
              <w:rPr>
                <w:b/>
                <w:bCs/>
              </w:rPr>
              <w:t>$201,062,826</w:t>
            </w:r>
          </w:p>
        </w:tc>
        <w:tc>
          <w:tcPr>
            <w:tcW w:w="2274" w:type="dxa"/>
            <w:gridSpan w:val="2"/>
            <w:noWrap/>
          </w:tcPr>
          <w:p w14:paraId="3A969684" w14:textId="77777777" w:rsidR="002B32A0" w:rsidRPr="00CE1D7F" w:rsidRDefault="002B32A0" w:rsidP="006258ED">
            <w:pPr>
              <w:pStyle w:val="Tabletext"/>
              <w:jc w:val="center"/>
              <w:rPr>
                <w:b/>
                <w:bCs/>
                <w:szCs w:val="20"/>
              </w:rPr>
            </w:pPr>
            <w:r w:rsidRPr="00CE1D7F">
              <w:rPr>
                <w:b/>
                <w:bCs/>
              </w:rPr>
              <w:t>$260,607,785</w:t>
            </w:r>
          </w:p>
        </w:tc>
      </w:tr>
      <w:tr w:rsidR="002B32A0" w:rsidRPr="00CE1D7F" w14:paraId="67E1589B" w14:textId="77777777" w:rsidTr="000B0AC7">
        <w:trPr>
          <w:trHeight w:val="298"/>
        </w:trPr>
        <w:tc>
          <w:tcPr>
            <w:tcW w:w="1134" w:type="dxa"/>
            <w:noWrap/>
            <w:tcMar>
              <w:left w:w="80" w:type="dxa"/>
            </w:tcMar>
            <w:hideMark/>
          </w:tcPr>
          <w:p w14:paraId="620E4123" w14:textId="77777777" w:rsidR="002B32A0" w:rsidRPr="00CE1D7F" w:rsidRDefault="002B32A0" w:rsidP="006258ED">
            <w:pPr>
              <w:pStyle w:val="Tabletext"/>
              <w:rPr>
                <w:b/>
                <w:bCs/>
                <w:szCs w:val="20"/>
              </w:rPr>
            </w:pPr>
            <w:r w:rsidRPr="00CE1D7F">
              <w:rPr>
                <w:b/>
                <w:bCs/>
                <w:szCs w:val="20"/>
              </w:rPr>
              <w:t>BCR</w:t>
            </w:r>
          </w:p>
        </w:tc>
        <w:tc>
          <w:tcPr>
            <w:tcW w:w="2273" w:type="dxa"/>
            <w:noWrap/>
          </w:tcPr>
          <w:p w14:paraId="57E5BBEC" w14:textId="77777777" w:rsidR="002B32A0" w:rsidRPr="00CE1D7F" w:rsidRDefault="002B32A0" w:rsidP="006258ED">
            <w:pPr>
              <w:pStyle w:val="Tabletext"/>
              <w:jc w:val="center"/>
              <w:rPr>
                <w:b/>
                <w:bCs/>
                <w:szCs w:val="20"/>
              </w:rPr>
            </w:pPr>
            <w:r w:rsidRPr="00CE1D7F">
              <w:rPr>
                <w:b/>
                <w:bCs/>
              </w:rPr>
              <w:t>2.46</w:t>
            </w:r>
          </w:p>
        </w:tc>
        <w:tc>
          <w:tcPr>
            <w:tcW w:w="2273" w:type="dxa"/>
            <w:noWrap/>
            <w:hideMark/>
          </w:tcPr>
          <w:p w14:paraId="23672F44" w14:textId="77777777" w:rsidR="002B32A0" w:rsidRPr="00CE1D7F" w:rsidRDefault="002B32A0" w:rsidP="006258ED">
            <w:pPr>
              <w:pStyle w:val="Tabletext"/>
              <w:jc w:val="center"/>
              <w:rPr>
                <w:b/>
                <w:bCs/>
                <w:szCs w:val="20"/>
              </w:rPr>
            </w:pPr>
            <w:r w:rsidRPr="00CE1D7F">
              <w:rPr>
                <w:b/>
                <w:bCs/>
              </w:rPr>
              <w:t>3.08</w:t>
            </w:r>
          </w:p>
        </w:tc>
        <w:tc>
          <w:tcPr>
            <w:tcW w:w="2274" w:type="dxa"/>
            <w:gridSpan w:val="2"/>
            <w:noWrap/>
          </w:tcPr>
          <w:p w14:paraId="488D1812" w14:textId="77777777" w:rsidR="002B32A0" w:rsidRPr="00CE1D7F" w:rsidRDefault="002B32A0" w:rsidP="006258ED">
            <w:pPr>
              <w:pStyle w:val="Tabletext"/>
              <w:jc w:val="center"/>
              <w:rPr>
                <w:b/>
                <w:bCs/>
                <w:szCs w:val="20"/>
              </w:rPr>
            </w:pPr>
            <w:r w:rsidRPr="00CE1D7F">
              <w:rPr>
                <w:b/>
                <w:bCs/>
              </w:rPr>
              <w:t>3.70</w:t>
            </w:r>
          </w:p>
        </w:tc>
      </w:tr>
      <w:tr w:rsidR="002B32A0" w:rsidRPr="00CE1D7F" w14:paraId="6CD18883" w14:textId="77777777" w:rsidTr="000B0AC7">
        <w:trPr>
          <w:gridAfter w:val="1"/>
          <w:wAfter w:w="89" w:type="dxa"/>
          <w:trHeight w:val="85"/>
        </w:trPr>
        <w:tc>
          <w:tcPr>
            <w:tcW w:w="7865" w:type="dxa"/>
            <w:gridSpan w:val="4"/>
            <w:tcMar>
              <w:left w:w="80" w:type="dxa"/>
            </w:tcMar>
            <w:hideMark/>
          </w:tcPr>
          <w:p w14:paraId="4B112BFE" w14:textId="77777777" w:rsidR="002B32A0" w:rsidRPr="00CE1D7F" w:rsidRDefault="002B32A0" w:rsidP="006258ED">
            <w:pPr>
              <w:pStyle w:val="Source"/>
              <w:spacing w:line="256" w:lineRule="auto"/>
            </w:pPr>
            <w:r w:rsidRPr="00CE1D7F">
              <w:t>Source: ACIL Allen</w:t>
            </w:r>
          </w:p>
        </w:tc>
      </w:tr>
    </w:tbl>
    <w:p w14:paraId="68F1247E" w14:textId="77777777" w:rsidR="000B0AC7" w:rsidRPr="00CE1D7F" w:rsidRDefault="000B0AC7" w:rsidP="000B0AC7">
      <w:pPr>
        <w:pStyle w:val="spacer"/>
        <w:spacing w:line="256" w:lineRule="auto"/>
        <w:rPr>
          <w:lang w:eastAsia="ja-JP"/>
        </w:rPr>
      </w:pPr>
    </w:p>
    <w:bookmarkEnd w:id="459"/>
    <w:p w14:paraId="18608974" w14:textId="77777777" w:rsidR="002B32A0" w:rsidRPr="00CE1D7F" w:rsidRDefault="002B32A0" w:rsidP="00587F3E">
      <w:pPr>
        <w:pStyle w:val="Heading3"/>
      </w:pPr>
      <w:r w:rsidRPr="00CE1D7F">
        <w:t xml:space="preserve">Social impacts </w:t>
      </w:r>
    </w:p>
    <w:p w14:paraId="4A85E81A" w14:textId="77777777" w:rsidR="002B32A0" w:rsidRPr="00CE1D7F" w:rsidRDefault="002B32A0" w:rsidP="00587F3E">
      <w:pPr>
        <w:pStyle w:val="Heading4"/>
      </w:pPr>
      <w:r w:rsidRPr="00CE1D7F">
        <w:t xml:space="preserve">Educational impacts </w:t>
      </w:r>
    </w:p>
    <w:p w14:paraId="0E2619CC" w14:textId="77777777" w:rsidR="002B32A0" w:rsidRPr="00CE1D7F" w:rsidRDefault="002B32A0" w:rsidP="002B32A0">
      <w:pPr>
        <w:pStyle w:val="BodyText"/>
      </w:pPr>
      <w:r w:rsidRPr="00CE1D7F">
        <w:t>The ARCs funding of the 2 Hubs has supported the training of 26 PhDs to date (10 in the first Hub and 16 in the second Hub). Of the PhDs from the first Hub, 3 now work for government, 5 continue to conduct research and 2 work for industry in Australia and overseas.</w:t>
      </w:r>
    </w:p>
    <w:p w14:paraId="66B84D3F" w14:textId="77777777" w:rsidR="002B32A0" w:rsidRPr="00CE1D7F" w:rsidRDefault="002B32A0" w:rsidP="00587F3E">
      <w:pPr>
        <w:pStyle w:val="Heading4"/>
      </w:pPr>
      <w:r w:rsidRPr="00CE1D7F">
        <w:t>Employment impacts</w:t>
      </w:r>
    </w:p>
    <w:p w14:paraId="4778552F" w14:textId="77777777" w:rsidR="002B32A0" w:rsidRPr="00CE1D7F" w:rsidRDefault="002B32A0" w:rsidP="002B32A0">
      <w:pPr>
        <w:pStyle w:val="BodyText"/>
      </w:pPr>
      <w:r w:rsidRPr="00CE1D7F">
        <w:t>Ornatas currently has around 27 employees and expects to employ almost twice that number by 2028, and to have over 120 employees in Queensland by 2032. The firm expects that there could be up to 1,000 jobs in total across the entire supply chain by 2032. This includes people employed by feed manufactures, onshore and sea raft grow-out, downstream processing, distribution, and marketing. The bulk of the business activity is expected to occur in Queensland.</w:t>
      </w:r>
    </w:p>
    <w:p w14:paraId="6E68CA1B" w14:textId="77777777" w:rsidR="002B32A0" w:rsidRPr="00CE1D7F" w:rsidRDefault="002B32A0" w:rsidP="00587F3E">
      <w:pPr>
        <w:pStyle w:val="Heading3"/>
      </w:pPr>
      <w:r w:rsidRPr="00CE1D7F">
        <w:t xml:space="preserve">Other impacts </w:t>
      </w:r>
    </w:p>
    <w:p w14:paraId="451E6C70" w14:textId="77777777" w:rsidR="002B32A0" w:rsidRPr="00CE1D7F" w:rsidRDefault="002B32A0" w:rsidP="002B32A0">
      <w:pPr>
        <w:pStyle w:val="Heading4"/>
      </w:pPr>
      <w:r w:rsidRPr="00CE1D7F">
        <w:t>Environmental</w:t>
      </w:r>
    </w:p>
    <w:p w14:paraId="3B32DDA1" w14:textId="77777777" w:rsidR="002B32A0" w:rsidRPr="00CE1D7F" w:rsidRDefault="002B32A0" w:rsidP="002B32A0">
      <w:pPr>
        <w:pStyle w:val="BodyText"/>
      </w:pPr>
      <w:r w:rsidRPr="00CE1D7F">
        <w:t>As discussed above, the research done by the Hubs on feed development and onshore lobster culture systems will help to ensure the environmental sustainability of Australia’s emerging lobster aquaculture industry. In particular, this includes ensuring that the feed for the lobsters (throughout their life cycle) is environmentally sustainable.</w:t>
      </w:r>
    </w:p>
    <w:p w14:paraId="296D3445" w14:textId="77777777" w:rsidR="002B32A0" w:rsidRPr="00CE1D7F" w:rsidRDefault="002B32A0" w:rsidP="002B32A0">
      <w:pPr>
        <w:pStyle w:val="Heading4"/>
      </w:pPr>
      <w:r w:rsidRPr="00CE1D7F">
        <w:t>Collaboration</w:t>
      </w:r>
    </w:p>
    <w:p w14:paraId="5D7AF92E" w14:textId="77777777" w:rsidR="002B32A0" w:rsidRPr="00CE1D7F" w:rsidRDefault="002B32A0" w:rsidP="002B32A0">
      <w:pPr>
        <w:pStyle w:val="BodyText"/>
      </w:pPr>
      <w:bookmarkStart w:id="461" w:name="_Hlk129164841"/>
      <w:r w:rsidRPr="00CE1D7F">
        <w:t xml:space="preserve">The ARC funding for this project helped create and strengthen the collaboration between UTAS, PFG and Ornatas. Those organisations continue to collaborate on commercialising the results obtained from the R&amp;D done by the first Hub. Both parties expect that their collaboration will continue into the future. </w:t>
      </w:r>
    </w:p>
    <w:p w14:paraId="51B649CE" w14:textId="77777777" w:rsidR="002B32A0" w:rsidRPr="00CE1D7F" w:rsidRDefault="002B32A0" w:rsidP="002B32A0">
      <w:pPr>
        <w:pStyle w:val="BodyText"/>
      </w:pPr>
      <w:r w:rsidRPr="00CE1D7F">
        <w:t>UTAS also collaborated with a number of other universities as part of the R&amp;D done by the 2 Hubs. For example, the University of the Sunshine Coast researched the genetics of lobsters to look at ways of producing sterile stocks and developing all-male populations (male lobsters grow faster and are therefore, quicker to get to market).</w:t>
      </w:r>
    </w:p>
    <w:bookmarkEnd w:id="461"/>
    <w:p w14:paraId="593A337C" w14:textId="77777777" w:rsidR="002B32A0" w:rsidRPr="00CE1D7F" w:rsidRDefault="002B32A0" w:rsidP="00587F3E">
      <w:pPr>
        <w:pStyle w:val="Heading4"/>
      </w:pPr>
      <w:r w:rsidRPr="00CE1D7F">
        <w:t>Performance of the ARC</w:t>
      </w:r>
    </w:p>
    <w:p w14:paraId="28D5F91C" w14:textId="77777777" w:rsidR="002B32A0" w:rsidRPr="00CE1D7F" w:rsidRDefault="002B32A0" w:rsidP="00587F3E">
      <w:pPr>
        <w:pStyle w:val="BodyText"/>
        <w:keepNext/>
        <w:keepLines/>
      </w:pPr>
      <w:r w:rsidRPr="00CE1D7F">
        <w:t>Ornatas noted that this impact evaluation was the first time the ARC has been in touch with Ornatas since establishing the Hub. They believe that businesses/investors would welcome the opportunity to work/communicate more directly with the ARC. They regard this as particularly important since Linkage program grants are meant to support industry - researcher collaboration.</w:t>
      </w:r>
    </w:p>
    <w:p w14:paraId="33C27194" w14:textId="77777777" w:rsidR="002B32A0" w:rsidRPr="00CE1D7F" w:rsidRDefault="002B32A0" w:rsidP="00587F3E">
      <w:pPr>
        <w:pStyle w:val="Heading2"/>
      </w:pPr>
      <w:bookmarkStart w:id="462" w:name="_Toc129964043"/>
      <w:bookmarkStart w:id="463" w:name="_Toc131174681"/>
      <w:bookmarkStart w:id="464" w:name="_Toc132970702"/>
      <w:bookmarkStart w:id="465" w:name="_Toc135323741"/>
      <w:r w:rsidRPr="00CE1D7F">
        <w:t>Potential future impacts</w:t>
      </w:r>
      <w:bookmarkEnd w:id="462"/>
      <w:bookmarkEnd w:id="463"/>
      <w:bookmarkEnd w:id="464"/>
      <w:bookmarkEnd w:id="465"/>
      <w:r w:rsidRPr="00CE1D7F">
        <w:t xml:space="preserve"> </w:t>
      </w:r>
    </w:p>
    <w:p w14:paraId="458BFC67" w14:textId="77777777" w:rsidR="002B32A0" w:rsidRPr="00CE1D7F" w:rsidRDefault="002B32A0" w:rsidP="002B32A0">
      <w:pPr>
        <w:pStyle w:val="BodyText"/>
      </w:pPr>
      <w:r w:rsidRPr="00CE1D7F">
        <w:t>In addition to their own production of lobsters, Ornatas are investigating the opportunities of being a supplier of juvenile lobsters to other aquaculture firms to grow them to market size, at which point Ornatas would buy them back and market them under their brand. Ornatas envisage that if all goes well, the lobster aquaculture sector could become a 1,000 tonne a year industry and the whole emerging sector could have a value of $0.5</w:t>
      </w:r>
      <w:r>
        <w:t> billion</w:t>
      </w:r>
      <w:r w:rsidRPr="00CE1D7F">
        <w:t xml:space="preserve"> a year in the longer term.</w:t>
      </w:r>
    </w:p>
    <w:p w14:paraId="265ED9C1" w14:textId="77777777" w:rsidR="002B32A0" w:rsidRPr="00CE1D7F" w:rsidRDefault="002B32A0" w:rsidP="002B32A0">
      <w:pPr>
        <w:pStyle w:val="BodyText"/>
      </w:pPr>
      <w:r w:rsidRPr="00CE1D7F">
        <w:t xml:space="preserve">Collaboration between Ornatas and their research partners is expected to continue. It is possible that the breeding technologies developed for tropical rock lobsters could potentially be applied to other crustacean species. </w:t>
      </w:r>
    </w:p>
    <w:p w14:paraId="1FD48EE4" w14:textId="77777777" w:rsidR="002B32A0" w:rsidRPr="00CE1D7F" w:rsidRDefault="002B32A0" w:rsidP="002B32A0">
      <w:pPr>
        <w:pStyle w:val="BodyText"/>
      </w:pPr>
    </w:p>
    <w:p w14:paraId="387A8922" w14:textId="77777777" w:rsidR="002B32A0" w:rsidRPr="00CE1D7F" w:rsidRDefault="002B32A0" w:rsidP="002B32A0">
      <w:pPr>
        <w:pStyle w:val="BodyText"/>
      </w:pPr>
    </w:p>
    <w:p w14:paraId="4FEBC20E" w14:textId="77777777" w:rsidR="002B32A0" w:rsidRPr="00CE1D7F" w:rsidRDefault="002B32A0" w:rsidP="002B32A0">
      <w:pPr>
        <w:pStyle w:val="BodyText"/>
        <w:sectPr w:rsidR="002B32A0" w:rsidRPr="00CE1D7F" w:rsidSect="008A0C00">
          <w:headerReference w:type="even" r:id="rId203"/>
          <w:headerReference w:type="default" r:id="rId204"/>
          <w:footerReference w:type="even" r:id="rId205"/>
          <w:footerReference w:type="default" r:id="rId206"/>
          <w:headerReference w:type="first" r:id="rId207"/>
          <w:footerReference w:type="first" r:id="rId208"/>
          <w:pgSz w:w="11906" w:h="16838" w:code="9"/>
          <w:pgMar w:top="1134" w:right="851" w:bottom="1134" w:left="3119" w:header="454" w:footer="159" w:gutter="0"/>
          <w:cols w:space="708"/>
          <w:docGrid w:linePitch="360"/>
        </w:sectPr>
      </w:pPr>
    </w:p>
    <w:p w14:paraId="28889E04" w14:textId="77777777" w:rsidR="000B0AC7" w:rsidRPr="00CE1D7F" w:rsidRDefault="000B0AC7" w:rsidP="000B0AC7">
      <w:pPr>
        <w:pStyle w:val="Heading1"/>
        <w:pageBreakBefore/>
        <w:ind w:left="0" w:hanging="600"/>
      </w:pPr>
      <w:bookmarkStart w:id="466" w:name="_Ref132715666"/>
      <w:bookmarkStart w:id="467" w:name="_Toc135323742"/>
      <w:r w:rsidRPr="00CE1D7F">
        <w:t>Changing the Law to Protect Survivors of DFV</w:t>
      </w:r>
      <w:bookmarkEnd w:id="466"/>
      <w:bookmarkEnd w:id="467"/>
    </w:p>
    <w:p w14:paraId="58416545" w14:textId="77777777" w:rsidR="002B32A0" w:rsidRPr="00CE1D7F" w:rsidRDefault="002B32A0" w:rsidP="002B32A0">
      <w:pPr>
        <w:pStyle w:val="BodyText"/>
      </w:pPr>
    </w:p>
    <w:p w14:paraId="5FD6EE1F" w14:textId="77777777" w:rsidR="002B32A0" w:rsidRPr="00CE1D7F" w:rsidRDefault="002B32A0" w:rsidP="002B32A0">
      <w:pPr>
        <w:pStyle w:val="BodyText"/>
      </w:pPr>
    </w:p>
    <w:p w14:paraId="5379F4E0" w14:textId="77777777" w:rsidR="002B32A0" w:rsidRPr="00CE1D7F" w:rsidRDefault="002B32A0" w:rsidP="002B32A0">
      <w:pPr>
        <w:pStyle w:val="BodyText"/>
      </w:pPr>
    </w:p>
    <w:tbl>
      <w:tblPr>
        <w:tblStyle w:val="aacTablenolines"/>
        <w:tblW w:w="0" w:type="auto"/>
        <w:shd w:val="clear" w:color="auto" w:fill="D7CEE5" w:themeFill="accent1" w:themeFillTint="66"/>
        <w:tblLook w:val="04A0" w:firstRow="1" w:lastRow="0" w:firstColumn="1" w:lastColumn="0" w:noHBand="0" w:noVBand="1"/>
      </w:tblPr>
      <w:tblGrid>
        <w:gridCol w:w="7936"/>
      </w:tblGrid>
      <w:tr w:rsidR="002B32A0" w:rsidRPr="00CE1D7F" w14:paraId="6ECDE1FE" w14:textId="77777777" w:rsidTr="00587F3E">
        <w:tc>
          <w:tcPr>
            <w:tcW w:w="7936" w:type="dxa"/>
            <w:shd w:val="clear" w:color="auto" w:fill="EBE6F2" w:themeFill="accent1" w:themeFillTint="33"/>
          </w:tcPr>
          <w:p w14:paraId="08B41882" w14:textId="77777777" w:rsidR="002B32A0" w:rsidRPr="00CE1D7F" w:rsidRDefault="002B32A0" w:rsidP="00587F3E">
            <w:pPr>
              <w:pStyle w:val="BodyText"/>
              <w:shd w:val="clear" w:color="auto" w:fill="EBE6F2" w:themeFill="accent1" w:themeFillTint="33"/>
            </w:pPr>
          </w:p>
          <w:p w14:paraId="001CF29F" w14:textId="77777777" w:rsidR="002B32A0" w:rsidRPr="00CE1D7F" w:rsidRDefault="002B32A0" w:rsidP="00587F3E">
            <w:pPr>
              <w:pStyle w:val="BodyText"/>
              <w:shd w:val="clear" w:color="auto" w:fill="EBE6F2" w:themeFill="accent1" w:themeFillTint="33"/>
            </w:pPr>
          </w:p>
          <w:p w14:paraId="7194647F" w14:textId="77777777" w:rsidR="002B32A0" w:rsidRPr="00CE1D7F" w:rsidRDefault="002B32A0" w:rsidP="00587F3E">
            <w:pPr>
              <w:pStyle w:val="BodyText"/>
              <w:shd w:val="clear" w:color="auto" w:fill="EBE6F2" w:themeFill="accent1" w:themeFillTint="33"/>
              <w:ind w:left="284" w:right="279"/>
            </w:pPr>
            <w:r w:rsidRPr="00CE1D7F">
              <w:t>The following case study presents a body of research focused on domestic and family violence.</w:t>
            </w:r>
          </w:p>
          <w:p w14:paraId="64E058D1" w14:textId="77777777" w:rsidR="002B32A0" w:rsidRPr="00CE1D7F" w:rsidRDefault="002B32A0" w:rsidP="00587F3E">
            <w:pPr>
              <w:pStyle w:val="BodyText"/>
              <w:shd w:val="clear" w:color="auto" w:fill="EBE6F2" w:themeFill="accent1" w:themeFillTint="33"/>
              <w:ind w:left="284" w:right="279"/>
            </w:pPr>
            <w:r w:rsidRPr="00CE1D7F">
              <w:t>Some information may be sensitive and confronting to some readers, and caution is advised.</w:t>
            </w:r>
          </w:p>
          <w:p w14:paraId="0DBC3BBF" w14:textId="77777777" w:rsidR="002B32A0" w:rsidRPr="00CE1D7F" w:rsidRDefault="002B32A0" w:rsidP="00587F3E">
            <w:pPr>
              <w:pStyle w:val="BodyText"/>
              <w:shd w:val="clear" w:color="auto" w:fill="EBE6F2" w:themeFill="accent1" w:themeFillTint="33"/>
              <w:ind w:left="284" w:right="279"/>
            </w:pPr>
          </w:p>
          <w:p w14:paraId="094CBE7F" w14:textId="77777777" w:rsidR="002B32A0" w:rsidRPr="00CE1D7F" w:rsidRDefault="002B32A0" w:rsidP="00587F3E">
            <w:pPr>
              <w:pStyle w:val="BodyText"/>
              <w:shd w:val="clear" w:color="auto" w:fill="EBE6F2" w:themeFill="accent1" w:themeFillTint="33"/>
              <w:ind w:left="284" w:right="279"/>
            </w:pPr>
            <w:r w:rsidRPr="00CE1D7F">
              <w:t xml:space="preserve">There are a range of external support services available should you wish to seek support: </w:t>
            </w:r>
          </w:p>
          <w:p w14:paraId="6034B2C6" w14:textId="77777777" w:rsidR="002B32A0" w:rsidRPr="00CE1D7F" w:rsidRDefault="002B32A0" w:rsidP="00587F3E">
            <w:pPr>
              <w:pStyle w:val="ListBullet"/>
              <w:shd w:val="clear" w:color="auto" w:fill="EBE6F2" w:themeFill="accent1" w:themeFillTint="33"/>
              <w:ind w:left="709" w:right="279" w:hanging="425"/>
            </w:pPr>
            <w:r w:rsidRPr="00CE1D7F">
              <w:t>1800RESPECT on 1800 737 732. 1800RESPECT is the national sexual assault, family and domestic violence counselling service for anyone in Australia who has experienced, or is at risk of, family and domestic violence or sexual assault. 24 hours, 7 days a week.</w:t>
            </w:r>
          </w:p>
          <w:p w14:paraId="60BB4F50" w14:textId="77777777" w:rsidR="002B32A0" w:rsidRPr="00CE1D7F" w:rsidRDefault="002B32A0" w:rsidP="00587F3E">
            <w:pPr>
              <w:pStyle w:val="ListBullet"/>
              <w:shd w:val="clear" w:color="auto" w:fill="EBE6F2" w:themeFill="accent1" w:themeFillTint="33"/>
              <w:ind w:left="709" w:right="279" w:hanging="425"/>
            </w:pPr>
            <w:r w:rsidRPr="00CE1D7F">
              <w:t>MensLine Australia on 1300 789 978. MensLine Australia is a telephone and online counselling service for men with emotional health and relationship concerns, including issues of violence. 24 hours, 7 days a week.</w:t>
            </w:r>
          </w:p>
          <w:p w14:paraId="51D8A385" w14:textId="65FFC4F8" w:rsidR="002B32A0" w:rsidRPr="00CE1D7F" w:rsidRDefault="002B32A0" w:rsidP="008800C8">
            <w:pPr>
              <w:pStyle w:val="ListBullet"/>
              <w:shd w:val="clear" w:color="auto" w:fill="EBE6F2" w:themeFill="accent1" w:themeFillTint="33"/>
              <w:ind w:left="709" w:right="279" w:hanging="425"/>
            </w:pPr>
            <w:r w:rsidRPr="00CE1D7F">
              <w:t xml:space="preserve">Lifeline on 13 11 14. Lifeline provides free national counselling, information and support. </w:t>
            </w:r>
            <w:r>
              <w:br/>
            </w:r>
            <w:r w:rsidRPr="00CE1D7F">
              <w:t>24 hours a day, 7 days a week.</w:t>
            </w:r>
          </w:p>
          <w:p w14:paraId="7F05F7CF" w14:textId="77777777" w:rsidR="002B32A0" w:rsidRPr="00CE1D7F" w:rsidRDefault="002B32A0" w:rsidP="00587F3E">
            <w:pPr>
              <w:pStyle w:val="BodyText"/>
              <w:shd w:val="clear" w:color="auto" w:fill="EBE6F2" w:themeFill="accent1" w:themeFillTint="33"/>
            </w:pPr>
          </w:p>
          <w:p w14:paraId="2300BFE1" w14:textId="77777777" w:rsidR="002B32A0" w:rsidRPr="00CE1D7F" w:rsidRDefault="002B32A0" w:rsidP="006258ED">
            <w:pPr>
              <w:pStyle w:val="BodyText"/>
            </w:pPr>
          </w:p>
        </w:tc>
      </w:tr>
    </w:tbl>
    <w:p w14:paraId="6B63C382" w14:textId="77777777" w:rsidR="002B32A0" w:rsidRPr="00CE1D7F" w:rsidRDefault="002B32A0" w:rsidP="002B32A0">
      <w:pPr>
        <w:pStyle w:val="BodyText"/>
      </w:pPr>
    </w:p>
    <w:p w14:paraId="6D504457" w14:textId="77777777" w:rsidR="002B32A0" w:rsidRPr="00CE1D7F" w:rsidRDefault="002B32A0" w:rsidP="002B32A0">
      <w:pPr>
        <w:pStyle w:val="BodyText"/>
      </w:pPr>
    </w:p>
    <w:p w14:paraId="3B5AB006" w14:textId="77777777" w:rsidR="002B32A0" w:rsidRPr="00CE1D7F" w:rsidRDefault="002B32A0" w:rsidP="002B32A0">
      <w:pPr>
        <w:pStyle w:val="BodyText"/>
        <w:rPr>
          <w:rFonts w:eastAsiaTheme="majorEastAsia"/>
          <w:color w:val="6C3E99"/>
          <w:sz w:val="28"/>
          <w:szCs w:val="26"/>
        </w:rPr>
      </w:pPr>
      <w:r w:rsidRPr="00CE1D7F">
        <w:br w:type="page"/>
      </w:r>
    </w:p>
    <w:p w14:paraId="211F97BF" w14:textId="77777777" w:rsidR="002B32A0" w:rsidRPr="00CE1D7F" w:rsidRDefault="002B32A0" w:rsidP="002B32A0">
      <w:pPr>
        <w:pStyle w:val="Heading2"/>
      </w:pPr>
      <w:bookmarkStart w:id="468" w:name="_Toc129963974"/>
      <w:bookmarkStart w:id="469" w:name="_Ref131077453"/>
      <w:bookmarkStart w:id="470" w:name="_Toc131174613"/>
      <w:bookmarkStart w:id="471" w:name="_Toc132970704"/>
      <w:bookmarkStart w:id="472" w:name="_Toc135323743"/>
      <w:r w:rsidRPr="00CE1D7F">
        <w:rPr>
          <w:noProof/>
        </w:rPr>
        <mc:AlternateContent>
          <mc:Choice Requires="wps">
            <w:drawing>
              <wp:anchor distT="0" distB="0" distL="114300" distR="114300" simplePos="0" relativeHeight="251689984" behindDoc="0" locked="0" layoutInCell="1" allowOverlap="1" wp14:anchorId="5A2E20FC" wp14:editId="36B43AB0">
                <wp:simplePos x="0" y="0"/>
                <wp:positionH relativeFrom="page">
                  <wp:posOffset>657225</wp:posOffset>
                </wp:positionH>
                <wp:positionV relativeFrom="paragraph">
                  <wp:posOffset>451485</wp:posOffset>
                </wp:positionV>
                <wp:extent cx="6248400" cy="2790825"/>
                <wp:effectExtent l="19050" t="19050" r="19050" b="28575"/>
                <wp:wrapNone/>
                <wp:docPr id="78" name="Rectangle: Rounded Corners 7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248400" cy="2790825"/>
                        </a:xfrm>
                        <a:prstGeom prst="roundRect">
                          <a:avLst>
                            <a:gd name="adj" fmla="val 6814"/>
                          </a:avLst>
                        </a:prstGeom>
                        <a:noFill/>
                        <a:ln w="34925" cap="rnd">
                          <a:solidFill>
                            <a:schemeClr val="tx2"/>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58C24D8D" id="Rectangle: Rounded Corners 78" o:spid="_x0000_s1026" alt="&quot;&quot;" style="position:absolute;margin-left:51.75pt;margin-top:35.55pt;width:492pt;height:219.75pt;z-index:2516899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446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" filled="f" strokecolor="#6c3f99 [3215]" strokeweight="2.75pt">
                <v:stroke dashstyle="1 1" joinstyle="miter" endcap="round"/>
                <w10:wrap anchorx="page"/>
              </v:roundrect>
            </w:pict>
          </mc:Fallback>
        </mc:AlternateContent>
      </w:r>
      <w:r w:rsidRPr="00CE1D7F">
        <w:t>Key Findings</w:t>
      </w:r>
      <w:bookmarkEnd w:id="468"/>
      <w:bookmarkEnd w:id="469"/>
      <w:bookmarkEnd w:id="470"/>
      <w:bookmarkEnd w:id="471"/>
      <w:bookmarkEnd w:id="472"/>
    </w:p>
    <w:p w14:paraId="540D2B64" w14:textId="77777777" w:rsidR="002B32A0" w:rsidRPr="00CE1D7F" w:rsidRDefault="002B32A0" w:rsidP="002B32A0">
      <w:pPr>
        <w:pStyle w:val="BodyText"/>
      </w:pPr>
      <w:r w:rsidRPr="00CE1D7F">
        <w:rPr>
          <w:noProof/>
        </w:rPr>
        <mc:AlternateContent>
          <mc:Choice Requires="wps">
            <w:drawing>
              <wp:anchor distT="0" distB="0" distL="114300" distR="114300" simplePos="0" relativeHeight="251682816" behindDoc="0" locked="0" layoutInCell="1" allowOverlap="1" wp14:anchorId="3B3C554B" wp14:editId="14A0F28B">
                <wp:simplePos x="0" y="0"/>
                <wp:positionH relativeFrom="margin">
                  <wp:posOffset>2548890</wp:posOffset>
                </wp:positionH>
                <wp:positionV relativeFrom="paragraph">
                  <wp:posOffset>839470</wp:posOffset>
                </wp:positionV>
                <wp:extent cx="1943100" cy="610870"/>
                <wp:effectExtent l="0" t="0" r="0" b="0"/>
                <wp:wrapNone/>
                <wp:docPr id="592" name="Text Box 59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943100" cy="610870"/>
                        </a:xfrm>
                        <a:prstGeom prst="rect">
                          <a:avLst/>
                        </a:prstGeom>
                        <a:noFill/>
                      </wps:spPr>
                      <wps:txbx>
                        <w:txbxContent>
                          <w:p w14:paraId="6126FDF9" w14:textId="77777777" w:rsidR="002B32A0" w:rsidRDefault="002B32A0" w:rsidP="002B32A0">
                            <w:pPr>
                              <w:spacing w:line="216" w:lineRule="auto"/>
                              <w:rPr>
                                <w:rFonts w:cstheme="minorBidi"/>
                                <w:b/>
                                <w:bCs/>
                                <w:color w:val="000000" w:themeColor="text1"/>
                                <w:kern w:val="24"/>
                                <w:sz w:val="36"/>
                                <w:szCs w:val="36"/>
                              </w:rPr>
                            </w:pPr>
                            <w:r w:rsidRPr="00974658">
                              <w:rPr>
                                <w:rFonts w:cstheme="minorBidi"/>
                                <w:b/>
                                <w:bCs/>
                                <w:color w:val="000000" w:themeColor="text1"/>
                                <w:kern w:val="24"/>
                                <w:sz w:val="36"/>
                                <w:szCs w:val="36"/>
                              </w:rPr>
                              <w:t xml:space="preserve">2 </w:t>
                            </w:r>
                            <w:r>
                              <w:rPr>
                                <w:rFonts w:cstheme="minorBidi"/>
                                <w:b/>
                                <w:bCs/>
                                <w:color w:val="000000" w:themeColor="text1"/>
                                <w:kern w:val="24"/>
                              </w:rPr>
                              <w:t>state l</w:t>
                            </w:r>
                            <w:r w:rsidRPr="0035616E">
                              <w:rPr>
                                <w:rFonts w:cstheme="minorBidi"/>
                                <w:b/>
                                <w:bCs/>
                                <w:color w:val="000000" w:themeColor="text1"/>
                                <w:kern w:val="24"/>
                              </w:rPr>
                              <w:t xml:space="preserve">aws </w:t>
                            </w:r>
                            <w:r>
                              <w:rPr>
                                <w:rFonts w:cstheme="minorBidi"/>
                                <w:b/>
                                <w:bCs/>
                                <w:color w:val="000000" w:themeColor="text1"/>
                                <w:kern w:val="24"/>
                              </w:rPr>
                              <w:t>passed</w:t>
                            </w:r>
                            <w:r w:rsidDel="00C4557B">
                              <w:rPr>
                                <w:rFonts w:cstheme="minorBidi"/>
                                <w:b/>
                                <w:bCs/>
                                <w:color w:val="000000" w:themeColor="text1"/>
                                <w:kern w:val="24"/>
                              </w:rPr>
                              <w:t xml:space="preserve"> </w:t>
                            </w:r>
                            <w:r>
                              <w:rPr>
                                <w:rFonts w:cstheme="minorBidi"/>
                                <w:b/>
                                <w:bCs/>
                                <w:color w:val="000000" w:themeColor="text1"/>
                                <w:kern w:val="24"/>
                              </w:rPr>
                              <w:br/>
                            </w:r>
                            <w:r>
                              <w:rPr>
                                <w:rFonts w:cstheme="minorBidi"/>
                                <w:b/>
                                <w:bCs/>
                                <w:color w:val="000000" w:themeColor="text1"/>
                                <w:kern w:val="24"/>
                                <w:sz w:val="36"/>
                                <w:szCs w:val="36"/>
                              </w:rPr>
                              <w:t xml:space="preserve">60K </w:t>
                            </w:r>
                            <w:r>
                              <w:rPr>
                                <w:rFonts w:cstheme="minorBidi"/>
                                <w:b/>
                                <w:bCs/>
                                <w:color w:val="000000" w:themeColor="text1"/>
                                <w:kern w:val="24"/>
                                <w:sz w:val="24"/>
                                <w:szCs w:val="24"/>
                              </w:rPr>
                              <w:t xml:space="preserve">Bench Book users </w:t>
                            </w:r>
                            <w:r w:rsidRPr="00974658">
                              <w:rPr>
                                <w:rFonts w:cstheme="minorBidi"/>
                                <w:b/>
                                <w:bCs/>
                                <w:color w:val="000000" w:themeColor="text1"/>
                                <w:kern w:val="24"/>
                                <w:sz w:val="36"/>
                                <w:szCs w:val="36"/>
                              </w:rPr>
                              <w:t>240</w:t>
                            </w:r>
                            <w:r w:rsidRPr="006C5B45">
                              <w:rPr>
                                <w:rFonts w:cstheme="minorBidi"/>
                                <w:b/>
                                <w:bCs/>
                                <w:color w:val="000000" w:themeColor="text1"/>
                                <w:kern w:val="24"/>
                                <w:sz w:val="24"/>
                                <w:szCs w:val="24"/>
                              </w:rPr>
                              <w:t xml:space="preserve"> individuals trained</w:t>
                            </w:r>
                            <w:r w:rsidRPr="006C5B45" w:rsidDel="006C5B45">
                              <w:rPr>
                                <w:rFonts w:cstheme="minorBidi"/>
                                <w:b/>
                                <w:bCs/>
                                <w:color w:val="000000" w:themeColor="text1"/>
                                <w:kern w:val="24"/>
                                <w:sz w:val="24"/>
                                <w:szCs w:val="24"/>
                              </w:rPr>
                              <w:t xml:space="preserve"> </w:t>
                            </w:r>
                          </w:p>
                        </w:txbxContent>
                      </wps:txbx>
                      <wps:bodyPr wrap="square" rtlCol="0">
                        <a:spAutoFit/>
                      </wps:bodyPr>
                    </wps:wsp>
                  </a:graphicData>
                </a:graphic>
                <wp14:sizeRelH relativeFrom="margin">
                  <wp14:pctWidth>0</wp14:pctWidth>
                </wp14:sizeRelH>
              </wp:anchor>
            </w:drawing>
          </mc:Choice>
          <mc:Fallback>
            <w:pict>
              <v:shape w14:anchorId="3B3C554B" id="Text Box 592" o:spid="_x0000_s1070" type="#_x0000_t202" alt="&quot;&quot;" style="position:absolute;margin-left:200.7pt;margin-top:66.1pt;width:153pt;height:48.1pt;z-index:25168281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" filled="f" stroked="f">
                <v:textbox style="mso-fit-shape-to-text:t">
                  <w:txbxContent>
                    <w:p w14:paraId="6126FDF9" w14:textId="77777777" w:rsidR="002B32A0" w:rsidRDefault="002B32A0" w:rsidP="002B32A0">
                      <w:pPr>
                        <w:spacing w:line="216" w:lineRule="auto"/>
                        <w:rPr>
                          <w:rFonts w:cstheme="minorBidi"/>
                          <w:b/>
                          <w:bCs/>
                          <w:color w:val="000000" w:themeColor="text1"/>
                          <w:kern w:val="24"/>
                          <w:sz w:val="36"/>
                          <w:szCs w:val="36"/>
                        </w:rPr>
                      </w:pPr>
                      <w:r w:rsidRPr="00974658">
                        <w:rPr>
                          <w:rFonts w:cstheme="minorBidi"/>
                          <w:b/>
                          <w:bCs/>
                          <w:color w:val="000000" w:themeColor="text1"/>
                          <w:kern w:val="24"/>
                          <w:sz w:val="36"/>
                          <w:szCs w:val="36"/>
                        </w:rPr>
                        <w:t xml:space="preserve">2 </w:t>
                      </w:r>
                      <w:r>
                        <w:rPr>
                          <w:rFonts w:cstheme="minorBidi"/>
                          <w:b/>
                          <w:bCs/>
                          <w:color w:val="000000" w:themeColor="text1"/>
                          <w:kern w:val="24"/>
                        </w:rPr>
                        <w:t>state l</w:t>
                      </w:r>
                      <w:r w:rsidRPr="0035616E">
                        <w:rPr>
                          <w:rFonts w:cstheme="minorBidi"/>
                          <w:b/>
                          <w:bCs/>
                          <w:color w:val="000000" w:themeColor="text1"/>
                          <w:kern w:val="24"/>
                        </w:rPr>
                        <w:t xml:space="preserve">aws </w:t>
                      </w:r>
                      <w:r>
                        <w:rPr>
                          <w:rFonts w:cstheme="minorBidi"/>
                          <w:b/>
                          <w:bCs/>
                          <w:color w:val="000000" w:themeColor="text1"/>
                          <w:kern w:val="24"/>
                        </w:rPr>
                        <w:t>passed</w:t>
                      </w:r>
                      <w:r w:rsidDel="00C4557B">
                        <w:rPr>
                          <w:rFonts w:cstheme="minorBidi"/>
                          <w:b/>
                          <w:bCs/>
                          <w:color w:val="000000" w:themeColor="text1"/>
                          <w:kern w:val="24"/>
                        </w:rPr>
                        <w:t xml:space="preserve"> </w:t>
                      </w:r>
                      <w:r>
                        <w:rPr>
                          <w:rFonts w:cstheme="minorBidi"/>
                          <w:b/>
                          <w:bCs/>
                          <w:color w:val="000000" w:themeColor="text1"/>
                          <w:kern w:val="24"/>
                        </w:rPr>
                        <w:br/>
                      </w:r>
                      <w:r>
                        <w:rPr>
                          <w:rFonts w:cstheme="minorBidi"/>
                          <w:b/>
                          <w:bCs/>
                          <w:color w:val="000000" w:themeColor="text1"/>
                          <w:kern w:val="24"/>
                          <w:sz w:val="36"/>
                          <w:szCs w:val="36"/>
                        </w:rPr>
                        <w:t xml:space="preserve">60K </w:t>
                      </w:r>
                      <w:r>
                        <w:rPr>
                          <w:rFonts w:cstheme="minorBidi"/>
                          <w:b/>
                          <w:bCs/>
                          <w:color w:val="000000" w:themeColor="text1"/>
                          <w:kern w:val="24"/>
                          <w:sz w:val="24"/>
                          <w:szCs w:val="24"/>
                        </w:rPr>
                        <w:t xml:space="preserve">Bench Book users </w:t>
                      </w:r>
                      <w:r w:rsidRPr="00974658">
                        <w:rPr>
                          <w:rFonts w:cstheme="minorBidi"/>
                          <w:b/>
                          <w:bCs/>
                          <w:color w:val="000000" w:themeColor="text1"/>
                          <w:kern w:val="24"/>
                          <w:sz w:val="36"/>
                          <w:szCs w:val="36"/>
                        </w:rPr>
                        <w:t>240</w:t>
                      </w:r>
                      <w:r w:rsidRPr="006C5B45">
                        <w:rPr>
                          <w:rFonts w:cstheme="minorBidi"/>
                          <w:b/>
                          <w:bCs/>
                          <w:color w:val="000000" w:themeColor="text1"/>
                          <w:kern w:val="24"/>
                          <w:sz w:val="24"/>
                          <w:szCs w:val="24"/>
                        </w:rPr>
                        <w:t xml:space="preserve"> individuals trained</w:t>
                      </w:r>
                      <w:r w:rsidRPr="006C5B45" w:rsidDel="006C5B45">
                        <w:rPr>
                          <w:rFonts w:cstheme="minorBidi"/>
                          <w:b/>
                          <w:bCs/>
                          <w:color w:val="000000" w:themeColor="text1"/>
                          <w:kern w:val="24"/>
                          <w:sz w:val="24"/>
                          <w:szCs w:val="24"/>
                        </w:rPr>
                        <w:t xml:space="preserve"> </w:t>
                      </w:r>
                    </w:p>
                  </w:txbxContent>
                </v:textbox>
                <w10:wrap anchorx="margin"/>
              </v:shape>
            </w:pict>
          </mc:Fallback>
        </mc:AlternateContent>
      </w:r>
      <w:r w:rsidRPr="00CE1D7F">
        <w:rPr>
          <w:noProof/>
        </w:rPr>
        <mc:AlternateContent>
          <mc:Choice Requires="wps">
            <w:drawing>
              <wp:anchor distT="0" distB="0" distL="114300" distR="114300" simplePos="0" relativeHeight="251688960" behindDoc="0" locked="0" layoutInCell="1" allowOverlap="1" wp14:anchorId="7D857F3B" wp14:editId="056EF83E">
                <wp:simplePos x="0" y="0"/>
                <wp:positionH relativeFrom="column">
                  <wp:posOffset>-366395</wp:posOffset>
                </wp:positionH>
                <wp:positionV relativeFrom="paragraph">
                  <wp:posOffset>963295</wp:posOffset>
                </wp:positionV>
                <wp:extent cx="2162175" cy="725805"/>
                <wp:effectExtent l="0" t="0" r="0" b="0"/>
                <wp:wrapNone/>
                <wp:docPr id="593" name="Text Box 5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162175" cy="725805"/>
                        </a:xfrm>
                        <a:prstGeom prst="rect">
                          <a:avLst/>
                        </a:prstGeom>
                        <a:noFill/>
                      </wps:spPr>
                      <wps:txbx>
                        <w:txbxContent>
                          <w:p w14:paraId="41B0FF42" w14:textId="77777777" w:rsidR="002B32A0" w:rsidRPr="006C5B45" w:rsidRDefault="002B32A0" w:rsidP="002B32A0">
                            <w:pPr>
                              <w:spacing w:line="204" w:lineRule="auto"/>
                              <w:rPr>
                                <w:rFonts w:cstheme="minorBidi"/>
                                <w:b/>
                                <w:bCs/>
                                <w:color w:val="000000" w:themeColor="text1"/>
                                <w:kern w:val="24"/>
                                <w:sz w:val="20"/>
                                <w:szCs w:val="20"/>
                              </w:rPr>
                            </w:pPr>
                            <w:r w:rsidRPr="00974658">
                              <w:rPr>
                                <w:rFonts w:cstheme="minorBidi"/>
                                <w:b/>
                                <w:bCs/>
                                <w:color w:val="000000" w:themeColor="text1"/>
                                <w:kern w:val="24"/>
                              </w:rPr>
                              <w:t xml:space="preserve">The project has produced </w:t>
                            </w:r>
                            <w:r w:rsidRPr="00974658">
                              <w:rPr>
                                <w:rFonts w:cstheme="minorBidi"/>
                                <w:b/>
                                <w:bCs/>
                                <w:color w:val="000000" w:themeColor="text1"/>
                                <w:kern w:val="24"/>
                              </w:rPr>
                              <w:br/>
                            </w:r>
                            <w:r w:rsidRPr="00974658">
                              <w:rPr>
                                <w:rFonts w:cstheme="minorBidi"/>
                                <w:b/>
                                <w:bCs/>
                                <w:color w:val="000000" w:themeColor="text1"/>
                                <w:kern w:val="24"/>
                                <w:sz w:val="20"/>
                                <w:szCs w:val="20"/>
                              </w:rPr>
                              <w:t>- National Domestic and Family Violence Bench Book</w:t>
                            </w:r>
                            <w:r w:rsidRPr="006C5B45">
                              <w:rPr>
                                <w:rFonts w:cstheme="minorBidi"/>
                                <w:b/>
                                <w:bCs/>
                                <w:color w:val="000000" w:themeColor="text1"/>
                                <w:kern w:val="24"/>
                                <w:sz w:val="20"/>
                                <w:szCs w:val="20"/>
                              </w:rPr>
                              <w:t xml:space="preserve">, </w:t>
                            </w:r>
                            <w:r w:rsidRPr="00974658">
                              <w:rPr>
                                <w:rFonts w:cstheme="minorBidi"/>
                                <w:b/>
                                <w:bCs/>
                                <w:color w:val="000000" w:themeColor="text1"/>
                                <w:kern w:val="24"/>
                                <w:sz w:val="20"/>
                                <w:szCs w:val="20"/>
                              </w:rPr>
                              <w:t>training materials</w:t>
                            </w:r>
                            <w:r w:rsidRPr="006C5B45">
                              <w:rPr>
                                <w:rFonts w:cstheme="minorBidi"/>
                                <w:b/>
                                <w:bCs/>
                                <w:color w:val="000000" w:themeColor="text1"/>
                                <w:kern w:val="24"/>
                                <w:sz w:val="20"/>
                                <w:szCs w:val="20"/>
                              </w:rPr>
                              <w:t>, and a course on DFV</w:t>
                            </w:r>
                          </w:p>
                          <w:p w14:paraId="3E3D4C10" w14:textId="77777777" w:rsidR="002B32A0" w:rsidRPr="00974658" w:rsidRDefault="002B32A0" w:rsidP="002B32A0">
                            <w:pPr>
                              <w:spacing w:line="204" w:lineRule="auto"/>
                              <w:rPr>
                                <w:rFonts w:cstheme="minorBidi"/>
                                <w:b/>
                                <w:bCs/>
                                <w:color w:val="000000" w:themeColor="text1"/>
                                <w:kern w:val="24"/>
                                <w:sz w:val="24"/>
                                <w:szCs w:val="24"/>
                              </w:rPr>
                            </w:pPr>
                            <w:r w:rsidRPr="00974658">
                              <w:rPr>
                                <w:rFonts w:cstheme="minorBidi"/>
                                <w:b/>
                                <w:bCs/>
                                <w:color w:val="000000" w:themeColor="text1"/>
                                <w:kern w:val="24"/>
                                <w:sz w:val="20"/>
                                <w:szCs w:val="20"/>
                              </w:rPr>
                              <w:t>- 2 books, 14 papers, 3 conversation pieces, media &amp; public engagements</w:t>
                            </w:r>
                          </w:p>
                        </w:txbxContent>
                      </wps:txbx>
                      <wps:bodyPr wrap="square" rtlCol="0">
                        <a:spAutoFit/>
                      </wps:bodyPr>
                    </wps:wsp>
                  </a:graphicData>
                </a:graphic>
                <wp14:sizeRelH relativeFrom="margin">
                  <wp14:pctWidth>0</wp14:pctWidth>
                </wp14:sizeRelH>
              </wp:anchor>
            </w:drawing>
          </mc:Choice>
          <mc:Fallback>
            <w:pict>
              <v:shape w14:anchorId="7D857F3B" id="Text Box 593" o:spid="_x0000_s1071" type="#_x0000_t202" alt="&quot;&quot;" style="position:absolute;margin-left:-28.85pt;margin-top:75.85pt;width:170.25pt;height:57.15pt;z-index:251688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" filled="f" stroked="f">
                <v:textbox style="mso-fit-shape-to-text:t">
                  <w:txbxContent>
                    <w:p w14:paraId="41B0FF42" w14:textId="77777777" w:rsidR="002B32A0" w:rsidRPr="006C5B45" w:rsidRDefault="002B32A0" w:rsidP="002B32A0">
                      <w:pPr>
                        <w:spacing w:line="204" w:lineRule="auto"/>
                        <w:rPr>
                          <w:rFonts w:cstheme="minorBidi"/>
                          <w:b/>
                          <w:bCs/>
                          <w:color w:val="000000" w:themeColor="text1"/>
                          <w:kern w:val="24"/>
                          <w:sz w:val="20"/>
                          <w:szCs w:val="20"/>
                        </w:rPr>
                      </w:pPr>
                      <w:r w:rsidRPr="00974658">
                        <w:rPr>
                          <w:rFonts w:cstheme="minorBidi"/>
                          <w:b/>
                          <w:bCs/>
                          <w:color w:val="000000" w:themeColor="text1"/>
                          <w:kern w:val="24"/>
                        </w:rPr>
                        <w:t xml:space="preserve">The project has produced </w:t>
                      </w:r>
                      <w:r w:rsidRPr="00974658">
                        <w:rPr>
                          <w:rFonts w:cstheme="minorBidi"/>
                          <w:b/>
                          <w:bCs/>
                          <w:color w:val="000000" w:themeColor="text1"/>
                          <w:kern w:val="24"/>
                        </w:rPr>
                        <w:br/>
                      </w:r>
                      <w:r w:rsidRPr="00974658">
                        <w:rPr>
                          <w:rFonts w:cstheme="minorBidi"/>
                          <w:b/>
                          <w:bCs/>
                          <w:color w:val="000000" w:themeColor="text1"/>
                          <w:kern w:val="24"/>
                          <w:sz w:val="20"/>
                          <w:szCs w:val="20"/>
                        </w:rPr>
                        <w:t>- National Domestic and Family Violence Bench Book</w:t>
                      </w:r>
                      <w:r w:rsidRPr="006C5B45">
                        <w:rPr>
                          <w:rFonts w:cstheme="minorBidi"/>
                          <w:b/>
                          <w:bCs/>
                          <w:color w:val="000000" w:themeColor="text1"/>
                          <w:kern w:val="24"/>
                          <w:sz w:val="20"/>
                          <w:szCs w:val="20"/>
                        </w:rPr>
                        <w:t xml:space="preserve">, </w:t>
                      </w:r>
                      <w:r w:rsidRPr="00974658">
                        <w:rPr>
                          <w:rFonts w:cstheme="minorBidi"/>
                          <w:b/>
                          <w:bCs/>
                          <w:color w:val="000000" w:themeColor="text1"/>
                          <w:kern w:val="24"/>
                          <w:sz w:val="20"/>
                          <w:szCs w:val="20"/>
                        </w:rPr>
                        <w:t>training materials</w:t>
                      </w:r>
                      <w:r w:rsidRPr="006C5B45">
                        <w:rPr>
                          <w:rFonts w:cstheme="minorBidi"/>
                          <w:b/>
                          <w:bCs/>
                          <w:color w:val="000000" w:themeColor="text1"/>
                          <w:kern w:val="24"/>
                          <w:sz w:val="20"/>
                          <w:szCs w:val="20"/>
                        </w:rPr>
                        <w:t>, and a course on DFV</w:t>
                      </w:r>
                    </w:p>
                    <w:p w14:paraId="3E3D4C10" w14:textId="77777777" w:rsidR="002B32A0" w:rsidRPr="00974658" w:rsidRDefault="002B32A0" w:rsidP="002B32A0">
                      <w:pPr>
                        <w:spacing w:line="204" w:lineRule="auto"/>
                        <w:rPr>
                          <w:rFonts w:cstheme="minorBidi"/>
                          <w:b/>
                          <w:bCs/>
                          <w:color w:val="000000" w:themeColor="text1"/>
                          <w:kern w:val="24"/>
                          <w:sz w:val="24"/>
                          <w:szCs w:val="24"/>
                        </w:rPr>
                      </w:pPr>
                      <w:r w:rsidRPr="00974658">
                        <w:rPr>
                          <w:rFonts w:cstheme="minorBidi"/>
                          <w:b/>
                          <w:bCs/>
                          <w:color w:val="000000" w:themeColor="text1"/>
                          <w:kern w:val="24"/>
                          <w:sz w:val="20"/>
                          <w:szCs w:val="20"/>
                        </w:rPr>
                        <w:t>- 2 books, 14 papers, 3 conversation pieces, media &amp; public engagements</w:t>
                      </w:r>
                    </w:p>
                  </w:txbxContent>
                </v:textbox>
              </v:shape>
            </w:pict>
          </mc:Fallback>
        </mc:AlternateContent>
      </w:r>
      <w:r w:rsidRPr="00CE1D7F">
        <w:rPr>
          <w:noProof/>
        </w:rPr>
        <mc:AlternateContent>
          <mc:Choice Requires="wps">
            <w:drawing>
              <wp:anchor distT="0" distB="0" distL="114300" distR="114300" simplePos="0" relativeHeight="251684864" behindDoc="0" locked="0" layoutInCell="1" allowOverlap="1" wp14:anchorId="0D36151A" wp14:editId="6ED45139">
                <wp:simplePos x="0" y="0"/>
                <wp:positionH relativeFrom="column">
                  <wp:posOffset>2548890</wp:posOffset>
                </wp:positionH>
                <wp:positionV relativeFrom="paragraph">
                  <wp:posOffset>172720</wp:posOffset>
                </wp:positionV>
                <wp:extent cx="2314575" cy="842645"/>
                <wp:effectExtent l="0" t="0" r="0" b="0"/>
                <wp:wrapNone/>
                <wp:docPr id="594" name="Text Box 59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314575" cy="842645"/>
                        </a:xfrm>
                        <a:prstGeom prst="rect">
                          <a:avLst/>
                        </a:prstGeom>
                        <a:noFill/>
                      </wps:spPr>
                      <wps:txbx>
                        <w:txbxContent>
                          <w:p w14:paraId="033E4A43" w14:textId="77777777" w:rsidR="002B32A0" w:rsidRDefault="002B32A0" w:rsidP="002B32A0">
                            <w:pPr>
                              <w:spacing w:line="204" w:lineRule="auto"/>
                              <w:rPr>
                                <w:rFonts w:asciiTheme="minorHAnsi" w:eastAsia="Yu Gothic UI Semibold" w:cstheme="minorBidi"/>
                                <w:b/>
                                <w:bCs/>
                                <w:color w:val="000000" w:themeColor="text1"/>
                                <w:kern w:val="24"/>
                                <w:sz w:val="36"/>
                                <w:szCs w:val="36"/>
                              </w:rPr>
                            </w:pPr>
                            <w:r>
                              <w:rPr>
                                <w:rFonts w:asciiTheme="minorHAnsi" w:eastAsia="Yu Gothic UI Semibold" w:cstheme="minorBidi"/>
                                <w:b/>
                                <w:bCs/>
                                <w:color w:val="000000" w:themeColor="text1"/>
                                <w:kern w:val="24"/>
                                <w:sz w:val="36"/>
                                <w:szCs w:val="36"/>
                              </w:rPr>
                              <w:t xml:space="preserve">1 life </w:t>
                            </w:r>
                            <w:r w:rsidRPr="00673F80">
                              <w:rPr>
                                <w:rFonts w:cstheme="minorBidi"/>
                                <w:b/>
                                <w:bCs/>
                                <w:color w:val="000000" w:themeColor="text1"/>
                                <w:kern w:val="24"/>
                              </w:rPr>
                              <w:t xml:space="preserve">would need to </w:t>
                            </w:r>
                            <w:r>
                              <w:rPr>
                                <w:rFonts w:cstheme="minorBidi"/>
                                <w:b/>
                                <w:bCs/>
                                <w:color w:val="000000" w:themeColor="text1"/>
                                <w:kern w:val="24"/>
                              </w:rPr>
                              <w:t xml:space="preserve">be </w:t>
                            </w:r>
                            <w:r w:rsidRPr="00673F80">
                              <w:rPr>
                                <w:rFonts w:cstheme="minorBidi"/>
                                <w:b/>
                                <w:bCs/>
                                <w:color w:val="000000" w:themeColor="text1"/>
                                <w:kern w:val="24"/>
                              </w:rPr>
                              <w:t>save</w:t>
                            </w:r>
                            <w:r>
                              <w:rPr>
                                <w:rFonts w:cstheme="minorBidi"/>
                                <w:b/>
                                <w:bCs/>
                                <w:color w:val="000000" w:themeColor="text1"/>
                                <w:kern w:val="24"/>
                              </w:rPr>
                              <w:t>d</w:t>
                            </w:r>
                            <w:r w:rsidRPr="00673F80">
                              <w:rPr>
                                <w:rFonts w:cstheme="minorBidi"/>
                                <w:b/>
                                <w:bCs/>
                                <w:color w:val="000000" w:themeColor="text1"/>
                                <w:kern w:val="24"/>
                              </w:rPr>
                              <w:t xml:space="preserve"> for the benefits to offset the research costs</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D36151A" id="Text Box 594" o:spid="_x0000_s1072" type="#_x0000_t202" alt="&quot;&quot;" style="position:absolute;margin-left:200.7pt;margin-top:13.6pt;width:182.25pt;height:66.3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" filled="f" stroked="f">
                <v:textbox>
                  <w:txbxContent>
                    <w:p w14:paraId="033E4A43" w14:textId="77777777" w:rsidR="002B32A0" w:rsidRDefault="002B32A0" w:rsidP="002B32A0">
                      <w:pPr>
                        <w:spacing w:line="204" w:lineRule="auto"/>
                        <w:rPr>
                          <w:rFonts w:asciiTheme="minorHAnsi" w:eastAsia="Yu Gothic UI Semibold" w:cstheme="minorBidi"/>
                          <w:b/>
                          <w:bCs/>
                          <w:color w:val="000000" w:themeColor="text1"/>
                          <w:kern w:val="24"/>
                          <w:sz w:val="36"/>
                          <w:szCs w:val="36"/>
                        </w:rPr>
                      </w:pPr>
                      <w:r>
                        <w:rPr>
                          <w:rFonts w:asciiTheme="minorHAnsi" w:eastAsia="Yu Gothic UI Semibold" w:cstheme="minorBidi"/>
                          <w:b/>
                          <w:bCs/>
                          <w:color w:val="000000" w:themeColor="text1"/>
                          <w:kern w:val="24"/>
                          <w:sz w:val="36"/>
                          <w:szCs w:val="36"/>
                        </w:rPr>
                        <w:t xml:space="preserve">1 life </w:t>
                      </w:r>
                      <w:r w:rsidRPr="00673F80">
                        <w:rPr>
                          <w:rFonts w:cstheme="minorBidi"/>
                          <w:b/>
                          <w:bCs/>
                          <w:color w:val="000000" w:themeColor="text1"/>
                          <w:kern w:val="24"/>
                        </w:rPr>
                        <w:t xml:space="preserve">would need to </w:t>
                      </w:r>
                      <w:r>
                        <w:rPr>
                          <w:rFonts w:cstheme="minorBidi"/>
                          <w:b/>
                          <w:bCs/>
                          <w:color w:val="000000" w:themeColor="text1"/>
                          <w:kern w:val="24"/>
                        </w:rPr>
                        <w:t xml:space="preserve">be </w:t>
                      </w:r>
                      <w:r w:rsidRPr="00673F80">
                        <w:rPr>
                          <w:rFonts w:cstheme="minorBidi"/>
                          <w:b/>
                          <w:bCs/>
                          <w:color w:val="000000" w:themeColor="text1"/>
                          <w:kern w:val="24"/>
                        </w:rPr>
                        <w:t>save</w:t>
                      </w:r>
                      <w:r>
                        <w:rPr>
                          <w:rFonts w:cstheme="minorBidi"/>
                          <w:b/>
                          <w:bCs/>
                          <w:color w:val="000000" w:themeColor="text1"/>
                          <w:kern w:val="24"/>
                        </w:rPr>
                        <w:t>d</w:t>
                      </w:r>
                      <w:r w:rsidRPr="00673F80">
                        <w:rPr>
                          <w:rFonts w:cstheme="minorBidi"/>
                          <w:b/>
                          <w:bCs/>
                          <w:color w:val="000000" w:themeColor="text1"/>
                          <w:kern w:val="24"/>
                        </w:rPr>
                        <w:t xml:space="preserve"> for the benefits to offset the research costs</w:t>
                      </w:r>
                    </w:p>
                  </w:txbxContent>
                </v:textbox>
              </v:shape>
            </w:pict>
          </mc:Fallback>
        </mc:AlternateContent>
      </w:r>
      <w:r w:rsidRPr="00CE1D7F">
        <w:rPr>
          <w:noProof/>
        </w:rPr>
        <mc:AlternateContent>
          <mc:Choice Requires="wps">
            <w:drawing>
              <wp:anchor distT="0" distB="0" distL="114300" distR="114300" simplePos="0" relativeHeight="251680768" behindDoc="0" locked="0" layoutInCell="1" allowOverlap="1" wp14:anchorId="623CDC2F" wp14:editId="53D7E73E">
                <wp:simplePos x="0" y="0"/>
                <wp:positionH relativeFrom="column">
                  <wp:posOffset>-412750</wp:posOffset>
                </wp:positionH>
                <wp:positionV relativeFrom="paragraph">
                  <wp:posOffset>179705</wp:posOffset>
                </wp:positionV>
                <wp:extent cx="1703705" cy="771525"/>
                <wp:effectExtent l="0" t="0" r="0" b="0"/>
                <wp:wrapNone/>
                <wp:docPr id="595" name="Text Box 59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703705" cy="771525"/>
                        </a:xfrm>
                        <a:prstGeom prst="rect">
                          <a:avLst/>
                        </a:prstGeom>
                        <a:noFill/>
                      </wps:spPr>
                      <wps:txbx>
                        <w:txbxContent>
                          <w:p w14:paraId="10FB671F" w14:textId="77777777" w:rsidR="002B32A0" w:rsidRDefault="002B32A0" w:rsidP="002B32A0">
                            <w:pPr>
                              <w:spacing w:line="204" w:lineRule="auto"/>
                              <w:rPr>
                                <w:rFonts w:asciiTheme="minorHAnsi" w:eastAsia="Yu Gothic UI Semibold" w:cstheme="minorBidi"/>
                                <w:b/>
                                <w:bCs/>
                                <w:color w:val="000000" w:themeColor="text1"/>
                                <w:kern w:val="24"/>
                                <w:sz w:val="36"/>
                                <w:szCs w:val="36"/>
                              </w:rPr>
                            </w:pPr>
                            <w:r>
                              <w:rPr>
                                <w:rFonts w:asciiTheme="minorHAnsi" w:eastAsia="Yu Gothic UI Semibold" w:cstheme="minorBidi"/>
                                <w:b/>
                                <w:bCs/>
                                <w:color w:val="000000" w:themeColor="text1"/>
                                <w:kern w:val="24"/>
                                <w:sz w:val="36"/>
                                <w:szCs w:val="36"/>
                              </w:rPr>
                              <w:t xml:space="preserve">$2.15m </w:t>
                            </w:r>
                            <w:r>
                              <w:rPr>
                                <w:rFonts w:asciiTheme="minorHAnsi" w:eastAsia="Yu Gothic UI Semibold" w:cstheme="minorBidi"/>
                                <w:b/>
                                <w:bCs/>
                                <w:color w:val="000000" w:themeColor="text1"/>
                                <w:kern w:val="24"/>
                              </w:rPr>
                              <w:t xml:space="preserve">invested by ARC and </w:t>
                            </w:r>
                            <w:r w:rsidRPr="00105EEA">
                              <w:rPr>
                                <w:rFonts w:asciiTheme="minorHAnsi" w:eastAsia="Yu Gothic UI Semibold" w:cstheme="minorBidi"/>
                                <w:b/>
                                <w:bCs/>
                                <w:color w:val="000000" w:themeColor="text1"/>
                                <w:kern w:val="24"/>
                                <w:sz w:val="32"/>
                                <w:szCs w:val="32"/>
                              </w:rPr>
                              <w:t>$</w:t>
                            </w:r>
                            <w:r>
                              <w:rPr>
                                <w:rFonts w:asciiTheme="minorHAnsi" w:eastAsia="Yu Gothic UI Semibold" w:cstheme="minorBidi"/>
                                <w:b/>
                                <w:bCs/>
                                <w:color w:val="000000" w:themeColor="text1"/>
                                <w:kern w:val="24"/>
                                <w:sz w:val="32"/>
                                <w:szCs w:val="32"/>
                              </w:rPr>
                              <w:t>1.93</w:t>
                            </w:r>
                            <w:r w:rsidRPr="00676DCA">
                              <w:rPr>
                                <w:rFonts w:asciiTheme="minorHAnsi" w:eastAsia="Yu Gothic UI Semibold" w:cstheme="minorBidi"/>
                                <w:b/>
                                <w:bCs/>
                                <w:color w:val="000000" w:themeColor="text1"/>
                                <w:kern w:val="24"/>
                                <w:sz w:val="32"/>
                                <w:szCs w:val="32"/>
                              </w:rPr>
                              <w:t xml:space="preserve">m </w:t>
                            </w:r>
                            <w:r>
                              <w:rPr>
                                <w:rFonts w:asciiTheme="minorHAnsi" w:eastAsia="Yu Gothic UI Semibold" w:cstheme="minorBidi"/>
                                <w:b/>
                                <w:bCs/>
                                <w:color w:val="000000" w:themeColor="text1"/>
                                <w:kern w:val="24"/>
                              </w:rPr>
                              <w:t xml:space="preserve">by </w:t>
                            </w:r>
                            <w:r w:rsidRPr="001C4217">
                              <w:rPr>
                                <w:rFonts w:asciiTheme="minorHAnsi" w:eastAsia="Yu Gothic UI Semibold" w:cstheme="minorBidi"/>
                                <w:b/>
                                <w:bCs/>
                                <w:color w:val="000000" w:themeColor="text1"/>
                                <w:kern w:val="24"/>
                              </w:rPr>
                              <w:t>participating organisation</w:t>
                            </w:r>
                            <w:r>
                              <w:rPr>
                                <w:rFonts w:asciiTheme="minorHAnsi" w:eastAsia="Yu Gothic UI Semibold" w:cstheme="minorBidi"/>
                                <w:b/>
                                <w:bCs/>
                                <w:color w:val="000000" w:themeColor="text1"/>
                                <w:kern w:val="24"/>
                              </w:rPr>
                              <w:t>s</w:t>
                            </w:r>
                          </w:p>
                        </w:txbxContent>
                      </wps:txbx>
                      <wps:bodyPr wrap="square" rtlCol="0">
                        <a:noAutofit/>
                      </wps:bodyPr>
                    </wps:wsp>
                  </a:graphicData>
                </a:graphic>
                <wp14:sizeRelV relativeFrom="margin">
                  <wp14:pctHeight>0</wp14:pctHeight>
                </wp14:sizeRelV>
              </wp:anchor>
            </w:drawing>
          </mc:Choice>
          <mc:Fallback>
            <w:pict>
              <v:shape w14:anchorId="623CDC2F" id="Text Box 595" o:spid="_x0000_s1073" type="#_x0000_t202" alt="&quot;&quot;" style="position:absolute;margin-left:-32.5pt;margin-top:14.15pt;width:134.15pt;height:60.75pt;z-index:25168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" filled="f" stroked="f">
                <v:textbox>
                  <w:txbxContent>
                    <w:p w14:paraId="10FB671F" w14:textId="77777777" w:rsidR="002B32A0" w:rsidRDefault="002B32A0" w:rsidP="002B32A0">
                      <w:pPr>
                        <w:spacing w:line="204" w:lineRule="auto"/>
                        <w:rPr>
                          <w:rFonts w:asciiTheme="minorHAnsi" w:eastAsia="Yu Gothic UI Semibold" w:cstheme="minorBidi"/>
                          <w:b/>
                          <w:bCs/>
                          <w:color w:val="000000" w:themeColor="text1"/>
                          <w:kern w:val="24"/>
                          <w:sz w:val="36"/>
                          <w:szCs w:val="36"/>
                        </w:rPr>
                      </w:pPr>
                      <w:r>
                        <w:rPr>
                          <w:rFonts w:asciiTheme="minorHAnsi" w:eastAsia="Yu Gothic UI Semibold" w:cstheme="minorBidi"/>
                          <w:b/>
                          <w:bCs/>
                          <w:color w:val="000000" w:themeColor="text1"/>
                          <w:kern w:val="24"/>
                          <w:sz w:val="36"/>
                          <w:szCs w:val="36"/>
                        </w:rPr>
                        <w:t xml:space="preserve">$2.15m </w:t>
                      </w:r>
                      <w:r>
                        <w:rPr>
                          <w:rFonts w:asciiTheme="minorHAnsi" w:eastAsia="Yu Gothic UI Semibold" w:cstheme="minorBidi"/>
                          <w:b/>
                          <w:bCs/>
                          <w:color w:val="000000" w:themeColor="text1"/>
                          <w:kern w:val="24"/>
                        </w:rPr>
                        <w:t xml:space="preserve">invested by ARC and </w:t>
                      </w:r>
                      <w:r w:rsidRPr="00105EEA">
                        <w:rPr>
                          <w:rFonts w:asciiTheme="minorHAnsi" w:eastAsia="Yu Gothic UI Semibold" w:cstheme="minorBidi"/>
                          <w:b/>
                          <w:bCs/>
                          <w:color w:val="000000" w:themeColor="text1"/>
                          <w:kern w:val="24"/>
                          <w:sz w:val="32"/>
                          <w:szCs w:val="32"/>
                        </w:rPr>
                        <w:t>$</w:t>
                      </w:r>
                      <w:r>
                        <w:rPr>
                          <w:rFonts w:asciiTheme="minorHAnsi" w:eastAsia="Yu Gothic UI Semibold" w:cstheme="minorBidi"/>
                          <w:b/>
                          <w:bCs/>
                          <w:color w:val="000000" w:themeColor="text1"/>
                          <w:kern w:val="24"/>
                          <w:sz w:val="32"/>
                          <w:szCs w:val="32"/>
                        </w:rPr>
                        <w:t>1.93</w:t>
                      </w:r>
                      <w:r w:rsidRPr="00676DCA">
                        <w:rPr>
                          <w:rFonts w:asciiTheme="minorHAnsi" w:eastAsia="Yu Gothic UI Semibold" w:cstheme="minorBidi"/>
                          <w:b/>
                          <w:bCs/>
                          <w:color w:val="000000" w:themeColor="text1"/>
                          <w:kern w:val="24"/>
                          <w:sz w:val="32"/>
                          <w:szCs w:val="32"/>
                        </w:rPr>
                        <w:t xml:space="preserve">m </w:t>
                      </w:r>
                      <w:r>
                        <w:rPr>
                          <w:rFonts w:asciiTheme="minorHAnsi" w:eastAsia="Yu Gothic UI Semibold" w:cstheme="minorBidi"/>
                          <w:b/>
                          <w:bCs/>
                          <w:color w:val="000000" w:themeColor="text1"/>
                          <w:kern w:val="24"/>
                        </w:rPr>
                        <w:t xml:space="preserve">by </w:t>
                      </w:r>
                      <w:r w:rsidRPr="001C4217">
                        <w:rPr>
                          <w:rFonts w:asciiTheme="minorHAnsi" w:eastAsia="Yu Gothic UI Semibold" w:cstheme="minorBidi"/>
                          <w:b/>
                          <w:bCs/>
                          <w:color w:val="000000" w:themeColor="text1"/>
                          <w:kern w:val="24"/>
                        </w:rPr>
                        <w:t>participating organisation</w:t>
                      </w:r>
                      <w:r>
                        <w:rPr>
                          <w:rFonts w:asciiTheme="minorHAnsi" w:eastAsia="Yu Gothic UI Semibold" w:cstheme="minorBidi"/>
                          <w:b/>
                          <w:bCs/>
                          <w:color w:val="000000" w:themeColor="text1"/>
                          <w:kern w:val="24"/>
                        </w:rPr>
                        <w:t>s</w:t>
                      </w:r>
                    </w:p>
                  </w:txbxContent>
                </v:textbox>
              </v:shape>
            </w:pict>
          </mc:Fallback>
        </mc:AlternateContent>
      </w:r>
      <w:r w:rsidRPr="00CE1D7F">
        <w:rPr>
          <w:noProof/>
        </w:rPr>
        <w:drawing>
          <wp:anchor distT="0" distB="0" distL="114300" distR="114300" simplePos="0" relativeHeight="251679744" behindDoc="0" locked="0" layoutInCell="1" allowOverlap="1" wp14:anchorId="1CCF0C25" wp14:editId="4E119A04">
            <wp:simplePos x="0" y="0"/>
            <wp:positionH relativeFrom="column">
              <wp:posOffset>-1075690</wp:posOffset>
            </wp:positionH>
            <wp:positionV relativeFrom="paragraph">
              <wp:posOffset>199390</wp:posOffset>
            </wp:positionV>
            <wp:extent cx="555625" cy="566420"/>
            <wp:effectExtent l="0" t="0" r="0" b="0"/>
            <wp:wrapNone/>
            <wp:docPr id="673" name="Picture 67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Picture 556" descr="Icon&#10;&#10;Description automatically generated"/>
                    <pic:cNvPicPr>
                      <a:picLocks noChangeAspect="1"/>
                    </pic:cNvPicPr>
                  </pic:nvPicPr>
                  <pic:blipFill>
                    <a:blip r:embed="rId140" cstate="print">
                      <a:extLst>
                        <a:ext uri="{BEBA8EAE-BF5A-486C-A8C5-ECC9F3942E4B}">
                          <a14:imgProps xmlns:a14="http://schemas.microsoft.com/office/drawing/2010/main">
                            <a14:imgLayer r:embed="rId141">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555625" cy="566420"/>
                    </a:xfrm>
                    <a:prstGeom prst="rect">
                      <a:avLst/>
                    </a:prstGeom>
                  </pic:spPr>
                </pic:pic>
              </a:graphicData>
            </a:graphic>
          </wp:anchor>
        </w:drawing>
      </w:r>
      <w:r w:rsidRPr="00CE1D7F">
        <w:rPr>
          <w:noProof/>
        </w:rPr>
        <w:drawing>
          <wp:anchor distT="0" distB="0" distL="114300" distR="114300" simplePos="0" relativeHeight="251687936" behindDoc="0" locked="0" layoutInCell="1" allowOverlap="1" wp14:anchorId="144E7C99" wp14:editId="220EB7B3">
            <wp:simplePos x="0" y="0"/>
            <wp:positionH relativeFrom="column">
              <wp:posOffset>-1139190</wp:posOffset>
            </wp:positionH>
            <wp:positionV relativeFrom="paragraph">
              <wp:posOffset>955040</wp:posOffset>
            </wp:positionV>
            <wp:extent cx="682625" cy="683260"/>
            <wp:effectExtent l="0" t="0" r="0" b="0"/>
            <wp:wrapNone/>
            <wp:docPr id="197" name="Picture 19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descr="Icon&#10;&#10;Description automatically generated"/>
                    <pic:cNvPicPr>
                      <a:picLocks noChangeAspect="1"/>
                    </pic:cNvPicPr>
                  </pic:nvPicPr>
                  <pic:blipFill>
                    <a:blip r:embed="rId148" cstate="print">
                      <a:extLst>
                        <a:ext uri="{BEBA8EAE-BF5A-486C-A8C5-ECC9F3942E4B}">
                          <a14:imgProps xmlns:a14="http://schemas.microsoft.com/office/drawing/2010/main">
                            <a14:imgLayer r:embed="rId149">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682625" cy="683260"/>
                    </a:xfrm>
                    <a:prstGeom prst="rect">
                      <a:avLst/>
                    </a:prstGeom>
                  </pic:spPr>
                </pic:pic>
              </a:graphicData>
            </a:graphic>
          </wp:anchor>
        </w:drawing>
      </w:r>
      <w:r w:rsidRPr="00CE1D7F">
        <w:rPr>
          <w:noProof/>
        </w:rPr>
        <mc:AlternateContent>
          <mc:Choice Requires="wps">
            <w:drawing>
              <wp:anchor distT="0" distB="0" distL="114300" distR="114300" simplePos="0" relativeHeight="251686912" behindDoc="0" locked="0" layoutInCell="1" allowOverlap="1" wp14:anchorId="29AA17C2" wp14:editId="7D5E3D1F">
                <wp:simplePos x="0" y="0"/>
                <wp:positionH relativeFrom="column">
                  <wp:posOffset>-354330</wp:posOffset>
                </wp:positionH>
                <wp:positionV relativeFrom="paragraph">
                  <wp:posOffset>2042160</wp:posOffset>
                </wp:positionV>
                <wp:extent cx="1703705" cy="664210"/>
                <wp:effectExtent l="0" t="0" r="0" b="0"/>
                <wp:wrapNone/>
                <wp:docPr id="1532194522" name="Text Box 15321945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703705" cy="664210"/>
                        </a:xfrm>
                        <a:prstGeom prst="rect">
                          <a:avLst/>
                        </a:prstGeom>
                        <a:noFill/>
                      </wps:spPr>
                      <wps:txbx>
                        <w:txbxContent>
                          <w:p w14:paraId="4D0E7E31" w14:textId="77777777" w:rsidR="002B32A0" w:rsidRDefault="002B32A0" w:rsidP="002B32A0">
                            <w:pPr>
                              <w:spacing w:line="204" w:lineRule="auto"/>
                              <w:rPr>
                                <w:rFonts w:asciiTheme="minorHAnsi" w:eastAsia="Yu Gothic UI Semibold" w:cstheme="minorBidi"/>
                                <w:b/>
                                <w:bCs/>
                                <w:color w:val="000000" w:themeColor="text1"/>
                                <w:kern w:val="24"/>
                                <w:sz w:val="36"/>
                                <w:szCs w:val="36"/>
                              </w:rPr>
                            </w:pPr>
                            <w:r>
                              <w:rPr>
                                <w:rFonts w:asciiTheme="minorHAnsi" w:eastAsia="Yu Gothic UI Semibold" w:cstheme="minorBidi"/>
                                <w:b/>
                                <w:bCs/>
                                <w:color w:val="000000" w:themeColor="text1"/>
                                <w:kern w:val="24"/>
                                <w:sz w:val="36"/>
                                <w:szCs w:val="36"/>
                              </w:rPr>
                              <w:t xml:space="preserve">3 </w:t>
                            </w:r>
                            <w:r w:rsidRPr="00974658">
                              <w:rPr>
                                <w:rFonts w:asciiTheme="minorHAnsi" w:eastAsia="Yu Gothic UI Semibold" w:cstheme="minorBidi"/>
                                <w:b/>
                                <w:bCs/>
                                <w:color w:val="000000" w:themeColor="text1"/>
                                <w:kern w:val="24"/>
                              </w:rPr>
                              <w:t>PhD</w:t>
                            </w:r>
                            <w:r>
                              <w:rPr>
                                <w:rFonts w:asciiTheme="minorHAnsi" w:eastAsia="Yu Gothic UI Semibold" w:cstheme="minorBidi"/>
                                <w:b/>
                                <w:bCs/>
                                <w:color w:val="000000" w:themeColor="text1"/>
                                <w:kern w:val="24"/>
                              </w:rPr>
                              <w:t xml:space="preserve"> &amp;</w:t>
                            </w:r>
                            <w:r>
                              <w:rPr>
                                <w:rFonts w:asciiTheme="minorHAnsi" w:eastAsia="Yu Gothic UI Semibold" w:cstheme="minorBidi"/>
                                <w:b/>
                                <w:bCs/>
                                <w:color w:val="000000" w:themeColor="text1"/>
                                <w:kern w:val="24"/>
                                <w:sz w:val="36"/>
                                <w:szCs w:val="36"/>
                              </w:rPr>
                              <w:t xml:space="preserve"> 24 </w:t>
                            </w:r>
                            <w:r w:rsidRPr="00974658">
                              <w:rPr>
                                <w:rFonts w:asciiTheme="minorHAnsi" w:eastAsia="Yu Gothic UI Semibold" w:cstheme="minorBidi"/>
                                <w:b/>
                                <w:bCs/>
                                <w:color w:val="000000" w:themeColor="text1"/>
                                <w:kern w:val="24"/>
                              </w:rPr>
                              <w:t>honours</w:t>
                            </w:r>
                            <w:r>
                              <w:rPr>
                                <w:rFonts w:asciiTheme="minorHAnsi" w:eastAsia="Yu Gothic UI Semibold" w:cstheme="minorBidi"/>
                                <w:b/>
                                <w:bCs/>
                                <w:color w:val="000000" w:themeColor="text1"/>
                                <w:kern w:val="24"/>
                                <w:sz w:val="36"/>
                                <w:szCs w:val="36"/>
                              </w:rPr>
                              <w:t xml:space="preserve"> </w:t>
                            </w:r>
                            <w:r>
                              <w:rPr>
                                <w:rFonts w:cstheme="minorBidi"/>
                                <w:b/>
                                <w:bCs/>
                                <w:color w:val="000000" w:themeColor="text1"/>
                                <w:kern w:val="24"/>
                              </w:rPr>
                              <w:t>students trained as a result of the project</w:t>
                            </w:r>
                          </w:p>
                        </w:txbxContent>
                      </wps:txbx>
                      <wps:bodyPr wrap="square" rtlCol="0">
                        <a:noAutofit/>
                      </wps:bodyPr>
                    </wps:wsp>
                  </a:graphicData>
                </a:graphic>
              </wp:anchor>
            </w:drawing>
          </mc:Choice>
          <mc:Fallback>
            <w:pict>
              <v:shape w14:anchorId="29AA17C2" id="Text Box 1532194522" o:spid="_x0000_s1074" type="#_x0000_t202" alt="&quot;&quot;" style="position:absolute;margin-left:-27.9pt;margin-top:160.8pt;width:134.15pt;height:52.3pt;z-index:25168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" filled="f" stroked="f">
                <v:textbox>
                  <w:txbxContent>
                    <w:p w14:paraId="4D0E7E31" w14:textId="77777777" w:rsidR="002B32A0" w:rsidRDefault="002B32A0" w:rsidP="002B32A0">
                      <w:pPr>
                        <w:spacing w:line="204" w:lineRule="auto"/>
                        <w:rPr>
                          <w:rFonts w:asciiTheme="minorHAnsi" w:eastAsia="Yu Gothic UI Semibold" w:cstheme="minorBidi"/>
                          <w:b/>
                          <w:bCs/>
                          <w:color w:val="000000" w:themeColor="text1"/>
                          <w:kern w:val="24"/>
                          <w:sz w:val="36"/>
                          <w:szCs w:val="36"/>
                        </w:rPr>
                      </w:pPr>
                      <w:r>
                        <w:rPr>
                          <w:rFonts w:asciiTheme="minorHAnsi" w:eastAsia="Yu Gothic UI Semibold" w:cstheme="minorBidi"/>
                          <w:b/>
                          <w:bCs/>
                          <w:color w:val="000000" w:themeColor="text1"/>
                          <w:kern w:val="24"/>
                          <w:sz w:val="36"/>
                          <w:szCs w:val="36"/>
                        </w:rPr>
                        <w:t xml:space="preserve">3 </w:t>
                      </w:r>
                      <w:r w:rsidRPr="00974658">
                        <w:rPr>
                          <w:rFonts w:asciiTheme="minorHAnsi" w:eastAsia="Yu Gothic UI Semibold" w:cstheme="minorBidi"/>
                          <w:b/>
                          <w:bCs/>
                          <w:color w:val="000000" w:themeColor="text1"/>
                          <w:kern w:val="24"/>
                        </w:rPr>
                        <w:t>PhD</w:t>
                      </w:r>
                      <w:r>
                        <w:rPr>
                          <w:rFonts w:asciiTheme="minorHAnsi" w:eastAsia="Yu Gothic UI Semibold" w:cstheme="minorBidi"/>
                          <w:b/>
                          <w:bCs/>
                          <w:color w:val="000000" w:themeColor="text1"/>
                          <w:kern w:val="24"/>
                        </w:rPr>
                        <w:t xml:space="preserve"> &amp;</w:t>
                      </w:r>
                      <w:r>
                        <w:rPr>
                          <w:rFonts w:asciiTheme="minorHAnsi" w:eastAsia="Yu Gothic UI Semibold" w:cstheme="minorBidi"/>
                          <w:b/>
                          <w:bCs/>
                          <w:color w:val="000000" w:themeColor="text1"/>
                          <w:kern w:val="24"/>
                          <w:sz w:val="36"/>
                          <w:szCs w:val="36"/>
                        </w:rPr>
                        <w:t xml:space="preserve"> 24 </w:t>
                      </w:r>
                      <w:r w:rsidRPr="00974658">
                        <w:rPr>
                          <w:rFonts w:asciiTheme="minorHAnsi" w:eastAsia="Yu Gothic UI Semibold" w:cstheme="minorBidi"/>
                          <w:b/>
                          <w:bCs/>
                          <w:color w:val="000000" w:themeColor="text1"/>
                          <w:kern w:val="24"/>
                        </w:rPr>
                        <w:t>honours</w:t>
                      </w:r>
                      <w:r>
                        <w:rPr>
                          <w:rFonts w:asciiTheme="minorHAnsi" w:eastAsia="Yu Gothic UI Semibold" w:cstheme="minorBidi"/>
                          <w:b/>
                          <w:bCs/>
                          <w:color w:val="000000" w:themeColor="text1"/>
                          <w:kern w:val="24"/>
                          <w:sz w:val="36"/>
                          <w:szCs w:val="36"/>
                        </w:rPr>
                        <w:t xml:space="preserve"> </w:t>
                      </w:r>
                      <w:r>
                        <w:rPr>
                          <w:rFonts w:cstheme="minorBidi"/>
                          <w:b/>
                          <w:bCs/>
                          <w:color w:val="000000" w:themeColor="text1"/>
                          <w:kern w:val="24"/>
                        </w:rPr>
                        <w:t>students trained as a result of the project</w:t>
                      </w:r>
                    </w:p>
                  </w:txbxContent>
                </v:textbox>
              </v:shape>
            </w:pict>
          </mc:Fallback>
        </mc:AlternateContent>
      </w:r>
      <w:r w:rsidRPr="00CE1D7F">
        <w:rPr>
          <w:noProof/>
        </w:rPr>
        <mc:AlternateContent>
          <mc:Choice Requires="wpg">
            <w:drawing>
              <wp:anchor distT="0" distB="0" distL="114300" distR="114300" simplePos="0" relativeHeight="251685888" behindDoc="0" locked="0" layoutInCell="1" allowOverlap="1" wp14:anchorId="235BD1B0" wp14:editId="7A084C45">
                <wp:simplePos x="0" y="0"/>
                <wp:positionH relativeFrom="column">
                  <wp:posOffset>-1118235</wp:posOffset>
                </wp:positionH>
                <wp:positionV relativeFrom="paragraph">
                  <wp:posOffset>1911985</wp:posOffset>
                </wp:positionV>
                <wp:extent cx="790575" cy="752475"/>
                <wp:effectExtent l="0" t="0" r="0" b="0"/>
                <wp:wrapNone/>
                <wp:docPr id="596" name="Group 596" descr="Icon&#10;&#10;Description automatically generated"/>
                <wp:cNvGraphicFramePr/>
                <a:graphic xmlns:a="http://schemas.openxmlformats.org/drawingml/2006/main">
                  <a:graphicData uri="http://schemas.microsoft.com/office/word/2010/wordprocessingGroup">
                    <wpg:wgp>
                      <wpg:cNvGrpSpPr/>
                      <wpg:grpSpPr>
                        <a:xfrm>
                          <a:off x="0" y="0"/>
                          <a:ext cx="790575" cy="752475"/>
                          <a:chOff x="0" y="0"/>
                          <a:chExt cx="790575" cy="752475"/>
                        </a:xfrm>
                      </wpg:grpSpPr>
                      <pic:pic xmlns:pic="http://schemas.openxmlformats.org/drawingml/2006/picture">
                        <pic:nvPicPr>
                          <pic:cNvPr id="597" name="Graphic 597" descr="Diploma roll with solid fill"/>
                          <pic:cNvPicPr>
                            <a:picLocks noChangeAspect="1"/>
                          </pic:cNvPicPr>
                        </pic:nvPicPr>
                        <pic:blipFill>
                          <a:blip r:embed="rId142">
                            <a:extLst>
                              <a:ext uri="{28A0092B-C50C-407E-A947-70E740481C1C}">
                                <a14:useLocalDpi xmlns:a14="http://schemas.microsoft.com/office/drawing/2010/main" val="0"/>
                              </a:ext>
                              <a:ext uri="{96DAC541-7B7A-43D3-8B79-37D633B846F1}">
                                <asvg:svgBlip xmlns:asvg="http://schemas.microsoft.com/office/drawing/2016/SVG/main" r:embed="rId143"/>
                              </a:ext>
                            </a:extLst>
                          </a:blip>
                          <a:stretch>
                            <a:fillRect/>
                          </a:stretch>
                        </pic:blipFill>
                        <pic:spPr>
                          <a:xfrm rot="19117289">
                            <a:off x="257175" y="219075"/>
                            <a:ext cx="533400" cy="533400"/>
                          </a:xfrm>
                          <a:prstGeom prst="rect">
                            <a:avLst/>
                          </a:prstGeom>
                        </pic:spPr>
                      </pic:pic>
                      <pic:pic xmlns:pic="http://schemas.openxmlformats.org/drawingml/2006/picture">
                        <pic:nvPicPr>
                          <pic:cNvPr id="598" name="Graphic 598" descr="Graduation cap with solid fill"/>
                          <pic:cNvPicPr>
                            <a:picLocks noChangeAspect="1"/>
                          </pic:cNvPicPr>
                        </pic:nvPicPr>
                        <pic:blipFill>
                          <a:blip r:embed="rId144">
                            <a:extLst>
                              <a:ext uri="{28A0092B-C50C-407E-A947-70E740481C1C}">
                                <a14:useLocalDpi xmlns:a14="http://schemas.microsoft.com/office/drawing/2010/main" val="0"/>
                              </a:ext>
                              <a:ext uri="{96DAC541-7B7A-43D3-8B79-37D633B846F1}">
                                <asvg:svgBlip xmlns:asvg="http://schemas.microsoft.com/office/drawing/2016/SVG/main" r:embed="rId145"/>
                              </a:ext>
                            </a:extLst>
                          </a:blip>
                          <a:stretch>
                            <a:fillRect/>
                          </a:stretch>
                        </pic:blipFill>
                        <pic:spPr>
                          <a:xfrm>
                            <a:off x="0" y="0"/>
                            <a:ext cx="619125" cy="619125"/>
                          </a:xfrm>
                          <a:prstGeom prst="rect">
                            <a:avLst/>
                          </a:prstGeom>
                        </pic:spPr>
                      </pic:pic>
                    </wpg:wgp>
                  </a:graphicData>
                </a:graphic>
              </wp:anchor>
            </w:drawing>
          </mc:Choice>
          <mc:Fallback>
            <w:pict>
              <v:group w14:anchorId="6E29368C" id="Group 596" o:spid="_x0000_s1026" alt="Icon&#10;&#10;Description automatically generated" style="position:absolute;margin-left:-88.05pt;margin-top:150.55pt;width:62.25pt;height:59.25pt;z-index:251685888" coordsize="7905,752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">
                <v:shape id="Graphic 597" o:spid="_x0000_s1027" type="#_x0000_t75" alt="Diploma roll with solid fill" style="position:absolute;left:2571;top:2190;width:5334;height:5334;rotation:-271178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">
                  <v:imagedata r:id="rId146" o:title="Diploma roll with solid fill"/>
                </v:shape>
                <v:shape id="Graphic 598" o:spid="_x0000_s1028" type="#_x0000_t75" alt="Graduation cap with solid fill" style="position:absolute;width:6191;height:6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">
                  <v:imagedata r:id="rId147" o:title="Graduation cap with solid fill"/>
                </v:shape>
              </v:group>
            </w:pict>
          </mc:Fallback>
        </mc:AlternateContent>
      </w:r>
    </w:p>
    <w:p w14:paraId="18466D3A" w14:textId="77777777" w:rsidR="002B32A0" w:rsidRPr="00CE1D7F" w:rsidRDefault="002B32A0" w:rsidP="002B32A0">
      <w:pPr>
        <w:pStyle w:val="BodyText"/>
      </w:pPr>
      <w:r w:rsidRPr="00CE1D7F">
        <w:rPr>
          <w:noProof/>
        </w:rPr>
        <w:drawing>
          <wp:anchor distT="0" distB="0" distL="114300" distR="114300" simplePos="0" relativeHeight="251683840" behindDoc="0" locked="0" layoutInCell="1" allowOverlap="1" wp14:anchorId="43FA0C59" wp14:editId="6AB8886C">
            <wp:simplePos x="0" y="0"/>
            <wp:positionH relativeFrom="page">
              <wp:posOffset>3828415</wp:posOffset>
            </wp:positionH>
            <wp:positionV relativeFrom="paragraph">
              <wp:posOffset>59690</wp:posOffset>
            </wp:positionV>
            <wp:extent cx="514418" cy="514877"/>
            <wp:effectExtent l="0" t="0" r="0" b="0"/>
            <wp:wrapNone/>
            <wp:docPr id="674" name="Picture 67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192" descr="Icon&#10;&#10;Description automatically generated"/>
                    <pic:cNvPicPr>
                      <a:picLocks noChangeAspect="1"/>
                    </pic:cNvPicPr>
                  </pic:nvPicPr>
                  <pic:blipFill>
                    <a:blip r:embed="rId136" cstate="print">
                      <a:extLst>
                        <a:ext uri="{BEBA8EAE-BF5A-486C-A8C5-ECC9F3942E4B}">
                          <a14:imgProps xmlns:a14="http://schemas.microsoft.com/office/drawing/2010/main">
                            <a14:imgLayer r:embed="rId137">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514418" cy="514877"/>
                    </a:xfrm>
                    <a:prstGeom prst="rect">
                      <a:avLst/>
                    </a:prstGeom>
                  </pic:spPr>
                </pic:pic>
              </a:graphicData>
            </a:graphic>
          </wp:anchor>
        </w:drawing>
      </w:r>
    </w:p>
    <w:p w14:paraId="60D91200" w14:textId="77777777" w:rsidR="002B32A0" w:rsidRPr="00CE1D7F" w:rsidRDefault="002B32A0" w:rsidP="002B32A0">
      <w:pPr>
        <w:pStyle w:val="BodyText"/>
      </w:pPr>
    </w:p>
    <w:p w14:paraId="0294723B" w14:textId="77777777" w:rsidR="002B32A0" w:rsidRPr="00CE1D7F" w:rsidRDefault="002B32A0" w:rsidP="002B32A0">
      <w:pPr>
        <w:pStyle w:val="BodyText"/>
      </w:pPr>
    </w:p>
    <w:p w14:paraId="13EEE7F3" w14:textId="77777777" w:rsidR="002B32A0" w:rsidRPr="00CE1D7F" w:rsidRDefault="002B32A0" w:rsidP="002B32A0">
      <w:pPr>
        <w:pStyle w:val="BodyText"/>
      </w:pPr>
      <w:r w:rsidRPr="00CE1D7F">
        <w:rPr>
          <w:noProof/>
        </w:rPr>
        <w:drawing>
          <wp:anchor distT="0" distB="0" distL="114300" distR="114300" simplePos="0" relativeHeight="251681792" behindDoc="0" locked="0" layoutInCell="1" allowOverlap="1" wp14:anchorId="44568C1F" wp14:editId="474A68E3">
            <wp:simplePos x="0" y="0"/>
            <wp:positionH relativeFrom="column">
              <wp:posOffset>1849230</wp:posOffset>
            </wp:positionH>
            <wp:positionV relativeFrom="paragraph">
              <wp:posOffset>29123</wp:posOffset>
            </wp:positionV>
            <wp:extent cx="572135" cy="572770"/>
            <wp:effectExtent l="0" t="0" r="0" b="0"/>
            <wp:wrapNone/>
            <wp:docPr id="198" name="Picture 198"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98" descr="Logo&#10;&#10;Description automatically generated"/>
                    <pic:cNvPicPr>
                      <a:picLocks noChangeAspect="1"/>
                    </pic:cNvPicPr>
                  </pic:nvPicPr>
                  <pic:blipFill>
                    <a:blip r:embed="rId150" cstate="print">
                      <a:extLst>
                        <a:ext uri="{BEBA8EAE-BF5A-486C-A8C5-ECC9F3942E4B}">
                          <a14:imgProps xmlns:a14="http://schemas.microsoft.com/office/drawing/2010/main">
                            <a14:imgLayer r:embed="rId151">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572135" cy="572770"/>
                    </a:xfrm>
                    <a:prstGeom prst="rect">
                      <a:avLst/>
                    </a:prstGeom>
                  </pic:spPr>
                </pic:pic>
              </a:graphicData>
            </a:graphic>
          </wp:anchor>
        </w:drawing>
      </w:r>
    </w:p>
    <w:p w14:paraId="4F4516B1" w14:textId="77777777" w:rsidR="002B32A0" w:rsidRPr="00CE1D7F" w:rsidRDefault="002B32A0" w:rsidP="002B32A0">
      <w:pPr>
        <w:pStyle w:val="BodyText"/>
      </w:pPr>
    </w:p>
    <w:p w14:paraId="288464BC" w14:textId="77777777" w:rsidR="002B32A0" w:rsidRPr="00CE1D7F" w:rsidRDefault="002B32A0" w:rsidP="002B32A0">
      <w:pPr>
        <w:pStyle w:val="BodyText"/>
      </w:pPr>
      <w:r w:rsidRPr="00CE1D7F">
        <w:rPr>
          <w:noProof/>
        </w:rPr>
        <mc:AlternateContent>
          <mc:Choice Requires="wps">
            <w:drawing>
              <wp:anchor distT="0" distB="0" distL="114300" distR="114300" simplePos="0" relativeHeight="251692032" behindDoc="0" locked="0" layoutInCell="1" allowOverlap="1" wp14:anchorId="0CA6AE53" wp14:editId="717A622B">
                <wp:simplePos x="0" y="0"/>
                <wp:positionH relativeFrom="column">
                  <wp:posOffset>2544138</wp:posOffset>
                </wp:positionH>
                <wp:positionV relativeFrom="paragraph">
                  <wp:posOffset>186143</wp:posOffset>
                </wp:positionV>
                <wp:extent cx="2362179" cy="1143000"/>
                <wp:effectExtent l="0" t="0" r="0" b="0"/>
                <wp:wrapNone/>
                <wp:docPr id="599" name="Text Box 59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362179" cy="1143000"/>
                        </a:xfrm>
                        <a:prstGeom prst="rect">
                          <a:avLst/>
                        </a:prstGeom>
                        <a:noFill/>
                      </wps:spPr>
                      <wps:txbx>
                        <w:txbxContent>
                          <w:p w14:paraId="295CCB5E" w14:textId="77777777" w:rsidR="002B32A0" w:rsidRPr="00974658" w:rsidRDefault="002B32A0" w:rsidP="002B32A0">
                            <w:pPr>
                              <w:spacing w:line="204" w:lineRule="auto"/>
                              <w:rPr>
                                <w:rFonts w:cstheme="minorBidi"/>
                                <w:b/>
                                <w:bCs/>
                                <w:color w:val="000000" w:themeColor="text1"/>
                                <w:kern w:val="24"/>
                                <w:sz w:val="20"/>
                                <w:szCs w:val="20"/>
                              </w:rPr>
                            </w:pPr>
                            <w:bookmarkStart w:id="473" w:name="_Hlk129077258"/>
                            <w:bookmarkStart w:id="474" w:name="_Hlk129077259"/>
                            <w:r w:rsidRPr="006C5B45">
                              <w:rPr>
                                <w:rFonts w:asciiTheme="minorHAnsi" w:eastAsia="Yu Gothic UI Semibold" w:cstheme="minorBidi"/>
                                <w:b/>
                                <w:bCs/>
                                <w:color w:val="000000" w:themeColor="text1"/>
                                <w:kern w:val="24"/>
                                <w:lang w:val="en-US"/>
                              </w:rPr>
                              <w:t>Align</w:t>
                            </w:r>
                            <w:r>
                              <w:rPr>
                                <w:rFonts w:asciiTheme="minorHAnsi" w:eastAsia="Yu Gothic UI Semibold" w:cstheme="minorBidi"/>
                                <w:b/>
                                <w:bCs/>
                                <w:color w:val="000000" w:themeColor="text1"/>
                                <w:kern w:val="24"/>
                                <w:lang w:val="en-US"/>
                              </w:rPr>
                              <w:t>s</w:t>
                            </w:r>
                            <w:r w:rsidRPr="006C5B45">
                              <w:rPr>
                                <w:rFonts w:asciiTheme="minorHAnsi" w:eastAsia="Yu Gothic UI Semibold" w:cstheme="minorBidi"/>
                                <w:b/>
                                <w:bCs/>
                                <w:color w:val="000000" w:themeColor="text1"/>
                                <w:kern w:val="24"/>
                                <w:lang w:val="en-US"/>
                              </w:rPr>
                              <w:t xml:space="preserve"> with priorities: </w:t>
                            </w:r>
                            <w:r>
                              <w:rPr>
                                <w:rFonts w:asciiTheme="minorHAnsi" w:eastAsia="Yu Gothic UI Semibold" w:cstheme="minorBidi"/>
                                <w:b/>
                                <w:bCs/>
                                <w:color w:val="000000" w:themeColor="text1"/>
                                <w:kern w:val="24"/>
                                <w:lang w:val="en-US"/>
                              </w:rPr>
                              <w:br/>
                            </w:r>
                            <w:r w:rsidRPr="00974658">
                              <w:rPr>
                                <w:rFonts w:cstheme="minorBidi"/>
                                <w:b/>
                                <w:bCs/>
                                <w:color w:val="000000" w:themeColor="text1"/>
                                <w:kern w:val="24"/>
                                <w:sz w:val="20"/>
                                <w:szCs w:val="20"/>
                              </w:rPr>
                              <w:t>- National Plan to End Violence against Women and Children 2022-2032</w:t>
                            </w:r>
                            <w:r w:rsidRPr="00974658">
                              <w:rPr>
                                <w:rFonts w:cstheme="minorBidi"/>
                                <w:b/>
                                <w:bCs/>
                                <w:color w:val="000000" w:themeColor="text1"/>
                                <w:kern w:val="24"/>
                                <w:sz w:val="20"/>
                                <w:szCs w:val="20"/>
                              </w:rPr>
                              <w:br/>
                              <w:t xml:space="preserve">- Queensland Not Now, Not Ever Report </w:t>
                            </w:r>
                            <w:r w:rsidRPr="00974658">
                              <w:rPr>
                                <w:rFonts w:cstheme="minorBidi"/>
                                <w:b/>
                                <w:bCs/>
                                <w:color w:val="000000" w:themeColor="text1"/>
                                <w:kern w:val="24"/>
                                <w:sz w:val="20"/>
                                <w:szCs w:val="20"/>
                              </w:rPr>
                              <w:br/>
                              <w:t xml:space="preserve">- Queensland Domestic and Family Violence Prevention Strategy 2016-2026 </w:t>
                            </w:r>
                            <w:bookmarkEnd w:id="473"/>
                            <w:bookmarkEnd w:id="474"/>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CA6AE53" id="Text Box 599" o:spid="_x0000_s1075" type="#_x0000_t202" alt="&quot;&quot;" style="position:absolute;margin-left:200.35pt;margin-top:14.65pt;width:186pt;height:90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" filled="f" stroked="f">
                <v:textbox>
                  <w:txbxContent>
                    <w:p w14:paraId="295CCB5E" w14:textId="77777777" w:rsidR="002B32A0" w:rsidRPr="00974658" w:rsidRDefault="002B32A0" w:rsidP="002B32A0">
                      <w:pPr>
                        <w:spacing w:line="204" w:lineRule="auto"/>
                        <w:rPr>
                          <w:rFonts w:cstheme="minorBidi"/>
                          <w:b/>
                          <w:bCs/>
                          <w:color w:val="000000" w:themeColor="text1"/>
                          <w:kern w:val="24"/>
                          <w:sz w:val="20"/>
                          <w:szCs w:val="20"/>
                        </w:rPr>
                      </w:pPr>
                      <w:bookmarkStart w:id="475" w:name="_Hlk129077258"/>
                      <w:bookmarkStart w:id="476" w:name="_Hlk129077259"/>
                      <w:r w:rsidRPr="006C5B45">
                        <w:rPr>
                          <w:rFonts w:asciiTheme="minorHAnsi" w:eastAsia="Yu Gothic UI Semibold" w:cstheme="minorBidi"/>
                          <w:b/>
                          <w:bCs/>
                          <w:color w:val="000000" w:themeColor="text1"/>
                          <w:kern w:val="24"/>
                          <w:lang w:val="en-US"/>
                        </w:rPr>
                        <w:t>Align</w:t>
                      </w:r>
                      <w:r>
                        <w:rPr>
                          <w:rFonts w:asciiTheme="minorHAnsi" w:eastAsia="Yu Gothic UI Semibold" w:cstheme="minorBidi"/>
                          <w:b/>
                          <w:bCs/>
                          <w:color w:val="000000" w:themeColor="text1"/>
                          <w:kern w:val="24"/>
                          <w:lang w:val="en-US"/>
                        </w:rPr>
                        <w:t>s</w:t>
                      </w:r>
                      <w:r w:rsidRPr="006C5B45">
                        <w:rPr>
                          <w:rFonts w:asciiTheme="minorHAnsi" w:eastAsia="Yu Gothic UI Semibold" w:cstheme="minorBidi"/>
                          <w:b/>
                          <w:bCs/>
                          <w:color w:val="000000" w:themeColor="text1"/>
                          <w:kern w:val="24"/>
                          <w:lang w:val="en-US"/>
                        </w:rPr>
                        <w:t xml:space="preserve"> with priorities: </w:t>
                      </w:r>
                      <w:r>
                        <w:rPr>
                          <w:rFonts w:asciiTheme="minorHAnsi" w:eastAsia="Yu Gothic UI Semibold" w:cstheme="minorBidi"/>
                          <w:b/>
                          <w:bCs/>
                          <w:color w:val="000000" w:themeColor="text1"/>
                          <w:kern w:val="24"/>
                          <w:lang w:val="en-US"/>
                        </w:rPr>
                        <w:br/>
                      </w:r>
                      <w:r w:rsidRPr="00974658">
                        <w:rPr>
                          <w:rFonts w:cstheme="minorBidi"/>
                          <w:b/>
                          <w:bCs/>
                          <w:color w:val="000000" w:themeColor="text1"/>
                          <w:kern w:val="24"/>
                          <w:sz w:val="20"/>
                          <w:szCs w:val="20"/>
                        </w:rPr>
                        <w:t>- National Plan to End Violence against Women and Children 2022-2032</w:t>
                      </w:r>
                      <w:r w:rsidRPr="00974658">
                        <w:rPr>
                          <w:rFonts w:cstheme="minorBidi"/>
                          <w:b/>
                          <w:bCs/>
                          <w:color w:val="000000" w:themeColor="text1"/>
                          <w:kern w:val="24"/>
                          <w:sz w:val="20"/>
                          <w:szCs w:val="20"/>
                        </w:rPr>
                        <w:br/>
                        <w:t xml:space="preserve">- Queensland Not Now, Not Ever Report </w:t>
                      </w:r>
                      <w:r w:rsidRPr="00974658">
                        <w:rPr>
                          <w:rFonts w:cstheme="minorBidi"/>
                          <w:b/>
                          <w:bCs/>
                          <w:color w:val="000000" w:themeColor="text1"/>
                          <w:kern w:val="24"/>
                          <w:sz w:val="20"/>
                          <w:szCs w:val="20"/>
                        </w:rPr>
                        <w:br/>
                        <w:t xml:space="preserve">- Queensland Domestic and Family Violence Prevention Strategy 2016-2026 </w:t>
                      </w:r>
                      <w:bookmarkEnd w:id="475"/>
                      <w:bookmarkEnd w:id="476"/>
                    </w:p>
                  </w:txbxContent>
                </v:textbox>
              </v:shape>
            </w:pict>
          </mc:Fallback>
        </mc:AlternateContent>
      </w:r>
    </w:p>
    <w:p w14:paraId="7A19515E" w14:textId="77777777" w:rsidR="002B32A0" w:rsidRPr="00CE1D7F" w:rsidRDefault="002B32A0" w:rsidP="002B32A0">
      <w:pPr>
        <w:pStyle w:val="BodyText"/>
      </w:pPr>
      <w:r w:rsidRPr="00CE1D7F">
        <w:rPr>
          <w:noProof/>
        </w:rPr>
        <w:drawing>
          <wp:anchor distT="0" distB="0" distL="114300" distR="114300" simplePos="0" relativeHeight="251691008" behindDoc="0" locked="0" layoutInCell="1" allowOverlap="1" wp14:anchorId="7F14F86A" wp14:editId="628AF0D1">
            <wp:simplePos x="0" y="0"/>
            <wp:positionH relativeFrom="column">
              <wp:posOffset>1853850</wp:posOffset>
            </wp:positionH>
            <wp:positionV relativeFrom="paragraph">
              <wp:posOffset>238914</wp:posOffset>
            </wp:positionV>
            <wp:extent cx="582295" cy="593725"/>
            <wp:effectExtent l="0" t="0" r="8255" b="0"/>
            <wp:wrapNone/>
            <wp:docPr id="675" name="Picture 67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Picture 555" descr="Icon&#10;&#10;Description automatically generated"/>
                    <pic:cNvPicPr>
                      <a:picLocks noChangeAspect="1"/>
                    </pic:cNvPicPr>
                  </pic:nvPicPr>
                  <pic:blipFill>
                    <a:blip r:embed="rId138" cstate="print">
                      <a:extLst>
                        <a:ext uri="{BEBA8EAE-BF5A-486C-A8C5-ECC9F3942E4B}">
                          <a14:imgProps xmlns:a14="http://schemas.microsoft.com/office/drawing/2010/main">
                            <a14:imgLayer r:embed="rId139">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582295" cy="593725"/>
                    </a:xfrm>
                    <a:prstGeom prst="rect">
                      <a:avLst/>
                    </a:prstGeom>
                  </pic:spPr>
                </pic:pic>
              </a:graphicData>
            </a:graphic>
          </wp:anchor>
        </w:drawing>
      </w:r>
    </w:p>
    <w:p w14:paraId="38537185" w14:textId="77777777" w:rsidR="002B32A0" w:rsidRPr="00CE1D7F" w:rsidRDefault="002B32A0" w:rsidP="002B32A0">
      <w:pPr>
        <w:pStyle w:val="BodyText"/>
      </w:pPr>
    </w:p>
    <w:p w14:paraId="7436C438" w14:textId="77777777" w:rsidR="002B32A0" w:rsidRPr="00CE1D7F" w:rsidRDefault="002B32A0" w:rsidP="002B32A0">
      <w:pPr>
        <w:pStyle w:val="BodyText"/>
      </w:pPr>
    </w:p>
    <w:p w14:paraId="74128E6E" w14:textId="77777777" w:rsidR="002B32A0" w:rsidRPr="00CE1D7F" w:rsidRDefault="002B32A0" w:rsidP="002B32A0">
      <w:pPr>
        <w:pStyle w:val="BodyText"/>
      </w:pPr>
    </w:p>
    <w:p w14:paraId="06EEF5FE" w14:textId="77777777" w:rsidR="002B32A0" w:rsidRPr="00CE1D7F" w:rsidRDefault="002B32A0" w:rsidP="002B32A0">
      <w:pPr>
        <w:pStyle w:val="BodyText"/>
      </w:pPr>
    </w:p>
    <w:p w14:paraId="185FD7A2" w14:textId="77777777" w:rsidR="002B32A0" w:rsidRPr="00CE1D7F" w:rsidRDefault="002B32A0" w:rsidP="00587F3E">
      <w:pPr>
        <w:pStyle w:val="Heading2"/>
        <w:spacing w:before="480"/>
      </w:pPr>
      <w:bookmarkStart w:id="477" w:name="_Toc129963975"/>
      <w:bookmarkStart w:id="478" w:name="_Toc131174614"/>
      <w:bookmarkStart w:id="479" w:name="_Toc132970705"/>
      <w:bookmarkStart w:id="480" w:name="_Toc135323744"/>
      <w:r w:rsidRPr="00CE1D7F">
        <w:t>Case study framework</w:t>
      </w:r>
      <w:bookmarkEnd w:id="477"/>
      <w:bookmarkEnd w:id="478"/>
      <w:bookmarkEnd w:id="479"/>
      <w:bookmarkEnd w:id="480"/>
    </w:p>
    <w:p w14:paraId="2FE02AD5" w14:textId="322D780F" w:rsidR="003E62D0" w:rsidRDefault="002B32A0" w:rsidP="002B32A0">
      <w:pPr>
        <w:pStyle w:val="BodyText"/>
      </w:pPr>
      <w:bookmarkStart w:id="481" w:name="_Hlk127521487"/>
      <w:r w:rsidRPr="00CE1D7F">
        <w:t>This case study uses an evaluation framework</w:t>
      </w:r>
      <w:r>
        <w:t xml:space="preserve"> that ACIL Allen has used</w:t>
      </w:r>
      <w:r w:rsidRPr="00CE1D7F">
        <w:t xml:space="preserve"> to assess the impact and value of research undertaken by many organisations.</w:t>
      </w:r>
      <w:r w:rsidRPr="00CE1D7F">
        <w:rPr>
          <w:rStyle w:val="FootnoteReference"/>
        </w:rPr>
        <w:footnoteReference w:id="186"/>
      </w:r>
      <w:r w:rsidRPr="00CE1D7F">
        <w:t xml:space="preserve"> The results from </w:t>
      </w:r>
      <w:r>
        <w:t>applying that</w:t>
      </w:r>
      <w:r w:rsidRPr="00CE1D7F">
        <w:t xml:space="preserve"> framework </w:t>
      </w:r>
      <w:r>
        <w:t xml:space="preserve">to the </w:t>
      </w:r>
      <w:r w:rsidRPr="00CE1D7F">
        <w:t xml:space="preserve">Changing the law to Protect Survivors of </w:t>
      </w:r>
      <w:r>
        <w:t>DFV</w:t>
      </w:r>
      <w:r w:rsidRPr="00CE1D7F">
        <w:t xml:space="preserve"> case study are summarised in </w:t>
      </w:r>
      <w:r w:rsidRPr="00F87D0E">
        <w:fldChar w:fldCharType="begin"/>
      </w:r>
      <w:r w:rsidRPr="00F87D0E">
        <w:instrText xml:space="preserve"> REF _Ref129334991 \h  \* MERGEFORMAT </w:instrText>
      </w:r>
      <w:r w:rsidRPr="00F87D0E">
        <w:fldChar w:fldCharType="separate"/>
      </w:r>
      <w:r w:rsidR="000B0AC7" w:rsidRPr="000B0AC7">
        <w:t>Figure 11.1</w:t>
      </w:r>
      <w:r w:rsidRPr="00F87D0E">
        <w:fldChar w:fldCharType="end"/>
      </w:r>
      <w:r w:rsidRPr="00CE1D7F">
        <w:t>.</w:t>
      </w:r>
    </w:p>
    <w:p w14:paraId="1563B6E9" w14:textId="77777777" w:rsidR="003E62D0" w:rsidRDefault="003E62D0">
      <w:pPr>
        <w:spacing w:before="0" w:after="160" w:line="259" w:lineRule="auto"/>
      </w:pPr>
      <w:r>
        <w:br w:type="page"/>
      </w:r>
    </w:p>
    <w:p w14:paraId="45D80412" w14:textId="77A8BE81" w:rsidR="002B32A0" w:rsidRPr="00CE1D7F" w:rsidRDefault="002B32A0" w:rsidP="002B32A0">
      <w:pPr>
        <w:pStyle w:val="Caption"/>
        <w:ind w:left="-1202"/>
      </w:pPr>
      <w:bookmarkStart w:id="482" w:name="_Ref129334991"/>
      <w:bookmarkEnd w:id="481"/>
      <w:r w:rsidRPr="00CE1D7F">
        <w:rPr>
          <w:rStyle w:val="CaptionLabel"/>
        </w:rPr>
        <w:t>Figure </w:t>
      </w:r>
      <w:r w:rsidRPr="00CE1D7F">
        <w:rPr>
          <w:rStyle w:val="CaptionLabel"/>
        </w:rPr>
        <w:fldChar w:fldCharType="begin"/>
      </w:r>
      <w:r w:rsidRPr="00CE1D7F">
        <w:rPr>
          <w:rStyle w:val="CaptionLabel"/>
        </w:rPr>
        <w:instrText xml:space="preserve"> STYLEREF 1 \S \* MERGEFORMAT </w:instrText>
      </w:r>
      <w:r w:rsidRPr="00CE1D7F">
        <w:rPr>
          <w:rStyle w:val="CaptionLabel"/>
        </w:rPr>
        <w:fldChar w:fldCharType="separate"/>
      </w:r>
      <w:r w:rsidR="000B0AC7">
        <w:rPr>
          <w:rStyle w:val="CaptionLabel"/>
          <w:noProof/>
        </w:rPr>
        <w:t>11</w:t>
      </w:r>
      <w:r w:rsidRPr="00CE1D7F">
        <w:rPr>
          <w:rStyle w:val="CaptionLabel"/>
        </w:rPr>
        <w:fldChar w:fldCharType="end"/>
      </w:r>
      <w:r w:rsidRPr="00CE1D7F">
        <w:rPr>
          <w:rStyle w:val="CaptionLabel"/>
        </w:rPr>
        <w:t>.</w:t>
      </w:r>
      <w:r w:rsidRPr="00CE1D7F">
        <w:rPr>
          <w:rStyle w:val="CaptionLabel"/>
        </w:rPr>
        <w:fldChar w:fldCharType="begin"/>
      </w:r>
      <w:r w:rsidRPr="00CE1D7F">
        <w:rPr>
          <w:rStyle w:val="CaptionLabel"/>
        </w:rPr>
        <w:instrText xml:space="preserve"> SEQ Figure \* ARABIC \S 1 \* MERGEFORMAT </w:instrText>
      </w:r>
      <w:r w:rsidRPr="00CE1D7F">
        <w:rPr>
          <w:rStyle w:val="CaptionLabel"/>
        </w:rPr>
        <w:fldChar w:fldCharType="separate"/>
      </w:r>
      <w:r w:rsidR="000B0AC7">
        <w:rPr>
          <w:rStyle w:val="CaptionLabel"/>
          <w:noProof/>
        </w:rPr>
        <w:t>1</w:t>
      </w:r>
      <w:r w:rsidRPr="00CE1D7F">
        <w:rPr>
          <w:rStyle w:val="CaptionLabel"/>
        </w:rPr>
        <w:fldChar w:fldCharType="end"/>
      </w:r>
      <w:bookmarkEnd w:id="482"/>
      <w:r w:rsidRPr="00CE1D7F">
        <w:tab/>
        <w:t>Changing the law to Protect Survivors of Domestic Violence – Impact Framework Diagram</w:t>
      </w:r>
    </w:p>
    <w:tbl>
      <w:tblPr>
        <w:tblW w:w="6518" w:type="pct"/>
        <w:tblInd w:w="-2410" w:type="dxa"/>
        <w:tblBorders>
          <w:top w:val="single" w:sz="4" w:space="0" w:color="auto"/>
          <w:bottom w:val="single" w:sz="4" w:space="0" w:color="auto"/>
        </w:tblBorders>
        <w:tblCellMar>
          <w:left w:w="0" w:type="dxa"/>
          <w:right w:w="0" w:type="dxa"/>
        </w:tblCellMar>
        <w:tblLook w:val="0000" w:firstRow="0" w:lastRow="0" w:firstColumn="0" w:lastColumn="0" w:noHBand="0" w:noVBand="0"/>
        <w:tblCaption w:val="Figure 11.1"/>
        <w:tblDescription w:val="Changing the law to Protect Survivors of Domestic Violence – Impact Framework Diagram"/>
      </w:tblPr>
      <w:tblGrid>
        <w:gridCol w:w="1838"/>
        <w:gridCol w:w="142"/>
        <w:gridCol w:w="2270"/>
        <w:gridCol w:w="141"/>
        <w:gridCol w:w="2268"/>
        <w:gridCol w:w="143"/>
        <w:gridCol w:w="1701"/>
        <w:gridCol w:w="141"/>
        <w:gridCol w:w="1701"/>
      </w:tblGrid>
      <w:tr w:rsidR="002B32A0" w:rsidRPr="00CE1D7F" w14:paraId="6D66B53B" w14:textId="77777777" w:rsidTr="003E62D0">
        <w:trPr>
          <w:trHeight w:val="591"/>
        </w:trPr>
        <w:tc>
          <w:tcPr>
            <w:tcW w:w="889" w:type="pct"/>
            <w:tcBorders>
              <w:top w:val="nil"/>
              <w:left w:val="nil"/>
              <w:bottom w:val="nil"/>
              <w:right w:val="nil"/>
            </w:tcBorders>
            <w:shd w:val="clear" w:color="auto" w:fill="140034" w:themeFill="background2"/>
            <w:vAlign w:val="center"/>
          </w:tcPr>
          <w:p w14:paraId="0B210673" w14:textId="77777777" w:rsidR="002B32A0" w:rsidRPr="00CE1D7F" w:rsidRDefault="002B32A0" w:rsidP="006258ED">
            <w:pPr>
              <w:keepNext/>
              <w:spacing w:after="0" w:line="240" w:lineRule="auto"/>
              <w:jc w:val="center"/>
              <w:rPr>
                <w:rFonts w:cstheme="majorHAnsi"/>
                <w:b/>
                <w:color w:val="FFFFFF" w:themeColor="background1"/>
              </w:rPr>
            </w:pPr>
            <w:r w:rsidRPr="00CE1D7F">
              <w:rPr>
                <w:rFonts w:cstheme="majorHAnsi"/>
                <w:b/>
                <w:color w:val="FFFFFF" w:themeColor="background1"/>
              </w:rPr>
              <w:t>INPUTS</w:t>
            </w:r>
          </w:p>
        </w:tc>
        <w:tc>
          <w:tcPr>
            <w:tcW w:w="69" w:type="pct"/>
            <w:tcBorders>
              <w:top w:val="nil"/>
              <w:left w:val="nil"/>
              <w:bottom w:val="nil"/>
              <w:right w:val="nil"/>
            </w:tcBorders>
            <w:shd w:val="clear" w:color="auto" w:fill="auto"/>
            <w:vAlign w:val="center"/>
          </w:tcPr>
          <w:p w14:paraId="0D013070" w14:textId="77777777" w:rsidR="002B32A0" w:rsidRPr="00CE1D7F" w:rsidRDefault="002B32A0" w:rsidP="006258ED">
            <w:pPr>
              <w:keepNext/>
              <w:spacing w:after="0" w:line="240" w:lineRule="auto"/>
              <w:jc w:val="center"/>
              <w:rPr>
                <w:rFonts w:cstheme="majorHAnsi"/>
                <w:b/>
                <w:color w:val="FFFFFF" w:themeColor="background1"/>
              </w:rPr>
            </w:pPr>
          </w:p>
        </w:tc>
        <w:tc>
          <w:tcPr>
            <w:tcW w:w="1097" w:type="pct"/>
            <w:tcBorders>
              <w:top w:val="nil"/>
              <w:left w:val="nil"/>
              <w:bottom w:val="nil"/>
              <w:right w:val="nil"/>
            </w:tcBorders>
            <w:shd w:val="clear" w:color="auto" w:fill="140034" w:themeFill="background2"/>
            <w:vAlign w:val="center"/>
          </w:tcPr>
          <w:p w14:paraId="01ABF72F" w14:textId="77777777" w:rsidR="002B32A0" w:rsidRPr="00CE1D7F" w:rsidRDefault="002B32A0" w:rsidP="006258ED">
            <w:pPr>
              <w:keepNext/>
              <w:spacing w:after="0" w:line="240" w:lineRule="auto"/>
              <w:jc w:val="center"/>
              <w:rPr>
                <w:rFonts w:cstheme="majorHAnsi"/>
                <w:b/>
                <w:color w:val="FFFFFF" w:themeColor="background1"/>
              </w:rPr>
            </w:pPr>
            <w:r w:rsidRPr="00CE1D7F">
              <w:rPr>
                <w:rFonts w:cstheme="majorHAnsi"/>
                <w:b/>
                <w:color w:val="FFFFFF" w:themeColor="background1"/>
              </w:rPr>
              <w:t>ACTIVITIES</w:t>
            </w:r>
          </w:p>
        </w:tc>
        <w:tc>
          <w:tcPr>
            <w:tcW w:w="68" w:type="pct"/>
            <w:tcBorders>
              <w:top w:val="nil"/>
              <w:left w:val="nil"/>
              <w:bottom w:val="nil"/>
              <w:right w:val="nil"/>
            </w:tcBorders>
            <w:shd w:val="clear" w:color="auto" w:fill="auto"/>
            <w:vAlign w:val="center"/>
          </w:tcPr>
          <w:p w14:paraId="3D3665EB" w14:textId="77777777" w:rsidR="002B32A0" w:rsidRPr="00CE1D7F" w:rsidRDefault="002B32A0" w:rsidP="006258ED">
            <w:pPr>
              <w:keepNext/>
              <w:spacing w:after="0" w:line="240" w:lineRule="auto"/>
              <w:ind w:firstLine="34"/>
              <w:jc w:val="center"/>
              <w:rPr>
                <w:rFonts w:cstheme="majorHAnsi"/>
                <w:b/>
                <w:color w:val="FFFFFF" w:themeColor="background1"/>
              </w:rPr>
            </w:pPr>
          </w:p>
        </w:tc>
        <w:tc>
          <w:tcPr>
            <w:tcW w:w="1096" w:type="pct"/>
            <w:tcBorders>
              <w:top w:val="nil"/>
              <w:left w:val="nil"/>
              <w:bottom w:val="nil"/>
              <w:right w:val="nil"/>
            </w:tcBorders>
            <w:shd w:val="clear" w:color="auto" w:fill="140034" w:themeFill="background2"/>
            <w:vAlign w:val="center"/>
          </w:tcPr>
          <w:p w14:paraId="6AF0C9C7" w14:textId="77777777" w:rsidR="002B32A0" w:rsidRPr="00CE1D7F" w:rsidRDefault="002B32A0" w:rsidP="006258ED">
            <w:pPr>
              <w:keepNext/>
              <w:spacing w:after="0" w:line="240" w:lineRule="auto"/>
              <w:ind w:left="118"/>
              <w:jc w:val="center"/>
              <w:rPr>
                <w:rFonts w:cstheme="majorHAnsi"/>
                <w:b/>
                <w:color w:val="FFFFFF" w:themeColor="background1"/>
              </w:rPr>
            </w:pPr>
            <w:r w:rsidRPr="00CE1D7F">
              <w:rPr>
                <w:rFonts w:cstheme="majorHAnsi"/>
                <w:b/>
                <w:color w:val="FFFFFF" w:themeColor="background1"/>
              </w:rPr>
              <w:t>OUTPUTS</w:t>
            </w:r>
          </w:p>
        </w:tc>
        <w:tc>
          <w:tcPr>
            <w:tcW w:w="69" w:type="pct"/>
            <w:tcBorders>
              <w:top w:val="nil"/>
              <w:left w:val="nil"/>
              <w:bottom w:val="nil"/>
              <w:right w:val="nil"/>
            </w:tcBorders>
            <w:shd w:val="clear" w:color="auto" w:fill="auto"/>
            <w:vAlign w:val="center"/>
          </w:tcPr>
          <w:p w14:paraId="3279CD3B" w14:textId="77777777" w:rsidR="002B32A0" w:rsidRPr="00CE1D7F" w:rsidRDefault="002B32A0" w:rsidP="006258ED">
            <w:pPr>
              <w:keepNext/>
              <w:spacing w:after="0" w:line="240" w:lineRule="auto"/>
              <w:ind w:firstLine="32"/>
              <w:jc w:val="center"/>
              <w:rPr>
                <w:rFonts w:cstheme="majorHAnsi"/>
                <w:b/>
                <w:color w:val="FFFFFF" w:themeColor="background1"/>
              </w:rPr>
            </w:pPr>
          </w:p>
        </w:tc>
        <w:tc>
          <w:tcPr>
            <w:tcW w:w="822" w:type="pct"/>
            <w:tcBorders>
              <w:top w:val="nil"/>
              <w:left w:val="nil"/>
              <w:bottom w:val="nil"/>
              <w:right w:val="nil"/>
            </w:tcBorders>
            <w:shd w:val="clear" w:color="auto" w:fill="140034" w:themeFill="background2"/>
            <w:vAlign w:val="center"/>
          </w:tcPr>
          <w:p w14:paraId="05C326AE" w14:textId="77777777" w:rsidR="002B32A0" w:rsidRPr="00CE1D7F" w:rsidRDefault="002B32A0" w:rsidP="006258ED">
            <w:pPr>
              <w:spacing w:after="0" w:line="240" w:lineRule="auto"/>
              <w:ind w:left="61"/>
              <w:jc w:val="center"/>
              <w:rPr>
                <w:rFonts w:cstheme="majorHAnsi"/>
                <w:b/>
                <w:color w:val="FFFFFF" w:themeColor="background1"/>
                <w:lang w:eastAsia="en-AU"/>
              </w:rPr>
            </w:pPr>
            <w:r w:rsidRPr="00CE1D7F">
              <w:rPr>
                <w:rFonts w:cstheme="majorHAnsi"/>
                <w:b/>
                <w:color w:val="FFFFFF" w:themeColor="background1"/>
                <w:lang w:eastAsia="en-AU"/>
              </w:rPr>
              <w:t>OUTCOMES</w:t>
            </w:r>
          </w:p>
        </w:tc>
        <w:tc>
          <w:tcPr>
            <w:tcW w:w="68" w:type="pct"/>
            <w:tcBorders>
              <w:top w:val="nil"/>
              <w:left w:val="nil"/>
              <w:bottom w:val="nil"/>
              <w:right w:val="nil"/>
            </w:tcBorders>
            <w:shd w:val="clear" w:color="auto" w:fill="auto"/>
            <w:vAlign w:val="center"/>
          </w:tcPr>
          <w:p w14:paraId="2AAF9750" w14:textId="77777777" w:rsidR="002B32A0" w:rsidRPr="00CE1D7F" w:rsidRDefault="002B32A0" w:rsidP="006258ED">
            <w:pPr>
              <w:keepNext/>
              <w:spacing w:after="0" w:line="240" w:lineRule="auto"/>
              <w:ind w:left="-65" w:firstLine="32"/>
              <w:jc w:val="center"/>
              <w:rPr>
                <w:rFonts w:cstheme="majorHAnsi"/>
                <w:b/>
                <w:color w:val="FFFFFF" w:themeColor="background1"/>
              </w:rPr>
            </w:pPr>
          </w:p>
        </w:tc>
        <w:tc>
          <w:tcPr>
            <w:tcW w:w="821" w:type="pct"/>
            <w:tcBorders>
              <w:top w:val="nil"/>
              <w:left w:val="nil"/>
              <w:bottom w:val="nil"/>
              <w:right w:val="nil"/>
            </w:tcBorders>
            <w:shd w:val="clear" w:color="auto" w:fill="140034" w:themeFill="background2"/>
            <w:vAlign w:val="center"/>
          </w:tcPr>
          <w:p w14:paraId="2D4C9116" w14:textId="77777777" w:rsidR="002B32A0" w:rsidRPr="00CE1D7F" w:rsidRDefault="002B32A0" w:rsidP="006258ED">
            <w:pPr>
              <w:spacing w:after="0" w:line="240" w:lineRule="auto"/>
              <w:ind w:left="61"/>
              <w:jc w:val="center"/>
              <w:rPr>
                <w:rFonts w:cstheme="majorHAnsi"/>
                <w:b/>
                <w:color w:val="FFFFFF" w:themeColor="background1"/>
                <w:lang w:eastAsia="en-AU"/>
              </w:rPr>
            </w:pPr>
            <w:r w:rsidRPr="00CE1D7F">
              <w:rPr>
                <w:rFonts w:cstheme="majorHAnsi"/>
                <w:b/>
                <w:color w:val="FFFFFF" w:themeColor="background1"/>
                <w:lang w:eastAsia="en-AU"/>
              </w:rPr>
              <w:t>IMPACTS</w:t>
            </w:r>
          </w:p>
        </w:tc>
      </w:tr>
      <w:tr w:rsidR="002B32A0" w:rsidRPr="00CE1D7F" w14:paraId="221A5DC8" w14:textId="77777777" w:rsidTr="003E62D0">
        <w:trPr>
          <w:trHeight w:hRule="exact" w:val="170"/>
        </w:trPr>
        <w:tc>
          <w:tcPr>
            <w:tcW w:w="889" w:type="pct"/>
            <w:tcBorders>
              <w:top w:val="nil"/>
              <w:bottom w:val="nil"/>
              <w:right w:val="single" w:sz="12" w:space="0" w:color="FFFFFF" w:themeColor="background1"/>
            </w:tcBorders>
          </w:tcPr>
          <w:p w14:paraId="18439A23" w14:textId="77777777" w:rsidR="002B32A0" w:rsidRPr="00CE1D7F" w:rsidRDefault="002B32A0" w:rsidP="006258ED">
            <w:pPr>
              <w:keepNext/>
              <w:spacing w:after="0" w:line="240" w:lineRule="auto"/>
              <w:ind w:hanging="3402"/>
              <w:jc w:val="center"/>
              <w:rPr>
                <w:sz w:val="16"/>
                <w:szCs w:val="16"/>
              </w:rPr>
            </w:pPr>
          </w:p>
        </w:tc>
        <w:tc>
          <w:tcPr>
            <w:tcW w:w="69" w:type="pct"/>
            <w:tcBorders>
              <w:top w:val="nil"/>
              <w:left w:val="single" w:sz="12" w:space="0" w:color="FFFFFF" w:themeColor="background1"/>
              <w:bottom w:val="single" w:sz="12" w:space="0" w:color="FFFFFF" w:themeColor="background1"/>
              <w:right w:val="single" w:sz="12" w:space="0" w:color="FFFFFF" w:themeColor="background1"/>
            </w:tcBorders>
          </w:tcPr>
          <w:p w14:paraId="747CF45F" w14:textId="77777777" w:rsidR="002B32A0" w:rsidRPr="00CE1D7F" w:rsidRDefault="002B32A0" w:rsidP="006258ED">
            <w:pPr>
              <w:keepNext/>
              <w:spacing w:after="0" w:line="240" w:lineRule="auto"/>
              <w:jc w:val="center"/>
              <w:rPr>
                <w:sz w:val="16"/>
                <w:szCs w:val="16"/>
              </w:rPr>
            </w:pPr>
          </w:p>
        </w:tc>
        <w:tc>
          <w:tcPr>
            <w:tcW w:w="1097" w:type="pct"/>
            <w:tcBorders>
              <w:top w:val="nil"/>
              <w:left w:val="single" w:sz="12" w:space="0" w:color="FFFFFF" w:themeColor="background1"/>
              <w:bottom w:val="nil"/>
              <w:right w:val="single" w:sz="12" w:space="0" w:color="FFFFFF" w:themeColor="background1"/>
            </w:tcBorders>
          </w:tcPr>
          <w:p w14:paraId="78B7E189" w14:textId="77777777" w:rsidR="002B32A0" w:rsidRPr="00CE1D7F" w:rsidRDefault="002B32A0" w:rsidP="006258ED">
            <w:pPr>
              <w:keepNext/>
              <w:spacing w:after="0" w:line="240" w:lineRule="auto"/>
              <w:ind w:left="-108"/>
              <w:jc w:val="center"/>
              <w:rPr>
                <w:sz w:val="16"/>
                <w:szCs w:val="16"/>
              </w:rPr>
            </w:pPr>
          </w:p>
        </w:tc>
        <w:tc>
          <w:tcPr>
            <w:tcW w:w="68" w:type="pct"/>
            <w:tcBorders>
              <w:top w:val="nil"/>
              <w:left w:val="single" w:sz="12" w:space="0" w:color="FFFFFF" w:themeColor="background1"/>
              <w:bottom w:val="nil"/>
              <w:right w:val="single" w:sz="12" w:space="0" w:color="FFFFFF" w:themeColor="background1"/>
            </w:tcBorders>
          </w:tcPr>
          <w:p w14:paraId="41543CE1" w14:textId="77777777" w:rsidR="002B32A0" w:rsidRPr="00CE1D7F" w:rsidRDefault="002B32A0" w:rsidP="006258ED">
            <w:pPr>
              <w:keepNext/>
              <w:spacing w:after="0" w:line="240" w:lineRule="auto"/>
              <w:ind w:firstLine="34"/>
              <w:jc w:val="center"/>
              <w:rPr>
                <w:sz w:val="16"/>
                <w:szCs w:val="16"/>
              </w:rPr>
            </w:pPr>
          </w:p>
        </w:tc>
        <w:tc>
          <w:tcPr>
            <w:tcW w:w="1096" w:type="pct"/>
            <w:tcBorders>
              <w:top w:val="nil"/>
              <w:left w:val="single" w:sz="12" w:space="0" w:color="FFFFFF" w:themeColor="background1"/>
              <w:bottom w:val="nil"/>
              <w:right w:val="single" w:sz="12" w:space="0" w:color="FFFFFF" w:themeColor="background1"/>
            </w:tcBorders>
          </w:tcPr>
          <w:p w14:paraId="57B0642B" w14:textId="77777777" w:rsidR="002B32A0" w:rsidRPr="00CE1D7F" w:rsidRDefault="002B32A0" w:rsidP="006258ED">
            <w:pPr>
              <w:pStyle w:val="Tablelistbullet"/>
              <w:numPr>
                <w:ilvl w:val="0"/>
                <w:numId w:val="0"/>
              </w:numPr>
              <w:rPr>
                <w:rFonts w:cs="Arial"/>
                <w:sz w:val="16"/>
                <w:szCs w:val="16"/>
              </w:rPr>
            </w:pPr>
          </w:p>
        </w:tc>
        <w:tc>
          <w:tcPr>
            <w:tcW w:w="69" w:type="pct"/>
            <w:tcBorders>
              <w:top w:val="nil"/>
              <w:left w:val="single" w:sz="12" w:space="0" w:color="FFFFFF" w:themeColor="background1"/>
              <w:bottom w:val="nil"/>
              <w:right w:val="single" w:sz="12" w:space="0" w:color="FFFFFF" w:themeColor="background1"/>
            </w:tcBorders>
          </w:tcPr>
          <w:p w14:paraId="24FFBD0F" w14:textId="77777777" w:rsidR="002B32A0" w:rsidRPr="00CE1D7F" w:rsidRDefault="002B32A0" w:rsidP="006258ED">
            <w:pPr>
              <w:keepNext/>
              <w:spacing w:after="0" w:line="240" w:lineRule="auto"/>
              <w:ind w:hanging="3402"/>
              <w:jc w:val="center"/>
              <w:rPr>
                <w:sz w:val="16"/>
                <w:szCs w:val="16"/>
              </w:rPr>
            </w:pPr>
          </w:p>
        </w:tc>
        <w:tc>
          <w:tcPr>
            <w:tcW w:w="822" w:type="pct"/>
            <w:tcBorders>
              <w:top w:val="nil"/>
              <w:left w:val="single" w:sz="12" w:space="0" w:color="FFFFFF" w:themeColor="background1"/>
              <w:bottom w:val="nil"/>
              <w:right w:val="single" w:sz="12" w:space="0" w:color="FFFFFF" w:themeColor="background1"/>
            </w:tcBorders>
          </w:tcPr>
          <w:p w14:paraId="0204B076" w14:textId="77777777" w:rsidR="002B32A0" w:rsidRPr="00CE1D7F" w:rsidRDefault="002B32A0" w:rsidP="006258ED">
            <w:pPr>
              <w:keepNext/>
              <w:spacing w:after="0" w:line="240" w:lineRule="auto"/>
              <w:jc w:val="center"/>
              <w:rPr>
                <w:sz w:val="16"/>
                <w:szCs w:val="16"/>
              </w:rPr>
            </w:pPr>
          </w:p>
        </w:tc>
        <w:tc>
          <w:tcPr>
            <w:tcW w:w="68" w:type="pct"/>
            <w:tcBorders>
              <w:top w:val="nil"/>
              <w:left w:val="single" w:sz="12" w:space="0" w:color="FFFFFF" w:themeColor="background1"/>
              <w:bottom w:val="nil"/>
              <w:right w:val="single" w:sz="12" w:space="0" w:color="FFFFFF" w:themeColor="background1"/>
            </w:tcBorders>
          </w:tcPr>
          <w:p w14:paraId="08F24157" w14:textId="77777777" w:rsidR="002B32A0" w:rsidRPr="00CE1D7F" w:rsidRDefault="002B32A0" w:rsidP="006258ED">
            <w:pPr>
              <w:keepNext/>
              <w:spacing w:after="0" w:line="240" w:lineRule="auto"/>
              <w:ind w:left="-17" w:firstLine="32"/>
              <w:jc w:val="center"/>
              <w:rPr>
                <w:sz w:val="16"/>
                <w:szCs w:val="16"/>
              </w:rPr>
            </w:pPr>
          </w:p>
        </w:tc>
        <w:tc>
          <w:tcPr>
            <w:tcW w:w="821" w:type="pct"/>
            <w:tcBorders>
              <w:top w:val="nil"/>
              <w:left w:val="single" w:sz="12" w:space="0" w:color="FFFFFF" w:themeColor="background1"/>
              <w:bottom w:val="nil"/>
              <w:right w:val="single" w:sz="12" w:space="0" w:color="FFFFFF" w:themeColor="background1"/>
            </w:tcBorders>
          </w:tcPr>
          <w:p w14:paraId="50C14900" w14:textId="77777777" w:rsidR="002B32A0" w:rsidRPr="00CE1D7F" w:rsidRDefault="002B32A0" w:rsidP="006258ED">
            <w:pPr>
              <w:keepNext/>
              <w:spacing w:after="0" w:line="240" w:lineRule="auto"/>
              <w:ind w:left="96"/>
              <w:jc w:val="center"/>
              <w:rPr>
                <w:sz w:val="16"/>
                <w:szCs w:val="16"/>
              </w:rPr>
            </w:pPr>
          </w:p>
        </w:tc>
      </w:tr>
      <w:tr w:rsidR="002B32A0" w:rsidRPr="00CE1D7F" w14:paraId="3A1FF251" w14:textId="77777777" w:rsidTr="003E62D0">
        <w:trPr>
          <w:trHeight w:val="390"/>
        </w:trPr>
        <w:tc>
          <w:tcPr>
            <w:tcW w:w="889" w:type="pct"/>
            <w:tcBorders>
              <w:top w:val="nil"/>
              <w:left w:val="nil"/>
              <w:bottom w:val="nil"/>
              <w:right w:val="nil"/>
            </w:tcBorders>
            <w:shd w:val="clear" w:color="auto" w:fill="DEDEDE" w:themeFill="accent3" w:themeFillTint="99"/>
          </w:tcPr>
          <w:p w14:paraId="688C9593" w14:textId="77777777" w:rsidR="002B32A0" w:rsidRPr="00CE1D7F" w:rsidRDefault="002B32A0" w:rsidP="00587F3E">
            <w:pPr>
              <w:pStyle w:val="Tablelistbullet"/>
              <w:numPr>
                <w:ilvl w:val="0"/>
                <w:numId w:val="64"/>
              </w:numPr>
              <w:spacing w:before="60" w:after="0"/>
              <w:ind w:left="144" w:right="120" w:hanging="144"/>
            </w:pPr>
            <w:r w:rsidRPr="00CE1D7F">
              <w:t>$2.1</w:t>
            </w:r>
            <w:r>
              <w:t> m</w:t>
            </w:r>
            <w:r w:rsidRPr="00CE1D7F">
              <w:t xml:space="preserve"> in </w:t>
            </w:r>
            <w:r>
              <w:t>cash support</w:t>
            </w:r>
            <w:r w:rsidRPr="00CE1D7F">
              <w:t xml:space="preserve"> from ARC</w:t>
            </w:r>
          </w:p>
          <w:p w14:paraId="74531306" w14:textId="77777777" w:rsidR="002B32A0" w:rsidRPr="00CE1D7F" w:rsidRDefault="002B32A0" w:rsidP="00587F3E">
            <w:pPr>
              <w:pStyle w:val="Tablelistbullet"/>
              <w:numPr>
                <w:ilvl w:val="0"/>
                <w:numId w:val="64"/>
              </w:numPr>
              <w:spacing w:before="60" w:after="0"/>
              <w:ind w:left="144" w:right="120" w:hanging="144"/>
            </w:pPr>
            <w:r w:rsidRPr="00CE1D7F">
              <w:t>$</w:t>
            </w:r>
            <w:r>
              <w:t>2 m</w:t>
            </w:r>
            <w:r w:rsidRPr="00CE1D7F">
              <w:t xml:space="preserve"> in </w:t>
            </w:r>
            <w:r>
              <w:t>cash and in-kind support from other organisations</w:t>
            </w:r>
          </w:p>
          <w:p w14:paraId="320DB93A" w14:textId="77777777" w:rsidR="002B32A0" w:rsidRPr="00CE1D7F" w:rsidRDefault="002B32A0" w:rsidP="00587F3E">
            <w:pPr>
              <w:pStyle w:val="Tablelistbullet"/>
              <w:numPr>
                <w:ilvl w:val="0"/>
                <w:numId w:val="64"/>
              </w:numPr>
              <w:spacing w:before="60" w:after="0"/>
              <w:ind w:left="144" w:right="120" w:hanging="144"/>
            </w:pPr>
            <w:r w:rsidRPr="00CE1D7F">
              <w:t>Support from DFV organisations</w:t>
            </w:r>
          </w:p>
        </w:tc>
        <w:tc>
          <w:tcPr>
            <w:tcW w:w="69" w:type="pct"/>
            <w:tcBorders>
              <w:top w:val="single" w:sz="12" w:space="0" w:color="FFFFFF" w:themeColor="background1"/>
              <w:left w:val="nil"/>
              <w:bottom w:val="nil"/>
              <w:right w:val="nil"/>
            </w:tcBorders>
          </w:tcPr>
          <w:p w14:paraId="5387BD36" w14:textId="77777777" w:rsidR="002B32A0" w:rsidRPr="00CE1D7F" w:rsidRDefault="002B32A0" w:rsidP="006258ED">
            <w:pPr>
              <w:pStyle w:val="BodyText"/>
            </w:pPr>
          </w:p>
        </w:tc>
        <w:tc>
          <w:tcPr>
            <w:tcW w:w="1097" w:type="pct"/>
            <w:tcBorders>
              <w:top w:val="nil"/>
              <w:left w:val="nil"/>
              <w:bottom w:val="nil"/>
              <w:right w:val="nil"/>
            </w:tcBorders>
            <w:shd w:val="clear" w:color="auto" w:fill="DEDEDE" w:themeFill="accent3" w:themeFillTint="99"/>
          </w:tcPr>
          <w:p w14:paraId="1972A3FA" w14:textId="77777777" w:rsidR="002B32A0" w:rsidRPr="00CE1D7F" w:rsidRDefault="002B32A0" w:rsidP="00587F3E">
            <w:pPr>
              <w:pStyle w:val="Tablelistbullet"/>
              <w:numPr>
                <w:ilvl w:val="0"/>
                <w:numId w:val="64"/>
              </w:numPr>
              <w:spacing w:before="60" w:after="0"/>
              <w:ind w:left="147" w:right="120" w:hanging="147"/>
            </w:pPr>
            <w:r w:rsidRPr="00CE1D7F">
              <w:t>Identification and analysis of legal decision-making, writing of alternative feminist judgements and assessment of the impact on judicial decision-making</w:t>
            </w:r>
          </w:p>
          <w:p w14:paraId="5E095BC0" w14:textId="77777777" w:rsidR="002B32A0" w:rsidRPr="00CE1D7F" w:rsidRDefault="002B32A0" w:rsidP="00587F3E">
            <w:pPr>
              <w:pStyle w:val="Tablelistbullet"/>
              <w:numPr>
                <w:ilvl w:val="0"/>
                <w:numId w:val="64"/>
              </w:numPr>
              <w:spacing w:before="60" w:after="0"/>
              <w:ind w:left="147" w:right="120" w:hanging="147"/>
            </w:pPr>
            <w:r w:rsidRPr="00CE1D7F">
              <w:t>Review of literature and legal responses to DFV</w:t>
            </w:r>
          </w:p>
          <w:p w14:paraId="2811BBDA" w14:textId="77777777" w:rsidR="002B32A0" w:rsidRPr="00CE1D7F" w:rsidRDefault="002B32A0" w:rsidP="00587F3E">
            <w:pPr>
              <w:pStyle w:val="Tablelistbullet"/>
              <w:numPr>
                <w:ilvl w:val="0"/>
                <w:numId w:val="64"/>
              </w:numPr>
              <w:spacing w:before="60" w:after="0"/>
              <w:ind w:left="147" w:right="120" w:hanging="147"/>
            </w:pPr>
            <w:r w:rsidRPr="00CE1D7F">
              <w:t>3-year longitudinal engagement with 65 women involved in legal responses to DFV</w:t>
            </w:r>
          </w:p>
          <w:p w14:paraId="4B6071A3" w14:textId="77777777" w:rsidR="002B32A0" w:rsidRPr="00CE1D7F" w:rsidRDefault="002B32A0" w:rsidP="00587F3E">
            <w:pPr>
              <w:pStyle w:val="Tablelistbullet"/>
              <w:numPr>
                <w:ilvl w:val="0"/>
                <w:numId w:val="64"/>
              </w:numPr>
              <w:spacing w:before="60" w:after="0"/>
              <w:ind w:left="147" w:right="120" w:hanging="147"/>
            </w:pPr>
            <w:r w:rsidRPr="00CE1D7F">
              <w:t xml:space="preserve">Development of the National Domestic and Family Violence Bench Book (Bench Book) and training </w:t>
            </w:r>
          </w:p>
          <w:p w14:paraId="4DF45314" w14:textId="77777777" w:rsidR="002B32A0" w:rsidRPr="00CE1D7F" w:rsidRDefault="002B32A0" w:rsidP="00587F3E">
            <w:pPr>
              <w:pStyle w:val="Tablelistbullet"/>
              <w:numPr>
                <w:ilvl w:val="0"/>
                <w:numId w:val="64"/>
              </w:numPr>
              <w:spacing w:before="60" w:after="0"/>
              <w:ind w:left="147" w:right="120" w:hanging="147"/>
            </w:pPr>
            <w:r w:rsidRPr="00CE1D7F">
              <w:t xml:space="preserve">Analysis of the gap between judge-made law and lived experiences of Indigenous litigants, writing of alternative judgements </w:t>
            </w:r>
          </w:p>
          <w:p w14:paraId="31241071" w14:textId="77777777" w:rsidR="002B32A0" w:rsidRPr="00CE1D7F" w:rsidRDefault="002B32A0" w:rsidP="00587F3E">
            <w:pPr>
              <w:pStyle w:val="Tablelistbullet"/>
              <w:numPr>
                <w:ilvl w:val="0"/>
                <w:numId w:val="64"/>
              </w:numPr>
              <w:spacing w:before="60" w:after="0"/>
              <w:ind w:left="147" w:right="120" w:hanging="147"/>
            </w:pPr>
            <w:r w:rsidRPr="00CE1D7F">
              <w:t>Workshops and engagements</w:t>
            </w:r>
          </w:p>
        </w:tc>
        <w:tc>
          <w:tcPr>
            <w:tcW w:w="68" w:type="pct"/>
            <w:tcBorders>
              <w:top w:val="nil"/>
              <w:left w:val="nil"/>
              <w:bottom w:val="nil"/>
              <w:right w:val="nil"/>
            </w:tcBorders>
          </w:tcPr>
          <w:p w14:paraId="4F978149" w14:textId="77777777" w:rsidR="002B32A0" w:rsidRPr="00CE1D7F" w:rsidRDefault="002B32A0" w:rsidP="006258ED">
            <w:pPr>
              <w:pStyle w:val="Tabletext"/>
            </w:pPr>
          </w:p>
        </w:tc>
        <w:tc>
          <w:tcPr>
            <w:tcW w:w="1096" w:type="pct"/>
            <w:tcBorders>
              <w:top w:val="nil"/>
              <w:left w:val="nil"/>
              <w:bottom w:val="nil"/>
              <w:right w:val="nil"/>
            </w:tcBorders>
            <w:shd w:val="clear" w:color="auto" w:fill="DEDEDE" w:themeFill="accent3" w:themeFillTint="99"/>
          </w:tcPr>
          <w:p w14:paraId="0247BD3E" w14:textId="77777777" w:rsidR="002B32A0" w:rsidRPr="00CE1D7F" w:rsidRDefault="002B32A0" w:rsidP="00587F3E">
            <w:pPr>
              <w:pStyle w:val="Tablelistbullet"/>
              <w:numPr>
                <w:ilvl w:val="0"/>
                <w:numId w:val="64"/>
              </w:numPr>
              <w:spacing w:before="60" w:after="0"/>
              <w:ind w:left="146" w:right="120" w:hanging="146"/>
            </w:pPr>
            <w:r w:rsidRPr="00CE1D7F">
              <w:t xml:space="preserve">Bench Book and training materials </w:t>
            </w:r>
          </w:p>
          <w:p w14:paraId="1533A055" w14:textId="77777777" w:rsidR="002B32A0" w:rsidRPr="00CE1D7F" w:rsidRDefault="002B32A0" w:rsidP="00587F3E">
            <w:pPr>
              <w:pStyle w:val="Tablelistbullet"/>
              <w:numPr>
                <w:ilvl w:val="0"/>
                <w:numId w:val="64"/>
              </w:numPr>
              <w:spacing w:before="60" w:after="0"/>
              <w:ind w:left="146" w:right="120" w:hanging="146"/>
            </w:pPr>
            <w:r w:rsidRPr="00CE1D7F">
              <w:t>1 book, 3 co-edited collections, 1 monograph, 14 academic papers, 3 conversation pieces and 1 video</w:t>
            </w:r>
          </w:p>
          <w:p w14:paraId="789AA82E" w14:textId="77777777" w:rsidR="002B32A0" w:rsidRPr="00CE1D7F" w:rsidRDefault="002B32A0" w:rsidP="00587F3E">
            <w:pPr>
              <w:pStyle w:val="Tablelistbullet"/>
              <w:numPr>
                <w:ilvl w:val="0"/>
                <w:numId w:val="64"/>
              </w:numPr>
              <w:spacing w:before="60" w:after="0"/>
              <w:ind w:left="146" w:right="120" w:hanging="146"/>
            </w:pPr>
            <w:r w:rsidRPr="00CE1D7F">
              <w:t>At least 12 significant media engagements, 8 events, university and conference presentations and 17 professional development sessions</w:t>
            </w:r>
          </w:p>
          <w:p w14:paraId="6032F29B" w14:textId="77777777" w:rsidR="002B32A0" w:rsidRPr="00CE1D7F" w:rsidRDefault="002B32A0" w:rsidP="00587F3E">
            <w:pPr>
              <w:pStyle w:val="Tablelistbullet"/>
              <w:numPr>
                <w:ilvl w:val="0"/>
                <w:numId w:val="64"/>
              </w:numPr>
              <w:spacing w:before="60" w:after="0"/>
              <w:ind w:left="146" w:right="120" w:hanging="146"/>
            </w:pPr>
            <w:r w:rsidRPr="00CE1D7F">
              <w:t>DFV course for law students</w:t>
            </w:r>
          </w:p>
          <w:p w14:paraId="1D9214EE" w14:textId="77777777" w:rsidR="002B32A0" w:rsidRPr="00CE1D7F" w:rsidRDefault="002B32A0" w:rsidP="00587F3E">
            <w:pPr>
              <w:pStyle w:val="Tablelistbullet"/>
              <w:numPr>
                <w:ilvl w:val="0"/>
                <w:numId w:val="64"/>
              </w:numPr>
              <w:spacing w:before="60" w:after="0"/>
              <w:ind w:left="146" w:right="120" w:hanging="146"/>
            </w:pPr>
            <w:r w:rsidRPr="00CE1D7F">
              <w:t xml:space="preserve">Law and Society Association of Australia and New Zealand Award for best monograph </w:t>
            </w:r>
          </w:p>
          <w:p w14:paraId="0839A22A" w14:textId="77777777" w:rsidR="002B32A0" w:rsidRPr="00CE1D7F" w:rsidRDefault="002B32A0" w:rsidP="00587F3E">
            <w:pPr>
              <w:pStyle w:val="Tablelistbullet"/>
              <w:numPr>
                <w:ilvl w:val="0"/>
                <w:numId w:val="64"/>
              </w:numPr>
              <w:spacing w:before="60" w:after="0"/>
              <w:ind w:left="146" w:right="120" w:hanging="146"/>
            </w:pPr>
            <w:r w:rsidRPr="00CE1D7F">
              <w:t xml:space="preserve">Member of the Order of Australia and Fellow of the Australian Academy of Social Sciences </w:t>
            </w:r>
          </w:p>
          <w:p w14:paraId="260EE579" w14:textId="77777777" w:rsidR="002B32A0" w:rsidRPr="00CE1D7F" w:rsidRDefault="002B32A0" w:rsidP="00587F3E">
            <w:pPr>
              <w:pStyle w:val="Tablelistbullet"/>
              <w:numPr>
                <w:ilvl w:val="0"/>
                <w:numId w:val="64"/>
              </w:numPr>
              <w:spacing w:before="60" w:after="0"/>
              <w:ind w:left="146" w:right="120" w:hanging="146"/>
            </w:pPr>
            <w:r w:rsidRPr="00CE1D7F">
              <w:t>New research methodologies</w:t>
            </w:r>
          </w:p>
        </w:tc>
        <w:tc>
          <w:tcPr>
            <w:tcW w:w="69" w:type="pct"/>
            <w:tcBorders>
              <w:top w:val="nil"/>
              <w:left w:val="nil"/>
              <w:bottom w:val="nil"/>
              <w:right w:val="nil"/>
            </w:tcBorders>
          </w:tcPr>
          <w:p w14:paraId="24861FFC" w14:textId="77777777" w:rsidR="002B32A0" w:rsidRPr="00CE1D7F" w:rsidRDefault="002B32A0" w:rsidP="006258ED">
            <w:pPr>
              <w:pStyle w:val="Tabletext"/>
            </w:pPr>
          </w:p>
        </w:tc>
        <w:tc>
          <w:tcPr>
            <w:tcW w:w="822" w:type="pct"/>
            <w:tcBorders>
              <w:top w:val="nil"/>
              <w:left w:val="nil"/>
              <w:bottom w:val="nil"/>
              <w:right w:val="nil"/>
            </w:tcBorders>
            <w:shd w:val="clear" w:color="auto" w:fill="DEDEDE" w:themeFill="accent3" w:themeFillTint="99"/>
          </w:tcPr>
          <w:p w14:paraId="4885D5E5" w14:textId="77777777" w:rsidR="002B32A0" w:rsidRPr="00CE1D7F" w:rsidRDefault="002B32A0" w:rsidP="00587F3E">
            <w:pPr>
              <w:pStyle w:val="Tablelistbullet"/>
              <w:numPr>
                <w:ilvl w:val="0"/>
                <w:numId w:val="64"/>
              </w:numPr>
              <w:spacing w:before="60" w:after="0"/>
              <w:ind w:left="143" w:right="120" w:hanging="143"/>
            </w:pPr>
            <w:r w:rsidRPr="00CE1D7F">
              <w:t>Development of a robust evidence base on DFV in Australia</w:t>
            </w:r>
          </w:p>
          <w:p w14:paraId="516B99BE" w14:textId="77777777" w:rsidR="002B32A0" w:rsidRPr="00CE1D7F" w:rsidRDefault="002B32A0" w:rsidP="00587F3E">
            <w:pPr>
              <w:pStyle w:val="Tablelistbullet"/>
              <w:numPr>
                <w:ilvl w:val="0"/>
                <w:numId w:val="64"/>
              </w:numPr>
              <w:spacing w:before="60" w:after="0"/>
              <w:ind w:left="143" w:right="120" w:hanging="143"/>
            </w:pPr>
            <w:r w:rsidRPr="00CE1D7F">
              <w:t>Uptake of the Bench Book and training courses</w:t>
            </w:r>
          </w:p>
          <w:p w14:paraId="27F5E8EA" w14:textId="77777777" w:rsidR="002B32A0" w:rsidRPr="00CE1D7F" w:rsidRDefault="002B32A0" w:rsidP="00587F3E">
            <w:pPr>
              <w:pStyle w:val="Tablelistbullet"/>
              <w:numPr>
                <w:ilvl w:val="0"/>
                <w:numId w:val="64"/>
              </w:numPr>
              <w:spacing w:before="60" w:after="0"/>
              <w:ind w:left="143" w:right="120" w:hanging="143"/>
            </w:pPr>
            <w:r w:rsidRPr="00CE1D7F">
              <w:t>Use of evidence base to inform the introduction of NFS laws in 2 states</w:t>
            </w:r>
          </w:p>
          <w:p w14:paraId="1FF51926" w14:textId="77777777" w:rsidR="002B32A0" w:rsidRPr="00CE1D7F" w:rsidRDefault="002B32A0" w:rsidP="00587F3E">
            <w:pPr>
              <w:pStyle w:val="Tablelistbullet"/>
              <w:numPr>
                <w:ilvl w:val="0"/>
                <w:numId w:val="64"/>
              </w:numPr>
              <w:spacing w:before="60" w:after="0"/>
              <w:ind w:left="143" w:right="120" w:hanging="143"/>
            </w:pPr>
            <w:r w:rsidRPr="00CE1D7F">
              <w:t>Citation of work in state and national policies, strategies and reports</w:t>
            </w:r>
          </w:p>
          <w:p w14:paraId="18D28CDE" w14:textId="77777777" w:rsidR="002B32A0" w:rsidRPr="00CE1D7F" w:rsidRDefault="002B32A0" w:rsidP="00587F3E">
            <w:pPr>
              <w:pStyle w:val="Tablelistbullet"/>
              <w:numPr>
                <w:ilvl w:val="0"/>
                <w:numId w:val="64"/>
              </w:numPr>
              <w:spacing w:before="60" w:after="0"/>
              <w:ind w:left="143" w:right="120" w:hanging="143"/>
            </w:pPr>
            <w:r w:rsidRPr="00CE1D7F">
              <w:t>Uptake of education and training by the judiciary, magistrates and tribunal members, and law students</w:t>
            </w:r>
          </w:p>
          <w:p w14:paraId="6072CDC1" w14:textId="77777777" w:rsidR="002B32A0" w:rsidRPr="00CE1D7F" w:rsidRDefault="002B32A0" w:rsidP="00587F3E">
            <w:pPr>
              <w:pStyle w:val="Tablelistbullet"/>
              <w:numPr>
                <w:ilvl w:val="0"/>
                <w:numId w:val="64"/>
              </w:numPr>
              <w:spacing w:before="60" w:after="0"/>
              <w:ind w:left="143" w:right="120" w:hanging="143"/>
            </w:pPr>
            <w:r w:rsidRPr="00CE1D7F">
              <w:t xml:space="preserve">Strengthening of research capacity and connectivity </w:t>
            </w:r>
          </w:p>
        </w:tc>
        <w:tc>
          <w:tcPr>
            <w:tcW w:w="68" w:type="pct"/>
            <w:tcBorders>
              <w:top w:val="nil"/>
              <w:left w:val="nil"/>
              <w:bottom w:val="nil"/>
              <w:right w:val="nil"/>
            </w:tcBorders>
          </w:tcPr>
          <w:p w14:paraId="2F4C4C4A" w14:textId="77777777" w:rsidR="002B32A0" w:rsidRPr="00CE1D7F" w:rsidRDefault="002B32A0" w:rsidP="006258ED">
            <w:pPr>
              <w:pStyle w:val="Tabletext"/>
            </w:pPr>
          </w:p>
        </w:tc>
        <w:tc>
          <w:tcPr>
            <w:tcW w:w="821" w:type="pct"/>
            <w:tcBorders>
              <w:top w:val="nil"/>
              <w:left w:val="nil"/>
              <w:bottom w:val="nil"/>
              <w:right w:val="nil"/>
            </w:tcBorders>
            <w:shd w:val="clear" w:color="auto" w:fill="DEDEDE" w:themeFill="accent3" w:themeFillTint="99"/>
          </w:tcPr>
          <w:p w14:paraId="1D17914B" w14:textId="77777777" w:rsidR="002B32A0" w:rsidRPr="00CE1D7F" w:rsidRDefault="002B32A0" w:rsidP="00587F3E">
            <w:pPr>
              <w:pStyle w:val="Tablelistbullet"/>
              <w:numPr>
                <w:ilvl w:val="0"/>
                <w:numId w:val="64"/>
              </w:numPr>
              <w:spacing w:before="60" w:after="0"/>
              <w:ind w:left="142" w:right="120"/>
            </w:pPr>
            <w:r w:rsidRPr="00CE1D7F">
              <w:t xml:space="preserve">The research would only need to save the life of 1 woman from DFV for the benefits to offset the research costs </w:t>
            </w:r>
          </w:p>
          <w:p w14:paraId="2C2DBEFE" w14:textId="77777777" w:rsidR="002B32A0" w:rsidRPr="00CE1D7F" w:rsidRDefault="002B32A0" w:rsidP="00587F3E">
            <w:pPr>
              <w:pStyle w:val="Tablelistbullet"/>
              <w:numPr>
                <w:ilvl w:val="0"/>
                <w:numId w:val="64"/>
              </w:numPr>
              <w:spacing w:before="60" w:after="0"/>
              <w:ind w:left="142" w:right="120"/>
            </w:pPr>
            <w:r w:rsidRPr="00CE1D7F">
              <w:t>Potential impacts on the accuracy, responsiveness and efficiency of the legal system, and in turn, improved outcomes for women and communities</w:t>
            </w:r>
          </w:p>
          <w:p w14:paraId="7204DA75" w14:textId="77777777" w:rsidR="002B32A0" w:rsidRPr="00CE1D7F" w:rsidRDefault="002B32A0" w:rsidP="00587F3E">
            <w:pPr>
              <w:pStyle w:val="Tablelistbullet"/>
              <w:numPr>
                <w:ilvl w:val="0"/>
                <w:numId w:val="64"/>
              </w:numPr>
              <w:spacing w:before="60" w:after="0"/>
              <w:ind w:left="142" w:right="120"/>
            </w:pPr>
            <w:r w:rsidRPr="00CE1D7F">
              <w:t xml:space="preserve">Queensland judges better recognise the dangers of NFS and highlight these in their judgments </w:t>
            </w:r>
          </w:p>
          <w:p w14:paraId="3F3D9F95" w14:textId="77777777" w:rsidR="002B32A0" w:rsidRPr="00CE1D7F" w:rsidRDefault="002B32A0" w:rsidP="00587F3E">
            <w:pPr>
              <w:pStyle w:val="Tablelistbullet"/>
              <w:numPr>
                <w:ilvl w:val="0"/>
                <w:numId w:val="64"/>
              </w:numPr>
              <w:spacing w:before="60" w:after="0"/>
              <w:ind w:left="142" w:right="120"/>
            </w:pPr>
            <w:r w:rsidRPr="00CE1D7F">
              <w:t>Use of NFS offence by law and justice agencies</w:t>
            </w:r>
          </w:p>
        </w:tc>
      </w:tr>
      <w:tr w:rsidR="002B32A0" w:rsidRPr="00CE1D7F" w14:paraId="6FCB499F" w14:textId="77777777" w:rsidTr="003E62D0">
        <w:tblPrEx>
          <w:tblBorders>
            <w:top w:val="none" w:sz="0" w:space="0" w:color="auto"/>
            <w:bottom w:val="none" w:sz="0" w:space="0" w:color="auto"/>
          </w:tblBorders>
        </w:tblPrEx>
        <w:trPr>
          <w:trHeight w:val="135"/>
        </w:trPr>
        <w:tc>
          <w:tcPr>
            <w:tcW w:w="5000" w:type="pct"/>
            <w:gridSpan w:val="9"/>
            <w:tcBorders>
              <w:bottom w:val="single" w:sz="4" w:space="0" w:color="000100"/>
            </w:tcBorders>
            <w:shd w:val="clear" w:color="auto" w:fill="auto"/>
            <w:tcMar>
              <w:top w:w="12" w:type="dxa"/>
              <w:bottom w:w="113" w:type="dxa"/>
            </w:tcMar>
          </w:tcPr>
          <w:p w14:paraId="769FE96F" w14:textId="77777777" w:rsidR="002B32A0" w:rsidRPr="00CE1D7F" w:rsidRDefault="002B32A0" w:rsidP="006258ED">
            <w:pPr>
              <w:pStyle w:val="Source"/>
            </w:pPr>
            <w:r w:rsidRPr="00CE1D7F">
              <w:t>Source: ACIL Allen</w:t>
            </w:r>
          </w:p>
        </w:tc>
      </w:tr>
      <w:tr w:rsidR="002B32A0" w:rsidRPr="00CE1D7F" w14:paraId="40ADD5C1" w14:textId="77777777" w:rsidTr="003E62D0">
        <w:tblPrEx>
          <w:tblBorders>
            <w:top w:val="none" w:sz="0" w:space="0" w:color="auto"/>
            <w:bottom w:val="none" w:sz="0" w:space="0" w:color="auto"/>
          </w:tblBorders>
        </w:tblPrEx>
        <w:trPr>
          <w:trHeight w:hRule="exact" w:val="160"/>
        </w:trPr>
        <w:tc>
          <w:tcPr>
            <w:tcW w:w="5000" w:type="pct"/>
            <w:gridSpan w:val="9"/>
            <w:tcBorders>
              <w:top w:val="single" w:sz="4" w:space="0" w:color="000100"/>
            </w:tcBorders>
            <w:shd w:val="clear" w:color="auto" w:fill="auto"/>
            <w:tcMar>
              <w:top w:w="0" w:type="dxa"/>
              <w:bottom w:w="40" w:type="dxa"/>
            </w:tcMar>
          </w:tcPr>
          <w:p w14:paraId="64D4542B" w14:textId="77777777" w:rsidR="002B32A0" w:rsidRPr="00CE1D7F" w:rsidRDefault="002B32A0" w:rsidP="006258ED">
            <w:pPr>
              <w:pStyle w:val="spacer"/>
            </w:pPr>
          </w:p>
        </w:tc>
      </w:tr>
    </w:tbl>
    <w:p w14:paraId="67EE28AC" w14:textId="77777777" w:rsidR="002B32A0" w:rsidRPr="00CE1D7F" w:rsidRDefault="002B32A0" w:rsidP="002B32A0">
      <w:pPr>
        <w:pStyle w:val="Heading2"/>
      </w:pPr>
      <w:bookmarkStart w:id="483" w:name="_Toc129963976"/>
      <w:bookmarkStart w:id="484" w:name="_Toc131174615"/>
      <w:bookmarkStart w:id="485" w:name="_Toc132970706"/>
      <w:bookmarkStart w:id="486" w:name="_Toc135323745"/>
      <w:r w:rsidRPr="00CE1D7F">
        <w:t>Background</w:t>
      </w:r>
      <w:bookmarkEnd w:id="483"/>
      <w:bookmarkEnd w:id="484"/>
      <w:bookmarkEnd w:id="485"/>
      <w:bookmarkEnd w:id="486"/>
    </w:p>
    <w:p w14:paraId="369B4D57" w14:textId="77777777" w:rsidR="002B32A0" w:rsidRPr="00CE1D7F" w:rsidRDefault="002B32A0" w:rsidP="002B32A0">
      <w:pPr>
        <w:pStyle w:val="BodyText"/>
      </w:pPr>
      <w:r w:rsidRPr="00CE1D7F">
        <w:t xml:space="preserve">This case study relates to projects funded under the following </w:t>
      </w:r>
      <w:r>
        <w:t xml:space="preserve">ARC </w:t>
      </w:r>
      <w:r w:rsidRPr="00CE1D7F">
        <w:t>schemes:</w:t>
      </w:r>
    </w:p>
    <w:p w14:paraId="7EF2C9EF" w14:textId="77777777" w:rsidR="002B32A0" w:rsidRPr="00CE1D7F" w:rsidRDefault="002B32A0" w:rsidP="00587F3E">
      <w:pPr>
        <w:pStyle w:val="ListBullet"/>
      </w:pPr>
      <w:r w:rsidRPr="00CE1D7F">
        <w:t>Discovery Program:</w:t>
      </w:r>
      <w:r>
        <w:t xml:space="preserve"> </w:t>
      </w:r>
      <w:r w:rsidRPr="00DD5811">
        <w:t>Discovery Project, Future Fellowships</w:t>
      </w:r>
      <w:r>
        <w:t xml:space="preserve">, and </w:t>
      </w:r>
      <w:r w:rsidRPr="00DD5811">
        <w:t>Discovery Indigenous</w:t>
      </w:r>
      <w:r w:rsidRPr="00CE1D7F">
        <w:t>.</w:t>
      </w:r>
    </w:p>
    <w:p w14:paraId="4339D308" w14:textId="77777777" w:rsidR="002B32A0" w:rsidRPr="00CE1D7F" w:rsidRDefault="002B32A0" w:rsidP="00587F3E">
      <w:pPr>
        <w:pStyle w:val="ListBullet"/>
      </w:pPr>
      <w:r w:rsidRPr="00CE1D7F">
        <w:t>Linkage Program:</w:t>
      </w:r>
      <w:r>
        <w:t xml:space="preserve"> </w:t>
      </w:r>
      <w:r w:rsidRPr="00DD5811">
        <w:t>ARC Centres of Excellence</w:t>
      </w:r>
      <w:r w:rsidRPr="00CE1D7F">
        <w:t>.</w:t>
      </w:r>
    </w:p>
    <w:p w14:paraId="1C61A177" w14:textId="77777777" w:rsidR="002B32A0" w:rsidRPr="00CE1D7F" w:rsidRDefault="002B32A0" w:rsidP="002B32A0">
      <w:pPr>
        <w:pStyle w:val="Heading3"/>
      </w:pPr>
      <w:bookmarkStart w:id="487" w:name="_Ref125983683"/>
      <w:r w:rsidRPr="00CE1D7F">
        <w:t>Domestic and family violence and non-fatal strangulation</w:t>
      </w:r>
      <w:bookmarkEnd w:id="487"/>
      <w:r w:rsidRPr="00CE1D7F">
        <w:t xml:space="preserve"> </w:t>
      </w:r>
    </w:p>
    <w:p w14:paraId="687C179D" w14:textId="77777777" w:rsidR="002B32A0" w:rsidRPr="00CE1D7F" w:rsidRDefault="002B32A0" w:rsidP="002B32A0">
      <w:pPr>
        <w:pStyle w:val="BodyText"/>
      </w:pPr>
      <w:r w:rsidRPr="00CE1D7F">
        <w:t>Domestic and family violence (DFV) severely damages communities in Australia and across the globe. It is a complex and evolving challenge, which has been defined as:</w:t>
      </w:r>
    </w:p>
    <w:p w14:paraId="7BA2C383" w14:textId="77777777" w:rsidR="002B32A0" w:rsidRPr="00CE1D7F" w:rsidRDefault="002B32A0" w:rsidP="002B32A0">
      <w:pPr>
        <w:pStyle w:val="Quote"/>
      </w:pPr>
      <w:r w:rsidRPr="00CE1D7F">
        <w:t>“Domestic and family violence includes any behaviour, in an intimate or family relationship, which is violent, threatening, coercive or controlling, causing a person to live in fear and to be made to do things against their will. This may involve having to significantly modify their behaviour in an attempt to mitigate threats to their safety or wellbeing or the safety and wellbeing of people they care about.... It is often part of a pattern of controlling or coercive behaviour.”</w:t>
      </w:r>
      <w:r w:rsidRPr="00CE1D7F">
        <w:rPr>
          <w:rStyle w:val="FootnoteReference"/>
        </w:rPr>
        <w:footnoteReference w:id="187"/>
      </w:r>
    </w:p>
    <w:p w14:paraId="2E3384DB" w14:textId="77777777" w:rsidR="002B32A0" w:rsidRPr="00CE1D7F" w:rsidRDefault="002B32A0" w:rsidP="002B32A0">
      <w:pPr>
        <w:pStyle w:val="BodyText"/>
      </w:pPr>
      <w:r w:rsidRPr="00CE1D7F">
        <w:t>DFV may present itself in many ways, including:</w:t>
      </w:r>
      <w:r w:rsidRPr="00CE1D7F">
        <w:rPr>
          <w:rStyle w:val="FootnoteReference"/>
        </w:rPr>
        <w:footnoteReference w:id="188"/>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45"/>
        <w:gridCol w:w="2645"/>
        <w:gridCol w:w="2646"/>
      </w:tblGrid>
      <w:tr w:rsidR="002B32A0" w:rsidRPr="00CE1D7F" w14:paraId="29DBAE0F" w14:textId="77777777" w:rsidTr="00587F3E">
        <w:tc>
          <w:tcPr>
            <w:tcW w:w="2645" w:type="dxa"/>
          </w:tcPr>
          <w:p w14:paraId="097CA09A" w14:textId="77777777" w:rsidR="002B32A0" w:rsidRPr="00CE1D7F" w:rsidRDefault="002B32A0" w:rsidP="00587F3E">
            <w:pPr>
              <w:pStyle w:val="ListBullet"/>
              <w:ind w:left="316" w:hanging="316"/>
            </w:pPr>
            <w:r w:rsidRPr="00CE1D7F">
              <w:t>Physical violence and harm</w:t>
            </w:r>
          </w:p>
          <w:p w14:paraId="0D29DBA9" w14:textId="77777777" w:rsidR="002B32A0" w:rsidRPr="00CE1D7F" w:rsidRDefault="002B32A0" w:rsidP="00587F3E">
            <w:pPr>
              <w:pStyle w:val="ListBullet"/>
              <w:ind w:left="316" w:hanging="316"/>
            </w:pPr>
            <w:r w:rsidRPr="00CE1D7F">
              <w:t>Sexual and reproductive abuse</w:t>
            </w:r>
          </w:p>
          <w:p w14:paraId="19DCA037" w14:textId="77777777" w:rsidR="002B32A0" w:rsidRPr="00CE1D7F" w:rsidRDefault="002B32A0" w:rsidP="00587F3E">
            <w:pPr>
              <w:pStyle w:val="ListBullet"/>
              <w:ind w:left="316" w:hanging="316"/>
            </w:pPr>
            <w:r w:rsidRPr="00CE1D7F">
              <w:t>Economic and financial abuse</w:t>
            </w:r>
          </w:p>
          <w:p w14:paraId="3FFB0BD6" w14:textId="77777777" w:rsidR="002B32A0" w:rsidRPr="00CE1D7F" w:rsidRDefault="002B32A0" w:rsidP="00587F3E">
            <w:pPr>
              <w:pStyle w:val="ListBullet"/>
              <w:ind w:left="316" w:hanging="316"/>
            </w:pPr>
            <w:r w:rsidRPr="00CE1D7F">
              <w:t>Emotional and psychological abuse</w:t>
            </w:r>
          </w:p>
        </w:tc>
        <w:tc>
          <w:tcPr>
            <w:tcW w:w="2645" w:type="dxa"/>
          </w:tcPr>
          <w:p w14:paraId="1D01F0E1" w14:textId="77777777" w:rsidR="002B32A0" w:rsidRPr="00CE1D7F" w:rsidRDefault="002B32A0" w:rsidP="00587F3E">
            <w:pPr>
              <w:pStyle w:val="ListBullet"/>
              <w:ind w:left="367" w:hanging="367"/>
            </w:pPr>
            <w:r w:rsidRPr="00CE1D7F">
              <w:t>Cultural and spiritual abuse</w:t>
            </w:r>
          </w:p>
          <w:p w14:paraId="6E829CEF" w14:textId="77777777" w:rsidR="002B32A0" w:rsidRPr="00CE1D7F" w:rsidRDefault="002B32A0" w:rsidP="00587F3E">
            <w:pPr>
              <w:pStyle w:val="ListBullet"/>
              <w:ind w:left="367" w:hanging="367"/>
            </w:pPr>
            <w:r w:rsidRPr="00CE1D7F">
              <w:t>Following, harassing and monitoring</w:t>
            </w:r>
          </w:p>
          <w:p w14:paraId="23CB7BAE" w14:textId="77777777" w:rsidR="002B32A0" w:rsidRPr="00CE1D7F" w:rsidRDefault="002B32A0" w:rsidP="00587F3E">
            <w:pPr>
              <w:pStyle w:val="ListBullet"/>
              <w:ind w:left="367" w:hanging="367"/>
            </w:pPr>
            <w:r w:rsidRPr="00CE1D7F">
              <w:t>Exposing children to DFV</w:t>
            </w:r>
          </w:p>
          <w:p w14:paraId="5054899E" w14:textId="77777777" w:rsidR="002B32A0" w:rsidRPr="00CE1D7F" w:rsidRDefault="002B32A0" w:rsidP="00587F3E">
            <w:pPr>
              <w:pStyle w:val="ListBullet"/>
              <w:ind w:left="367" w:hanging="367"/>
            </w:pPr>
            <w:r w:rsidRPr="00CE1D7F">
              <w:t>Damaging property</w:t>
            </w:r>
          </w:p>
          <w:p w14:paraId="56305035" w14:textId="77777777" w:rsidR="002B32A0" w:rsidRPr="00CE1D7F" w:rsidRDefault="002B32A0" w:rsidP="00587F3E">
            <w:pPr>
              <w:pStyle w:val="ListBullet"/>
              <w:ind w:left="367" w:hanging="367"/>
            </w:pPr>
            <w:r w:rsidRPr="00CE1D7F">
              <w:t>Social abuse</w:t>
            </w:r>
          </w:p>
        </w:tc>
        <w:tc>
          <w:tcPr>
            <w:tcW w:w="2646" w:type="dxa"/>
          </w:tcPr>
          <w:p w14:paraId="1681EAFB" w14:textId="77777777" w:rsidR="002B32A0" w:rsidRPr="00CE1D7F" w:rsidRDefault="002B32A0" w:rsidP="00587F3E">
            <w:pPr>
              <w:pStyle w:val="ListBullet"/>
              <w:ind w:left="268" w:hanging="268"/>
            </w:pPr>
            <w:r w:rsidRPr="00CE1D7F">
              <w:t>Animal abuse</w:t>
            </w:r>
          </w:p>
          <w:p w14:paraId="11205DFA" w14:textId="77777777" w:rsidR="002B32A0" w:rsidRPr="00CE1D7F" w:rsidRDefault="002B32A0" w:rsidP="00587F3E">
            <w:pPr>
              <w:pStyle w:val="ListBullet"/>
              <w:ind w:left="268" w:hanging="268"/>
            </w:pPr>
            <w:r w:rsidRPr="00CE1D7F">
              <w:t>Systems abuse</w:t>
            </w:r>
          </w:p>
          <w:p w14:paraId="21C1FB8A" w14:textId="77777777" w:rsidR="002B32A0" w:rsidRPr="00CE1D7F" w:rsidRDefault="002B32A0" w:rsidP="00587F3E">
            <w:pPr>
              <w:pStyle w:val="ListBullet"/>
              <w:ind w:left="268" w:hanging="268"/>
            </w:pPr>
            <w:r w:rsidRPr="00CE1D7F">
              <w:t>Forced marriage and dowry abuse.</w:t>
            </w:r>
          </w:p>
        </w:tc>
      </w:tr>
    </w:tbl>
    <w:p w14:paraId="6BB12F84" w14:textId="77777777" w:rsidR="002B32A0" w:rsidRPr="00CE1D7F" w:rsidRDefault="002B32A0" w:rsidP="002B32A0">
      <w:pPr>
        <w:pStyle w:val="BodyText"/>
      </w:pPr>
      <w:r w:rsidRPr="00CE1D7F">
        <w:t>DFV can affect any person irrespective of age, gender, socio-economic status or cultural background. However, women and some community groups are disproportionately affected.</w:t>
      </w:r>
      <w:r w:rsidRPr="00CE1D7F">
        <w:rPr>
          <w:rStyle w:val="FootnoteReference"/>
        </w:rPr>
        <w:footnoteReference w:id="189"/>
      </w:r>
      <w:r w:rsidRPr="00CE1D7F">
        <w:rPr>
          <w:vertAlign w:val="superscript"/>
        </w:rPr>
        <w:t>,</w:t>
      </w:r>
      <w:r w:rsidRPr="00CE1D7F">
        <w:rPr>
          <w:rStyle w:val="FootnoteReference"/>
        </w:rPr>
        <w:footnoteReference w:id="190"/>
      </w:r>
      <w:r w:rsidRPr="00CE1D7F">
        <w:t xml:space="preserve"> These groups may also be more susceptible to the impacts of DFV and may require a specific and tailored response by the legal and service system.</w:t>
      </w:r>
    </w:p>
    <w:p w14:paraId="0778D265" w14:textId="77777777" w:rsidR="002B32A0" w:rsidRPr="00CE1D7F" w:rsidRDefault="002B32A0" w:rsidP="002B32A0">
      <w:pPr>
        <w:pStyle w:val="BodyText"/>
      </w:pPr>
      <w:r w:rsidRPr="00CE1D7F">
        <w:t xml:space="preserve">Systems abuse (as a form of coercive control) and non-fatal strangulation (NFS) are 2 forms of DFV that are particularly relevant to this case study. </w:t>
      </w:r>
    </w:p>
    <w:p w14:paraId="412C0E7C" w14:textId="77777777" w:rsidR="002B32A0" w:rsidRPr="00CE1D7F" w:rsidRDefault="002B32A0" w:rsidP="002B32A0">
      <w:pPr>
        <w:pStyle w:val="BodyText"/>
      </w:pPr>
      <w:r w:rsidRPr="00CE1D7F">
        <w:t>Coercive control involves patterns of behaviour relating to the domination and control of another person, usually within an intimate partner relationship. These behaviours include physical, sexual, psychological, emotional or financial abuse.</w:t>
      </w:r>
      <w:r w:rsidRPr="00CE1D7F">
        <w:rPr>
          <w:rStyle w:val="FootnoteReference"/>
        </w:rPr>
        <w:footnoteReference w:id="191"/>
      </w:r>
      <w:r w:rsidRPr="00CE1D7F">
        <w:t xml:space="preserve"> </w:t>
      </w:r>
      <w:r w:rsidRPr="00CE1D7F">
        <w:rPr>
          <w:rStyle w:val="FootnoteReference"/>
        </w:rPr>
        <w:footnoteReference w:id="192"/>
      </w:r>
      <w:r w:rsidRPr="00CE1D7F">
        <w:t xml:space="preserve"> </w:t>
      </w:r>
    </w:p>
    <w:p w14:paraId="523481D0" w14:textId="77777777" w:rsidR="002B32A0" w:rsidRPr="00CE1D7F" w:rsidRDefault="002B32A0" w:rsidP="002B32A0">
      <w:pPr>
        <w:pStyle w:val="BodyText"/>
      </w:pPr>
      <w:r w:rsidRPr="00CE1D7F">
        <w:t>NFS is when a person has survived strangulation, which is “a type of asphyxia caused by pressure to the neck, sometimes involving a type of ligature (such as a belt or cord), or more commonly, manual strangulation using hands, arms (e.g., chokehold), knees or feet”.</w:t>
      </w:r>
      <w:r w:rsidRPr="00CE1D7F">
        <w:rPr>
          <w:rStyle w:val="FootnoteReference"/>
        </w:rPr>
        <w:footnoteReference w:id="193"/>
      </w:r>
      <w:r w:rsidRPr="00CE1D7F">
        <w:t xml:space="preserve"> NFS is reported by up to half of women who have experienced domestic violence.</w:t>
      </w:r>
      <w:r w:rsidRPr="00CE1D7F">
        <w:rPr>
          <w:rStyle w:val="FootnoteReference"/>
        </w:rPr>
        <w:footnoteReference w:id="194"/>
      </w:r>
      <w:r w:rsidRPr="00CE1D7F">
        <w:t xml:space="preserve"> NFS can be difficult to substantiate legally as there may be no visible injuries.</w:t>
      </w:r>
      <w:r w:rsidRPr="00CE1D7F">
        <w:rPr>
          <w:rStyle w:val="FootnoteReference"/>
        </w:rPr>
        <w:footnoteReference w:id="195"/>
      </w:r>
      <w:r w:rsidRPr="00CE1D7F">
        <w:t xml:space="preserve"> However, victims often report a sore throat, impaired vision and hearing, loss of sensation, memory loss, anxiety and post-traumatic stress disorder, unconsciousness, paralysis and miscarriage of pregnancy.</w:t>
      </w:r>
      <w:r w:rsidRPr="00CE1D7F">
        <w:rPr>
          <w:rStyle w:val="FootnoteReference"/>
        </w:rPr>
        <w:footnoteReference w:id="196"/>
      </w:r>
      <w:r w:rsidRPr="00CE1D7F">
        <w:t xml:space="preserve"> NFS is associated with a 700% higher risk of experiencing attempted homicide and an 800% higher risk of homicide at the hands of an abuser.</w:t>
      </w:r>
      <w:r w:rsidRPr="00CE1D7F">
        <w:rPr>
          <w:rStyle w:val="FootnoteReference"/>
        </w:rPr>
        <w:footnoteReference w:id="197"/>
      </w:r>
      <w:r w:rsidRPr="00CE1D7F">
        <w:t xml:space="preserve"> </w:t>
      </w:r>
    </w:p>
    <w:p w14:paraId="4364EF70" w14:textId="77777777" w:rsidR="002B32A0" w:rsidRPr="00CE1D7F" w:rsidRDefault="002B32A0" w:rsidP="002B32A0">
      <w:pPr>
        <w:pStyle w:val="BodyText"/>
      </w:pPr>
      <w:r w:rsidRPr="00CE1D7F">
        <w:t xml:space="preserve">The law is recognised as a key mechanism for accountability, prevention and redress of DFV. </w:t>
      </w:r>
    </w:p>
    <w:p w14:paraId="12428497" w14:textId="77777777" w:rsidR="002B32A0" w:rsidRPr="00CE1D7F" w:rsidRDefault="002B32A0" w:rsidP="002B32A0">
      <w:pPr>
        <w:pStyle w:val="Heading4"/>
      </w:pPr>
      <w:r w:rsidRPr="00CE1D7F">
        <w:t>Incidence and costs of DFV</w:t>
      </w:r>
    </w:p>
    <w:p w14:paraId="1CE553B9" w14:textId="77777777" w:rsidR="002B32A0" w:rsidRPr="00CE1D7F" w:rsidRDefault="002B32A0" w:rsidP="002B32A0">
      <w:pPr>
        <w:pStyle w:val="BodyText"/>
      </w:pPr>
      <w:r w:rsidRPr="00CE1D7F">
        <w:t>In Australia, 1 in 6 women over 15 years are estimated to have experienced DFV by a current or previous partner.</w:t>
      </w:r>
      <w:r w:rsidRPr="00CE1D7F">
        <w:rPr>
          <w:rStyle w:val="FootnoteReference"/>
        </w:rPr>
        <w:footnoteReference w:id="198"/>
      </w:r>
    </w:p>
    <w:p w14:paraId="24C9A2E5" w14:textId="77777777" w:rsidR="002B32A0" w:rsidRPr="00CE1D7F" w:rsidRDefault="002B32A0" w:rsidP="002B32A0">
      <w:pPr>
        <w:pStyle w:val="BodyText"/>
      </w:pPr>
      <w:r w:rsidRPr="00CE1D7F">
        <w:t>The total costs of violence against women and their children in Australia were estimated at $22-26</w:t>
      </w:r>
      <w:r>
        <w:t> billion</w:t>
      </w:r>
      <w:r w:rsidRPr="00CE1D7F">
        <w:t xml:space="preserve"> in 2015-16.</w:t>
      </w:r>
      <w:r w:rsidRPr="00CE1D7F">
        <w:rPr>
          <w:rStyle w:val="FootnoteReference"/>
        </w:rPr>
        <w:footnoteReference w:id="199"/>
      </w:r>
      <w:r w:rsidRPr="00CE1D7F">
        <w:t xml:space="preserve"> However, the costs are challenging to quantify due to the long term nature of the associated social, health, psychological, financial, and economic damages, as well as challenges with accurately capturing the prevalence of the issue due to inconsistent and incomplete reporting and data collection. These costs are likely to have increased in recent years. </w:t>
      </w:r>
    </w:p>
    <w:p w14:paraId="667AF7FE" w14:textId="77777777" w:rsidR="002B32A0" w:rsidRPr="00CE1D7F" w:rsidRDefault="002B32A0" w:rsidP="002B32A0">
      <w:pPr>
        <w:pStyle w:val="BodyText"/>
      </w:pPr>
      <w:r w:rsidRPr="00CE1D7F">
        <w:t>NFS is a common form of abuse among women that experience DFV; however, evidence surrounding its occurrence is scarce.</w:t>
      </w:r>
      <w:r w:rsidRPr="00CE1D7F">
        <w:rPr>
          <w:rStyle w:val="FootnoteReference"/>
        </w:rPr>
        <w:footnoteReference w:id="200"/>
      </w:r>
      <w:r w:rsidRPr="00CE1D7F">
        <w:t xml:space="preserve"> A review of the epidemiology of NFS in 9 countries found that </w:t>
      </w:r>
      <w:r>
        <w:t>between 3 and almost 10%</w:t>
      </w:r>
      <w:r w:rsidRPr="00CE1D7F">
        <w:t xml:space="preserve"> of women reported having been strangled by an intimate partner, with an average of 1% reporting this in the past 12 months.</w:t>
      </w:r>
      <w:r w:rsidRPr="00CE1D7F">
        <w:rPr>
          <w:rStyle w:val="FootnoteReference"/>
        </w:rPr>
        <w:footnoteReference w:id="201"/>
      </w:r>
      <w:r w:rsidRPr="00CE1D7F">
        <w:t xml:space="preserve"> Up to 68% of Australian women using DFV services are estimated to be victims of NFS by an intimate partner.</w:t>
      </w:r>
      <w:r w:rsidRPr="00CE1D7F">
        <w:rPr>
          <w:rStyle w:val="FootnoteReference"/>
        </w:rPr>
        <w:footnoteReference w:id="202"/>
      </w:r>
      <w:r w:rsidRPr="00CE1D7F">
        <w:t xml:space="preserve"> Almost 15% of all family homicides against women are caused by strangulation and/or suffocation.</w:t>
      </w:r>
      <w:r w:rsidRPr="00CE1D7F">
        <w:rPr>
          <w:rStyle w:val="FootnoteReference"/>
        </w:rPr>
        <w:footnoteReference w:id="203"/>
      </w:r>
      <w:r w:rsidRPr="00CE1D7F">
        <w:t xml:space="preserve"> </w:t>
      </w:r>
    </w:p>
    <w:p w14:paraId="1688AC15" w14:textId="77777777" w:rsidR="002B32A0" w:rsidRPr="00CE1D7F" w:rsidRDefault="002B32A0" w:rsidP="002B32A0">
      <w:pPr>
        <w:pStyle w:val="Heading4"/>
      </w:pPr>
      <w:r w:rsidRPr="00CE1D7F">
        <w:t>Policy landscape</w:t>
      </w:r>
    </w:p>
    <w:p w14:paraId="143E6F2F" w14:textId="77777777" w:rsidR="002B32A0" w:rsidRPr="00CE1D7F" w:rsidRDefault="002B32A0" w:rsidP="002B32A0">
      <w:pPr>
        <w:pStyle w:val="BodyText"/>
      </w:pPr>
      <w:r w:rsidRPr="00CE1D7F">
        <w:t xml:space="preserve">There has been growing awareness, advocacy and a culture of change around DFV in recent years. This change has partly been driven by </w:t>
      </w:r>
      <w:bookmarkStart w:id="489" w:name="_Hlk129077134"/>
      <w:r w:rsidRPr="00CE1D7F">
        <w:t xml:space="preserve">recent high-profile DFV cases (e.g., Rosie Batty and Hannah Clarke), the </w:t>
      </w:r>
      <w:r w:rsidRPr="00CE1D7F">
        <w:rPr>
          <w:i/>
          <w:iCs/>
        </w:rPr>
        <w:t>me too</w:t>
      </w:r>
      <w:r w:rsidRPr="00CE1D7F">
        <w:t xml:space="preserve"> </w:t>
      </w:r>
      <w:r w:rsidRPr="00CE1D7F">
        <w:rPr>
          <w:i/>
          <w:iCs/>
        </w:rPr>
        <w:t>Movement</w:t>
      </w:r>
      <w:r w:rsidRPr="00CE1D7F">
        <w:t>,</w:t>
      </w:r>
      <w:r w:rsidRPr="00CE1D7F">
        <w:rPr>
          <w:rStyle w:val="FootnoteReference"/>
        </w:rPr>
        <w:footnoteReference w:id="204"/>
      </w:r>
      <w:r w:rsidRPr="00CE1D7F">
        <w:t xml:space="preserve"> government policy responses and growing government, private sector and philanthropic investment</w:t>
      </w:r>
      <w:bookmarkEnd w:id="489"/>
      <w:r w:rsidRPr="00CE1D7F">
        <w:t>. While this case study focuses on Commonwealth and Queensland government policies introduced to address DFV, it is acknowledged that other jurisdictions have also enacted legislative and policy changes.</w:t>
      </w:r>
    </w:p>
    <w:p w14:paraId="3A3C117A" w14:textId="77777777" w:rsidR="002B32A0" w:rsidRPr="00CE1D7F" w:rsidRDefault="002B32A0" w:rsidP="002B32A0">
      <w:pPr>
        <w:pStyle w:val="BodyText"/>
      </w:pPr>
      <w:r w:rsidRPr="00CE1D7F">
        <w:t>The</w:t>
      </w:r>
      <w:r w:rsidRPr="00CE1D7F">
        <w:rPr>
          <w:b/>
          <w:bCs/>
        </w:rPr>
        <w:t xml:space="preserve"> </w:t>
      </w:r>
      <w:r w:rsidRPr="00CE1D7F">
        <w:rPr>
          <w:i/>
          <w:iCs/>
        </w:rPr>
        <w:t>National Plan to End Violence against Women and Children 2022-2032</w:t>
      </w:r>
      <w:r w:rsidRPr="00CE1D7F">
        <w:t xml:space="preserve"> (the National Plan) is a joint Commonwealth, state and territory government initiative which outlines and commits to a 10</w:t>
      </w:r>
      <w:r>
        <w:noBreakHyphen/>
      </w:r>
      <w:r w:rsidRPr="00CE1D7F">
        <w:t>year plan of sustained action, effort and partnership across sectors and levels of government. Its core vision is to end violence against women and children in one generation.</w:t>
      </w:r>
      <w:r w:rsidRPr="00CE1D7F">
        <w:rPr>
          <w:rStyle w:val="FootnoteReference"/>
        </w:rPr>
        <w:footnoteReference w:id="205"/>
      </w:r>
      <w:r w:rsidRPr="00CE1D7F">
        <w:t xml:space="preserve"> It is implemented through a series of Action Plans and was preceded by the initial 2010-2022 plan. The National Plan builds upon a history of leadership and action by a diverse group of individuals and organisations, including victim-survivors, advocates and women’s and community organisations, academics, law enforcement, the justice sector, and all governments and community members. The 2022 Federal Budget announced $1.3</w:t>
      </w:r>
      <w:r>
        <w:t> billion</w:t>
      </w:r>
      <w:r w:rsidRPr="00CE1D7F">
        <w:t xml:space="preserve"> in funding for women’s safety, including </w:t>
      </w:r>
      <w:r w:rsidRPr="00CE1D7F">
        <w:rPr>
          <w:lang w:eastAsia="en-AU"/>
        </w:rPr>
        <w:t>$222</w:t>
      </w:r>
      <w:r>
        <w:rPr>
          <w:lang w:eastAsia="en-AU"/>
        </w:rPr>
        <w:t> million</w:t>
      </w:r>
      <w:r w:rsidRPr="00CE1D7F">
        <w:rPr>
          <w:lang w:eastAsia="en-AU"/>
        </w:rPr>
        <w:t xml:space="preserve"> in prevention initiatives.</w:t>
      </w:r>
      <w:r w:rsidRPr="00CE1D7F">
        <w:rPr>
          <w:rStyle w:val="FootnoteReference"/>
          <w:lang w:eastAsia="en-AU"/>
        </w:rPr>
        <w:footnoteReference w:id="206"/>
      </w:r>
    </w:p>
    <w:p w14:paraId="2D774006" w14:textId="77777777" w:rsidR="002B32A0" w:rsidRPr="00CE1D7F" w:rsidRDefault="002B32A0" w:rsidP="002B32A0">
      <w:pPr>
        <w:pStyle w:val="BodyText"/>
      </w:pPr>
      <w:r w:rsidRPr="00CE1D7F">
        <w:t>Our Watch and Australia's National Research Organisation for Women's Safety (ANROWS) were established in 2013 as major organisations in Australia’s DFV landscape. Our Watch focuses on prevention through embedding gender equality and changing culture, behaviours and attitudes that underpin and create violence against women and children.</w:t>
      </w:r>
      <w:r w:rsidRPr="00CE1D7F">
        <w:rPr>
          <w:rStyle w:val="FootnoteReference"/>
        </w:rPr>
        <w:footnoteReference w:id="207"/>
      </w:r>
      <w:r w:rsidRPr="00CE1D7F">
        <w:t xml:space="preserve"> ANROWs is a national research body that coordinates research on DFV, develops an evidence base that supports ending violence against women and children in Australia and underpins the National Plan.</w:t>
      </w:r>
      <w:r w:rsidRPr="00CE1D7F">
        <w:rPr>
          <w:rStyle w:val="FootnoteReference"/>
        </w:rPr>
        <w:footnoteReference w:id="208"/>
      </w:r>
    </w:p>
    <w:p w14:paraId="52E003B0" w14:textId="77777777" w:rsidR="002B32A0" w:rsidRPr="00CE1D7F" w:rsidRDefault="002B32A0" w:rsidP="002B32A0">
      <w:pPr>
        <w:pStyle w:val="BodyText"/>
      </w:pPr>
      <w:r w:rsidRPr="00CE1D7F">
        <w:t xml:space="preserve">The Special Taskforce on Domestic and Family Violence in Queensland developed the </w:t>
      </w:r>
      <w:r w:rsidRPr="00CE1D7F">
        <w:rPr>
          <w:i/>
          <w:iCs/>
        </w:rPr>
        <w:t xml:space="preserve">Not Now, Not Ever: Putting an end to domestic and family violence in Queensland </w:t>
      </w:r>
      <w:r w:rsidRPr="00CE1D7F">
        <w:t>(</w:t>
      </w:r>
      <w:r w:rsidRPr="00CE1D7F">
        <w:rPr>
          <w:i/>
          <w:iCs/>
        </w:rPr>
        <w:t>Not Now, Not Ever</w:t>
      </w:r>
      <w:r w:rsidRPr="00CE1D7F">
        <w:t>) Report in February 2015.</w:t>
      </w:r>
      <w:r w:rsidRPr="00CE1D7F">
        <w:rPr>
          <w:rStyle w:val="FootnoteReference"/>
        </w:rPr>
        <w:footnoteReference w:id="209"/>
      </w:r>
      <w:r w:rsidRPr="00CE1D7F">
        <w:t xml:space="preserve"> The publication contained 140 recommendations and set the vision and direction for Queensland’s strategy to end DFV and ensure that victims are safe and supported.</w:t>
      </w:r>
      <w:r w:rsidRPr="00CE1D7F">
        <w:rPr>
          <w:rStyle w:val="FootnoteReference"/>
        </w:rPr>
        <w:footnoteReference w:id="210"/>
      </w:r>
      <w:r w:rsidRPr="00CE1D7F">
        <w:t xml:space="preserve"> In August 2015, the Queensland Government formally accepted all 121 recommendations directed at government and supported the 19 recommendations for non-government bodies. </w:t>
      </w:r>
    </w:p>
    <w:p w14:paraId="76FA6B26" w14:textId="77777777" w:rsidR="002B32A0" w:rsidRPr="00CE1D7F" w:rsidRDefault="002B32A0" w:rsidP="002B32A0">
      <w:pPr>
        <w:pStyle w:val="BodyText"/>
      </w:pPr>
      <w:r w:rsidRPr="00CE1D7F">
        <w:t xml:space="preserve">The Queensland Government outlined its plan to drive change and set the direction for ending DFV in Queensland in the </w:t>
      </w:r>
      <w:r w:rsidRPr="00CE1D7F">
        <w:rPr>
          <w:i/>
          <w:iCs/>
        </w:rPr>
        <w:t>Domestic and Family Violence Prevention Strategy 2016-2026</w:t>
      </w:r>
      <w:r w:rsidRPr="00CE1D7F">
        <w:t xml:space="preserve"> (the Strategy). The Strategy outlines a shared vision for Queensland and principles to guide action across the community. The vision of the Strategy is “a Queensland free from domestic and family violence”. The 3 foundational elements of the Strategy are</w:t>
      </w:r>
      <w:r w:rsidRPr="00CE1D7F">
        <w:rPr>
          <w:rStyle w:val="FootnoteReference"/>
        </w:rPr>
        <w:footnoteReference w:id="211"/>
      </w:r>
      <w:r w:rsidRPr="00CE1D7F">
        <w:t>:</w:t>
      </w:r>
    </w:p>
    <w:p w14:paraId="7FED8670" w14:textId="77777777" w:rsidR="002B32A0" w:rsidRPr="00CE1D7F" w:rsidRDefault="002B32A0" w:rsidP="002B32A0">
      <w:pPr>
        <w:pStyle w:val="ListNumber"/>
      </w:pPr>
      <w:r w:rsidRPr="00CE1D7F">
        <w:t>a significant shift in community attitudes and behaviours</w:t>
      </w:r>
      <w:r>
        <w:t>.</w:t>
      </w:r>
    </w:p>
    <w:p w14:paraId="564B7DC8" w14:textId="77777777" w:rsidR="002B32A0" w:rsidRPr="00CE1D7F" w:rsidRDefault="002B32A0" w:rsidP="002B32A0">
      <w:pPr>
        <w:pStyle w:val="ListNumber"/>
      </w:pPr>
      <w:r w:rsidRPr="00CE1D7F">
        <w:t>an integrated response system that delivers the services and support that victims and perpetrators need</w:t>
      </w:r>
      <w:r>
        <w:t>.</w:t>
      </w:r>
      <w:r w:rsidRPr="00CE1D7F">
        <w:t xml:space="preserve"> </w:t>
      </w:r>
    </w:p>
    <w:p w14:paraId="29254EAE" w14:textId="77777777" w:rsidR="002B32A0" w:rsidRPr="00CE1D7F" w:rsidRDefault="002B32A0" w:rsidP="002B32A0">
      <w:pPr>
        <w:pStyle w:val="ListNumber"/>
      </w:pPr>
      <w:r w:rsidRPr="00CE1D7F">
        <w:t>a stronger justice system response that will prioritise victim safety and hold perpetrators to account.</w:t>
      </w:r>
    </w:p>
    <w:p w14:paraId="174827B4" w14:textId="77777777" w:rsidR="002B32A0" w:rsidRPr="00CE1D7F" w:rsidRDefault="002B32A0" w:rsidP="002B32A0">
      <w:pPr>
        <w:pStyle w:val="BodyText"/>
      </w:pPr>
      <w:r w:rsidRPr="00CE1D7F">
        <w:t>These elements reflect the themes from the Not Now, Not Ever Report.</w:t>
      </w:r>
    </w:p>
    <w:p w14:paraId="4627EA99" w14:textId="77777777" w:rsidR="002B32A0" w:rsidRPr="00CE1D7F" w:rsidRDefault="002B32A0" w:rsidP="002B32A0">
      <w:pPr>
        <w:pStyle w:val="Heading3"/>
      </w:pPr>
      <w:r w:rsidRPr="00CE1D7F">
        <w:t>ARC-funded research</w:t>
      </w:r>
    </w:p>
    <w:p w14:paraId="045FD0FE" w14:textId="77777777" w:rsidR="002B32A0" w:rsidRPr="00CE1D7F" w:rsidRDefault="002B32A0" w:rsidP="002B32A0">
      <w:pPr>
        <w:pStyle w:val="BodyText"/>
      </w:pPr>
      <w:r w:rsidRPr="00CE1D7F">
        <w:t>Professor Heather Douglas’ work has focused on a range of topics under the broad theme of DFV, including NFS and coercive control. Her career began in legal practice as a lawyer, which guided her interest in criminal law in her academic and research career from 2001. She was a former Commissioner for the Queensland Law Reform Commission.</w:t>
      </w:r>
    </w:p>
    <w:p w14:paraId="6AE158D8" w14:textId="36542C15" w:rsidR="002B32A0" w:rsidRPr="00CE1D7F" w:rsidRDefault="002B32A0" w:rsidP="002B32A0">
      <w:pPr>
        <w:pStyle w:val="BodyText"/>
      </w:pPr>
      <w:r w:rsidRPr="00CE1D7F">
        <w:t xml:space="preserve">As overviewed in </w:t>
      </w:r>
      <w:r w:rsidRPr="00F87D0E">
        <w:fldChar w:fldCharType="begin"/>
      </w:r>
      <w:r w:rsidRPr="00F87D0E">
        <w:instrText xml:space="preserve"> REF _Ref129335052 \h  \* MERGEFORMAT </w:instrText>
      </w:r>
      <w:r w:rsidRPr="00F87D0E">
        <w:fldChar w:fldCharType="separate"/>
      </w:r>
      <w:r w:rsidR="000B0AC7" w:rsidRPr="000B0AC7">
        <w:t>Figure 11.2</w:t>
      </w:r>
      <w:r w:rsidRPr="00F87D0E">
        <w:fldChar w:fldCharType="end"/>
      </w:r>
      <w:r w:rsidRPr="00CE1D7F">
        <w:t xml:space="preserve">, Prof Douglas’ first ARC grant was </w:t>
      </w:r>
      <w:r w:rsidRPr="00CE1D7F">
        <w:rPr>
          <w:i/>
          <w:iCs/>
        </w:rPr>
        <w:t>Discovery Projects - Australian feminist judgments project: jurisprudence as praxis</w:t>
      </w:r>
      <w:r w:rsidRPr="00CE1D7F">
        <w:t xml:space="preserve"> (2012-15). While this did not directly lead to subsequent research in DFV, the project explored feminist issues that have been deeply considered in case law, feminist analysis and law reform. The project enhanced Prof Douglas’ track record, supporting her success with subsequent funding. </w:t>
      </w:r>
    </w:p>
    <w:p w14:paraId="621A35A0" w14:textId="77777777" w:rsidR="002B32A0" w:rsidRPr="00CE1D7F" w:rsidRDefault="002B32A0" w:rsidP="002B32A0">
      <w:pPr>
        <w:pStyle w:val="BodyText"/>
      </w:pPr>
      <w:r w:rsidRPr="00CE1D7F">
        <w:t xml:space="preserve">Prof Douglas was awarded a </w:t>
      </w:r>
      <w:r w:rsidRPr="00CE1D7F">
        <w:rPr>
          <w:i/>
          <w:iCs/>
        </w:rPr>
        <w:t>Future Fellowship –</w:t>
      </w:r>
      <w:r w:rsidRPr="00CE1D7F">
        <w:t xml:space="preserve"> </w:t>
      </w:r>
      <w:r w:rsidRPr="00CE1D7F">
        <w:rPr>
          <w:i/>
          <w:iCs/>
        </w:rPr>
        <w:t>Using law and ending domestic violence: Women's voices</w:t>
      </w:r>
      <w:r w:rsidRPr="00CE1D7F">
        <w:t xml:space="preserve"> (2015-20). The project undertook the first Australian longitudinal study examining how women of diverse backgrounds who experience DFV engage with law and use it to help them live a life free of violence. The objectives of the grant were to identify:</w:t>
      </w:r>
    </w:p>
    <w:p w14:paraId="22882F57" w14:textId="77777777" w:rsidR="002B32A0" w:rsidRPr="00CE1D7F" w:rsidRDefault="002B32A0" w:rsidP="00587F3E">
      <w:pPr>
        <w:pStyle w:val="ListBullet"/>
      </w:pPr>
      <w:r w:rsidRPr="00CE1D7F">
        <w:t>When women use the law as a response to DFV and how this use changes over time</w:t>
      </w:r>
      <w:r>
        <w:t>.</w:t>
      </w:r>
    </w:p>
    <w:p w14:paraId="5D8CEBE1" w14:textId="77777777" w:rsidR="002B32A0" w:rsidRPr="00CE1D7F" w:rsidRDefault="002B32A0" w:rsidP="00587F3E">
      <w:pPr>
        <w:pStyle w:val="ListBullet"/>
      </w:pPr>
      <w:r w:rsidRPr="00CE1D7F">
        <w:t>Factors influencing women’s choice of certain legal interventions and how these change over time</w:t>
      </w:r>
      <w:r>
        <w:t>.</w:t>
      </w:r>
    </w:p>
    <w:p w14:paraId="0241F753" w14:textId="77777777" w:rsidR="002B32A0" w:rsidRPr="00CE1D7F" w:rsidRDefault="002B32A0" w:rsidP="00587F3E">
      <w:pPr>
        <w:pStyle w:val="ListBullet"/>
      </w:pPr>
      <w:r w:rsidRPr="00CE1D7F">
        <w:t>The unintended consequences of engaging with the law, whether these change over time and for what reasons</w:t>
      </w:r>
      <w:r>
        <w:t>.</w:t>
      </w:r>
    </w:p>
    <w:p w14:paraId="37B9E3CD" w14:textId="77777777" w:rsidR="002B32A0" w:rsidRPr="00CE1D7F" w:rsidRDefault="002B32A0" w:rsidP="00587F3E">
      <w:pPr>
        <w:pStyle w:val="ListBullet"/>
      </w:pPr>
      <w:r w:rsidRPr="00CE1D7F">
        <w:t>Factors impacting women’s changing levels of satisfaction with legal interventions over time.</w:t>
      </w:r>
    </w:p>
    <w:p w14:paraId="7164EF3C" w14:textId="6C9247D9" w:rsidR="002B32A0" w:rsidRPr="00CE1D7F" w:rsidRDefault="002B32A0" w:rsidP="002B32A0">
      <w:pPr>
        <w:pStyle w:val="BodyText"/>
      </w:pPr>
      <w:r w:rsidRPr="00CE1D7F">
        <w:t xml:space="preserve">The research ultimately aimed to inform community education and policy and legal reform to improve the efficacy of DFV laws and reduce the physical, social and economic harm caused by DFV. A key outcome of this work (discussed further in </w:t>
      </w:r>
      <w:r>
        <w:t>section </w:t>
      </w:r>
      <w:r w:rsidRPr="00F87D0E">
        <w:fldChar w:fldCharType="begin"/>
      </w:r>
      <w:r w:rsidRPr="00F87D0E">
        <w:instrText xml:space="preserve"> REF _Ref125990095 \r \h  \* MERGEFORMAT </w:instrText>
      </w:r>
      <w:r w:rsidRPr="00F87D0E">
        <w:fldChar w:fldCharType="separate"/>
      </w:r>
      <w:r w:rsidR="000B0AC7">
        <w:t>11.7</w:t>
      </w:r>
      <w:r w:rsidRPr="00F87D0E">
        <w:fldChar w:fldCharType="end"/>
      </w:r>
      <w:r w:rsidRPr="00CE1D7F">
        <w:t>) was the introduction of NFS laws in Queensland in 2016.</w:t>
      </w:r>
    </w:p>
    <w:p w14:paraId="483AD7BE" w14:textId="77777777" w:rsidR="002B32A0" w:rsidRPr="00CE1D7F" w:rsidRDefault="002B32A0" w:rsidP="002B32A0">
      <w:pPr>
        <w:pStyle w:val="BodyText"/>
      </w:pPr>
      <w:r w:rsidRPr="00CE1D7F">
        <w:t xml:space="preserve">The Future Fellowship grant and introduction of NFS laws led Prof Douglas to conduct further research through another </w:t>
      </w:r>
      <w:r w:rsidRPr="00CE1D7F">
        <w:rPr>
          <w:i/>
          <w:iCs/>
        </w:rPr>
        <w:t>Discovery Project – The non-fatal strangulation offence as a response to domestic violence</w:t>
      </w:r>
      <w:r w:rsidRPr="00CE1D7F">
        <w:t xml:space="preserve"> (2020023). </w:t>
      </w:r>
    </w:p>
    <w:p w14:paraId="1473731C" w14:textId="77777777" w:rsidR="002B32A0" w:rsidRPr="00CE1D7F" w:rsidRDefault="002B32A0" w:rsidP="002B32A0">
      <w:pPr>
        <w:pStyle w:val="BodyText"/>
      </w:pPr>
      <w:r w:rsidRPr="00CE1D7F">
        <w:t xml:space="preserve">This project reviews the application and experience of the NFS </w:t>
      </w:r>
      <w:r>
        <w:t>law</w:t>
      </w:r>
      <w:r w:rsidRPr="00CE1D7F">
        <w:t xml:space="preserve"> in practice. The outcomes are expected to include law reform and policy recommendations to improve the operation of</w:t>
      </w:r>
      <w:r>
        <w:t xml:space="preserve"> the NFS law</w:t>
      </w:r>
      <w:r w:rsidRPr="00CE1D7F">
        <w:t>, enhance service responses and develop professional education. The grant objectives focus on: the prevalence of NFS charges, prosecution and outcomes for the new offence in Queensland; understanding how criminal justice actors build the prosecution case, approach defence, and sentence cases; understanding how victims, perpetrators and service providers view the offence; and developing new theories for understanding the nature of NFS and its construction through criminal law, the role of discretion in responding to DFV, and the processes and impacts of law reform.</w:t>
      </w:r>
    </w:p>
    <w:p w14:paraId="2C13BFE8" w14:textId="77777777" w:rsidR="002B32A0" w:rsidRPr="00CE1D7F" w:rsidRDefault="002B32A0" w:rsidP="002B32A0">
      <w:pPr>
        <w:pStyle w:val="BodyText"/>
        <w:rPr>
          <w:rStyle w:val="CaptionLabel"/>
          <w:b w:val="0"/>
          <w:bCs/>
        </w:rPr>
      </w:pPr>
      <w:r w:rsidRPr="00CE1D7F">
        <w:t xml:space="preserve">Prof Douglas was part of a consortium of researchers recently awarded the </w:t>
      </w:r>
      <w:r w:rsidRPr="00CE1D7F">
        <w:rPr>
          <w:i/>
          <w:iCs/>
        </w:rPr>
        <w:t>ARC Centre of Excellence for the Elimination of Violence Against Women</w:t>
      </w:r>
      <w:r w:rsidRPr="00CE1D7F">
        <w:t xml:space="preserve">. This will enable continued research on the role of </w:t>
      </w:r>
      <w:r w:rsidRPr="00CE1D7F">
        <w:rPr>
          <w:rStyle w:val="CaptionLabel"/>
          <w:b w:val="0"/>
          <w:bCs/>
        </w:rPr>
        <w:t>law as a response to DFV.</w:t>
      </w:r>
    </w:p>
    <w:p w14:paraId="0CB5ECBE" w14:textId="77777777" w:rsidR="002B32A0" w:rsidRPr="00CE1D7F" w:rsidRDefault="002B32A0" w:rsidP="002B32A0">
      <w:pPr>
        <w:pStyle w:val="BodyText"/>
        <w:rPr>
          <w:rStyle w:val="CaptionLabel"/>
          <w:b w:val="0"/>
          <w:bCs/>
        </w:rPr>
      </w:pPr>
      <w:r w:rsidRPr="00CE1D7F">
        <w:rPr>
          <w:rStyle w:val="CaptionLabel"/>
          <w:b w:val="0"/>
          <w:bCs/>
        </w:rPr>
        <w:t xml:space="preserve">Prof Douglas was also a chief investigator on a project led by Dr Nicole Watson, </w:t>
      </w:r>
      <w:r w:rsidRPr="00CE1D7F">
        <w:rPr>
          <w:rStyle w:val="CaptionLabel"/>
          <w:b w:val="0"/>
          <w:bCs/>
          <w:i/>
          <w:iCs/>
        </w:rPr>
        <w:t>Discovery Indigenous –</w:t>
      </w:r>
      <w:r w:rsidRPr="00CE1D7F">
        <w:rPr>
          <w:rStyle w:val="CaptionLabel"/>
          <w:b w:val="0"/>
          <w:bCs/>
        </w:rPr>
        <w:t xml:space="preserve"> </w:t>
      </w:r>
      <w:r w:rsidRPr="00CE1D7F">
        <w:rPr>
          <w:rStyle w:val="CaptionLabel"/>
          <w:b w:val="0"/>
          <w:bCs/>
          <w:i/>
          <w:iCs/>
        </w:rPr>
        <w:t>Bringing Indigenous voices into judicial decision-making</w:t>
      </w:r>
      <w:r w:rsidRPr="00CE1D7F">
        <w:rPr>
          <w:rStyle w:val="CaptionLabel"/>
          <w:b w:val="0"/>
          <w:bCs/>
        </w:rPr>
        <w:t xml:space="preserve"> (2018-22). The project focused on </w:t>
      </w:r>
      <w:r w:rsidRPr="00CE1D7F">
        <w:t xml:space="preserve">how judges’ decisions can be written to include Indigenous peoples’ voices and histories. </w:t>
      </w:r>
      <w:r w:rsidRPr="00CE1D7F">
        <w:rPr>
          <w:rStyle w:val="CaptionLabel"/>
          <w:b w:val="0"/>
          <w:bCs/>
        </w:rPr>
        <w:t>In this research, Prof Douglas worked</w:t>
      </w:r>
      <w:r w:rsidRPr="00CE1D7F">
        <w:t xml:space="preserve"> with Dr Watson to manage workshops with contributors, co-edit the collection of re-written judgments and co-author an introduction to the collection. Prof Douglas has also been involved in at least 3 presentations explaining the collection's role in reshaping legal education.</w:t>
      </w:r>
    </w:p>
    <w:p w14:paraId="56E1E2A9" w14:textId="7039173A" w:rsidR="000B0AC7" w:rsidRPr="00CE1D7F" w:rsidRDefault="000B0AC7" w:rsidP="000B0AC7">
      <w:pPr>
        <w:pStyle w:val="Caption"/>
        <w:ind w:left="-535" w:hanging="1308"/>
        <w:rPr>
          <w:rStyle w:val="CaptionLabel"/>
          <w:b w:val="0"/>
          <w:bCs/>
        </w:rPr>
      </w:pPr>
      <w:bookmarkStart w:id="493" w:name="_Ref129335052"/>
      <w:r w:rsidRPr="00CE1D7F">
        <w:rPr>
          <w:rStyle w:val="CaptionLabel"/>
        </w:rPr>
        <w:t>Figure </w:t>
      </w:r>
      <w:r w:rsidRPr="00CE1D7F">
        <w:rPr>
          <w:rStyle w:val="CaptionLabel"/>
        </w:rPr>
        <w:fldChar w:fldCharType="begin"/>
      </w:r>
      <w:r w:rsidRPr="00CE1D7F">
        <w:rPr>
          <w:rStyle w:val="CaptionLabel"/>
        </w:rPr>
        <w:instrText xml:space="preserve"> STYLEREF 1 \S \* MERGEFORMAT </w:instrText>
      </w:r>
      <w:r w:rsidRPr="00CE1D7F">
        <w:rPr>
          <w:rStyle w:val="CaptionLabel"/>
        </w:rPr>
        <w:fldChar w:fldCharType="separate"/>
      </w:r>
      <w:r>
        <w:rPr>
          <w:rStyle w:val="CaptionLabel"/>
          <w:noProof/>
        </w:rPr>
        <w:t>11</w:t>
      </w:r>
      <w:r w:rsidRPr="00CE1D7F">
        <w:rPr>
          <w:rStyle w:val="CaptionLabel"/>
        </w:rPr>
        <w:fldChar w:fldCharType="end"/>
      </w:r>
      <w:r w:rsidRPr="00CE1D7F">
        <w:rPr>
          <w:rStyle w:val="CaptionLabel"/>
        </w:rPr>
        <w:t>.</w:t>
      </w:r>
      <w:r w:rsidRPr="00CE1D7F">
        <w:rPr>
          <w:rStyle w:val="CaptionLabel"/>
        </w:rPr>
        <w:fldChar w:fldCharType="begin"/>
      </w:r>
      <w:r w:rsidRPr="00CE1D7F">
        <w:rPr>
          <w:rStyle w:val="CaptionLabel"/>
        </w:rPr>
        <w:instrText xml:space="preserve"> SEQ Figure \* ARABIC \S 1 \* MERGEFORMAT </w:instrText>
      </w:r>
      <w:r w:rsidRPr="00CE1D7F">
        <w:rPr>
          <w:rStyle w:val="CaptionLabel"/>
        </w:rPr>
        <w:fldChar w:fldCharType="separate"/>
      </w:r>
      <w:r>
        <w:rPr>
          <w:rStyle w:val="CaptionLabel"/>
          <w:noProof/>
        </w:rPr>
        <w:t>2</w:t>
      </w:r>
      <w:r w:rsidRPr="00CE1D7F">
        <w:rPr>
          <w:rStyle w:val="CaptionLabel"/>
        </w:rPr>
        <w:fldChar w:fldCharType="end"/>
      </w:r>
      <w:bookmarkEnd w:id="493"/>
      <w:r w:rsidRPr="00CE1D7F">
        <w:rPr>
          <w:rStyle w:val="CaptionLabel"/>
          <w:b w:val="0"/>
          <w:bCs/>
        </w:rPr>
        <w:tab/>
        <w:t xml:space="preserve">Overview of the suite of research </w:t>
      </w:r>
    </w:p>
    <w:tbl>
      <w:tblPr>
        <w:tblStyle w:val="aacTableFigure-Wide"/>
        <w:tblW w:w="6161" w:type="pct"/>
        <w:tblBorders>
          <w:top w:val="single" w:sz="4" w:space="0" w:color="000000"/>
          <w:bottom w:val="single" w:sz="4" w:space="0" w:color="000000"/>
        </w:tblBorders>
        <w:tblLook w:val="04A0" w:firstRow="1" w:lastRow="0" w:firstColumn="1" w:lastColumn="0" w:noHBand="0" w:noVBand="1"/>
      </w:tblPr>
      <w:tblGrid>
        <w:gridCol w:w="9885"/>
      </w:tblGrid>
      <w:tr w:rsidR="002B32A0" w:rsidRPr="00CE1D7F" w14:paraId="4BD9DDA4" w14:textId="77777777" w:rsidTr="000B0AC7">
        <w:tc>
          <w:tcPr>
            <w:tcW w:w="5000" w:type="pct"/>
            <w:shd w:val="clear" w:color="auto" w:fill="auto"/>
          </w:tcPr>
          <w:p w14:paraId="2613420E" w14:textId="77777777" w:rsidR="002B32A0" w:rsidRPr="00CE1D7F" w:rsidRDefault="002B32A0" w:rsidP="006258ED">
            <w:pPr>
              <w:pStyle w:val="Figure"/>
              <w:rPr>
                <w:rStyle w:val="CaptionLabel"/>
                <w:b w:val="0"/>
                <w:bCs/>
              </w:rPr>
            </w:pPr>
            <w:r w:rsidRPr="00CE1D7F">
              <w:rPr>
                <w:rStyle w:val="CaptionLabel"/>
                <w:b w:val="0"/>
                <w:bCs/>
                <w:noProof/>
              </w:rPr>
              <w:drawing>
                <wp:inline distT="0" distB="0" distL="0" distR="0" wp14:anchorId="07457AF0" wp14:editId="0F8A0A14">
                  <wp:extent cx="6276975" cy="5736129"/>
                  <wp:effectExtent l="0" t="0" r="0" b="0"/>
                  <wp:docPr id="676" name="Picture 676" descr="Overview of the suite of re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 name="Picture 676" descr="Overview of the suite of research"/>
                          <pic:cNvPicPr>
                            <a:picLocks noChangeAspect="1" noChangeArrowheads="1"/>
                          </pic:cNvPicPr>
                        </pic:nvPicPr>
                        <pic:blipFill rotWithShape="1">
                          <a:blip r:embed="rId209" cstate="print">
                            <a:extLst>
                              <a:ext uri="{28A0092B-C50C-407E-A947-70E740481C1C}">
                                <a14:useLocalDpi xmlns:a14="http://schemas.microsoft.com/office/drawing/2010/main" val="0"/>
                              </a:ext>
                            </a:extLst>
                          </a:blip>
                          <a:srcRect/>
                          <a:stretch/>
                        </pic:blipFill>
                        <pic:spPr bwMode="auto">
                          <a:xfrm>
                            <a:off x="0" y="0"/>
                            <a:ext cx="6283540" cy="5742128"/>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9885BD4" w14:textId="77777777" w:rsidR="000B0AC7" w:rsidRPr="00CE1D7F" w:rsidRDefault="000B0AC7" w:rsidP="000B0AC7">
      <w:pPr>
        <w:pStyle w:val="Source"/>
        <w:ind w:left="-535" w:hanging="1308"/>
        <w:rPr>
          <w:rStyle w:val="CaptionLabel"/>
          <w:b w:val="0"/>
          <w:bCs/>
        </w:rPr>
      </w:pPr>
      <w:r w:rsidRPr="00CE1D7F">
        <w:rPr>
          <w:rStyle w:val="CaptionLabel"/>
          <w:b w:val="0"/>
          <w:bCs/>
        </w:rPr>
        <w:t>Source: ACIL Allen, various sources</w:t>
      </w:r>
    </w:p>
    <w:p w14:paraId="3F37B426" w14:textId="77777777" w:rsidR="000B0AC7" w:rsidRPr="00CE1D7F" w:rsidRDefault="000B0AC7" w:rsidP="006258ED">
      <w:pPr>
        <w:pStyle w:val="spacer"/>
        <w:rPr>
          <w:rStyle w:val="CaptionLabel"/>
          <w:b w:val="0"/>
          <w:bCs/>
        </w:rPr>
      </w:pPr>
    </w:p>
    <w:p w14:paraId="26BE2FF7" w14:textId="77777777" w:rsidR="002B32A0" w:rsidRPr="00CE1D7F" w:rsidRDefault="002B32A0" w:rsidP="002B32A0">
      <w:pPr>
        <w:pStyle w:val="Heading2"/>
      </w:pPr>
      <w:bookmarkStart w:id="494" w:name="_Ref125983625"/>
      <w:bookmarkStart w:id="495" w:name="_Toc129963977"/>
      <w:bookmarkStart w:id="496" w:name="_Toc131174616"/>
      <w:bookmarkStart w:id="497" w:name="_Toc132970707"/>
      <w:bookmarkStart w:id="498" w:name="_Toc135323746"/>
      <w:r w:rsidRPr="00CE1D7F">
        <w:t>Inputs</w:t>
      </w:r>
      <w:bookmarkEnd w:id="494"/>
      <w:bookmarkEnd w:id="495"/>
      <w:bookmarkEnd w:id="496"/>
      <w:bookmarkEnd w:id="497"/>
      <w:bookmarkEnd w:id="498"/>
      <w:r w:rsidRPr="00CE1D7F">
        <w:t xml:space="preserve"> </w:t>
      </w:r>
    </w:p>
    <w:p w14:paraId="6942E3FB" w14:textId="325ABECC" w:rsidR="002B32A0" w:rsidRPr="00CE1D7F" w:rsidRDefault="002B32A0" w:rsidP="002B32A0">
      <w:pPr>
        <w:pStyle w:val="BodyText"/>
      </w:pPr>
      <w:r w:rsidRPr="00CE1D7F">
        <w:t>ARC and other institutions (including the University of Queensland (UQ), University of Sydney (USYD), University of Kent (United Kingdom), Australasian Institute of Judicial Administration (AIJA), National Judicial Council (NJC) and the Commonwealth Bank) provided $3.4</w:t>
      </w:r>
      <w:r>
        <w:t> million</w:t>
      </w:r>
      <w:r w:rsidRPr="00CE1D7F">
        <w:t xml:space="preserve"> in cash contributions for these projects (see </w:t>
      </w:r>
      <w:r w:rsidRPr="00F87D0E">
        <w:fldChar w:fldCharType="begin"/>
      </w:r>
      <w:r w:rsidRPr="00F87D0E">
        <w:instrText xml:space="preserve"> REF _Ref129337200 \h  \* MERGEFORMAT </w:instrText>
      </w:r>
      <w:r w:rsidRPr="00F87D0E">
        <w:fldChar w:fldCharType="separate"/>
      </w:r>
      <w:r w:rsidR="000B0AC7" w:rsidRPr="000B0AC7">
        <w:t>Table 11.1</w:t>
      </w:r>
      <w:r w:rsidRPr="00F87D0E">
        <w:fldChar w:fldCharType="end"/>
      </w:r>
      <w:r w:rsidRPr="00CE1D7F">
        <w:t xml:space="preserve">). </w:t>
      </w:r>
      <w:bookmarkStart w:id="499" w:name="_Ref463531023"/>
    </w:p>
    <w:p w14:paraId="4630F870" w14:textId="77777777" w:rsidR="002B32A0" w:rsidRPr="00CE1D7F" w:rsidRDefault="002B32A0" w:rsidP="002B32A0">
      <w:pPr>
        <w:pStyle w:val="BodyText"/>
        <w:rPr>
          <w:lang w:val="en-US"/>
        </w:rPr>
      </w:pPr>
      <w:r w:rsidRPr="00CE1D7F">
        <w:rPr>
          <w:rStyle w:val="CaptionLabel"/>
          <w:b w:val="0"/>
          <w:bCs/>
        </w:rPr>
        <w:t>Prof Douglas did not rely on any existing research infrastructure, yet used librarian, technical and administrative support provided by UQ.</w:t>
      </w:r>
    </w:p>
    <w:p w14:paraId="5FB7BBE0" w14:textId="77777777" w:rsidR="002B32A0" w:rsidRPr="00CE1D7F" w:rsidRDefault="002B32A0" w:rsidP="002B32A0">
      <w:pPr>
        <w:pStyle w:val="BodyText"/>
      </w:pPr>
      <w:r w:rsidRPr="00CE1D7F">
        <w:t xml:space="preserve">The total value of </w:t>
      </w:r>
      <w:r w:rsidRPr="00CE1D7F">
        <w:rPr>
          <w:bCs/>
          <w:i/>
          <w:iCs/>
        </w:rPr>
        <w:t xml:space="preserve">Discovery Projects </w:t>
      </w:r>
      <w:r w:rsidRPr="00CE1D7F">
        <w:rPr>
          <w:i/>
          <w:iCs/>
        </w:rPr>
        <w:t>–</w:t>
      </w:r>
      <w:r w:rsidRPr="00CE1D7F">
        <w:rPr>
          <w:bCs/>
          <w:i/>
          <w:iCs/>
        </w:rPr>
        <w:t xml:space="preserve"> </w:t>
      </w:r>
      <w:r w:rsidRPr="00CE1D7F">
        <w:rPr>
          <w:i/>
          <w:iCs/>
        </w:rPr>
        <w:t>Australian feminist judgments project: jurisprudence as praxis</w:t>
      </w:r>
      <w:r w:rsidRPr="00CE1D7F">
        <w:t xml:space="preserve"> was $480,001 (cash). The ARC provided 35% of this funding (2012-14), 48% from UQ and 17% from the University of Kent (both 2012-15). Prof Douglas collaborated with the Australian Association of Women Judges and Women’s Legal Services Australia to deliver the project with Dr Francesca Bartlett, Dr Trish Luker, and Prof Rosemary Hunter.</w:t>
      </w:r>
    </w:p>
    <w:p w14:paraId="26AF5C64" w14:textId="77777777" w:rsidR="002B32A0" w:rsidRPr="00CE1D7F" w:rsidRDefault="002B32A0" w:rsidP="002B32A0">
      <w:pPr>
        <w:pStyle w:val="BodyText"/>
        <w:rPr>
          <w:rStyle w:val="CaptionLabel"/>
          <w:b w:val="0"/>
          <w:color w:val="auto"/>
        </w:rPr>
      </w:pPr>
      <w:r w:rsidRPr="00CE1D7F">
        <w:t xml:space="preserve">The total value of </w:t>
      </w:r>
      <w:r w:rsidRPr="00CE1D7F">
        <w:rPr>
          <w:i/>
          <w:iCs/>
        </w:rPr>
        <w:t>Future Fellowship – Using law and ending domestic violence: Women's voices</w:t>
      </w:r>
      <w:r w:rsidRPr="00CE1D7F">
        <w:t xml:space="preserve"> was $944,347 (cash and in-kind). 100% was provided by ARC (2014-18). Outputs from the Future Fellowship included collaborations with Associate Prof Paul Harpur, Associate Prof Robin Fitzgerald, Katherine Kerr, Associate Prof Bridget A Harris, Associate Prof Molly Dragiewicz, Emma Fell, Elizabeth Price, Dr Leah S Sharman, Dr Nicola Sheeran, Professor Genevieve Dingle and Laura Tarzia. </w:t>
      </w:r>
      <w:r w:rsidRPr="00CE1D7F">
        <w:br/>
      </w:r>
      <w:r w:rsidRPr="00CE1D7F">
        <w:rPr>
          <w:rStyle w:val="CaptionLabel"/>
          <w:b w:val="0"/>
          <w:bCs/>
        </w:rPr>
        <w:t xml:space="preserve">In-kind contributions were provided by </w:t>
      </w:r>
      <w:r w:rsidRPr="00CE1D7F">
        <w:t>DFV organisations</w:t>
      </w:r>
      <w:r w:rsidRPr="00CE1D7F">
        <w:rPr>
          <w:rStyle w:val="CaptionLabel"/>
          <w:b w:val="0"/>
          <w:bCs/>
        </w:rPr>
        <w:t xml:space="preserve">, including Domestic Violence Action Centre, Domestic Violence Assistance Program, Galang Place, Immigrant Women’s Support Service, Queensland Indigenous Family Violence Legal Service, Women’s House, Women’s Legal Service (Brisbane), Working Against Violence Support Service and WWILD Sexual Violence Prevention Association. </w:t>
      </w:r>
      <w:r w:rsidRPr="00CE1D7F">
        <w:t>In-kind contributions for these projects have not been quantified and are detailed below.</w:t>
      </w:r>
      <w:r w:rsidRPr="00CE1D7F">
        <w:rPr>
          <w:rStyle w:val="CaptionLabel"/>
          <w:b w:val="0"/>
          <w:bCs/>
        </w:rPr>
        <w:br/>
        <w:t xml:space="preserve">$533,975 was provided by the AIJA between 2015-2022 to fund the development of the DFV bench book. </w:t>
      </w:r>
      <w:r w:rsidRPr="00CE1D7F">
        <w:rPr>
          <w:rStyle w:val="CaptionLabel"/>
          <w:b w:val="0"/>
          <w:bCs/>
        </w:rPr>
        <w:br/>
      </w:r>
      <w:r w:rsidRPr="00CE1D7F">
        <w:rPr>
          <w:lang w:val="en-US"/>
        </w:rPr>
        <w:t>$30,000 was provided by the National Judicial Council (NJC) to develop training materials based on the bench book in 2017.</w:t>
      </w:r>
    </w:p>
    <w:p w14:paraId="30781DE7" w14:textId="77777777" w:rsidR="002B32A0" w:rsidRPr="00CE1D7F" w:rsidRDefault="002B32A0" w:rsidP="002B32A0">
      <w:pPr>
        <w:pStyle w:val="BodyText"/>
      </w:pPr>
      <w:r w:rsidRPr="00CE1D7F">
        <w:t xml:space="preserve">The total value of </w:t>
      </w:r>
      <w:r w:rsidRPr="00CE1D7F">
        <w:rPr>
          <w:i/>
          <w:iCs/>
        </w:rPr>
        <w:t>Discovery Indigenous – Bringing Indigenous voices into judicial decision-making</w:t>
      </w:r>
      <w:r w:rsidRPr="00CE1D7F">
        <w:t xml:space="preserve"> was $1,226,640 (cash and in-kind) (2018-22). 55% was provided by ARC, 10% from ANU, 14% from UQ and 21% from USYD. This project was led by Dr Nicole Watson from USYD and conducted together with Prof Asmi Wood.</w:t>
      </w:r>
    </w:p>
    <w:p w14:paraId="0B1FFBE4" w14:textId="77777777" w:rsidR="002B32A0" w:rsidRPr="00CE1D7F" w:rsidRDefault="002B32A0" w:rsidP="002B32A0">
      <w:pPr>
        <w:pStyle w:val="BodyText"/>
      </w:pPr>
      <w:r w:rsidRPr="00CE1D7F">
        <w:t xml:space="preserve">The total value of </w:t>
      </w:r>
      <w:r w:rsidRPr="00CE1D7F">
        <w:rPr>
          <w:i/>
          <w:iCs/>
        </w:rPr>
        <w:t>Discovery Projects – The non-fatal strangulation offence as a response to domestic violence</w:t>
      </w:r>
      <w:r w:rsidRPr="00CE1D7F">
        <w:t xml:space="preserve"> was $683,229 (cash and in-kind). 52% was provided by ARC and 48% by UQ (2020-23). Prof Douglas is collaborating with Associate Prof Robin Fitzgerald to deliver this project. </w:t>
      </w:r>
    </w:p>
    <w:p w14:paraId="650F0C8D" w14:textId="4C103D97" w:rsidR="002B32A0" w:rsidRPr="00CE1D7F" w:rsidRDefault="002B32A0" w:rsidP="000B0AC7">
      <w:pPr>
        <w:pStyle w:val="Caption"/>
        <w:ind w:left="1154" w:hanging="1308"/>
        <w:rPr>
          <w:rStyle w:val="CaptionLabel"/>
          <w:b w:val="0"/>
          <w:bCs/>
        </w:rPr>
      </w:pPr>
      <w:bookmarkStart w:id="500" w:name="_Ref129337200"/>
      <w:r w:rsidRPr="00CE1D7F">
        <w:rPr>
          <w:rStyle w:val="CaptionLabel"/>
        </w:rPr>
        <w:t>Table </w:t>
      </w:r>
      <w:r w:rsidRPr="00CE1D7F">
        <w:rPr>
          <w:rStyle w:val="CaptionLabel"/>
        </w:rPr>
        <w:fldChar w:fldCharType="begin"/>
      </w:r>
      <w:r w:rsidRPr="00CE1D7F">
        <w:rPr>
          <w:rStyle w:val="CaptionLabel"/>
        </w:rPr>
        <w:instrText xml:space="preserve"> STYLEREF 1 \S \* MERGEFORMAT </w:instrText>
      </w:r>
      <w:r w:rsidRPr="00CE1D7F">
        <w:rPr>
          <w:rStyle w:val="CaptionLabel"/>
        </w:rPr>
        <w:fldChar w:fldCharType="separate"/>
      </w:r>
      <w:r w:rsidR="000B0AC7">
        <w:rPr>
          <w:rStyle w:val="CaptionLabel"/>
          <w:noProof/>
        </w:rPr>
        <w:t>11</w:t>
      </w:r>
      <w:r w:rsidRPr="00CE1D7F">
        <w:rPr>
          <w:rStyle w:val="CaptionLabel"/>
        </w:rPr>
        <w:fldChar w:fldCharType="end"/>
      </w:r>
      <w:r w:rsidRPr="00CE1D7F">
        <w:rPr>
          <w:rStyle w:val="CaptionLabel"/>
        </w:rPr>
        <w:t>.</w:t>
      </w:r>
      <w:r w:rsidRPr="00CE1D7F">
        <w:rPr>
          <w:rStyle w:val="CaptionLabel"/>
        </w:rPr>
        <w:fldChar w:fldCharType="begin"/>
      </w:r>
      <w:r w:rsidRPr="00CE1D7F">
        <w:rPr>
          <w:rStyle w:val="CaptionLabel"/>
        </w:rPr>
        <w:instrText xml:space="preserve"> SEQ Table \* ARABIC \S 1 \* MERGEFORMAT </w:instrText>
      </w:r>
      <w:r w:rsidRPr="00CE1D7F">
        <w:rPr>
          <w:rStyle w:val="CaptionLabel"/>
        </w:rPr>
        <w:fldChar w:fldCharType="separate"/>
      </w:r>
      <w:r w:rsidR="000B0AC7">
        <w:rPr>
          <w:rStyle w:val="CaptionLabel"/>
          <w:noProof/>
        </w:rPr>
        <w:t>1</w:t>
      </w:r>
      <w:r w:rsidRPr="00CE1D7F">
        <w:rPr>
          <w:rStyle w:val="CaptionLabel"/>
        </w:rPr>
        <w:fldChar w:fldCharType="end"/>
      </w:r>
      <w:bookmarkEnd w:id="500"/>
      <w:r w:rsidRPr="00CE1D7F">
        <w:rPr>
          <w:rStyle w:val="CaptionLabel"/>
          <w:b w:val="0"/>
          <w:bCs/>
        </w:rPr>
        <w:tab/>
        <w:t>Cash and in-kind contributions for the project</w:t>
      </w:r>
    </w:p>
    <w:tbl>
      <w:tblPr>
        <w:tblStyle w:val="aacTableBasic"/>
        <w:tblW w:w="5188" w:type="pct"/>
        <w:tblInd w:w="-154" w:type="dxa"/>
        <w:tblLook w:val="04A0" w:firstRow="1" w:lastRow="0" w:firstColumn="1" w:lastColumn="0" w:noHBand="0" w:noVBand="1"/>
        <w:tblCaption w:val="Table 11.1"/>
        <w:tblDescription w:val="Cash and in-kind contributions for the project"/>
      </w:tblPr>
      <w:tblGrid>
        <w:gridCol w:w="2440"/>
        <w:gridCol w:w="19"/>
        <w:gridCol w:w="25"/>
        <w:gridCol w:w="19"/>
        <w:gridCol w:w="872"/>
        <w:gridCol w:w="41"/>
        <w:gridCol w:w="22"/>
        <w:gridCol w:w="20"/>
        <w:gridCol w:w="1025"/>
        <w:gridCol w:w="54"/>
        <w:gridCol w:w="12"/>
        <w:gridCol w:w="17"/>
        <w:gridCol w:w="9"/>
        <w:gridCol w:w="997"/>
        <w:gridCol w:w="81"/>
        <w:gridCol w:w="23"/>
        <w:gridCol w:w="9"/>
        <w:gridCol w:w="860"/>
        <w:gridCol w:w="155"/>
        <w:gridCol w:w="44"/>
        <w:gridCol w:w="21"/>
        <w:gridCol w:w="9"/>
        <w:gridCol w:w="15"/>
        <w:gridCol w:w="23"/>
        <w:gridCol w:w="26"/>
        <w:gridCol w:w="1319"/>
        <w:gridCol w:w="44"/>
        <w:gridCol w:w="10"/>
        <w:gridCol w:w="23"/>
      </w:tblGrid>
      <w:tr w:rsidR="000B0AC7" w:rsidRPr="00CE1D7F" w14:paraId="0643360F" w14:textId="77777777" w:rsidTr="000B0AC7">
        <w:trPr>
          <w:gridAfter w:val="3"/>
          <w:cnfStyle w:val="100000000000" w:firstRow="1" w:lastRow="0" w:firstColumn="0" w:lastColumn="0" w:oddVBand="0" w:evenVBand="0" w:oddHBand="0" w:evenHBand="0" w:firstRowFirstColumn="0" w:firstRowLastColumn="0" w:lastRowFirstColumn="0" w:lastRowLastColumn="0"/>
          <w:wAfter w:w="46" w:type="pct"/>
        </w:trPr>
        <w:tc>
          <w:tcPr>
            <w:tcW w:w="1482" w:type="pct"/>
            <w:tcBorders>
              <w:top w:val="nil"/>
            </w:tcBorders>
            <w:shd w:val="solid" w:color="140034" w:fill="140034"/>
            <w:tcMar>
              <w:left w:w="80" w:type="dxa"/>
            </w:tcMar>
          </w:tcPr>
          <w:p w14:paraId="0D617C4E" w14:textId="77777777" w:rsidR="002B32A0" w:rsidRPr="00CE1D7F" w:rsidRDefault="002B32A0" w:rsidP="006258ED">
            <w:pPr>
              <w:pStyle w:val="Tablecolumnheadings"/>
              <w:keepLines/>
              <w:rPr>
                <w:rStyle w:val="CaptionLabel"/>
                <w:b/>
                <w:bCs/>
              </w:rPr>
            </w:pPr>
            <w:bookmarkStart w:id="501" w:name="_Hlk127518826"/>
            <w:r w:rsidRPr="00CE1D7F">
              <w:t>Contributor / Type of support</w:t>
            </w:r>
          </w:p>
        </w:tc>
        <w:tc>
          <w:tcPr>
            <w:tcW w:w="568" w:type="pct"/>
            <w:gridSpan w:val="4"/>
            <w:tcBorders>
              <w:top w:val="nil"/>
            </w:tcBorders>
            <w:shd w:val="solid" w:color="140034" w:fill="140034"/>
          </w:tcPr>
          <w:p w14:paraId="6FEA7235" w14:textId="77777777" w:rsidR="002B32A0" w:rsidRPr="00CE1D7F" w:rsidRDefault="002B32A0" w:rsidP="006258ED">
            <w:pPr>
              <w:pStyle w:val="Tablecolumnheadings"/>
              <w:keepLines/>
              <w:rPr>
                <w:rStyle w:val="CaptionLabel"/>
                <w:b/>
                <w:bCs/>
              </w:rPr>
            </w:pPr>
            <w:r w:rsidRPr="00CE1D7F">
              <w:t>2012-2014</w:t>
            </w:r>
          </w:p>
        </w:tc>
        <w:tc>
          <w:tcPr>
            <w:tcW w:w="673" w:type="pct"/>
            <w:gridSpan w:val="4"/>
            <w:tcBorders>
              <w:top w:val="nil"/>
            </w:tcBorders>
            <w:shd w:val="solid" w:color="140034" w:fill="140034"/>
          </w:tcPr>
          <w:p w14:paraId="102C4C19" w14:textId="77777777" w:rsidR="002B32A0" w:rsidRPr="00CE1D7F" w:rsidRDefault="002B32A0" w:rsidP="006258ED">
            <w:pPr>
              <w:pStyle w:val="Tablecolumnheadings"/>
              <w:keepLines/>
              <w:rPr>
                <w:rStyle w:val="CaptionLabel"/>
                <w:b/>
                <w:bCs/>
              </w:rPr>
            </w:pPr>
            <w:r w:rsidRPr="00CE1D7F">
              <w:t>2015-2017</w:t>
            </w:r>
          </w:p>
        </w:tc>
        <w:tc>
          <w:tcPr>
            <w:tcW w:w="661" w:type="pct"/>
            <w:gridSpan w:val="5"/>
            <w:tcBorders>
              <w:top w:val="nil"/>
            </w:tcBorders>
            <w:shd w:val="solid" w:color="140034" w:fill="140034"/>
          </w:tcPr>
          <w:p w14:paraId="0E7023D7" w14:textId="77777777" w:rsidR="002B32A0" w:rsidRPr="00CE1D7F" w:rsidRDefault="002B32A0" w:rsidP="006258ED">
            <w:pPr>
              <w:pStyle w:val="Tablecolumnheadings"/>
              <w:keepLines/>
              <w:rPr>
                <w:rStyle w:val="CaptionLabel"/>
                <w:b/>
                <w:bCs/>
              </w:rPr>
            </w:pPr>
            <w:r w:rsidRPr="00CE1D7F">
              <w:t>2018-2020</w:t>
            </w:r>
          </w:p>
        </w:tc>
        <w:tc>
          <w:tcPr>
            <w:tcW w:w="591" w:type="pct"/>
            <w:gridSpan w:val="4"/>
            <w:tcBorders>
              <w:top w:val="nil"/>
            </w:tcBorders>
            <w:shd w:val="solid" w:color="140034" w:fill="140034"/>
          </w:tcPr>
          <w:p w14:paraId="7F1BB0E4" w14:textId="77777777" w:rsidR="002B32A0" w:rsidRPr="00CE1D7F" w:rsidRDefault="002B32A0" w:rsidP="006258ED">
            <w:pPr>
              <w:pStyle w:val="Tablecolumnheadings"/>
              <w:keepLines/>
              <w:rPr>
                <w:rStyle w:val="CaptionLabel"/>
                <w:b/>
                <w:bCs/>
              </w:rPr>
            </w:pPr>
            <w:r w:rsidRPr="00CE1D7F">
              <w:t>2021-2023</w:t>
            </w:r>
          </w:p>
        </w:tc>
        <w:tc>
          <w:tcPr>
            <w:tcW w:w="978" w:type="pct"/>
            <w:gridSpan w:val="8"/>
            <w:tcBorders>
              <w:top w:val="nil"/>
            </w:tcBorders>
            <w:shd w:val="solid" w:color="140034" w:fill="140034"/>
          </w:tcPr>
          <w:p w14:paraId="645E0719" w14:textId="77777777" w:rsidR="002B32A0" w:rsidRPr="00CE1D7F" w:rsidRDefault="002B32A0" w:rsidP="006258ED">
            <w:pPr>
              <w:pStyle w:val="Tablecolumnheadings"/>
              <w:keepLines/>
              <w:rPr>
                <w:rStyle w:val="CaptionLabel"/>
                <w:b/>
                <w:bCs/>
              </w:rPr>
            </w:pPr>
            <w:r w:rsidRPr="00CE1D7F">
              <w:t>Total Contributions</w:t>
            </w:r>
          </w:p>
        </w:tc>
      </w:tr>
      <w:tr w:rsidR="002B32A0" w:rsidRPr="00CE1D7F" w14:paraId="79B516B5" w14:textId="77777777" w:rsidTr="000B0AC7">
        <w:tc>
          <w:tcPr>
            <w:tcW w:w="5000" w:type="pct"/>
            <w:gridSpan w:val="29"/>
            <w:tcMar>
              <w:left w:w="80" w:type="dxa"/>
            </w:tcMar>
          </w:tcPr>
          <w:p w14:paraId="5B7D871C" w14:textId="77777777" w:rsidR="002B32A0" w:rsidRPr="00CE1D7F" w:rsidRDefault="002B32A0" w:rsidP="006258ED">
            <w:pPr>
              <w:pStyle w:val="Tabletext"/>
              <w:keepNext/>
              <w:keepLines/>
              <w:rPr>
                <w:rStyle w:val="CaptionLabel"/>
              </w:rPr>
            </w:pPr>
            <w:r w:rsidRPr="00CE1D7F">
              <w:rPr>
                <w:rStyle w:val="CaptionLabel"/>
              </w:rPr>
              <w:t>Cash</w:t>
            </w:r>
          </w:p>
        </w:tc>
      </w:tr>
      <w:tr w:rsidR="002B32A0" w:rsidRPr="00CE1D7F" w14:paraId="18242DD2" w14:textId="77777777" w:rsidTr="000B0AC7">
        <w:tc>
          <w:tcPr>
            <w:tcW w:w="5000" w:type="pct"/>
            <w:gridSpan w:val="29"/>
            <w:tcMar>
              <w:left w:w="80" w:type="dxa"/>
            </w:tcMar>
          </w:tcPr>
          <w:p w14:paraId="33352048" w14:textId="77777777" w:rsidR="002B32A0" w:rsidRPr="00CE1D7F" w:rsidRDefault="002B32A0" w:rsidP="006258ED">
            <w:pPr>
              <w:pStyle w:val="Tabletext"/>
              <w:keepNext/>
              <w:keepLines/>
              <w:rPr>
                <w:rStyle w:val="CaptionLabel"/>
              </w:rPr>
            </w:pPr>
            <w:r w:rsidRPr="00CE1D7F">
              <w:rPr>
                <w:rStyle w:val="CaptionLabel"/>
              </w:rPr>
              <w:t>DP120102375 - Australian feminist judgments project: jurisprudence as praxis</w:t>
            </w:r>
          </w:p>
        </w:tc>
      </w:tr>
      <w:tr w:rsidR="000B0AC7" w:rsidRPr="00CE1D7F" w14:paraId="12458117" w14:textId="77777777" w:rsidTr="000B0AC7">
        <w:tc>
          <w:tcPr>
            <w:tcW w:w="1509" w:type="pct"/>
            <w:gridSpan w:val="3"/>
            <w:tcMar>
              <w:left w:w="80" w:type="dxa"/>
            </w:tcMar>
          </w:tcPr>
          <w:p w14:paraId="3EFE8597" w14:textId="77777777" w:rsidR="002B32A0" w:rsidRPr="00CE1D7F" w:rsidRDefault="002B32A0" w:rsidP="006258ED">
            <w:pPr>
              <w:pStyle w:val="Tabletext"/>
              <w:keepNext/>
              <w:keepLines/>
              <w:rPr>
                <w:rStyle w:val="CaptionLabel"/>
                <w:b w:val="0"/>
                <w:bCs/>
              </w:rPr>
            </w:pPr>
            <w:r w:rsidRPr="00CE1D7F">
              <w:rPr>
                <w:rStyle w:val="CaptionLabel"/>
                <w:b w:val="0"/>
                <w:bCs/>
              </w:rPr>
              <w:t>ARC</w:t>
            </w:r>
          </w:p>
        </w:tc>
        <w:tc>
          <w:tcPr>
            <w:tcW w:w="591" w:type="pct"/>
            <w:gridSpan w:val="5"/>
          </w:tcPr>
          <w:p w14:paraId="4557C374" w14:textId="77777777" w:rsidR="002B32A0" w:rsidRPr="00CE1D7F" w:rsidRDefault="002B32A0" w:rsidP="006258ED">
            <w:pPr>
              <w:pStyle w:val="Tabletext"/>
              <w:keepNext/>
              <w:keepLines/>
              <w:rPr>
                <w:rStyle w:val="CaptionLabel"/>
                <w:b w:val="0"/>
                <w:bCs/>
              </w:rPr>
            </w:pPr>
            <w:r w:rsidRPr="00CE1D7F">
              <w:rPr>
                <w:rStyle w:val="CaptionLabel"/>
                <w:b w:val="0"/>
                <w:bCs/>
              </w:rPr>
              <w:t>$170,000</w:t>
            </w:r>
          </w:p>
        </w:tc>
        <w:tc>
          <w:tcPr>
            <w:tcW w:w="678" w:type="pct"/>
            <w:gridSpan w:val="5"/>
          </w:tcPr>
          <w:p w14:paraId="52F20B90" w14:textId="77777777" w:rsidR="002B32A0" w:rsidRPr="00CE1D7F" w:rsidRDefault="002B32A0" w:rsidP="006258ED">
            <w:pPr>
              <w:pStyle w:val="Tabletext"/>
              <w:keepNext/>
              <w:keepLines/>
              <w:rPr>
                <w:rStyle w:val="CaptionLabel"/>
                <w:b w:val="0"/>
                <w:bCs/>
              </w:rPr>
            </w:pPr>
          </w:p>
        </w:tc>
        <w:tc>
          <w:tcPr>
            <w:tcW w:w="675" w:type="pct"/>
            <w:gridSpan w:val="4"/>
          </w:tcPr>
          <w:p w14:paraId="2AB265A9" w14:textId="77777777" w:rsidR="002B32A0" w:rsidRPr="00CE1D7F" w:rsidRDefault="002B32A0" w:rsidP="006258ED">
            <w:pPr>
              <w:pStyle w:val="Tabletext"/>
              <w:keepNext/>
              <w:keepLines/>
              <w:rPr>
                <w:rStyle w:val="CaptionLabel"/>
                <w:b w:val="0"/>
                <w:bCs/>
              </w:rPr>
            </w:pPr>
          </w:p>
        </w:tc>
        <w:tc>
          <w:tcPr>
            <w:tcW w:w="616" w:type="pct"/>
            <w:gridSpan w:val="2"/>
          </w:tcPr>
          <w:p w14:paraId="18F2CFC6" w14:textId="77777777" w:rsidR="002B32A0" w:rsidRPr="00CE1D7F" w:rsidRDefault="002B32A0" w:rsidP="006258ED">
            <w:pPr>
              <w:pStyle w:val="Tabletext"/>
              <w:keepNext/>
              <w:keepLines/>
              <w:rPr>
                <w:rStyle w:val="CaptionLabel"/>
                <w:b w:val="0"/>
                <w:bCs/>
              </w:rPr>
            </w:pPr>
          </w:p>
        </w:tc>
        <w:tc>
          <w:tcPr>
            <w:tcW w:w="932" w:type="pct"/>
            <w:gridSpan w:val="10"/>
          </w:tcPr>
          <w:p w14:paraId="3619AE6E" w14:textId="77777777" w:rsidR="002B32A0" w:rsidRPr="00CE1D7F" w:rsidRDefault="002B32A0" w:rsidP="006258ED">
            <w:pPr>
              <w:pStyle w:val="Tabletext"/>
              <w:keepNext/>
              <w:keepLines/>
              <w:rPr>
                <w:rStyle w:val="CaptionLabel"/>
                <w:b w:val="0"/>
                <w:bCs/>
              </w:rPr>
            </w:pPr>
            <w:r w:rsidRPr="00CE1D7F">
              <w:rPr>
                <w:rStyle w:val="CaptionLabel"/>
                <w:b w:val="0"/>
                <w:bCs/>
              </w:rPr>
              <w:t>$170,000</w:t>
            </w:r>
          </w:p>
        </w:tc>
      </w:tr>
      <w:tr w:rsidR="000B0AC7" w:rsidRPr="00CE1D7F" w14:paraId="1D87505F" w14:textId="77777777" w:rsidTr="000B0AC7">
        <w:tc>
          <w:tcPr>
            <w:tcW w:w="1509" w:type="pct"/>
            <w:gridSpan w:val="3"/>
            <w:tcMar>
              <w:left w:w="80" w:type="dxa"/>
            </w:tcMar>
          </w:tcPr>
          <w:p w14:paraId="0F75FBA4" w14:textId="77777777" w:rsidR="002B32A0" w:rsidRPr="00CE1D7F" w:rsidRDefault="002B32A0" w:rsidP="006258ED">
            <w:pPr>
              <w:pStyle w:val="Tabletext"/>
              <w:keepNext/>
              <w:keepLines/>
              <w:rPr>
                <w:rStyle w:val="CaptionLabel"/>
                <w:b w:val="0"/>
                <w:bCs/>
              </w:rPr>
            </w:pPr>
            <w:r w:rsidRPr="00CE1D7F">
              <w:rPr>
                <w:rStyle w:val="CaptionLabel"/>
                <w:b w:val="0"/>
                <w:bCs/>
              </w:rPr>
              <w:t>Academic partners (UQ, University of Kent)</w:t>
            </w:r>
          </w:p>
        </w:tc>
        <w:tc>
          <w:tcPr>
            <w:tcW w:w="591" w:type="pct"/>
            <w:gridSpan w:val="5"/>
          </w:tcPr>
          <w:p w14:paraId="3C438377" w14:textId="77777777" w:rsidR="002B32A0" w:rsidRPr="00CE1D7F" w:rsidRDefault="002B32A0" w:rsidP="006258ED">
            <w:pPr>
              <w:pStyle w:val="Tabletext"/>
              <w:keepNext/>
              <w:keepLines/>
              <w:rPr>
                <w:rStyle w:val="CaptionLabel"/>
                <w:b w:val="0"/>
                <w:bCs/>
              </w:rPr>
            </w:pPr>
            <w:r w:rsidRPr="00CE1D7F">
              <w:rPr>
                <w:rStyle w:val="CaptionLabel"/>
                <w:b w:val="0"/>
                <w:bCs/>
              </w:rPr>
              <w:t>$232,501</w:t>
            </w:r>
          </w:p>
        </w:tc>
        <w:tc>
          <w:tcPr>
            <w:tcW w:w="678" w:type="pct"/>
            <w:gridSpan w:val="5"/>
          </w:tcPr>
          <w:p w14:paraId="0517519D" w14:textId="77777777" w:rsidR="002B32A0" w:rsidRPr="00CE1D7F" w:rsidRDefault="002B32A0" w:rsidP="006258ED">
            <w:pPr>
              <w:pStyle w:val="Tabletext"/>
              <w:keepNext/>
              <w:keepLines/>
              <w:rPr>
                <w:rStyle w:val="CaptionLabel"/>
                <w:b w:val="0"/>
                <w:bCs/>
              </w:rPr>
            </w:pPr>
            <w:r w:rsidRPr="00CE1D7F">
              <w:rPr>
                <w:rStyle w:val="CaptionLabel"/>
                <w:b w:val="0"/>
                <w:bCs/>
              </w:rPr>
              <w:t>$77,500</w:t>
            </w:r>
          </w:p>
        </w:tc>
        <w:tc>
          <w:tcPr>
            <w:tcW w:w="675" w:type="pct"/>
            <w:gridSpan w:val="4"/>
          </w:tcPr>
          <w:p w14:paraId="6AA29E4B" w14:textId="77777777" w:rsidR="002B32A0" w:rsidRPr="00CE1D7F" w:rsidRDefault="002B32A0" w:rsidP="006258ED">
            <w:pPr>
              <w:pStyle w:val="Tabletext"/>
              <w:keepNext/>
              <w:keepLines/>
              <w:rPr>
                <w:rStyle w:val="CaptionLabel"/>
                <w:b w:val="0"/>
                <w:bCs/>
              </w:rPr>
            </w:pPr>
          </w:p>
        </w:tc>
        <w:tc>
          <w:tcPr>
            <w:tcW w:w="669" w:type="pct"/>
            <w:gridSpan w:val="6"/>
          </w:tcPr>
          <w:p w14:paraId="7B9F8E2A" w14:textId="77777777" w:rsidR="002B32A0" w:rsidRPr="00CE1D7F" w:rsidRDefault="002B32A0" w:rsidP="006258ED">
            <w:pPr>
              <w:pStyle w:val="Tabletext"/>
              <w:keepNext/>
              <w:keepLines/>
              <w:rPr>
                <w:rStyle w:val="CaptionLabel"/>
                <w:b w:val="0"/>
                <w:bCs/>
              </w:rPr>
            </w:pPr>
          </w:p>
        </w:tc>
        <w:tc>
          <w:tcPr>
            <w:tcW w:w="878" w:type="pct"/>
            <w:gridSpan w:val="6"/>
          </w:tcPr>
          <w:p w14:paraId="331DE92E" w14:textId="77777777" w:rsidR="002B32A0" w:rsidRPr="00CE1D7F" w:rsidRDefault="002B32A0" w:rsidP="006258ED">
            <w:pPr>
              <w:pStyle w:val="Tabletext"/>
              <w:keepNext/>
              <w:keepLines/>
              <w:rPr>
                <w:rStyle w:val="CaptionLabel"/>
                <w:b w:val="0"/>
                <w:bCs/>
              </w:rPr>
            </w:pPr>
            <w:r w:rsidRPr="00CE1D7F">
              <w:rPr>
                <w:rStyle w:val="CaptionLabel"/>
                <w:b w:val="0"/>
                <w:bCs/>
              </w:rPr>
              <w:t>$310,001</w:t>
            </w:r>
          </w:p>
        </w:tc>
      </w:tr>
      <w:tr w:rsidR="002B32A0" w:rsidRPr="00CE1D7F" w14:paraId="3A69EB92" w14:textId="77777777" w:rsidTr="000B0AC7">
        <w:tc>
          <w:tcPr>
            <w:tcW w:w="5000" w:type="pct"/>
            <w:gridSpan w:val="29"/>
            <w:tcMar>
              <w:left w:w="80" w:type="dxa"/>
            </w:tcMar>
          </w:tcPr>
          <w:p w14:paraId="6B230B00" w14:textId="77777777" w:rsidR="002B32A0" w:rsidRPr="00CE1D7F" w:rsidRDefault="002B32A0" w:rsidP="006258ED">
            <w:pPr>
              <w:pStyle w:val="Tabletext"/>
              <w:keepNext/>
              <w:keepLines/>
              <w:rPr>
                <w:rStyle w:val="CaptionLabel"/>
              </w:rPr>
            </w:pPr>
            <w:r w:rsidRPr="00CE1D7F">
              <w:rPr>
                <w:rStyle w:val="CaptionLabel"/>
              </w:rPr>
              <w:t>FT140100796 - Using law and ending domestic violence: Women's voices</w:t>
            </w:r>
          </w:p>
        </w:tc>
      </w:tr>
      <w:tr w:rsidR="000B0AC7" w:rsidRPr="00CE1D7F" w14:paraId="716CEEF8" w14:textId="77777777" w:rsidTr="000B0AC7">
        <w:tc>
          <w:tcPr>
            <w:tcW w:w="1509" w:type="pct"/>
            <w:gridSpan w:val="3"/>
            <w:tcMar>
              <w:left w:w="80" w:type="dxa"/>
            </w:tcMar>
          </w:tcPr>
          <w:p w14:paraId="0C7F2186" w14:textId="77777777" w:rsidR="002B32A0" w:rsidRPr="00CE1D7F" w:rsidRDefault="002B32A0" w:rsidP="006258ED">
            <w:pPr>
              <w:pStyle w:val="Tabletext"/>
              <w:keepNext/>
              <w:keepLines/>
              <w:rPr>
                <w:rStyle w:val="CaptionLabel"/>
                <w:b w:val="0"/>
                <w:bCs/>
              </w:rPr>
            </w:pPr>
            <w:r w:rsidRPr="00CE1D7F">
              <w:rPr>
                <w:rStyle w:val="CaptionLabel"/>
                <w:b w:val="0"/>
                <w:bCs/>
              </w:rPr>
              <w:t>ARC</w:t>
            </w:r>
          </w:p>
        </w:tc>
        <w:tc>
          <w:tcPr>
            <w:tcW w:w="591" w:type="pct"/>
            <w:gridSpan w:val="5"/>
          </w:tcPr>
          <w:p w14:paraId="0435D139" w14:textId="77777777" w:rsidR="002B32A0" w:rsidRPr="00CE1D7F" w:rsidRDefault="002B32A0" w:rsidP="006258ED">
            <w:pPr>
              <w:pStyle w:val="Tabletext"/>
              <w:keepNext/>
              <w:keepLines/>
              <w:rPr>
                <w:rStyle w:val="CaptionLabel"/>
                <w:b w:val="0"/>
                <w:bCs/>
              </w:rPr>
            </w:pPr>
            <w:r w:rsidRPr="00CE1D7F">
              <w:t xml:space="preserve">$125,211 </w:t>
            </w:r>
          </w:p>
        </w:tc>
        <w:tc>
          <w:tcPr>
            <w:tcW w:w="678" w:type="pct"/>
            <w:gridSpan w:val="5"/>
          </w:tcPr>
          <w:p w14:paraId="1FA82C62" w14:textId="77777777" w:rsidR="002B32A0" w:rsidRPr="00CE1D7F" w:rsidRDefault="002B32A0" w:rsidP="006258ED">
            <w:pPr>
              <w:pStyle w:val="Tabletext"/>
              <w:keepNext/>
              <w:keepLines/>
              <w:rPr>
                <w:rStyle w:val="CaptionLabel"/>
                <w:b w:val="0"/>
                <w:bCs/>
              </w:rPr>
            </w:pPr>
            <w:r w:rsidRPr="00CE1D7F">
              <w:t xml:space="preserve">$712,876 </w:t>
            </w:r>
          </w:p>
        </w:tc>
        <w:tc>
          <w:tcPr>
            <w:tcW w:w="675" w:type="pct"/>
            <w:gridSpan w:val="4"/>
          </w:tcPr>
          <w:p w14:paraId="11BB79AE" w14:textId="77777777" w:rsidR="002B32A0" w:rsidRPr="00CE1D7F" w:rsidRDefault="002B32A0" w:rsidP="006258ED">
            <w:pPr>
              <w:pStyle w:val="Tabletext"/>
              <w:keepNext/>
              <w:keepLines/>
              <w:rPr>
                <w:rStyle w:val="CaptionLabel"/>
                <w:b w:val="0"/>
                <w:bCs/>
              </w:rPr>
            </w:pPr>
            <w:r w:rsidRPr="00CE1D7F">
              <w:t xml:space="preserve">$106,261 </w:t>
            </w:r>
          </w:p>
        </w:tc>
        <w:tc>
          <w:tcPr>
            <w:tcW w:w="699" w:type="pct"/>
            <w:gridSpan w:val="8"/>
          </w:tcPr>
          <w:p w14:paraId="6037C606" w14:textId="77777777" w:rsidR="002B32A0" w:rsidRPr="00CE1D7F" w:rsidRDefault="002B32A0" w:rsidP="006258ED">
            <w:pPr>
              <w:pStyle w:val="Tabletext"/>
              <w:keepNext/>
              <w:keepLines/>
              <w:rPr>
                <w:rStyle w:val="CaptionLabel"/>
                <w:b w:val="0"/>
                <w:bCs/>
              </w:rPr>
            </w:pPr>
          </w:p>
        </w:tc>
        <w:tc>
          <w:tcPr>
            <w:tcW w:w="848" w:type="pct"/>
            <w:gridSpan w:val="4"/>
          </w:tcPr>
          <w:p w14:paraId="56B4CEC3" w14:textId="77777777" w:rsidR="002B32A0" w:rsidRPr="00CE1D7F" w:rsidRDefault="002B32A0" w:rsidP="006258ED">
            <w:pPr>
              <w:pStyle w:val="Tabletext"/>
              <w:keepNext/>
              <w:keepLines/>
              <w:rPr>
                <w:rStyle w:val="CaptionLabel"/>
                <w:b w:val="0"/>
                <w:bCs/>
              </w:rPr>
            </w:pPr>
            <w:r w:rsidRPr="00CE1D7F">
              <w:t xml:space="preserve">$944,347 </w:t>
            </w:r>
          </w:p>
        </w:tc>
      </w:tr>
      <w:tr w:rsidR="000B0AC7" w:rsidRPr="00CE1D7F" w14:paraId="348B609B" w14:textId="77777777" w:rsidTr="000B0AC7">
        <w:tc>
          <w:tcPr>
            <w:tcW w:w="1509" w:type="pct"/>
            <w:gridSpan w:val="3"/>
            <w:tcMar>
              <w:left w:w="80" w:type="dxa"/>
            </w:tcMar>
          </w:tcPr>
          <w:p w14:paraId="7B18A204" w14:textId="77777777" w:rsidR="002B32A0" w:rsidRPr="00CE1D7F" w:rsidRDefault="002B32A0" w:rsidP="006258ED">
            <w:pPr>
              <w:pStyle w:val="Tabletext"/>
              <w:keepNext/>
              <w:keepLines/>
              <w:rPr>
                <w:rStyle w:val="CaptionLabel"/>
                <w:b w:val="0"/>
                <w:bCs/>
              </w:rPr>
            </w:pPr>
            <w:r w:rsidRPr="00CE1D7F">
              <w:rPr>
                <w:rStyle w:val="CaptionLabel"/>
                <w:b w:val="0"/>
                <w:bCs/>
              </w:rPr>
              <w:t>Non-academic partners (AIJA, NJC)</w:t>
            </w:r>
          </w:p>
        </w:tc>
        <w:tc>
          <w:tcPr>
            <w:tcW w:w="591" w:type="pct"/>
            <w:gridSpan w:val="5"/>
          </w:tcPr>
          <w:p w14:paraId="7B0C7274" w14:textId="77777777" w:rsidR="002B32A0" w:rsidRPr="00CE1D7F" w:rsidRDefault="002B32A0" w:rsidP="006258ED">
            <w:pPr>
              <w:pStyle w:val="Tabletext"/>
              <w:keepNext/>
              <w:keepLines/>
              <w:rPr>
                <w:rStyle w:val="CaptionLabel"/>
                <w:b w:val="0"/>
                <w:bCs/>
              </w:rPr>
            </w:pPr>
          </w:p>
        </w:tc>
        <w:tc>
          <w:tcPr>
            <w:tcW w:w="678" w:type="pct"/>
            <w:gridSpan w:val="5"/>
          </w:tcPr>
          <w:p w14:paraId="278FC7D9" w14:textId="77777777" w:rsidR="002B32A0" w:rsidRPr="00CE1D7F" w:rsidRDefault="002B32A0" w:rsidP="006258ED">
            <w:pPr>
              <w:pStyle w:val="Tabletext"/>
              <w:keepNext/>
              <w:keepLines/>
              <w:rPr>
                <w:rStyle w:val="CaptionLabel"/>
                <w:b w:val="0"/>
                <w:bCs/>
              </w:rPr>
            </w:pPr>
            <w:r w:rsidRPr="00CE1D7F">
              <w:rPr>
                <w:rStyle w:val="CaptionLabel"/>
                <w:b w:val="0"/>
                <w:bCs/>
              </w:rPr>
              <w:t>$399,148</w:t>
            </w:r>
          </w:p>
        </w:tc>
        <w:tc>
          <w:tcPr>
            <w:tcW w:w="675" w:type="pct"/>
            <w:gridSpan w:val="4"/>
          </w:tcPr>
          <w:p w14:paraId="51F2A579" w14:textId="77777777" w:rsidR="002B32A0" w:rsidRPr="00CE1D7F" w:rsidRDefault="002B32A0" w:rsidP="006258ED">
            <w:pPr>
              <w:pStyle w:val="Tabletext"/>
              <w:keepNext/>
              <w:keepLines/>
              <w:rPr>
                <w:rStyle w:val="CaptionLabel"/>
                <w:b w:val="0"/>
                <w:bCs/>
              </w:rPr>
            </w:pPr>
            <w:r w:rsidRPr="00CE1D7F">
              <w:rPr>
                <w:bCs/>
              </w:rPr>
              <w:t xml:space="preserve">$89,306 </w:t>
            </w:r>
          </w:p>
        </w:tc>
        <w:tc>
          <w:tcPr>
            <w:tcW w:w="699" w:type="pct"/>
            <w:gridSpan w:val="8"/>
          </w:tcPr>
          <w:p w14:paraId="64C30466" w14:textId="77777777" w:rsidR="002B32A0" w:rsidRPr="00CE1D7F" w:rsidRDefault="002B32A0" w:rsidP="006258ED">
            <w:pPr>
              <w:pStyle w:val="Tabletext"/>
              <w:keepNext/>
              <w:keepLines/>
              <w:rPr>
                <w:rStyle w:val="CaptionLabel"/>
                <w:b w:val="0"/>
                <w:bCs/>
              </w:rPr>
            </w:pPr>
            <w:r w:rsidRPr="00CE1D7F">
              <w:rPr>
                <w:bCs/>
              </w:rPr>
              <w:t xml:space="preserve">$75,522 </w:t>
            </w:r>
          </w:p>
        </w:tc>
        <w:tc>
          <w:tcPr>
            <w:tcW w:w="848" w:type="pct"/>
            <w:gridSpan w:val="4"/>
          </w:tcPr>
          <w:p w14:paraId="288C970C" w14:textId="77777777" w:rsidR="002B32A0" w:rsidRPr="00CE1D7F" w:rsidRDefault="002B32A0" w:rsidP="006258ED">
            <w:pPr>
              <w:pStyle w:val="Tabletext"/>
              <w:keepNext/>
              <w:keepLines/>
              <w:rPr>
                <w:rStyle w:val="CaptionLabel"/>
                <w:b w:val="0"/>
                <w:bCs/>
              </w:rPr>
            </w:pPr>
            <w:r w:rsidRPr="00CE1D7F">
              <w:rPr>
                <w:rStyle w:val="CaptionLabel"/>
                <w:b w:val="0"/>
                <w:bCs/>
              </w:rPr>
              <w:t>$563,976</w:t>
            </w:r>
          </w:p>
        </w:tc>
      </w:tr>
      <w:tr w:rsidR="000B0AC7" w:rsidRPr="00CE1D7F" w14:paraId="1826B67B" w14:textId="77777777" w:rsidTr="000B0AC7">
        <w:tc>
          <w:tcPr>
            <w:tcW w:w="5000" w:type="pct"/>
            <w:gridSpan w:val="29"/>
            <w:tcMar>
              <w:left w:w="80" w:type="dxa"/>
            </w:tcMar>
          </w:tcPr>
          <w:p w14:paraId="6205EB74" w14:textId="77777777" w:rsidR="002B32A0" w:rsidRPr="00CE1D7F" w:rsidRDefault="002B32A0" w:rsidP="006258ED">
            <w:pPr>
              <w:pStyle w:val="Tabletext"/>
              <w:keepNext/>
              <w:keepLines/>
              <w:rPr>
                <w:rStyle w:val="CaptionLabel"/>
                <w:b w:val="0"/>
                <w:bCs/>
              </w:rPr>
            </w:pPr>
            <w:r w:rsidRPr="00CE1D7F">
              <w:rPr>
                <w:b/>
                <w:bCs/>
              </w:rPr>
              <w:t>IN180100021 - Bringing Indigenous voices into judicial decision-making</w:t>
            </w:r>
          </w:p>
        </w:tc>
      </w:tr>
      <w:tr w:rsidR="000B0AC7" w:rsidRPr="00CE1D7F" w14:paraId="0E33900E" w14:textId="77777777" w:rsidTr="000B0AC7">
        <w:tc>
          <w:tcPr>
            <w:tcW w:w="1520" w:type="pct"/>
            <w:gridSpan w:val="4"/>
            <w:tcMar>
              <w:left w:w="80" w:type="dxa"/>
            </w:tcMar>
          </w:tcPr>
          <w:p w14:paraId="20335165" w14:textId="77777777" w:rsidR="002B32A0" w:rsidRPr="00CE1D7F" w:rsidRDefault="002B32A0" w:rsidP="006258ED">
            <w:pPr>
              <w:pStyle w:val="Tabletext"/>
              <w:keepNext/>
              <w:keepLines/>
              <w:rPr>
                <w:rStyle w:val="CaptionLabel"/>
                <w:b w:val="0"/>
                <w:bCs/>
              </w:rPr>
            </w:pPr>
            <w:r w:rsidRPr="00CE1D7F">
              <w:rPr>
                <w:rStyle w:val="CaptionLabel"/>
                <w:b w:val="0"/>
                <w:bCs/>
              </w:rPr>
              <w:t>ARC</w:t>
            </w:r>
          </w:p>
        </w:tc>
        <w:tc>
          <w:tcPr>
            <w:tcW w:w="580" w:type="pct"/>
            <w:gridSpan w:val="4"/>
          </w:tcPr>
          <w:p w14:paraId="6BC658D2" w14:textId="77777777" w:rsidR="002B32A0" w:rsidRPr="00CE1D7F" w:rsidRDefault="002B32A0" w:rsidP="006258ED">
            <w:pPr>
              <w:pStyle w:val="Tabletext"/>
              <w:keepNext/>
              <w:keepLines/>
              <w:rPr>
                <w:rStyle w:val="CaptionLabel"/>
                <w:b w:val="0"/>
                <w:bCs/>
              </w:rPr>
            </w:pPr>
          </w:p>
        </w:tc>
        <w:tc>
          <w:tcPr>
            <w:tcW w:w="678" w:type="pct"/>
            <w:gridSpan w:val="5"/>
          </w:tcPr>
          <w:p w14:paraId="334A54EB" w14:textId="77777777" w:rsidR="002B32A0" w:rsidRPr="00CE1D7F" w:rsidRDefault="002B32A0" w:rsidP="006258ED">
            <w:pPr>
              <w:pStyle w:val="Tabletext"/>
              <w:keepNext/>
              <w:keepLines/>
              <w:rPr>
                <w:rStyle w:val="CaptionLabel"/>
                <w:b w:val="0"/>
                <w:bCs/>
              </w:rPr>
            </w:pPr>
          </w:p>
        </w:tc>
        <w:tc>
          <w:tcPr>
            <w:tcW w:w="675" w:type="pct"/>
            <w:gridSpan w:val="4"/>
          </w:tcPr>
          <w:p w14:paraId="45A8931D" w14:textId="77777777" w:rsidR="002B32A0" w:rsidRPr="00CE1D7F" w:rsidRDefault="002B32A0" w:rsidP="006258ED">
            <w:pPr>
              <w:pStyle w:val="Tabletext"/>
              <w:keepNext/>
              <w:keepLines/>
              <w:rPr>
                <w:rStyle w:val="CaptionLabel"/>
                <w:b w:val="0"/>
                <w:bCs/>
              </w:rPr>
            </w:pPr>
            <w:r w:rsidRPr="00CE1D7F">
              <w:rPr>
                <w:rStyle w:val="CaptionLabel"/>
                <w:b w:val="0"/>
                <w:bCs/>
              </w:rPr>
              <w:t>$678,640</w:t>
            </w:r>
          </w:p>
        </w:tc>
        <w:tc>
          <w:tcPr>
            <w:tcW w:w="683" w:type="pct"/>
            <w:gridSpan w:val="7"/>
          </w:tcPr>
          <w:p w14:paraId="6F208DE8" w14:textId="77777777" w:rsidR="002B32A0" w:rsidRPr="00CE1D7F" w:rsidRDefault="002B32A0" w:rsidP="006258ED">
            <w:pPr>
              <w:pStyle w:val="Tabletext"/>
              <w:keepNext/>
              <w:keepLines/>
              <w:rPr>
                <w:rStyle w:val="CaptionLabel"/>
                <w:b w:val="0"/>
                <w:bCs/>
              </w:rPr>
            </w:pPr>
          </w:p>
        </w:tc>
        <w:tc>
          <w:tcPr>
            <w:tcW w:w="864" w:type="pct"/>
            <w:gridSpan w:val="5"/>
          </w:tcPr>
          <w:p w14:paraId="4EF0FD55" w14:textId="77777777" w:rsidR="002B32A0" w:rsidRPr="00CE1D7F" w:rsidRDefault="002B32A0" w:rsidP="006258ED">
            <w:pPr>
              <w:pStyle w:val="Tabletext"/>
              <w:keepNext/>
              <w:keepLines/>
              <w:rPr>
                <w:rStyle w:val="CaptionLabel"/>
                <w:b w:val="0"/>
                <w:bCs/>
              </w:rPr>
            </w:pPr>
            <w:r w:rsidRPr="00CE1D7F">
              <w:rPr>
                <w:rStyle w:val="CaptionLabel"/>
                <w:b w:val="0"/>
                <w:bCs/>
              </w:rPr>
              <w:t>$678,640</w:t>
            </w:r>
          </w:p>
        </w:tc>
      </w:tr>
      <w:tr w:rsidR="002B32A0" w:rsidRPr="00CE1D7F" w14:paraId="4BCCD882" w14:textId="77777777" w:rsidTr="000B0AC7">
        <w:tc>
          <w:tcPr>
            <w:tcW w:w="5000" w:type="pct"/>
            <w:gridSpan w:val="29"/>
            <w:tcMar>
              <w:left w:w="80" w:type="dxa"/>
            </w:tcMar>
          </w:tcPr>
          <w:p w14:paraId="6B2A2B52" w14:textId="77777777" w:rsidR="002B32A0" w:rsidRPr="00CE1D7F" w:rsidRDefault="002B32A0" w:rsidP="006258ED">
            <w:pPr>
              <w:pStyle w:val="Tabletext"/>
              <w:keepNext/>
              <w:keepLines/>
              <w:rPr>
                <w:rStyle w:val="CaptionLabel"/>
                <w:b w:val="0"/>
                <w:bCs/>
              </w:rPr>
            </w:pPr>
            <w:r w:rsidRPr="00CE1D7F">
              <w:rPr>
                <w:rStyle w:val="CaptionLabel"/>
              </w:rPr>
              <w:t>DP200101020 - The non-fatal strangulation offence as a response to domestic violence</w:t>
            </w:r>
          </w:p>
        </w:tc>
      </w:tr>
      <w:tr w:rsidR="000B0AC7" w:rsidRPr="00CE1D7F" w14:paraId="7441D150" w14:textId="77777777" w:rsidTr="000B0AC7">
        <w:tc>
          <w:tcPr>
            <w:tcW w:w="1520" w:type="pct"/>
            <w:gridSpan w:val="4"/>
            <w:tcMar>
              <w:left w:w="80" w:type="dxa"/>
            </w:tcMar>
          </w:tcPr>
          <w:p w14:paraId="0C9AC67A" w14:textId="77777777" w:rsidR="002B32A0" w:rsidRPr="00CE1D7F" w:rsidRDefault="002B32A0" w:rsidP="006258ED">
            <w:pPr>
              <w:pStyle w:val="Tabletext"/>
              <w:keepNext/>
              <w:keepLines/>
              <w:rPr>
                <w:rStyle w:val="CaptionLabel"/>
                <w:b w:val="0"/>
                <w:bCs/>
              </w:rPr>
            </w:pPr>
            <w:r w:rsidRPr="00CE1D7F">
              <w:rPr>
                <w:rStyle w:val="CaptionLabel"/>
                <w:b w:val="0"/>
                <w:bCs/>
              </w:rPr>
              <w:t>ARC</w:t>
            </w:r>
          </w:p>
        </w:tc>
        <w:tc>
          <w:tcPr>
            <w:tcW w:w="580" w:type="pct"/>
            <w:gridSpan w:val="4"/>
          </w:tcPr>
          <w:p w14:paraId="28BCE23B" w14:textId="77777777" w:rsidR="002B32A0" w:rsidRPr="00CE1D7F" w:rsidRDefault="002B32A0" w:rsidP="006258ED">
            <w:pPr>
              <w:pStyle w:val="Tabletext"/>
              <w:keepNext/>
              <w:keepLines/>
              <w:rPr>
                <w:rStyle w:val="CaptionLabel"/>
                <w:b w:val="0"/>
                <w:bCs/>
              </w:rPr>
            </w:pPr>
          </w:p>
        </w:tc>
        <w:tc>
          <w:tcPr>
            <w:tcW w:w="678" w:type="pct"/>
            <w:gridSpan w:val="5"/>
          </w:tcPr>
          <w:p w14:paraId="713FB5D7" w14:textId="77777777" w:rsidR="002B32A0" w:rsidRPr="00CE1D7F" w:rsidRDefault="002B32A0" w:rsidP="006258ED">
            <w:pPr>
              <w:pStyle w:val="Tabletext"/>
              <w:keepNext/>
              <w:keepLines/>
              <w:rPr>
                <w:rStyle w:val="CaptionLabel"/>
                <w:b w:val="0"/>
                <w:bCs/>
              </w:rPr>
            </w:pPr>
          </w:p>
        </w:tc>
        <w:tc>
          <w:tcPr>
            <w:tcW w:w="675" w:type="pct"/>
            <w:gridSpan w:val="4"/>
          </w:tcPr>
          <w:p w14:paraId="342FF317" w14:textId="77777777" w:rsidR="002B32A0" w:rsidRPr="00CE1D7F" w:rsidRDefault="002B32A0" w:rsidP="006258ED">
            <w:pPr>
              <w:pStyle w:val="Tabletext"/>
              <w:keepNext/>
              <w:keepLines/>
              <w:rPr>
                <w:rStyle w:val="CaptionLabel"/>
                <w:b w:val="0"/>
                <w:bCs/>
              </w:rPr>
            </w:pPr>
            <w:r w:rsidRPr="00CE1D7F">
              <w:t xml:space="preserve">$146,000 </w:t>
            </w:r>
          </w:p>
        </w:tc>
        <w:tc>
          <w:tcPr>
            <w:tcW w:w="683" w:type="pct"/>
            <w:gridSpan w:val="7"/>
          </w:tcPr>
          <w:p w14:paraId="2E8D881B" w14:textId="77777777" w:rsidR="002B32A0" w:rsidRPr="00CE1D7F" w:rsidRDefault="002B32A0" w:rsidP="006258ED">
            <w:pPr>
              <w:pStyle w:val="Tabletext"/>
              <w:keepNext/>
              <w:keepLines/>
              <w:rPr>
                <w:rStyle w:val="CaptionLabel"/>
                <w:b w:val="0"/>
                <w:bCs/>
              </w:rPr>
            </w:pPr>
            <w:r w:rsidRPr="00CE1D7F">
              <w:t>$208,000</w:t>
            </w:r>
          </w:p>
        </w:tc>
        <w:tc>
          <w:tcPr>
            <w:tcW w:w="864" w:type="pct"/>
            <w:gridSpan w:val="5"/>
          </w:tcPr>
          <w:p w14:paraId="06AB49FB" w14:textId="77777777" w:rsidR="002B32A0" w:rsidRPr="00CE1D7F" w:rsidRDefault="002B32A0" w:rsidP="006258ED">
            <w:pPr>
              <w:pStyle w:val="Tabletext"/>
              <w:keepNext/>
              <w:keepLines/>
              <w:rPr>
                <w:rStyle w:val="CaptionLabel"/>
                <w:b w:val="0"/>
                <w:bCs/>
              </w:rPr>
            </w:pPr>
            <w:r w:rsidRPr="00CE1D7F">
              <w:t xml:space="preserve">$354,000 </w:t>
            </w:r>
          </w:p>
        </w:tc>
      </w:tr>
      <w:tr w:rsidR="000B0AC7" w:rsidRPr="00CE1D7F" w14:paraId="1ED14E23" w14:textId="77777777" w:rsidTr="000B0AC7">
        <w:tc>
          <w:tcPr>
            <w:tcW w:w="1520" w:type="pct"/>
            <w:gridSpan w:val="4"/>
            <w:tcMar>
              <w:left w:w="80" w:type="dxa"/>
            </w:tcMar>
          </w:tcPr>
          <w:p w14:paraId="1C07CD92" w14:textId="77777777" w:rsidR="002B32A0" w:rsidRPr="00CE1D7F" w:rsidRDefault="002B32A0" w:rsidP="006258ED">
            <w:pPr>
              <w:pStyle w:val="Tabletext"/>
              <w:keepNext/>
              <w:keepLines/>
              <w:rPr>
                <w:rStyle w:val="CaptionLabel"/>
                <w:b w:val="0"/>
                <w:bCs/>
              </w:rPr>
            </w:pPr>
            <w:r w:rsidRPr="00CE1D7F">
              <w:rPr>
                <w:rStyle w:val="CaptionLabel"/>
                <w:b w:val="0"/>
                <w:bCs/>
              </w:rPr>
              <w:t>Academic partners (UQ)</w:t>
            </w:r>
          </w:p>
        </w:tc>
        <w:tc>
          <w:tcPr>
            <w:tcW w:w="580" w:type="pct"/>
            <w:gridSpan w:val="4"/>
          </w:tcPr>
          <w:p w14:paraId="726615E7" w14:textId="77777777" w:rsidR="002B32A0" w:rsidRPr="00CE1D7F" w:rsidRDefault="002B32A0" w:rsidP="006258ED">
            <w:pPr>
              <w:pStyle w:val="Tabletext"/>
              <w:keepNext/>
              <w:keepLines/>
              <w:rPr>
                <w:rStyle w:val="CaptionLabel"/>
                <w:b w:val="0"/>
                <w:bCs/>
              </w:rPr>
            </w:pPr>
          </w:p>
        </w:tc>
        <w:tc>
          <w:tcPr>
            <w:tcW w:w="673" w:type="pct"/>
            <w:gridSpan w:val="4"/>
          </w:tcPr>
          <w:p w14:paraId="51634424" w14:textId="77777777" w:rsidR="002B32A0" w:rsidRPr="00CE1D7F" w:rsidRDefault="002B32A0" w:rsidP="006258ED">
            <w:pPr>
              <w:pStyle w:val="Tabletext"/>
              <w:keepNext/>
              <w:keepLines/>
              <w:rPr>
                <w:rStyle w:val="CaptionLabel"/>
                <w:b w:val="0"/>
                <w:bCs/>
              </w:rPr>
            </w:pPr>
          </w:p>
        </w:tc>
        <w:tc>
          <w:tcPr>
            <w:tcW w:w="675" w:type="pct"/>
            <w:gridSpan w:val="4"/>
          </w:tcPr>
          <w:p w14:paraId="6839F16B" w14:textId="77777777" w:rsidR="002B32A0" w:rsidRPr="00CE1D7F" w:rsidRDefault="002B32A0" w:rsidP="006258ED">
            <w:pPr>
              <w:pStyle w:val="Tabletext"/>
              <w:keepNext/>
              <w:keepLines/>
              <w:rPr>
                <w:rStyle w:val="CaptionLabel"/>
                <w:b w:val="0"/>
                <w:bCs/>
              </w:rPr>
            </w:pPr>
            <w:r w:rsidRPr="00CE1D7F">
              <w:rPr>
                <w:bCs/>
              </w:rPr>
              <w:t xml:space="preserve">$20,697 </w:t>
            </w:r>
          </w:p>
        </w:tc>
        <w:tc>
          <w:tcPr>
            <w:tcW w:w="660" w:type="pct"/>
            <w:gridSpan w:val="5"/>
          </w:tcPr>
          <w:p w14:paraId="11EF75A2" w14:textId="77777777" w:rsidR="002B32A0" w:rsidRPr="00CE1D7F" w:rsidRDefault="002B32A0" w:rsidP="006258ED">
            <w:pPr>
              <w:pStyle w:val="Tabletext"/>
              <w:keepNext/>
              <w:keepLines/>
              <w:rPr>
                <w:rStyle w:val="CaptionLabel"/>
                <w:b w:val="0"/>
                <w:bCs/>
              </w:rPr>
            </w:pPr>
            <w:r w:rsidRPr="00CE1D7F">
              <w:rPr>
                <w:bCs/>
              </w:rPr>
              <w:t>$62,091</w:t>
            </w:r>
          </w:p>
        </w:tc>
        <w:tc>
          <w:tcPr>
            <w:tcW w:w="893" w:type="pct"/>
            <w:gridSpan w:val="8"/>
          </w:tcPr>
          <w:p w14:paraId="2A808093" w14:textId="77777777" w:rsidR="002B32A0" w:rsidRPr="00CE1D7F" w:rsidRDefault="002B32A0" w:rsidP="006258ED">
            <w:pPr>
              <w:pStyle w:val="Tabletext"/>
              <w:keepNext/>
              <w:keepLines/>
              <w:rPr>
                <w:rStyle w:val="CaptionLabel"/>
                <w:b w:val="0"/>
                <w:bCs/>
              </w:rPr>
            </w:pPr>
            <w:r w:rsidRPr="00CE1D7F">
              <w:rPr>
                <w:bCs/>
              </w:rPr>
              <w:t xml:space="preserve">$82,788 </w:t>
            </w:r>
          </w:p>
        </w:tc>
      </w:tr>
      <w:tr w:rsidR="002B32A0" w:rsidRPr="00CE1D7F" w14:paraId="08233270" w14:textId="77777777" w:rsidTr="000B0AC7">
        <w:tc>
          <w:tcPr>
            <w:tcW w:w="5000" w:type="pct"/>
            <w:gridSpan w:val="29"/>
            <w:tcMar>
              <w:left w:w="80" w:type="dxa"/>
            </w:tcMar>
          </w:tcPr>
          <w:p w14:paraId="5EAF5A2C" w14:textId="77777777" w:rsidR="002B32A0" w:rsidRPr="00CE1D7F" w:rsidRDefault="002B32A0" w:rsidP="006258ED">
            <w:pPr>
              <w:pStyle w:val="Tabletext"/>
              <w:keepNext/>
              <w:keepLines/>
              <w:rPr>
                <w:rStyle w:val="CaptionLabel"/>
                <w:b w:val="0"/>
                <w:bCs/>
              </w:rPr>
            </w:pPr>
            <w:r w:rsidRPr="00CE1D7F">
              <w:rPr>
                <w:b/>
                <w:bCs/>
              </w:rPr>
              <w:t>National Domestic and Family Violence Bench Book and training</w:t>
            </w:r>
          </w:p>
        </w:tc>
      </w:tr>
      <w:tr w:rsidR="000B0AC7" w:rsidRPr="00CE1D7F" w14:paraId="3E50F2B8" w14:textId="77777777" w:rsidTr="000B0AC7">
        <w:tc>
          <w:tcPr>
            <w:tcW w:w="1509" w:type="pct"/>
            <w:gridSpan w:val="3"/>
            <w:tcMar>
              <w:left w:w="80" w:type="dxa"/>
            </w:tcMar>
          </w:tcPr>
          <w:p w14:paraId="4952AE1B" w14:textId="77777777" w:rsidR="002B32A0" w:rsidRPr="00CE1D7F" w:rsidRDefault="002B32A0" w:rsidP="006258ED">
            <w:pPr>
              <w:pStyle w:val="Tabletext"/>
              <w:keepNext/>
              <w:keepLines/>
              <w:rPr>
                <w:rStyle w:val="CaptionLabel"/>
                <w:b w:val="0"/>
                <w:bCs/>
              </w:rPr>
            </w:pPr>
            <w:r w:rsidRPr="00CE1D7F">
              <w:rPr>
                <w:rStyle w:val="CaptionLabel"/>
                <w:b w:val="0"/>
                <w:bCs/>
              </w:rPr>
              <w:t>Non-academic partners (AIJA, NJC)</w:t>
            </w:r>
          </w:p>
        </w:tc>
        <w:tc>
          <w:tcPr>
            <w:tcW w:w="579" w:type="pct"/>
            <w:gridSpan w:val="4"/>
          </w:tcPr>
          <w:p w14:paraId="03EE1D3A" w14:textId="77777777" w:rsidR="002B32A0" w:rsidRPr="00CE1D7F" w:rsidRDefault="002B32A0" w:rsidP="006258ED">
            <w:pPr>
              <w:pStyle w:val="Tabletext"/>
              <w:keepNext/>
              <w:keepLines/>
              <w:rPr>
                <w:rStyle w:val="CaptionLabel"/>
                <w:b w:val="0"/>
                <w:bCs/>
              </w:rPr>
            </w:pPr>
          </w:p>
        </w:tc>
        <w:tc>
          <w:tcPr>
            <w:tcW w:w="675" w:type="pct"/>
            <w:gridSpan w:val="4"/>
          </w:tcPr>
          <w:p w14:paraId="60E3DE42" w14:textId="77777777" w:rsidR="002B32A0" w:rsidRPr="00CE1D7F" w:rsidRDefault="002B32A0" w:rsidP="006258ED">
            <w:pPr>
              <w:pStyle w:val="Tabletext"/>
              <w:keepNext/>
              <w:keepLines/>
              <w:rPr>
                <w:rStyle w:val="CaptionLabel"/>
                <w:b w:val="0"/>
                <w:bCs/>
              </w:rPr>
            </w:pPr>
            <w:r w:rsidRPr="00CE1D7F">
              <w:rPr>
                <w:rStyle w:val="CaptionLabel"/>
                <w:b w:val="0"/>
                <w:bCs/>
              </w:rPr>
              <w:t>$100,795</w:t>
            </w:r>
          </w:p>
        </w:tc>
        <w:tc>
          <w:tcPr>
            <w:tcW w:w="671" w:type="pct"/>
            <w:gridSpan w:val="4"/>
          </w:tcPr>
          <w:p w14:paraId="20D27FEA" w14:textId="77777777" w:rsidR="002B32A0" w:rsidRPr="00CE1D7F" w:rsidRDefault="002B32A0" w:rsidP="006258ED">
            <w:pPr>
              <w:pStyle w:val="Tabletext"/>
              <w:keepNext/>
              <w:keepLines/>
              <w:rPr>
                <w:rStyle w:val="CaptionLabel"/>
                <w:b w:val="0"/>
                <w:bCs/>
              </w:rPr>
            </w:pPr>
            <w:r w:rsidRPr="00CE1D7F">
              <w:t xml:space="preserve"> $102,390 </w:t>
            </w:r>
          </w:p>
        </w:tc>
        <w:tc>
          <w:tcPr>
            <w:tcW w:w="674" w:type="pct"/>
            <w:gridSpan w:val="6"/>
          </w:tcPr>
          <w:p w14:paraId="46820A1A" w14:textId="77777777" w:rsidR="002B32A0" w:rsidRPr="00CE1D7F" w:rsidRDefault="002B32A0" w:rsidP="006258ED">
            <w:pPr>
              <w:pStyle w:val="Tabletext"/>
              <w:keepNext/>
              <w:keepLines/>
              <w:rPr>
                <w:rStyle w:val="CaptionLabel"/>
                <w:b w:val="0"/>
                <w:bCs/>
              </w:rPr>
            </w:pPr>
            <w:r w:rsidRPr="00CE1D7F">
              <w:t xml:space="preserve"> $50,790 </w:t>
            </w:r>
          </w:p>
        </w:tc>
        <w:tc>
          <w:tcPr>
            <w:tcW w:w="893" w:type="pct"/>
            <w:gridSpan w:val="8"/>
          </w:tcPr>
          <w:p w14:paraId="05CA55F9" w14:textId="77777777" w:rsidR="002B32A0" w:rsidRPr="00CE1D7F" w:rsidRDefault="002B32A0" w:rsidP="006258ED">
            <w:pPr>
              <w:pStyle w:val="Tabletext"/>
              <w:keepNext/>
              <w:keepLines/>
              <w:rPr>
                <w:rStyle w:val="CaptionLabel"/>
                <w:b w:val="0"/>
                <w:bCs/>
              </w:rPr>
            </w:pPr>
            <w:r w:rsidRPr="00CE1D7F">
              <w:rPr>
                <w:rStyle w:val="CaptionLabel"/>
                <w:b w:val="0"/>
                <w:bCs/>
              </w:rPr>
              <w:t>$253,975</w:t>
            </w:r>
          </w:p>
        </w:tc>
      </w:tr>
      <w:tr w:rsidR="002B32A0" w:rsidRPr="00CE1D7F" w14:paraId="3849DB69" w14:textId="77777777" w:rsidTr="000B0AC7">
        <w:trPr>
          <w:gridAfter w:val="1"/>
          <w:wAfter w:w="15" w:type="pct"/>
        </w:trPr>
        <w:tc>
          <w:tcPr>
            <w:tcW w:w="4985" w:type="pct"/>
            <w:gridSpan w:val="28"/>
            <w:tcMar>
              <w:left w:w="80" w:type="dxa"/>
            </w:tcMar>
          </w:tcPr>
          <w:p w14:paraId="427C5EB3" w14:textId="77777777" w:rsidR="002B32A0" w:rsidRPr="00CE1D7F" w:rsidRDefault="002B32A0" w:rsidP="006258ED">
            <w:pPr>
              <w:pStyle w:val="Tabletext"/>
              <w:keepNext/>
              <w:keepLines/>
              <w:rPr>
                <w:rStyle w:val="CaptionLabel"/>
                <w:b w:val="0"/>
                <w:bCs/>
              </w:rPr>
            </w:pPr>
            <w:r w:rsidRPr="00CE1D7F">
              <w:rPr>
                <w:rStyle w:val="CaptionLabel"/>
              </w:rPr>
              <w:t>Coercive control training materials</w:t>
            </w:r>
          </w:p>
        </w:tc>
      </w:tr>
      <w:tr w:rsidR="000B0AC7" w:rsidRPr="00CE1D7F" w14:paraId="2A0BFCDA" w14:textId="77777777" w:rsidTr="000B0AC7">
        <w:trPr>
          <w:gridAfter w:val="1"/>
          <w:wAfter w:w="15" w:type="pct"/>
        </w:trPr>
        <w:tc>
          <w:tcPr>
            <w:tcW w:w="1509" w:type="pct"/>
            <w:gridSpan w:val="3"/>
            <w:tcMar>
              <w:left w:w="80" w:type="dxa"/>
            </w:tcMar>
          </w:tcPr>
          <w:p w14:paraId="04731195" w14:textId="77777777" w:rsidR="002B32A0" w:rsidRPr="00CE1D7F" w:rsidRDefault="002B32A0" w:rsidP="006258ED">
            <w:pPr>
              <w:pStyle w:val="Tabletext"/>
              <w:keepNext/>
              <w:keepLines/>
              <w:rPr>
                <w:rStyle w:val="CaptionLabel"/>
                <w:b w:val="0"/>
                <w:bCs/>
              </w:rPr>
            </w:pPr>
            <w:r w:rsidRPr="00CE1D7F">
              <w:rPr>
                <w:rStyle w:val="CaptionLabel"/>
                <w:b w:val="0"/>
                <w:bCs/>
              </w:rPr>
              <w:t>Non-academic partners (AIJA)</w:t>
            </w:r>
          </w:p>
        </w:tc>
        <w:tc>
          <w:tcPr>
            <w:tcW w:w="579" w:type="pct"/>
            <w:gridSpan w:val="4"/>
          </w:tcPr>
          <w:p w14:paraId="4D762AB7" w14:textId="77777777" w:rsidR="002B32A0" w:rsidRPr="00CE1D7F" w:rsidRDefault="002B32A0" w:rsidP="006258ED">
            <w:pPr>
              <w:pStyle w:val="Tabletext"/>
              <w:keepNext/>
              <w:keepLines/>
              <w:rPr>
                <w:rStyle w:val="CaptionLabel"/>
                <w:b w:val="0"/>
                <w:bCs/>
              </w:rPr>
            </w:pPr>
          </w:p>
        </w:tc>
        <w:tc>
          <w:tcPr>
            <w:tcW w:w="675" w:type="pct"/>
            <w:gridSpan w:val="4"/>
          </w:tcPr>
          <w:p w14:paraId="4951810D" w14:textId="77777777" w:rsidR="002B32A0" w:rsidRPr="00CE1D7F" w:rsidRDefault="002B32A0" w:rsidP="006258ED">
            <w:pPr>
              <w:pStyle w:val="Tabletext"/>
              <w:keepNext/>
              <w:keepLines/>
              <w:rPr>
                <w:rStyle w:val="CaptionLabel"/>
                <w:b w:val="0"/>
                <w:bCs/>
              </w:rPr>
            </w:pPr>
          </w:p>
        </w:tc>
        <w:tc>
          <w:tcPr>
            <w:tcW w:w="671" w:type="pct"/>
            <w:gridSpan w:val="4"/>
          </w:tcPr>
          <w:p w14:paraId="56D0B001" w14:textId="77777777" w:rsidR="002B32A0" w:rsidRPr="00CE1D7F" w:rsidRDefault="002B32A0" w:rsidP="006258ED">
            <w:pPr>
              <w:pStyle w:val="Tabletext"/>
              <w:keepNext/>
              <w:keepLines/>
              <w:rPr>
                <w:rStyle w:val="CaptionLabel"/>
                <w:b w:val="0"/>
                <w:bCs/>
              </w:rPr>
            </w:pPr>
          </w:p>
        </w:tc>
        <w:tc>
          <w:tcPr>
            <w:tcW w:w="679" w:type="pct"/>
            <w:gridSpan w:val="7"/>
          </w:tcPr>
          <w:p w14:paraId="1EFCFFDD" w14:textId="77777777" w:rsidR="002B32A0" w:rsidRPr="00CE1D7F" w:rsidRDefault="002B32A0" w:rsidP="006258ED">
            <w:pPr>
              <w:pStyle w:val="Tabletext"/>
              <w:keepNext/>
              <w:keepLines/>
              <w:rPr>
                <w:rStyle w:val="CaptionLabel"/>
                <w:b w:val="0"/>
                <w:bCs/>
              </w:rPr>
            </w:pPr>
            <w:r w:rsidRPr="00CE1D7F">
              <w:rPr>
                <w:rStyle w:val="CaptionLabel"/>
                <w:b w:val="0"/>
                <w:bCs/>
              </w:rPr>
              <w:t>$50,000</w:t>
            </w:r>
          </w:p>
        </w:tc>
        <w:tc>
          <w:tcPr>
            <w:tcW w:w="872" w:type="pct"/>
            <w:gridSpan w:val="6"/>
          </w:tcPr>
          <w:p w14:paraId="6AF09188" w14:textId="77777777" w:rsidR="002B32A0" w:rsidRPr="00CE1D7F" w:rsidRDefault="002B32A0" w:rsidP="006258ED">
            <w:pPr>
              <w:pStyle w:val="Tabletext"/>
              <w:keepNext/>
              <w:keepLines/>
              <w:rPr>
                <w:rStyle w:val="CaptionLabel"/>
                <w:b w:val="0"/>
                <w:bCs/>
              </w:rPr>
            </w:pPr>
            <w:r w:rsidRPr="00CE1D7F">
              <w:rPr>
                <w:rStyle w:val="CaptionLabel"/>
                <w:b w:val="0"/>
                <w:bCs/>
              </w:rPr>
              <w:t>$50,000</w:t>
            </w:r>
          </w:p>
        </w:tc>
      </w:tr>
      <w:tr w:rsidR="002B32A0" w:rsidRPr="00CE1D7F" w14:paraId="1B4EE904" w14:textId="77777777" w:rsidTr="000B0AC7">
        <w:trPr>
          <w:gridAfter w:val="1"/>
          <w:wAfter w:w="15" w:type="pct"/>
        </w:trPr>
        <w:tc>
          <w:tcPr>
            <w:tcW w:w="4985" w:type="pct"/>
            <w:gridSpan w:val="28"/>
            <w:tcMar>
              <w:left w:w="80" w:type="dxa"/>
            </w:tcMar>
          </w:tcPr>
          <w:p w14:paraId="28F00725" w14:textId="77777777" w:rsidR="002B32A0" w:rsidRPr="00CE1D7F" w:rsidRDefault="002B32A0" w:rsidP="006258ED">
            <w:pPr>
              <w:pStyle w:val="Tabletext"/>
              <w:keepNext/>
              <w:keepLines/>
              <w:rPr>
                <w:rStyle w:val="CaptionLabel"/>
              </w:rPr>
            </w:pPr>
            <w:r w:rsidRPr="00CE1D7F">
              <w:rPr>
                <w:rStyle w:val="CaptionLabel"/>
              </w:rPr>
              <w:t>In-kind</w:t>
            </w:r>
          </w:p>
        </w:tc>
      </w:tr>
      <w:tr w:rsidR="002B32A0" w:rsidRPr="00CE1D7F" w14:paraId="733E3E02" w14:textId="77777777" w:rsidTr="000B0AC7">
        <w:trPr>
          <w:gridAfter w:val="1"/>
          <w:wAfter w:w="15" w:type="pct"/>
        </w:trPr>
        <w:tc>
          <w:tcPr>
            <w:tcW w:w="4985" w:type="pct"/>
            <w:gridSpan w:val="28"/>
            <w:tcMar>
              <w:left w:w="80" w:type="dxa"/>
            </w:tcMar>
          </w:tcPr>
          <w:p w14:paraId="3D4DF860" w14:textId="77777777" w:rsidR="002B32A0" w:rsidRPr="00CE1D7F" w:rsidRDefault="002B32A0" w:rsidP="006258ED">
            <w:pPr>
              <w:pStyle w:val="Tabletext"/>
              <w:keepNext/>
              <w:keepLines/>
              <w:rPr>
                <w:rStyle w:val="CaptionLabel"/>
              </w:rPr>
            </w:pPr>
            <w:r w:rsidRPr="00CE1D7F">
              <w:rPr>
                <w:rStyle w:val="CaptionLabel"/>
              </w:rPr>
              <w:t>IN180100021 - Bringing Indigenous voices into judicial decision-making</w:t>
            </w:r>
          </w:p>
        </w:tc>
      </w:tr>
      <w:tr w:rsidR="000B0AC7" w:rsidRPr="00CE1D7F" w14:paraId="258A30A0" w14:textId="77777777" w:rsidTr="000B0AC7">
        <w:trPr>
          <w:gridAfter w:val="1"/>
          <w:wAfter w:w="15" w:type="pct"/>
        </w:trPr>
        <w:tc>
          <w:tcPr>
            <w:tcW w:w="1494" w:type="pct"/>
            <w:gridSpan w:val="2"/>
            <w:tcMar>
              <w:left w:w="80" w:type="dxa"/>
            </w:tcMar>
          </w:tcPr>
          <w:p w14:paraId="35DDC957" w14:textId="77777777" w:rsidR="002B32A0" w:rsidRPr="00CE1D7F" w:rsidRDefault="002B32A0" w:rsidP="006258ED">
            <w:pPr>
              <w:pStyle w:val="Tabletext"/>
              <w:keepNext/>
              <w:keepLines/>
              <w:rPr>
                <w:rStyle w:val="CaptionLabel"/>
                <w:b w:val="0"/>
                <w:bCs/>
              </w:rPr>
            </w:pPr>
            <w:r w:rsidRPr="00CE1D7F">
              <w:rPr>
                <w:rStyle w:val="CaptionLabel"/>
                <w:b w:val="0"/>
                <w:bCs/>
              </w:rPr>
              <w:t>Academic partners (UQ, USYD)</w:t>
            </w:r>
          </w:p>
        </w:tc>
        <w:tc>
          <w:tcPr>
            <w:tcW w:w="581" w:type="pct"/>
            <w:gridSpan w:val="4"/>
          </w:tcPr>
          <w:p w14:paraId="1881D6C4" w14:textId="77777777" w:rsidR="002B32A0" w:rsidRPr="00CE1D7F" w:rsidRDefault="002B32A0" w:rsidP="006258ED">
            <w:pPr>
              <w:pStyle w:val="Tabletext"/>
              <w:keepNext/>
              <w:keepLines/>
              <w:rPr>
                <w:rStyle w:val="CaptionLabel"/>
                <w:b w:val="0"/>
                <w:bCs/>
              </w:rPr>
            </w:pPr>
          </w:p>
        </w:tc>
        <w:tc>
          <w:tcPr>
            <w:tcW w:w="681" w:type="pct"/>
            <w:gridSpan w:val="4"/>
          </w:tcPr>
          <w:p w14:paraId="4818CD9B" w14:textId="77777777" w:rsidR="002B32A0" w:rsidRPr="00CE1D7F" w:rsidRDefault="002B32A0" w:rsidP="006258ED">
            <w:pPr>
              <w:pStyle w:val="Tabletext"/>
              <w:keepNext/>
              <w:keepLines/>
              <w:rPr>
                <w:rStyle w:val="CaptionLabel"/>
                <w:b w:val="0"/>
                <w:bCs/>
              </w:rPr>
            </w:pPr>
          </w:p>
        </w:tc>
        <w:tc>
          <w:tcPr>
            <w:tcW w:w="692" w:type="pct"/>
            <w:gridSpan w:val="6"/>
          </w:tcPr>
          <w:p w14:paraId="7A949A2F" w14:textId="77777777" w:rsidR="002B32A0" w:rsidRPr="00CE1D7F" w:rsidRDefault="002B32A0" w:rsidP="006258ED">
            <w:pPr>
              <w:pStyle w:val="Tabletext"/>
              <w:keepNext/>
              <w:keepLines/>
              <w:rPr>
                <w:rStyle w:val="CaptionLabel"/>
                <w:b w:val="0"/>
                <w:bCs/>
              </w:rPr>
            </w:pPr>
            <w:r w:rsidRPr="00CE1D7F">
              <w:rPr>
                <w:rFonts w:cs="Calibri"/>
                <w:bCs/>
                <w:szCs w:val="20"/>
              </w:rPr>
              <w:t>$251,644</w:t>
            </w:r>
          </w:p>
        </w:tc>
        <w:tc>
          <w:tcPr>
            <w:tcW w:w="660" w:type="pct"/>
            <w:gridSpan w:val="5"/>
          </w:tcPr>
          <w:p w14:paraId="31EBE5FA" w14:textId="77777777" w:rsidR="002B32A0" w:rsidRPr="00CE1D7F" w:rsidRDefault="002B32A0" w:rsidP="006258ED">
            <w:pPr>
              <w:pStyle w:val="Tabletext"/>
              <w:keepNext/>
              <w:keepLines/>
              <w:rPr>
                <w:rStyle w:val="CaptionLabel"/>
                <w:b w:val="0"/>
                <w:bCs/>
              </w:rPr>
            </w:pPr>
            <w:r w:rsidRPr="00CE1D7F">
              <w:rPr>
                <w:rFonts w:cs="Calibri"/>
                <w:bCs/>
                <w:szCs w:val="20"/>
              </w:rPr>
              <w:t>$167,762</w:t>
            </w:r>
          </w:p>
        </w:tc>
        <w:tc>
          <w:tcPr>
            <w:tcW w:w="877" w:type="pct"/>
            <w:gridSpan w:val="7"/>
          </w:tcPr>
          <w:p w14:paraId="41E266AF" w14:textId="77777777" w:rsidR="002B32A0" w:rsidRPr="00CE1D7F" w:rsidRDefault="002B32A0" w:rsidP="006258ED">
            <w:pPr>
              <w:pStyle w:val="Tabletext"/>
              <w:keepNext/>
              <w:keepLines/>
              <w:rPr>
                <w:rStyle w:val="CaptionLabel"/>
                <w:b w:val="0"/>
                <w:bCs/>
              </w:rPr>
            </w:pPr>
            <w:r w:rsidRPr="00CE1D7F">
              <w:rPr>
                <w:rFonts w:cs="Calibri"/>
                <w:bCs/>
                <w:szCs w:val="20"/>
              </w:rPr>
              <w:t>$419,406</w:t>
            </w:r>
          </w:p>
        </w:tc>
      </w:tr>
      <w:tr w:rsidR="002B32A0" w:rsidRPr="00CE1D7F" w14:paraId="3BE002E8" w14:textId="77777777" w:rsidTr="000B0AC7">
        <w:trPr>
          <w:gridAfter w:val="1"/>
          <w:wAfter w:w="15" w:type="pct"/>
        </w:trPr>
        <w:tc>
          <w:tcPr>
            <w:tcW w:w="4985" w:type="pct"/>
            <w:gridSpan w:val="28"/>
            <w:tcMar>
              <w:left w:w="80" w:type="dxa"/>
            </w:tcMar>
          </w:tcPr>
          <w:p w14:paraId="417836ED" w14:textId="77777777" w:rsidR="002B32A0" w:rsidRPr="00CE1D7F" w:rsidRDefault="002B32A0" w:rsidP="006258ED">
            <w:pPr>
              <w:pStyle w:val="Tabletext"/>
              <w:keepNext/>
              <w:keepLines/>
              <w:rPr>
                <w:rStyle w:val="CaptionLabel"/>
              </w:rPr>
            </w:pPr>
            <w:r w:rsidRPr="00CE1D7F">
              <w:rPr>
                <w:rStyle w:val="CaptionLabel"/>
              </w:rPr>
              <w:t>DP200101020 - The non-fatal strangulation offence as a response to domestic violence</w:t>
            </w:r>
          </w:p>
        </w:tc>
      </w:tr>
      <w:tr w:rsidR="000B0AC7" w:rsidRPr="00CE1D7F" w14:paraId="120D0A26" w14:textId="77777777" w:rsidTr="000B0AC7">
        <w:trPr>
          <w:gridAfter w:val="1"/>
          <w:wAfter w:w="15" w:type="pct"/>
        </w:trPr>
        <w:tc>
          <w:tcPr>
            <w:tcW w:w="1494" w:type="pct"/>
            <w:gridSpan w:val="2"/>
            <w:tcMar>
              <w:left w:w="80" w:type="dxa"/>
            </w:tcMar>
          </w:tcPr>
          <w:p w14:paraId="1BDC4BD6" w14:textId="77777777" w:rsidR="002B32A0" w:rsidRPr="00CE1D7F" w:rsidRDefault="002B32A0" w:rsidP="006258ED">
            <w:pPr>
              <w:pStyle w:val="Tabletext"/>
              <w:keepNext/>
              <w:keepLines/>
              <w:rPr>
                <w:rStyle w:val="CaptionLabel"/>
                <w:b w:val="0"/>
                <w:bCs/>
              </w:rPr>
            </w:pPr>
            <w:r w:rsidRPr="00CE1D7F">
              <w:rPr>
                <w:rStyle w:val="CaptionLabel"/>
                <w:b w:val="0"/>
                <w:bCs/>
              </w:rPr>
              <w:t>Academic partners (UQ)</w:t>
            </w:r>
          </w:p>
        </w:tc>
        <w:tc>
          <w:tcPr>
            <w:tcW w:w="581" w:type="pct"/>
            <w:gridSpan w:val="4"/>
          </w:tcPr>
          <w:p w14:paraId="6D560424" w14:textId="77777777" w:rsidR="002B32A0" w:rsidRPr="00CE1D7F" w:rsidRDefault="002B32A0" w:rsidP="006258ED">
            <w:pPr>
              <w:pStyle w:val="Tabletext"/>
              <w:keepNext/>
              <w:keepLines/>
              <w:rPr>
                <w:rStyle w:val="CaptionLabel"/>
                <w:b w:val="0"/>
                <w:bCs/>
              </w:rPr>
            </w:pPr>
          </w:p>
        </w:tc>
        <w:tc>
          <w:tcPr>
            <w:tcW w:w="681" w:type="pct"/>
            <w:gridSpan w:val="4"/>
          </w:tcPr>
          <w:p w14:paraId="17E9CA26" w14:textId="77777777" w:rsidR="002B32A0" w:rsidRPr="00CE1D7F" w:rsidRDefault="002B32A0" w:rsidP="006258ED">
            <w:pPr>
              <w:pStyle w:val="Tabletext"/>
              <w:keepNext/>
              <w:keepLines/>
              <w:rPr>
                <w:rStyle w:val="CaptionLabel"/>
                <w:b w:val="0"/>
                <w:bCs/>
              </w:rPr>
            </w:pPr>
          </w:p>
        </w:tc>
        <w:tc>
          <w:tcPr>
            <w:tcW w:w="692" w:type="pct"/>
            <w:gridSpan w:val="6"/>
          </w:tcPr>
          <w:p w14:paraId="7EFCCB06" w14:textId="77777777" w:rsidR="002B32A0" w:rsidRPr="00CE1D7F" w:rsidRDefault="002B32A0" w:rsidP="006258ED">
            <w:pPr>
              <w:pStyle w:val="Tabletext"/>
              <w:keepNext/>
              <w:keepLines/>
              <w:rPr>
                <w:rStyle w:val="CaptionLabel"/>
                <w:b w:val="0"/>
                <w:bCs/>
              </w:rPr>
            </w:pPr>
            <w:r w:rsidRPr="00CE1D7F">
              <w:rPr>
                <w:bCs/>
              </w:rPr>
              <w:t xml:space="preserve">$61,610 </w:t>
            </w:r>
          </w:p>
        </w:tc>
        <w:tc>
          <w:tcPr>
            <w:tcW w:w="648" w:type="pct"/>
            <w:gridSpan w:val="4"/>
          </w:tcPr>
          <w:p w14:paraId="4305A05D" w14:textId="77777777" w:rsidR="002B32A0" w:rsidRPr="00CE1D7F" w:rsidRDefault="002B32A0" w:rsidP="006258ED">
            <w:pPr>
              <w:pStyle w:val="Tabletext"/>
              <w:keepNext/>
              <w:keepLines/>
              <w:rPr>
                <w:rStyle w:val="CaptionLabel"/>
                <w:b w:val="0"/>
                <w:bCs/>
              </w:rPr>
            </w:pPr>
            <w:r w:rsidRPr="00CE1D7F">
              <w:rPr>
                <w:bCs/>
              </w:rPr>
              <w:t xml:space="preserve">$184,831 </w:t>
            </w:r>
          </w:p>
        </w:tc>
        <w:tc>
          <w:tcPr>
            <w:tcW w:w="890" w:type="pct"/>
            <w:gridSpan w:val="8"/>
          </w:tcPr>
          <w:p w14:paraId="49E5DAF0" w14:textId="77777777" w:rsidR="002B32A0" w:rsidRPr="00CE1D7F" w:rsidRDefault="002B32A0" w:rsidP="006258ED">
            <w:pPr>
              <w:pStyle w:val="Tabletext"/>
              <w:keepNext/>
              <w:keepLines/>
              <w:rPr>
                <w:rStyle w:val="CaptionLabel"/>
                <w:b w:val="0"/>
                <w:bCs/>
              </w:rPr>
            </w:pPr>
            <w:r w:rsidRPr="00CE1D7F">
              <w:rPr>
                <w:bCs/>
              </w:rPr>
              <w:t xml:space="preserve">$246,441 </w:t>
            </w:r>
          </w:p>
        </w:tc>
      </w:tr>
      <w:tr w:rsidR="000B0AC7" w:rsidRPr="00CE1D7F" w14:paraId="598E11E0" w14:textId="77777777" w:rsidTr="000B0AC7">
        <w:trPr>
          <w:gridAfter w:val="2"/>
          <w:wAfter w:w="21" w:type="pct"/>
        </w:trPr>
        <w:tc>
          <w:tcPr>
            <w:tcW w:w="1494" w:type="pct"/>
            <w:gridSpan w:val="2"/>
            <w:tcMar>
              <w:left w:w="80" w:type="dxa"/>
            </w:tcMar>
          </w:tcPr>
          <w:p w14:paraId="194B08EE" w14:textId="77777777" w:rsidR="002B32A0" w:rsidRPr="00CE1D7F" w:rsidRDefault="002B32A0" w:rsidP="006258ED">
            <w:pPr>
              <w:pStyle w:val="Tabletext"/>
              <w:keepNext/>
              <w:keepLines/>
              <w:rPr>
                <w:rStyle w:val="CaptionLabel"/>
              </w:rPr>
            </w:pPr>
            <w:r w:rsidRPr="00CE1D7F">
              <w:rPr>
                <w:rStyle w:val="CaptionLabel"/>
              </w:rPr>
              <w:t>Total</w:t>
            </w:r>
          </w:p>
        </w:tc>
        <w:tc>
          <w:tcPr>
            <w:tcW w:w="581" w:type="pct"/>
            <w:gridSpan w:val="4"/>
          </w:tcPr>
          <w:p w14:paraId="6EA263FB" w14:textId="77777777" w:rsidR="002B32A0" w:rsidRPr="00CE1D7F" w:rsidRDefault="002B32A0" w:rsidP="006258ED">
            <w:pPr>
              <w:pStyle w:val="Tabletext"/>
              <w:keepNext/>
              <w:keepLines/>
              <w:rPr>
                <w:rStyle w:val="CaptionLabel"/>
              </w:rPr>
            </w:pPr>
            <w:r w:rsidRPr="00CE1D7F">
              <w:rPr>
                <w:rFonts w:cs="Calibri"/>
                <w:b/>
                <w:bCs/>
                <w:szCs w:val="20"/>
              </w:rPr>
              <w:t>$527,712</w:t>
            </w:r>
          </w:p>
        </w:tc>
        <w:tc>
          <w:tcPr>
            <w:tcW w:w="681" w:type="pct"/>
            <w:gridSpan w:val="4"/>
          </w:tcPr>
          <w:p w14:paraId="66E285FF" w14:textId="77777777" w:rsidR="002B32A0" w:rsidRPr="00CE1D7F" w:rsidRDefault="002B32A0" w:rsidP="006258ED">
            <w:pPr>
              <w:pStyle w:val="Tabletext"/>
              <w:keepNext/>
              <w:keepLines/>
              <w:rPr>
                <w:rStyle w:val="CaptionLabel"/>
              </w:rPr>
            </w:pPr>
            <w:r w:rsidRPr="00CE1D7F">
              <w:rPr>
                <w:rFonts w:cs="Calibri"/>
                <w:b/>
                <w:bCs/>
                <w:szCs w:val="20"/>
              </w:rPr>
              <w:t>$1,290,319</w:t>
            </w:r>
          </w:p>
        </w:tc>
        <w:tc>
          <w:tcPr>
            <w:tcW w:w="692" w:type="pct"/>
            <w:gridSpan w:val="6"/>
          </w:tcPr>
          <w:p w14:paraId="1B3B848B" w14:textId="77777777" w:rsidR="002B32A0" w:rsidRPr="00CE1D7F" w:rsidRDefault="002B32A0" w:rsidP="006258ED">
            <w:pPr>
              <w:pStyle w:val="Tabletext"/>
              <w:keepNext/>
              <w:keepLines/>
              <w:rPr>
                <w:rStyle w:val="CaptionLabel"/>
              </w:rPr>
            </w:pPr>
            <w:r w:rsidRPr="00CE1D7F">
              <w:rPr>
                <w:rFonts w:cs="Calibri"/>
                <w:b/>
                <w:bCs/>
                <w:szCs w:val="20"/>
              </w:rPr>
              <w:t>$1,456,548</w:t>
            </w:r>
          </w:p>
        </w:tc>
        <w:tc>
          <w:tcPr>
            <w:tcW w:w="648" w:type="pct"/>
            <w:gridSpan w:val="4"/>
          </w:tcPr>
          <w:p w14:paraId="55589A77" w14:textId="77777777" w:rsidR="002B32A0" w:rsidRPr="00CE1D7F" w:rsidRDefault="002B32A0" w:rsidP="006258ED">
            <w:pPr>
              <w:pStyle w:val="Tabletext"/>
              <w:keepNext/>
              <w:keepLines/>
              <w:rPr>
                <w:rStyle w:val="CaptionLabel"/>
              </w:rPr>
            </w:pPr>
            <w:r w:rsidRPr="00CE1D7F">
              <w:rPr>
                <w:rFonts w:cs="Calibri"/>
                <w:b/>
                <w:bCs/>
                <w:szCs w:val="20"/>
              </w:rPr>
              <w:t>$798,996</w:t>
            </w:r>
          </w:p>
        </w:tc>
        <w:tc>
          <w:tcPr>
            <w:tcW w:w="884" w:type="pct"/>
            <w:gridSpan w:val="7"/>
          </w:tcPr>
          <w:p w14:paraId="432ABC7E" w14:textId="77777777" w:rsidR="002B32A0" w:rsidRPr="00CE1D7F" w:rsidRDefault="002B32A0" w:rsidP="006258ED">
            <w:pPr>
              <w:pStyle w:val="Tabletext"/>
              <w:keepNext/>
              <w:keepLines/>
              <w:rPr>
                <w:rStyle w:val="CaptionLabel"/>
              </w:rPr>
            </w:pPr>
            <w:r w:rsidRPr="00CE1D7F">
              <w:rPr>
                <w:rFonts w:cs="Calibri"/>
                <w:b/>
                <w:bCs/>
                <w:szCs w:val="20"/>
              </w:rPr>
              <w:t>$4,073,574</w:t>
            </w:r>
          </w:p>
        </w:tc>
      </w:tr>
    </w:tbl>
    <w:bookmarkEnd w:id="501"/>
    <w:p w14:paraId="37CB9F40" w14:textId="77777777" w:rsidR="000B0AC7" w:rsidRPr="00CE1D7F" w:rsidRDefault="000B0AC7" w:rsidP="000B0AC7">
      <w:pPr>
        <w:pStyle w:val="Source"/>
        <w:keepLines/>
        <w:ind w:left="-247"/>
        <w:rPr>
          <w:rStyle w:val="CaptionLabel"/>
          <w:b w:val="0"/>
          <w:bCs/>
        </w:rPr>
      </w:pPr>
      <w:r w:rsidRPr="00CE1D7F">
        <w:rPr>
          <w:rStyle w:val="CaptionLabel"/>
          <w:b w:val="0"/>
          <w:bCs/>
        </w:rPr>
        <w:t xml:space="preserve">Source: </w:t>
      </w:r>
      <w:r w:rsidRPr="00CE1D7F">
        <w:rPr>
          <w:rStyle w:val="CaptionLabel"/>
          <w:bCs/>
        </w:rPr>
        <w:t>ACIL Allen, research project applications and personal communications with Prof Douglas</w:t>
      </w:r>
    </w:p>
    <w:p w14:paraId="7223F571" w14:textId="77777777" w:rsidR="002B32A0" w:rsidRPr="00CE1D7F" w:rsidRDefault="002B32A0" w:rsidP="002B32A0">
      <w:pPr>
        <w:pStyle w:val="Heading2"/>
      </w:pPr>
      <w:bookmarkStart w:id="502" w:name="_Toc129963978"/>
      <w:bookmarkStart w:id="503" w:name="_Toc131174617"/>
      <w:bookmarkStart w:id="504" w:name="_Toc132970708"/>
      <w:bookmarkStart w:id="505" w:name="_Toc135323747"/>
      <w:bookmarkEnd w:id="499"/>
      <w:r w:rsidRPr="00CE1D7F">
        <w:t>Activities</w:t>
      </w:r>
      <w:bookmarkEnd w:id="502"/>
      <w:bookmarkEnd w:id="503"/>
      <w:bookmarkEnd w:id="504"/>
      <w:bookmarkEnd w:id="505"/>
      <w:r w:rsidRPr="00CE1D7F">
        <w:t xml:space="preserve"> </w:t>
      </w:r>
    </w:p>
    <w:p w14:paraId="688BF26D" w14:textId="77777777" w:rsidR="002B32A0" w:rsidRPr="00CE1D7F" w:rsidRDefault="002B32A0" w:rsidP="002B32A0">
      <w:pPr>
        <w:pStyle w:val="BodyText"/>
      </w:pPr>
      <w:r w:rsidRPr="00CE1D7F">
        <w:t>The activities associated with the research are centred on projects funded by the ARC since 2012. They include:</w:t>
      </w:r>
    </w:p>
    <w:p w14:paraId="5BE01B89" w14:textId="77777777" w:rsidR="002B32A0" w:rsidRPr="00CE1D7F" w:rsidRDefault="002B32A0" w:rsidP="0039477C">
      <w:pPr>
        <w:pStyle w:val="ListBullet"/>
      </w:pPr>
      <w:r w:rsidRPr="00CE1D7F">
        <w:t>Reviewing current literature and legal responses</w:t>
      </w:r>
    </w:p>
    <w:p w14:paraId="3F8D2BBD" w14:textId="77777777" w:rsidR="002B32A0" w:rsidRPr="00CE1D7F" w:rsidRDefault="002B32A0" w:rsidP="0039477C">
      <w:pPr>
        <w:pStyle w:val="ListBullet"/>
      </w:pPr>
      <w:r w:rsidRPr="00CE1D7F">
        <w:t>Identifying existing judgements and the influence of feminist and Indigenous perspectives</w:t>
      </w:r>
    </w:p>
    <w:p w14:paraId="25D3CAC0" w14:textId="77777777" w:rsidR="002B32A0" w:rsidRPr="00CE1D7F" w:rsidRDefault="002B32A0" w:rsidP="0039477C">
      <w:pPr>
        <w:pStyle w:val="ListBullet"/>
      </w:pPr>
      <w:r w:rsidRPr="00CE1D7F">
        <w:t>Re-writing judgements to incorporate feminist and Indigenous perspectives, and considering the impact these perspectives could have on judicial decision-making in Australia</w:t>
      </w:r>
    </w:p>
    <w:p w14:paraId="49160077" w14:textId="77777777" w:rsidR="002B32A0" w:rsidRPr="00CE1D7F" w:rsidRDefault="002B32A0" w:rsidP="0039477C">
      <w:pPr>
        <w:pStyle w:val="ListBullet"/>
      </w:pPr>
      <w:r w:rsidRPr="00CE1D7F">
        <w:t>Analysis of court administrative data and sentencing outcomes</w:t>
      </w:r>
    </w:p>
    <w:p w14:paraId="6C1CB177" w14:textId="77777777" w:rsidR="002B32A0" w:rsidRPr="00CE1D7F" w:rsidRDefault="002B32A0" w:rsidP="0039477C">
      <w:pPr>
        <w:pStyle w:val="ListBullet"/>
      </w:pPr>
      <w:r w:rsidRPr="00CE1D7F">
        <w:t>3-year longitudinal interviews DFV victims, and interviews with prosecution and defence lawyers, and perpetrators</w:t>
      </w:r>
    </w:p>
    <w:p w14:paraId="23D11313" w14:textId="77777777" w:rsidR="002B32A0" w:rsidRPr="00CE1D7F" w:rsidRDefault="002B32A0" w:rsidP="0039477C">
      <w:pPr>
        <w:pStyle w:val="ListBullet"/>
      </w:pPr>
      <w:r w:rsidRPr="00CE1D7F">
        <w:t>Dissemination of results, and collaboration and partnerships.</w:t>
      </w:r>
    </w:p>
    <w:p w14:paraId="26D588A9" w14:textId="77777777" w:rsidR="002B32A0" w:rsidRPr="00CE1D7F" w:rsidRDefault="002B32A0" w:rsidP="0039477C">
      <w:pPr>
        <w:pStyle w:val="Heading3"/>
      </w:pPr>
      <w:r w:rsidRPr="00CE1D7F">
        <w:t>Discovery Project – Australian feminist judgments project: jurisprudence as praxis</w:t>
      </w:r>
    </w:p>
    <w:p w14:paraId="68E87D2E" w14:textId="77777777" w:rsidR="002B32A0" w:rsidRPr="00CE1D7F" w:rsidRDefault="002B32A0" w:rsidP="0039477C">
      <w:pPr>
        <w:pStyle w:val="BodyText"/>
        <w:keepNext/>
        <w:keepLines/>
      </w:pPr>
      <w:r w:rsidRPr="00CE1D7F">
        <w:t xml:space="preserve">This project investigated how feminist theory can be applied to legal decision-making in Australia. It aimed to highlight the possibilities, limitations and implications of a feminist approach to judging through analysis of existing decisions and practices and the production of a collection of imagined feminist judgments in significant cases. </w:t>
      </w:r>
    </w:p>
    <w:p w14:paraId="3A1739FC" w14:textId="77777777" w:rsidR="002B32A0" w:rsidRPr="00CE1D7F" w:rsidRDefault="002B32A0" w:rsidP="002B32A0">
      <w:pPr>
        <w:pStyle w:val="BodyText"/>
      </w:pPr>
      <w:r w:rsidRPr="00CE1D7F">
        <w:t>The project:</w:t>
      </w:r>
    </w:p>
    <w:p w14:paraId="28183E15" w14:textId="77777777" w:rsidR="002B32A0" w:rsidRPr="00CE1D7F" w:rsidRDefault="002B32A0" w:rsidP="0039477C">
      <w:pPr>
        <w:pStyle w:val="ListBullet"/>
      </w:pPr>
      <w:r w:rsidRPr="00CE1D7F">
        <w:t>Mapped existing Australian jurisprudence to identify judgments influenced by feminist thought and explored the subjectivity of feminist judicial officers in Australia</w:t>
      </w:r>
    </w:p>
    <w:p w14:paraId="451274AF" w14:textId="77777777" w:rsidR="002B32A0" w:rsidRPr="00CE1D7F" w:rsidRDefault="002B32A0" w:rsidP="0039477C">
      <w:pPr>
        <w:pStyle w:val="ListBullet"/>
      </w:pPr>
      <w:r w:rsidRPr="00CE1D7F">
        <w:t>Built on and extended international feminist judgment-writing projects by identifying key Australian judgments calling for revision, drawing on feminist theoretical insights, writing alternative feminist judgments, and inquiring into and reflecting on the methods and reasoning employed by authors in re-writing judgments from a feminist perspective</w:t>
      </w:r>
    </w:p>
    <w:p w14:paraId="70133B3B" w14:textId="77777777" w:rsidR="002B32A0" w:rsidRPr="00CE1D7F" w:rsidRDefault="002B32A0" w:rsidP="0039477C">
      <w:pPr>
        <w:pStyle w:val="ListBullet"/>
      </w:pPr>
      <w:r w:rsidRPr="00484D08">
        <w:t>Investigated whether feminist theoretical insights make a difference to judicial decision-making in Australia, or could do so.</w:t>
      </w:r>
    </w:p>
    <w:p w14:paraId="2CD44896" w14:textId="77777777" w:rsidR="002B32A0" w:rsidRPr="00CE1D7F" w:rsidRDefault="002B32A0" w:rsidP="002B32A0">
      <w:pPr>
        <w:pStyle w:val="Heading3"/>
      </w:pPr>
      <w:r w:rsidRPr="00CE1D7F">
        <w:t>Future Fellowship – Using law and ending domestic violence: Women's voices</w:t>
      </w:r>
    </w:p>
    <w:p w14:paraId="66F16999" w14:textId="77777777" w:rsidR="002B32A0" w:rsidRPr="00CE1D7F" w:rsidRDefault="002B32A0" w:rsidP="002B32A0">
      <w:pPr>
        <w:pStyle w:val="BodyText"/>
      </w:pPr>
      <w:r w:rsidRPr="00CE1D7F">
        <w:t xml:space="preserve">This project explored women's engagements with the law after experiencing DFV. The project engaged 65 women over 3 years to build evidence for how perpetrators can use the law to further abuse and how legal responses might better prevent this and support women. </w:t>
      </w:r>
    </w:p>
    <w:p w14:paraId="566CFAE2" w14:textId="77777777" w:rsidR="002B32A0" w:rsidRPr="00CE1D7F" w:rsidRDefault="002B32A0" w:rsidP="002B32A0">
      <w:pPr>
        <w:pStyle w:val="BodyText"/>
      </w:pPr>
      <w:r w:rsidRPr="00CE1D7F">
        <w:t>This research reviewed current literature and legal responses to DFV and focused on Queensland’s</w:t>
      </w:r>
      <w:r w:rsidRPr="00CE1D7F" w:rsidDel="001D15BF">
        <w:t xml:space="preserve"> </w:t>
      </w:r>
      <w:r w:rsidRPr="00CE1D7F">
        <w:t xml:space="preserve">civil protection orders, criminal law, family law, immigration law and child protection. </w:t>
      </w:r>
    </w:p>
    <w:p w14:paraId="2DE183F3" w14:textId="34F6CD9B" w:rsidR="002B32A0" w:rsidRPr="00CE1D7F" w:rsidRDefault="002B32A0" w:rsidP="002B32A0">
      <w:pPr>
        <w:pStyle w:val="BodyText"/>
        <w:rPr>
          <w:sz w:val="16"/>
          <w:szCs w:val="16"/>
        </w:rPr>
      </w:pPr>
      <w:r w:rsidRPr="00CE1D7F">
        <w:t>The second component of the method involved 3 annual longitudinal interviews with 65 women who had experienced intimate partner violence. These focused on women’s choices about legal engagement and their experiences with and perceptions of the legal system. DFV organisations</w:t>
      </w:r>
      <w:r w:rsidRPr="00CE1D7F" w:rsidDel="0061128B">
        <w:t xml:space="preserve"> </w:t>
      </w:r>
      <w:r w:rsidRPr="00CE1D7F">
        <w:t xml:space="preserve">were critical in supporting engagement with participants (see </w:t>
      </w:r>
      <w:r>
        <w:t>section </w:t>
      </w:r>
      <w:r w:rsidRPr="00F87D0E">
        <w:fldChar w:fldCharType="begin"/>
      </w:r>
      <w:r w:rsidRPr="00F87D0E">
        <w:instrText xml:space="preserve"> REF _Ref125983625 \r \h  \* MERGEFORMAT </w:instrText>
      </w:r>
      <w:r w:rsidRPr="00F87D0E">
        <w:fldChar w:fldCharType="separate"/>
      </w:r>
      <w:r w:rsidR="000B0AC7">
        <w:t>11.4</w:t>
      </w:r>
      <w:r w:rsidRPr="00F87D0E">
        <w:fldChar w:fldCharType="end"/>
      </w:r>
      <w:r w:rsidRPr="00CE1D7F">
        <w:t>). Family law solicitors and academic partners also contributed to the research</w:t>
      </w:r>
      <w:r w:rsidRPr="00CE1D7F">
        <w:rPr>
          <w:rStyle w:val="CommentReference"/>
        </w:rPr>
        <w:t xml:space="preserve">. </w:t>
      </w:r>
      <w:r w:rsidRPr="00CE1D7F">
        <w:rPr>
          <w:rStyle w:val="CommentReference"/>
          <w:sz w:val="22"/>
          <w:szCs w:val="22"/>
        </w:rPr>
        <w:t>Re</w:t>
      </w:r>
      <w:r w:rsidRPr="00CE1D7F">
        <w:t>searchers from other disciplines (e.g., psychology and digital technology) broadened the research's scope, application and impact.</w:t>
      </w:r>
    </w:p>
    <w:p w14:paraId="3F8FBE92" w14:textId="77777777" w:rsidR="002B32A0" w:rsidRPr="00CE1D7F" w:rsidRDefault="002B32A0" w:rsidP="002B32A0">
      <w:pPr>
        <w:pStyle w:val="BodyText"/>
      </w:pPr>
      <w:r w:rsidRPr="00CE1D7F">
        <w:t>The research concluded with a write-up and dissemination of results, workshops at UQ to connect researchers with DFV organisations, and ongoing monthly meetings at UQ to discuss responses to, and research needs, regarding DFV.</w:t>
      </w:r>
    </w:p>
    <w:p w14:paraId="088EB0D9" w14:textId="77777777" w:rsidR="002B32A0" w:rsidRPr="00CE1D7F" w:rsidRDefault="002B32A0" w:rsidP="002B32A0">
      <w:pPr>
        <w:pStyle w:val="BodyText"/>
      </w:pPr>
      <w:r w:rsidRPr="00CE1D7F">
        <w:t>The research found that women's engagement with the legal system changes over time: civil and criminal matters are prominent in the first year after separation, and engagement with family law continues throughout. Women’s choice of legal engagements is affected by their access to financial support and lawyers, which fluctuates significantly and is available for only some areas (i.e. protection orders). Perpetrators were found to abuse legal systems and responses as a form of coercive control (i.e., systems abuse).</w:t>
      </w:r>
    </w:p>
    <w:p w14:paraId="65232515" w14:textId="77777777" w:rsidR="002B32A0" w:rsidRPr="00CE1D7F" w:rsidRDefault="002B32A0" w:rsidP="00731B55">
      <w:pPr>
        <w:pStyle w:val="Heading3"/>
        <w:ind w:left="709" w:hanging="709"/>
      </w:pPr>
      <w:r w:rsidRPr="00CE1D7F">
        <w:t xml:space="preserve">Discovery Project – The non-fatal strangulation offence as a response to domestic violence </w:t>
      </w:r>
    </w:p>
    <w:p w14:paraId="105295EF" w14:textId="77777777" w:rsidR="002B32A0" w:rsidRPr="00CE1D7F" w:rsidRDefault="002B32A0" w:rsidP="002B32A0">
      <w:pPr>
        <w:pStyle w:val="BodyText"/>
      </w:pPr>
      <w:r w:rsidRPr="00CE1D7F">
        <w:t xml:space="preserve">This project reviews the application and experience of the NFS offence. It aims to contribute to the development of law reform and policy recommendations to improve the operation of the offence, enhance service provisions and develop professional education. </w:t>
      </w:r>
    </w:p>
    <w:p w14:paraId="4B4EBC9A" w14:textId="77777777" w:rsidR="002B32A0" w:rsidRPr="00CE1D7F" w:rsidRDefault="002B32A0" w:rsidP="002B32A0">
      <w:pPr>
        <w:pStyle w:val="BodyText"/>
      </w:pPr>
      <w:r w:rsidRPr="00CE1D7F">
        <w:t>The project has to date, involved a comprehensive analysis of administrative data held by courts in the 5 years since the implementation of the Queensland NFS law. The analysis has explored temporal and geographic variation in incidents, victims, offenders and legal variables. This will be followed by an analysis of court files and sentencing remarks to assess the context in which NFS cases are charged, processed and interpreted. This involves interviews with prosecution and defence lawyers from 4 court regions to understand the legal professionals’ experience with and understanding of the offence, and its limitations or benefits to prosecution. This will also analyse sentencing outcomes in higher courts, to understand the judicial consideration of relevant factors, including aggravating and mitigating circumstances.</w:t>
      </w:r>
    </w:p>
    <w:p w14:paraId="26A6446D" w14:textId="77777777" w:rsidR="002B32A0" w:rsidRPr="00CE1D7F" w:rsidRDefault="002B32A0" w:rsidP="002B32A0">
      <w:pPr>
        <w:pStyle w:val="BodyText"/>
      </w:pPr>
      <w:r w:rsidRPr="00CE1D7F">
        <w:t xml:space="preserve">The third component has involved interviews and focus groups with survivors and perpetrators of NFS, service workers and men’s behaviour change workers to understand their perspectives on the implementation and operation of the offence. </w:t>
      </w:r>
    </w:p>
    <w:p w14:paraId="539BD354" w14:textId="77777777" w:rsidR="002B32A0" w:rsidRPr="00CE1D7F" w:rsidRDefault="002B32A0" w:rsidP="002B32A0">
      <w:pPr>
        <w:pStyle w:val="Heading3"/>
        <w:rPr>
          <w:rStyle w:val="CaptionLabel"/>
          <w:rFonts w:eastAsiaTheme="minorHAnsi"/>
          <w:b/>
          <w:iCs/>
        </w:rPr>
      </w:pPr>
      <w:r w:rsidRPr="00CE1D7F">
        <w:rPr>
          <w:rStyle w:val="CaptionLabel"/>
          <w:b/>
        </w:rPr>
        <w:t>Discovery Indigenous – Bringing Indigenous voices into judicial decision-making</w:t>
      </w:r>
    </w:p>
    <w:p w14:paraId="1C070D2B" w14:textId="77777777" w:rsidR="002B32A0" w:rsidRPr="00CE1D7F" w:rsidRDefault="002B32A0" w:rsidP="002B32A0">
      <w:pPr>
        <w:pStyle w:val="BodyText"/>
      </w:pPr>
      <w:r w:rsidRPr="00CE1D7F">
        <w:t xml:space="preserve">This project aimed to demonstrate how legal judgements can be written to be inclusive of the voices and histories of Indigenous people. The project built upon Prof Douglas’ first Discovery Project, </w:t>
      </w:r>
      <w:r w:rsidRPr="00CE1D7F">
        <w:rPr>
          <w:i/>
          <w:iCs/>
        </w:rPr>
        <w:t>Australian feminist judgments project: jurisprudence as praxis</w:t>
      </w:r>
      <w:r w:rsidRPr="00CE1D7F">
        <w:t>, which corrected for the absence of women’s voices in legal judgements, to write the missing Indigenous perspective in 20</w:t>
      </w:r>
      <w:r>
        <w:t xml:space="preserve"> </w:t>
      </w:r>
      <w:r w:rsidRPr="00CE1D7F">
        <w:t>Australian superior courts decisions. The project identified gaps between judge-made law and the lived experience of Indigenous litigants by examining 4 test cases and workshops held in Sydney and Brisbane.</w:t>
      </w:r>
    </w:p>
    <w:p w14:paraId="5590E151" w14:textId="77777777" w:rsidR="002B32A0" w:rsidRPr="00CE1D7F" w:rsidRDefault="002B32A0" w:rsidP="002B32A0">
      <w:pPr>
        <w:pStyle w:val="Heading2"/>
      </w:pPr>
      <w:bookmarkStart w:id="506" w:name="_Toc129963979"/>
      <w:bookmarkStart w:id="507" w:name="_Toc131174618"/>
      <w:bookmarkStart w:id="508" w:name="_Toc132970709"/>
      <w:bookmarkStart w:id="509" w:name="_Toc135323748"/>
      <w:r w:rsidRPr="00CE1D7F">
        <w:t>Outputs</w:t>
      </w:r>
      <w:bookmarkEnd w:id="506"/>
      <w:bookmarkEnd w:id="507"/>
      <w:bookmarkEnd w:id="508"/>
      <w:bookmarkEnd w:id="509"/>
    </w:p>
    <w:p w14:paraId="3220D132" w14:textId="77777777" w:rsidR="002B32A0" w:rsidRPr="00CE1D7F" w:rsidRDefault="002B32A0" w:rsidP="002B32A0">
      <w:pPr>
        <w:pStyle w:val="Heading3"/>
      </w:pPr>
      <w:r w:rsidRPr="00CE1D7F">
        <w:t>Publications</w:t>
      </w:r>
    </w:p>
    <w:p w14:paraId="30062CCD" w14:textId="0F71060D" w:rsidR="002B32A0" w:rsidRPr="00CE1D7F" w:rsidRDefault="002B32A0" w:rsidP="002B32A0">
      <w:pPr>
        <w:pStyle w:val="BodyText"/>
      </w:pPr>
      <w:r w:rsidRPr="00CE1D7F">
        <w:t xml:space="preserve">The research resulted in many publications. </w:t>
      </w:r>
      <w:r w:rsidRPr="00CE1D7F">
        <w:rPr>
          <w:rFonts w:cstheme="minorHAnsi"/>
        </w:rPr>
        <w:t xml:space="preserve">One of the more significant outputs from the research is the </w:t>
      </w:r>
      <w:r w:rsidRPr="00CE1D7F">
        <w:t xml:space="preserve">National Domestic and Family Violence Bench Book (the Bench Book), discussed in </w:t>
      </w:r>
      <w:r>
        <w:t>section </w:t>
      </w:r>
      <w:r w:rsidRPr="00F87D0E">
        <w:fldChar w:fldCharType="begin"/>
      </w:r>
      <w:r w:rsidRPr="00F87D0E">
        <w:instrText xml:space="preserve"> REF _Ref125990095 \r \h  \* MERGEFORMAT </w:instrText>
      </w:r>
      <w:r w:rsidRPr="00F87D0E">
        <w:fldChar w:fldCharType="separate"/>
      </w:r>
      <w:r w:rsidR="000B0AC7">
        <w:t>11.7</w:t>
      </w:r>
      <w:r w:rsidRPr="00F87D0E">
        <w:fldChar w:fldCharType="end"/>
      </w:r>
      <w:r w:rsidRPr="00CE1D7F">
        <w:t xml:space="preserve">. Prof Douglas developed the Bench Book for the Australian Institute of Judicial Administration (AIJA) with funding from the Commonwealth Attorney-General's Department. </w:t>
      </w:r>
    </w:p>
    <w:p w14:paraId="77F192CE" w14:textId="77777777" w:rsidR="002B32A0" w:rsidRPr="00CE1D7F" w:rsidRDefault="002B32A0" w:rsidP="002B32A0">
      <w:pPr>
        <w:pStyle w:val="BodyText"/>
      </w:pPr>
      <w:r w:rsidRPr="00CE1D7F">
        <w:t>Other significant publications include:</w:t>
      </w:r>
    </w:p>
    <w:p w14:paraId="0999DCFA" w14:textId="77777777" w:rsidR="002B32A0" w:rsidRPr="00CE1D7F" w:rsidRDefault="002B32A0" w:rsidP="00731B55">
      <w:pPr>
        <w:pStyle w:val="ListBullet"/>
      </w:pPr>
      <w:r w:rsidRPr="00CE1D7F">
        <w:t xml:space="preserve">1 book titled </w:t>
      </w:r>
      <w:r w:rsidRPr="00CE1D7F">
        <w:rPr>
          <w:lang w:val="en"/>
        </w:rPr>
        <w:t>Women, Intimate Partner Violence and the Law</w:t>
      </w:r>
      <w:r w:rsidRPr="00CE1D7F">
        <w:rPr>
          <w:rStyle w:val="FootnoteReference"/>
          <w:i/>
          <w:lang w:val="en"/>
        </w:rPr>
        <w:footnoteReference w:id="212"/>
      </w:r>
      <w:r w:rsidRPr="00CE1D7F">
        <w:t xml:space="preserve"> (2021) 3 co-</w:t>
      </w:r>
      <w:r w:rsidRPr="00CE1D7F">
        <w:rPr>
          <w:lang w:val="en"/>
        </w:rPr>
        <w:t xml:space="preserve">edited collections titled </w:t>
      </w:r>
      <w:r w:rsidRPr="00CE1D7F">
        <w:t>Australian Feminist Judgments</w:t>
      </w:r>
      <w:r w:rsidRPr="00CE1D7F">
        <w:rPr>
          <w:rStyle w:val="FootnoteReference"/>
          <w:i/>
          <w:iCs/>
        </w:rPr>
        <w:footnoteReference w:id="213"/>
      </w:r>
      <w:r w:rsidRPr="00CE1D7F">
        <w:t xml:space="preserve"> (2014) Indigenous Legal Judgments: Bringing Indigenous Voices into Judicial Decision Making</w:t>
      </w:r>
      <w:r w:rsidRPr="00CE1D7F">
        <w:rPr>
          <w:rStyle w:val="FootnoteReference"/>
          <w:i/>
          <w:iCs/>
        </w:rPr>
        <w:footnoteReference w:id="214"/>
      </w:r>
      <w:r w:rsidRPr="00CE1D7F">
        <w:t xml:space="preserve"> (2021),Young People using Family Violence (2021),</w:t>
      </w:r>
      <w:r w:rsidRPr="00CE1D7F">
        <w:rPr>
          <w:rStyle w:val="FootnoteReference"/>
        </w:rPr>
        <w:footnoteReference w:id="215"/>
      </w:r>
      <w:r w:rsidRPr="00CE1D7F">
        <w:t xml:space="preserve"> </w:t>
      </w:r>
      <w:r w:rsidRPr="00CE1D7F">
        <w:rPr>
          <w:lang w:val="en"/>
        </w:rPr>
        <w:t>8 book chapters on co-option of children in relation to intimate partner violence, the use of technology, violence and the law for general medical practitioners, mothers and step-mothers engaging with the law in response to adolescent family violence, and protection orders and personal security.</w:t>
      </w:r>
    </w:p>
    <w:p w14:paraId="6EBF2B46" w14:textId="77777777" w:rsidR="002B32A0" w:rsidRPr="00CE1D7F" w:rsidRDefault="002B32A0" w:rsidP="00731B55">
      <w:pPr>
        <w:pStyle w:val="ListBullet"/>
      </w:pPr>
      <w:r w:rsidRPr="00CE1D7F">
        <w:rPr>
          <w:lang w:val="en"/>
        </w:rPr>
        <w:t xml:space="preserve">14 academic papers on NFS and legal responses, </w:t>
      </w:r>
      <w:r w:rsidRPr="00CE1D7F">
        <w:t xml:space="preserve">coercive control, reproductive coercion, policing of DFV, technology-facilitated DFV, DFV in the context of mental health </w:t>
      </w:r>
      <w:r w:rsidRPr="00CE1D7F">
        <w:rPr>
          <w:lang w:eastAsia="en-AU"/>
        </w:rPr>
        <w:t xml:space="preserve">and </w:t>
      </w:r>
      <w:r w:rsidRPr="00CE1D7F">
        <w:rPr>
          <w:bdr w:val="none" w:sz="0" w:space="0" w:color="auto" w:frame="1"/>
          <w:lang w:eastAsia="en-AU"/>
        </w:rPr>
        <w:t>intellectual disabilities.</w:t>
      </w:r>
    </w:p>
    <w:p w14:paraId="36EC0F12" w14:textId="77777777" w:rsidR="002B32A0" w:rsidRPr="00CE1D7F" w:rsidRDefault="002B32A0" w:rsidP="00731B55">
      <w:pPr>
        <w:pStyle w:val="ListBullet"/>
        <w:rPr>
          <w:lang w:val="en"/>
        </w:rPr>
      </w:pPr>
      <w:r w:rsidRPr="00CE1D7F">
        <w:rPr>
          <w:bdr w:val="none" w:sz="0" w:space="0" w:color="auto" w:frame="1"/>
          <w:lang w:eastAsia="en-AU"/>
        </w:rPr>
        <w:t xml:space="preserve">3 </w:t>
      </w:r>
      <w:r w:rsidRPr="00CE1D7F">
        <w:rPr>
          <w:lang w:val="en"/>
        </w:rPr>
        <w:t xml:space="preserve">conversation pieces on </w:t>
      </w:r>
      <w:r w:rsidRPr="00CE1D7F">
        <w:t>migrant women and technology-facilitated DFV, reparations for police negligence, and the role of technology in safety and abuse.</w:t>
      </w:r>
    </w:p>
    <w:p w14:paraId="190AFC15" w14:textId="77777777" w:rsidR="002B32A0" w:rsidRPr="00CE1D7F" w:rsidRDefault="002B32A0" w:rsidP="00731B55">
      <w:pPr>
        <w:pStyle w:val="ListBullet"/>
        <w:rPr>
          <w:lang w:val="en"/>
        </w:rPr>
      </w:pPr>
      <w:r w:rsidRPr="00CE1D7F">
        <w:t xml:space="preserve">At least 12 </w:t>
      </w:r>
      <w:r w:rsidRPr="00CE1D7F">
        <w:rPr>
          <w:rStyle w:val="Hyperlink"/>
          <w:rFonts w:cstheme="minorHAnsi"/>
          <w:color w:val="auto"/>
          <w:u w:val="none"/>
        </w:rPr>
        <w:t xml:space="preserve">significant </w:t>
      </w:r>
      <w:r w:rsidRPr="00CE1D7F">
        <w:t>media engagements about intimate partner violence and systems abuse, migrant women and technology-facilitated DFV, stalking, women who kill violent men, proposed new strangulation laws in Victoria and the criminality of psychological or emotional DFV. Prof Douglas also called for a review of deaths associated with the family law system (where she was referred to as one ‘of the nation’s leading experts on family law and domestic violence’).</w:t>
      </w:r>
    </w:p>
    <w:p w14:paraId="55758399" w14:textId="77777777" w:rsidR="002B32A0" w:rsidRPr="00CE1D7F" w:rsidRDefault="002B32A0" w:rsidP="00731B55">
      <w:pPr>
        <w:pStyle w:val="ListBullet"/>
        <w:rPr>
          <w:rStyle w:val="Strong"/>
          <w:b w:val="0"/>
          <w:bCs w:val="0"/>
          <w:lang w:val="en"/>
        </w:rPr>
      </w:pPr>
      <w:r w:rsidRPr="00CE1D7F">
        <w:t xml:space="preserve">1 video on </w:t>
      </w:r>
      <w:r w:rsidRPr="00CE1D7F">
        <w:rPr>
          <w:rStyle w:val="Strong"/>
          <w:rFonts w:cstheme="minorHAnsi"/>
          <w:b w:val="0"/>
          <w:bCs w:val="0"/>
          <w:lang w:val="en"/>
        </w:rPr>
        <w:t>technology, privacy and DFV.</w:t>
      </w:r>
    </w:p>
    <w:p w14:paraId="184679D9" w14:textId="77777777" w:rsidR="002B32A0" w:rsidRPr="00CE1D7F" w:rsidRDefault="002B32A0" w:rsidP="00731B55">
      <w:pPr>
        <w:pStyle w:val="ListBullet"/>
        <w:rPr>
          <w:lang w:val="en"/>
        </w:rPr>
      </w:pPr>
      <w:r w:rsidRPr="00CE1D7F">
        <w:rPr>
          <w:lang w:val="en"/>
        </w:rPr>
        <w:t>9 presentations at conferences and 5 at universities.</w:t>
      </w:r>
    </w:p>
    <w:p w14:paraId="62BD3792" w14:textId="77777777" w:rsidR="002B32A0" w:rsidRPr="00CE1D7F" w:rsidRDefault="002B32A0" w:rsidP="00731B55">
      <w:pPr>
        <w:pStyle w:val="ListBullet"/>
        <w:rPr>
          <w:rStyle w:val="Hyperlink"/>
          <w:color w:val="auto"/>
          <w:u w:val="none"/>
          <w:lang w:val="en"/>
        </w:rPr>
      </w:pPr>
      <w:r w:rsidRPr="00CE1D7F">
        <w:rPr>
          <w:lang w:val="en"/>
        </w:rPr>
        <w:t xml:space="preserve">17 professional development sessions in the form of workshops, panel discussions and </w:t>
      </w:r>
      <w:r w:rsidRPr="00CE1D7F">
        <w:t>reflection events. These were undertaken with organisations including the Victorian Department of Justice, Judicial Council of Victoria, Department of Youth Justice and Child Protection Queensland, Network to Eliminate Violence in Relationships,</w:t>
      </w:r>
      <w:r w:rsidRPr="00CE1D7F">
        <w:rPr>
          <w:lang w:eastAsia="en-AU"/>
        </w:rPr>
        <w:t xml:space="preserve"> Women’s Legal Services Network,</w:t>
      </w:r>
      <w:r w:rsidRPr="00CE1D7F">
        <w:rPr>
          <w:rStyle w:val="Hyperlink"/>
          <w:rFonts w:cstheme="minorHAnsi"/>
          <w:color w:val="auto"/>
          <w:u w:val="none"/>
        </w:rPr>
        <w:t xml:space="preserve"> Legal Aid NSW, and Legal Aid ACT.</w:t>
      </w:r>
    </w:p>
    <w:p w14:paraId="1009CFA8" w14:textId="77777777" w:rsidR="002B32A0" w:rsidRPr="00CE1D7F" w:rsidRDefault="002B32A0" w:rsidP="00731B55">
      <w:pPr>
        <w:pStyle w:val="ListBullet"/>
        <w:rPr>
          <w:b/>
          <w:i/>
          <w:iCs/>
          <w:lang w:eastAsia="en-AU"/>
        </w:rPr>
      </w:pPr>
      <w:r w:rsidRPr="00CE1D7F">
        <w:rPr>
          <w:rStyle w:val="Hyperlink"/>
          <w:rFonts w:cstheme="minorHAnsi"/>
          <w:color w:val="auto"/>
          <w:u w:val="none"/>
        </w:rPr>
        <w:t>At least 8 significant public events, including an</w:t>
      </w:r>
      <w:r w:rsidRPr="00CE1D7F">
        <w:rPr>
          <w:lang w:eastAsia="en-AU"/>
        </w:rPr>
        <w:t xml:space="preserve"> Annual General Meeting Address at the Australian Academy of Forensic Sciences, panel discussions at </w:t>
      </w:r>
      <w:r w:rsidRPr="00CE1D7F">
        <w:rPr>
          <w:iCs/>
          <w:lang w:eastAsia="en-AU"/>
        </w:rPr>
        <w:t xml:space="preserve">Feminist Writer’s Festivals, </w:t>
      </w:r>
      <w:r w:rsidRPr="00CE1D7F">
        <w:rPr>
          <w:lang w:eastAsia="en-AU"/>
        </w:rPr>
        <w:t>Annual Social Justice Lecture at James Cook University and an expert panel discussion at Queensland Parliament House.</w:t>
      </w:r>
    </w:p>
    <w:p w14:paraId="63701DEC" w14:textId="77777777" w:rsidR="002B32A0" w:rsidRPr="00CE1D7F" w:rsidRDefault="002B32A0" w:rsidP="00731B55">
      <w:pPr>
        <w:pStyle w:val="ListBullet"/>
      </w:pPr>
      <w:r w:rsidRPr="00CE1D7F">
        <w:t>2 papers were published with Prof Douglas’ honours students on DFV and child support and child maltreatment as coercive control.</w:t>
      </w:r>
    </w:p>
    <w:p w14:paraId="5F38C1EC" w14:textId="77777777" w:rsidR="002B32A0" w:rsidRPr="00CE1D7F" w:rsidRDefault="002B32A0" w:rsidP="002B32A0">
      <w:pPr>
        <w:pStyle w:val="BodyText"/>
        <w:rPr>
          <w:rFonts w:cstheme="minorHAnsi"/>
        </w:rPr>
      </w:pPr>
      <w:r w:rsidRPr="00CE1D7F">
        <w:t xml:space="preserve">Prof Douglas also developed a </w:t>
      </w:r>
      <w:r w:rsidRPr="00CE1D7F">
        <w:rPr>
          <w:rFonts w:cstheme="minorHAnsi"/>
        </w:rPr>
        <w:t xml:space="preserve">course on DFV for final-year law students (implemented in 2022 at the University of Melbourne Law School). Approximately 15 students will undertake the course each year. </w:t>
      </w:r>
    </w:p>
    <w:p w14:paraId="1F7456C0" w14:textId="77777777" w:rsidR="002B32A0" w:rsidRPr="00CE1D7F" w:rsidRDefault="002B32A0" w:rsidP="002B32A0">
      <w:pPr>
        <w:pStyle w:val="Heading3"/>
      </w:pPr>
      <w:r w:rsidRPr="00CE1D7F">
        <w:t>Awards</w:t>
      </w:r>
    </w:p>
    <w:p w14:paraId="4D30B953" w14:textId="77777777" w:rsidR="002B32A0" w:rsidRPr="00CE1D7F" w:rsidRDefault="002B32A0" w:rsidP="002B32A0">
      <w:pPr>
        <w:pStyle w:val="BodyText"/>
      </w:pPr>
      <w:r w:rsidRPr="00CE1D7F">
        <w:t>In 2018, Prof Douglas became a Fellow of the Australian Academy of Social Sciences in recognition of her contributions to research in DFV. She was appointed a Member of the Order of Australia in 2022 to recognise her services to tertiary education and the community.</w:t>
      </w:r>
    </w:p>
    <w:p w14:paraId="61427A1F" w14:textId="77777777" w:rsidR="002B32A0" w:rsidRPr="00CE1D7F" w:rsidRDefault="002B32A0" w:rsidP="002B32A0">
      <w:pPr>
        <w:pStyle w:val="BodyText"/>
      </w:pPr>
      <w:r w:rsidRPr="00CE1D7F">
        <w:t xml:space="preserve">Her book, </w:t>
      </w:r>
      <w:r w:rsidRPr="00CE1D7F">
        <w:rPr>
          <w:i/>
          <w:iCs/>
        </w:rPr>
        <w:t>Women Intimate Partner Violence and the Law</w:t>
      </w:r>
      <w:r w:rsidRPr="00CE1D7F">
        <w:t>, was published in 2021 and won the Law and Society Association of Australia and New Zealand Award for best monograph in 2021.</w:t>
      </w:r>
    </w:p>
    <w:p w14:paraId="4E53D05A" w14:textId="77777777" w:rsidR="002B32A0" w:rsidRPr="00CE1D7F" w:rsidRDefault="002B32A0" w:rsidP="002B32A0">
      <w:pPr>
        <w:pStyle w:val="Heading3"/>
      </w:pPr>
      <w:r w:rsidRPr="00CE1D7F">
        <w:t xml:space="preserve">Innovation / commercialisation </w:t>
      </w:r>
    </w:p>
    <w:p w14:paraId="006CE56A" w14:textId="77777777" w:rsidR="002B32A0" w:rsidRPr="00CE1D7F" w:rsidRDefault="002B32A0" w:rsidP="002B32A0">
      <w:pPr>
        <w:pStyle w:val="BodyText"/>
      </w:pPr>
      <w:bookmarkStart w:id="510" w:name="_Hlk129279222"/>
      <w:r w:rsidRPr="00CE1D7F">
        <w:t>Prof Douglas’ has used innovative research methodologies to support her research. For example, the Future Fellowship project was one of the first studies to apply a qualitative longitudinal approach to the study of women's engagement with law. The research applying feminist theory to legal decision-making was a first in the Australian context, as was the re-writing of legal judgements to include the voices and histories of Indigenous people.</w:t>
      </w:r>
    </w:p>
    <w:bookmarkEnd w:id="510"/>
    <w:p w14:paraId="6CA9C961" w14:textId="77777777" w:rsidR="002B32A0" w:rsidRPr="00CE1D7F" w:rsidRDefault="002B32A0" w:rsidP="002B32A0">
      <w:pPr>
        <w:pStyle w:val="BodyText"/>
      </w:pPr>
      <w:r w:rsidRPr="00CE1D7F">
        <w:t>There have been no commercial outcomes from the research, noting that the Bench Book has been made freely available by AIJA to encourage uptake by end users.</w:t>
      </w:r>
    </w:p>
    <w:p w14:paraId="489F7F15" w14:textId="77777777" w:rsidR="002B32A0" w:rsidRPr="00CE1D7F" w:rsidRDefault="002B32A0" w:rsidP="002B32A0">
      <w:pPr>
        <w:pStyle w:val="Heading2"/>
      </w:pPr>
      <w:bookmarkStart w:id="511" w:name="_Ref125990095"/>
      <w:bookmarkStart w:id="512" w:name="_Toc129963980"/>
      <w:bookmarkStart w:id="513" w:name="_Toc131174619"/>
      <w:bookmarkStart w:id="514" w:name="_Toc132970710"/>
      <w:bookmarkStart w:id="515" w:name="_Toc135323749"/>
      <w:bookmarkStart w:id="516" w:name="_Ref125989966"/>
      <w:r w:rsidRPr="00CE1D7F">
        <w:t>Outcomes</w:t>
      </w:r>
      <w:bookmarkEnd w:id="511"/>
      <w:bookmarkEnd w:id="512"/>
      <w:bookmarkEnd w:id="513"/>
      <w:bookmarkEnd w:id="514"/>
      <w:bookmarkEnd w:id="515"/>
      <w:r w:rsidRPr="00CE1D7F">
        <w:t xml:space="preserve"> </w:t>
      </w:r>
      <w:bookmarkEnd w:id="516"/>
    </w:p>
    <w:p w14:paraId="29DB1CC6" w14:textId="77777777" w:rsidR="002B32A0" w:rsidRPr="00CE1D7F" w:rsidRDefault="002B32A0" w:rsidP="002B32A0">
      <w:pPr>
        <w:pStyle w:val="Heading3"/>
      </w:pPr>
      <w:r w:rsidRPr="00CE1D7F">
        <w:t>Adoption</w:t>
      </w:r>
    </w:p>
    <w:p w14:paraId="55EBB118" w14:textId="77777777" w:rsidR="002B32A0" w:rsidRPr="00CE1D7F" w:rsidRDefault="002B32A0" w:rsidP="002B32A0">
      <w:pPr>
        <w:pStyle w:val="BodyText"/>
      </w:pPr>
      <w:r w:rsidRPr="00CE1D7F">
        <w:t>The research developed a robust evidence base with advanced knowledge of DFV in Australia. Many organisations have used this to deliver significant outcomes, including developing and using the Bench Book, informing policy and legislation, and guiding education and training.</w:t>
      </w:r>
    </w:p>
    <w:p w14:paraId="4DF5C567" w14:textId="77777777" w:rsidR="002B32A0" w:rsidRPr="00CE1D7F" w:rsidRDefault="002B32A0" w:rsidP="002B32A0">
      <w:pPr>
        <w:pStyle w:val="Heading4"/>
      </w:pPr>
      <w:r w:rsidRPr="00CE1D7F">
        <w:t>National Domestic and Family Violence Bench Book</w:t>
      </w:r>
    </w:p>
    <w:p w14:paraId="68A2D888" w14:textId="77777777" w:rsidR="002B32A0" w:rsidRPr="00CE1D7F" w:rsidRDefault="002B32A0" w:rsidP="002B32A0">
      <w:pPr>
        <w:pStyle w:val="BodyText"/>
      </w:pPr>
      <w:r w:rsidRPr="00CE1D7F">
        <w:t>Prof Douglas’ research on DFV directly contributed to the development of the Bench Book. The Bench Book is a centralised, national resource that guides magistrates, judges and other legal professionals through the sensitivities and complexities of DFV.</w:t>
      </w:r>
      <w:r w:rsidRPr="00CE1D7F">
        <w:rPr>
          <w:rStyle w:val="FootnoteReference"/>
        </w:rPr>
        <w:footnoteReference w:id="216"/>
      </w:r>
      <w:r w:rsidRPr="00CE1D7F">
        <w:t xml:space="preserve"> </w:t>
      </w:r>
    </w:p>
    <w:p w14:paraId="4A59CA9F" w14:textId="77777777" w:rsidR="002B32A0" w:rsidRPr="00CE1D7F" w:rsidRDefault="002B32A0" w:rsidP="002B32A0">
      <w:pPr>
        <w:pStyle w:val="BodyText"/>
      </w:pPr>
      <w:r w:rsidRPr="00CE1D7F">
        <w:t>The Bench Book draws on the knowledge and experiences of Australian lawyers, judiciary, police officers and case workers to promote greater understanding of the dynamics and behaviours associated with DFV.</w:t>
      </w:r>
      <w:r w:rsidRPr="00CE1D7F">
        <w:rPr>
          <w:rStyle w:val="FootnoteReference"/>
        </w:rPr>
        <w:footnoteReference w:id="217"/>
      </w:r>
      <w:r w:rsidRPr="00CE1D7F">
        <w:t xml:space="preserve"> The Bench Book aims to harmonise the treatment of these issues across jurisdictions and assist with decision-making and judgement writing processes.</w:t>
      </w:r>
      <w:r w:rsidRPr="00CE1D7F">
        <w:rPr>
          <w:rStyle w:val="FootnoteReference"/>
        </w:rPr>
        <w:footnoteReference w:id="218"/>
      </w:r>
      <w:r w:rsidRPr="00CE1D7F">
        <w:t xml:space="preserve"> The Bench Book contains a number of case studies drawn from interviews undertaken as part of Prof Douglas’ Future Fellowship, which help users develop a greater understanding of DFV and how these issues present themselves. The Bench Book is housed, maintained and routinely used by the AIJA. The AIJA runs training using the Bench Book for the judiciary, magistrates and tribunal members. The training has been run 8 times since September 2021, with approximately 240 individuals trained. Prof Douglas has also conducted training twice per year with </w:t>
      </w:r>
      <w:r w:rsidRPr="00CE1D7F">
        <w:rPr>
          <w:lang w:val="en-US"/>
        </w:rPr>
        <w:t xml:space="preserve">magistrates in Queensland and Victoria since the development of the Bench Book. </w:t>
      </w:r>
    </w:p>
    <w:p w14:paraId="71BF2135" w14:textId="029AE630" w:rsidR="002B32A0" w:rsidRPr="00CE1D7F" w:rsidRDefault="002B32A0" w:rsidP="002B32A0">
      <w:pPr>
        <w:pStyle w:val="BodyText"/>
      </w:pPr>
      <w:r w:rsidRPr="00CE1D7F">
        <w:t xml:space="preserve">Use of the Bench Book has grown steadily by 37% per year since its release in 2016, as shown in </w:t>
      </w:r>
      <w:r w:rsidRPr="00F87D0E">
        <w:fldChar w:fldCharType="begin"/>
      </w:r>
      <w:r w:rsidRPr="00F87D0E">
        <w:instrText xml:space="preserve"> REF _Ref129335190 \h  \* MERGEFORMAT </w:instrText>
      </w:r>
      <w:r w:rsidRPr="00F87D0E">
        <w:fldChar w:fldCharType="separate"/>
      </w:r>
      <w:r w:rsidR="000B0AC7" w:rsidRPr="000B0AC7">
        <w:t>Figure 11.3</w:t>
      </w:r>
      <w:r w:rsidRPr="00F87D0E">
        <w:fldChar w:fldCharType="end"/>
      </w:r>
      <w:r w:rsidRPr="00CE1D7F">
        <w:t>. Prof Douglas has been funded to conduct annual reviews of the Bench Book since its release in 2016.</w:t>
      </w:r>
    </w:p>
    <w:p w14:paraId="292EFBFD" w14:textId="1D191AD1" w:rsidR="000B0AC7" w:rsidRPr="00CE1D7F" w:rsidRDefault="000B0AC7" w:rsidP="000B0AC7">
      <w:pPr>
        <w:pStyle w:val="Caption"/>
        <w:ind w:left="-1102" w:hanging="1308"/>
      </w:pPr>
      <w:bookmarkStart w:id="517" w:name="_Ref129335190"/>
      <w:r w:rsidRPr="00CE1D7F">
        <w:rPr>
          <w:rStyle w:val="CaptionLabel"/>
        </w:rPr>
        <w:t>Figure </w:t>
      </w:r>
      <w:r w:rsidRPr="00CE1D7F">
        <w:rPr>
          <w:rStyle w:val="CaptionLabel"/>
        </w:rPr>
        <w:fldChar w:fldCharType="begin"/>
      </w:r>
      <w:r w:rsidRPr="00CE1D7F">
        <w:rPr>
          <w:rStyle w:val="CaptionLabel"/>
        </w:rPr>
        <w:instrText xml:space="preserve"> STYLEREF 1 \S \* MERGEFORMAT </w:instrText>
      </w:r>
      <w:r w:rsidRPr="00CE1D7F">
        <w:rPr>
          <w:rStyle w:val="CaptionLabel"/>
        </w:rPr>
        <w:fldChar w:fldCharType="separate"/>
      </w:r>
      <w:r>
        <w:rPr>
          <w:rStyle w:val="CaptionLabel"/>
          <w:noProof/>
        </w:rPr>
        <w:t>11</w:t>
      </w:r>
      <w:r w:rsidRPr="00CE1D7F">
        <w:rPr>
          <w:rStyle w:val="CaptionLabel"/>
        </w:rPr>
        <w:fldChar w:fldCharType="end"/>
      </w:r>
      <w:r w:rsidRPr="00CE1D7F">
        <w:rPr>
          <w:rStyle w:val="CaptionLabel"/>
        </w:rPr>
        <w:t>.</w:t>
      </w:r>
      <w:r w:rsidRPr="00CE1D7F">
        <w:rPr>
          <w:rStyle w:val="CaptionLabel"/>
        </w:rPr>
        <w:fldChar w:fldCharType="begin"/>
      </w:r>
      <w:r w:rsidRPr="00CE1D7F">
        <w:rPr>
          <w:rStyle w:val="CaptionLabel"/>
        </w:rPr>
        <w:instrText xml:space="preserve"> SEQ Figure \* ARABIC \S 1 \* MERGEFORMAT </w:instrText>
      </w:r>
      <w:r w:rsidRPr="00CE1D7F">
        <w:rPr>
          <w:rStyle w:val="CaptionLabel"/>
        </w:rPr>
        <w:fldChar w:fldCharType="separate"/>
      </w:r>
      <w:r>
        <w:rPr>
          <w:rStyle w:val="CaptionLabel"/>
          <w:noProof/>
        </w:rPr>
        <w:t>3</w:t>
      </w:r>
      <w:r w:rsidRPr="00CE1D7F">
        <w:rPr>
          <w:rStyle w:val="CaptionLabel"/>
        </w:rPr>
        <w:fldChar w:fldCharType="end"/>
      </w:r>
      <w:bookmarkEnd w:id="517"/>
      <w:r w:rsidRPr="00CE1D7F">
        <w:tab/>
        <w:t>Total number of bench book users each year</w:t>
      </w:r>
    </w:p>
    <w:tbl>
      <w:tblPr>
        <w:tblStyle w:val="aacTableFigure-Wide"/>
        <w:tblW w:w="6518" w:type="pct"/>
        <w:tblBorders>
          <w:top w:val="single" w:sz="4" w:space="0" w:color="000000"/>
          <w:bottom w:val="single" w:sz="4" w:space="0" w:color="000000"/>
        </w:tblBorders>
        <w:tblLook w:val="04A0" w:firstRow="1" w:lastRow="0" w:firstColumn="1" w:lastColumn="0" w:noHBand="0" w:noVBand="1"/>
      </w:tblPr>
      <w:tblGrid>
        <w:gridCol w:w="10345"/>
      </w:tblGrid>
      <w:tr w:rsidR="002B32A0" w:rsidRPr="00CE1D7F" w14:paraId="10C31F08" w14:textId="77777777" w:rsidTr="000B0AC7">
        <w:tc>
          <w:tcPr>
            <w:tcW w:w="5000" w:type="pct"/>
            <w:shd w:val="clear" w:color="auto" w:fill="auto"/>
          </w:tcPr>
          <w:p w14:paraId="6E175920" w14:textId="77777777" w:rsidR="002B32A0" w:rsidRPr="00CE1D7F" w:rsidRDefault="002B32A0" w:rsidP="006258ED">
            <w:pPr>
              <w:pStyle w:val="Figure"/>
              <w:jc w:val="center"/>
            </w:pPr>
            <w:r w:rsidRPr="00CE1D7F">
              <w:rPr>
                <w:noProof/>
              </w:rPr>
              <w:drawing>
                <wp:inline distT="0" distB="0" distL="0" distR="0" wp14:anchorId="3DB16048" wp14:editId="637FFCDF">
                  <wp:extent cx="6435586" cy="2067592"/>
                  <wp:effectExtent l="0" t="0" r="3810" b="8890"/>
                  <wp:docPr id="677" name="Picture 677" descr="Total number of bench book users each year, see description in text abov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 name="Picture 677" descr="Total number of bench book users each year, see description in text above figure."/>
                          <pic:cNvPicPr>
                            <a:picLocks noChangeAspect="1" noChangeArrowheads="1"/>
                          </pic:cNvPicPr>
                        </pic:nvPicPr>
                        <pic:blipFill rotWithShape="1">
                          <a:blip r:embed="rId210">
                            <a:extLst>
                              <a:ext uri="{28A0092B-C50C-407E-A947-70E740481C1C}">
                                <a14:useLocalDpi xmlns:a14="http://schemas.microsoft.com/office/drawing/2010/main" val="0"/>
                              </a:ext>
                            </a:extLst>
                          </a:blip>
                          <a:srcRect t="3422" b="6833"/>
                          <a:stretch/>
                        </pic:blipFill>
                        <pic:spPr bwMode="auto">
                          <a:xfrm>
                            <a:off x="0" y="0"/>
                            <a:ext cx="6515127" cy="2093147"/>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719A1BFC" w14:textId="77777777" w:rsidR="000B0AC7" w:rsidRPr="00CE1D7F" w:rsidRDefault="000B0AC7" w:rsidP="000B0AC7">
      <w:pPr>
        <w:pStyle w:val="Source"/>
        <w:ind w:left="-1102" w:hanging="1308"/>
        <w:rPr>
          <w:i w:val="0"/>
          <w:iCs/>
        </w:rPr>
      </w:pPr>
      <w:r w:rsidRPr="00CE1D7F">
        <w:rPr>
          <w:i w:val="0"/>
          <w:iCs/>
        </w:rPr>
        <w:t>Note: statistics were not available for 3 months in 2021.</w:t>
      </w:r>
    </w:p>
    <w:p w14:paraId="40308962" w14:textId="77777777" w:rsidR="000B0AC7" w:rsidRPr="00CE1D7F" w:rsidRDefault="000B0AC7" w:rsidP="006258ED">
      <w:pPr>
        <w:pStyle w:val="Source"/>
      </w:pPr>
      <w:r w:rsidRPr="00CE1D7F">
        <w:t>Source: Google analytics National Domestic and Family Violence Bench Book – site visits</w:t>
      </w:r>
    </w:p>
    <w:p w14:paraId="211351BD" w14:textId="77777777" w:rsidR="000B0AC7" w:rsidRPr="00CE1D7F" w:rsidRDefault="000B0AC7" w:rsidP="006258ED">
      <w:pPr>
        <w:pStyle w:val="spacer"/>
      </w:pPr>
    </w:p>
    <w:p w14:paraId="1625BC27" w14:textId="77777777" w:rsidR="002B32A0" w:rsidRPr="00CE1D7F" w:rsidRDefault="002B32A0" w:rsidP="00F26F55">
      <w:pPr>
        <w:pStyle w:val="Heading4"/>
      </w:pPr>
      <w:r w:rsidRPr="00CE1D7F">
        <w:t>Informing policy and legislation</w:t>
      </w:r>
    </w:p>
    <w:p w14:paraId="40AFD4CC" w14:textId="77777777" w:rsidR="002B32A0" w:rsidRPr="00CE1D7F" w:rsidRDefault="002B32A0" w:rsidP="00163772">
      <w:pPr>
        <w:pStyle w:val="BodyText"/>
      </w:pPr>
      <w:r w:rsidRPr="00CE1D7F">
        <w:t xml:space="preserve">Prof Douglas’ suite of DFV research has been highly influential in informing policy and legislation. </w:t>
      </w:r>
    </w:p>
    <w:p w14:paraId="34836B87" w14:textId="77777777" w:rsidR="002B32A0" w:rsidRPr="00CE1D7F" w:rsidRDefault="002B32A0" w:rsidP="00163772">
      <w:pPr>
        <w:pStyle w:val="BodyText"/>
      </w:pPr>
      <w:r w:rsidRPr="00CE1D7F">
        <w:t>This research was cited in the Not Now, Not Ever Report</w:t>
      </w:r>
      <w:r w:rsidRPr="00163772">
        <w:rPr>
          <w:vertAlign w:val="superscript"/>
        </w:rPr>
        <w:footnoteReference w:id="219"/>
      </w:r>
      <w:r w:rsidRPr="00CE1D7F">
        <w:t xml:space="preserve"> through a submission to the Taskforce and academic literature. This provided expert advice, which supported the Taskforce in delivering recommendation 120:</w:t>
      </w:r>
    </w:p>
    <w:p w14:paraId="30C0F695" w14:textId="77777777" w:rsidR="002B32A0" w:rsidRPr="00CE1D7F" w:rsidRDefault="002B32A0" w:rsidP="00163772">
      <w:pPr>
        <w:pStyle w:val="BodyText"/>
      </w:pPr>
      <w:r w:rsidRPr="00CE1D7F">
        <w:t>The Taskforce recommends that the Queensland Government considers the creation of a specific offence of strangulation.</w:t>
      </w:r>
      <w:r w:rsidRPr="00163772">
        <w:rPr>
          <w:vertAlign w:val="superscript"/>
        </w:rPr>
        <w:footnoteReference w:id="220"/>
      </w:r>
    </w:p>
    <w:p w14:paraId="75C0721D" w14:textId="77777777" w:rsidR="002B32A0" w:rsidRPr="00CE1D7F" w:rsidRDefault="002B32A0" w:rsidP="00163772">
      <w:pPr>
        <w:pStyle w:val="BodyText"/>
      </w:pPr>
      <w:r w:rsidRPr="00CE1D7F">
        <w:t>An NFS law was introduced in Queensland in 2016, the first in Australia. This made NFS and suffocation a separate criminal offence with a maximum penalty of 7 years imprisonment.</w:t>
      </w:r>
      <w:r w:rsidRPr="00163772">
        <w:rPr>
          <w:vertAlign w:val="superscript"/>
        </w:rPr>
        <w:footnoteReference w:id="221"/>
      </w:r>
      <w:r w:rsidRPr="00163772">
        <w:rPr>
          <w:vertAlign w:val="superscript"/>
        </w:rPr>
        <w:t xml:space="preserve"> </w:t>
      </w:r>
      <w:r w:rsidRPr="00CE1D7F">
        <w:t>Before the introduction of this offence, cases of NFS were treated as common assaults, which are associated with a lesser punishment and fail to encompass the severity of the act. Prof Douglas’ contribution to the law reform was directly recognised by members of Queensland parliament in 2020, who stated:</w:t>
      </w:r>
    </w:p>
    <w:p w14:paraId="72E6C761" w14:textId="77777777" w:rsidR="002B32A0" w:rsidRPr="00CE1D7F" w:rsidRDefault="002B32A0" w:rsidP="002B32A0">
      <w:pPr>
        <w:pStyle w:val="Quote"/>
      </w:pPr>
      <w:r w:rsidRPr="00CE1D7F">
        <w:t xml:space="preserve">“The new law, </w:t>
      </w:r>
      <w:r>
        <w:t>section </w:t>
      </w:r>
      <w:r w:rsidRPr="00CE1D7F">
        <w:t>315A of the Criminal Code, owed much to the campaigning work of Sonia Anderson, whose 22-year-old daughter, Bianca, was strangled to death by her boyfriend in 2010. Another woman, Professor Heather Douglas of the University of Queensland, was also instrumental in the passage of the legislation. Her research revealed the full extent of this horrific but often hidden form of violence. The professor established that a woman who is subjected to attempted strangulation by a partner is 8 times more likely to be murdered by that partner. As well as the psychological trauma, the consequences of nonlethal strangulation can include memory loss, miscarriage and permanent damage to vision, hearing and vocal cords. I wish to again publicly thank Sonia Anderson and Heather Douglas for their work. Their campaign not only changed the law in Queensland; it changed the law across Australia.”</w:t>
      </w:r>
      <w:r w:rsidRPr="00CE1D7F">
        <w:rPr>
          <w:rStyle w:val="FootnoteReference"/>
        </w:rPr>
        <w:footnoteReference w:id="222"/>
      </w:r>
    </w:p>
    <w:p w14:paraId="1A7BD664" w14:textId="77777777" w:rsidR="002B32A0" w:rsidRPr="00CE1D7F" w:rsidRDefault="002B32A0" w:rsidP="002B32A0">
      <w:pPr>
        <w:pStyle w:val="BodyText"/>
      </w:pPr>
      <w:r w:rsidRPr="00CE1D7F">
        <w:t>In January 2019, a similar law was introduced in South Australia. This stand-alone offence criminalised the act of choking or strangulation in a domestic setting, also posing a maximum penalty of 7 years imprisonment. While the offence cannot be entirely attributed to Prof Douglas’ research, the South Australian law has clear parallels to and was modelled from the Queensland law. Both laws are explicitly applicable and limited to the domestic relationship context, have the same maximum penalty, and require that the prosecuting authority prove that the victim did not provide consent.</w:t>
      </w:r>
      <w:r w:rsidRPr="00CE1D7F">
        <w:rPr>
          <w:rStyle w:val="FootnoteReference"/>
        </w:rPr>
        <w:footnoteReference w:id="223"/>
      </w:r>
      <w:r w:rsidRPr="00CE1D7F">
        <w:t xml:space="preserve"> </w:t>
      </w:r>
    </w:p>
    <w:p w14:paraId="1BDC8170" w14:textId="77777777" w:rsidR="002B32A0" w:rsidRPr="00CE1D7F" w:rsidRDefault="002B32A0" w:rsidP="002B32A0">
      <w:pPr>
        <w:pStyle w:val="BodyText"/>
      </w:pPr>
      <w:r w:rsidRPr="00CE1D7F">
        <w:t>Other states have introduced or are planning similar legislation.</w:t>
      </w:r>
    </w:p>
    <w:p w14:paraId="755E679F" w14:textId="77777777" w:rsidR="002B32A0" w:rsidRPr="00CE1D7F" w:rsidRDefault="002B32A0" w:rsidP="002B32A0">
      <w:pPr>
        <w:pStyle w:val="BodyText"/>
      </w:pPr>
      <w:r w:rsidRPr="00CE1D7F">
        <w:t xml:space="preserve">Prof Douglas’ research has prompted greater recognition of systems abuse as a form of DFV. The </w:t>
      </w:r>
      <w:r w:rsidRPr="00CE1D7F">
        <w:rPr>
          <w:i/>
          <w:iCs/>
        </w:rPr>
        <w:t>National Plan</w:t>
      </w:r>
      <w:r w:rsidRPr="00CE1D7F">
        <w:rPr>
          <w:rStyle w:val="FootnoteReference"/>
        </w:rPr>
        <w:footnoteReference w:id="224"/>
      </w:r>
      <w:r w:rsidRPr="00CE1D7F">
        <w:t xml:space="preserve"> cites the research article, ‘</w:t>
      </w:r>
      <w:r w:rsidRPr="00CE1D7F">
        <w:rPr>
          <w:i/>
          <w:iCs/>
        </w:rPr>
        <w:t>Legal systems abuse and coercive control’</w:t>
      </w:r>
      <w:r w:rsidRPr="00CE1D7F">
        <w:t>,</w:t>
      </w:r>
      <w:r w:rsidRPr="00CE1D7F">
        <w:rPr>
          <w:rStyle w:val="FootnoteReference"/>
        </w:rPr>
        <w:footnoteReference w:id="225"/>
      </w:r>
      <w:r w:rsidRPr="00CE1D7F">
        <w:t xml:space="preserve"> which explores how legal systems and processes can be used to exercise coercive control over a former intimate partner. Prof Douglas’ Future Fellowship supported this research.</w:t>
      </w:r>
    </w:p>
    <w:p w14:paraId="41BA38F8" w14:textId="77777777" w:rsidR="002B32A0" w:rsidRPr="00CE1D7F" w:rsidRDefault="002B32A0" w:rsidP="002B32A0">
      <w:pPr>
        <w:pStyle w:val="BodyText"/>
      </w:pPr>
      <w:r w:rsidRPr="00CE1D7F">
        <w:t xml:space="preserve">Prof Douglas’ research also influenced Recommendation 58 of the </w:t>
      </w:r>
      <w:r w:rsidRPr="00CE1D7F">
        <w:rPr>
          <w:i/>
          <w:iCs/>
        </w:rPr>
        <w:t>Abortion: A Review of South Australian Law and Practice</w:t>
      </w:r>
      <w:r w:rsidRPr="00CE1D7F">
        <w:rPr>
          <w:rStyle w:val="FootnoteReference"/>
          <w:i/>
          <w:iCs/>
        </w:rPr>
        <w:footnoteReference w:id="226"/>
      </w:r>
      <w:r w:rsidRPr="00CE1D7F">
        <w:t xml:space="preserve"> report. This recommendation acknowledges that reproductive coercion is a form of DFV and urges that this be added to the definition of DFV in the </w:t>
      </w:r>
      <w:r w:rsidRPr="00CE1D7F">
        <w:rPr>
          <w:i/>
          <w:iCs/>
        </w:rPr>
        <w:t xml:space="preserve">Intervention Orders (Prevention of Abuse) Act 2009 </w:t>
      </w:r>
      <w:r w:rsidRPr="00CE1D7F">
        <w:t>(SA).</w:t>
      </w:r>
      <w:r w:rsidRPr="00CE1D7F">
        <w:rPr>
          <w:rStyle w:val="FootnoteReference"/>
        </w:rPr>
        <w:footnoteReference w:id="227"/>
      </w:r>
      <w:r w:rsidRPr="00CE1D7F">
        <w:t xml:space="preserve"> Implementing this recommendation would better align the Act with </w:t>
      </w:r>
      <w:r w:rsidRPr="00CE1D7F">
        <w:rPr>
          <w:i/>
          <w:iCs/>
        </w:rPr>
        <w:t>Commonwealth Family Law Act 1975</w:t>
      </w:r>
      <w:r w:rsidRPr="00CE1D7F">
        <w:t xml:space="preserve"> and </w:t>
      </w:r>
      <w:r w:rsidRPr="00CE1D7F">
        <w:rPr>
          <w:i/>
          <w:iCs/>
        </w:rPr>
        <w:t xml:space="preserve">Queensland’s Domestic and Family Violence Protection Act. </w:t>
      </w:r>
      <w:r w:rsidRPr="00CE1D7F">
        <w:t xml:space="preserve">In 2022 new provisions were introduced into the South Australian </w:t>
      </w:r>
      <w:r w:rsidRPr="00CE1D7F">
        <w:rPr>
          <w:i/>
          <w:iCs/>
        </w:rPr>
        <w:t>Intervention Orders (Prevention of Abuse) Act 2009</w:t>
      </w:r>
      <w:r w:rsidRPr="00CE1D7F">
        <w:t xml:space="preserve"> (s8(4)(od) and (oe)) identifying coercing a person to have or not to have an abortion is a form of domestic abuse. </w:t>
      </w:r>
    </w:p>
    <w:p w14:paraId="202865D3" w14:textId="77777777" w:rsidR="002B32A0" w:rsidRPr="00CE1D7F" w:rsidRDefault="002B32A0" w:rsidP="002B32A0">
      <w:pPr>
        <w:pStyle w:val="Heading4"/>
      </w:pPr>
      <w:r w:rsidRPr="00CE1D7F">
        <w:t xml:space="preserve">Guiding education and training </w:t>
      </w:r>
    </w:p>
    <w:p w14:paraId="48D7206D" w14:textId="77777777" w:rsidR="002B32A0" w:rsidRPr="00CE1D7F" w:rsidRDefault="002B32A0" w:rsidP="002B32A0">
      <w:pPr>
        <w:pStyle w:val="BodyText"/>
      </w:pPr>
      <w:r w:rsidRPr="00CE1D7F">
        <w:t>Key discoveries included that in domestic violence cases, women's engagements with the legal system focus on specific personnel, such as the judiciary, magistrates and tribunal members. These personnel must be appropriately trained to ensure women do not experience secondary abuse by the legal system. The development and ongoing renewal of the Bench Book have been central to training the judiciary, magistrates, and tribunal members to ensure they can appropriately consider and respond to DFV matters.</w:t>
      </w:r>
    </w:p>
    <w:p w14:paraId="0003C819" w14:textId="77777777" w:rsidR="002B32A0" w:rsidRPr="00CE1D7F" w:rsidRDefault="002B32A0" w:rsidP="002B32A0">
      <w:pPr>
        <w:pStyle w:val="BodyText"/>
      </w:pPr>
      <w:r w:rsidRPr="00CE1D7F">
        <w:t>Prof Douglas was subsequently funded to produce materials on coercive control for training. This resulted in releasing a report, video and material that magistrates could adapt to present to their colleagues. The material is publicly available and has been used in training sessions with Queensland magistrates.</w:t>
      </w:r>
      <w:r w:rsidRPr="00CE1D7F">
        <w:rPr>
          <w:rStyle w:val="FootnoteReference"/>
        </w:rPr>
        <w:footnoteReference w:id="228"/>
      </w:r>
      <w:r w:rsidRPr="00CE1D7F">
        <w:t xml:space="preserve"> </w:t>
      </w:r>
    </w:p>
    <w:p w14:paraId="2C201A09" w14:textId="77777777" w:rsidR="002B32A0" w:rsidRPr="00CE1D7F" w:rsidRDefault="002B32A0" w:rsidP="002B32A0">
      <w:pPr>
        <w:pStyle w:val="BodyText"/>
      </w:pPr>
      <w:r w:rsidRPr="00CE1D7F">
        <w:t xml:space="preserve">The research has been highly influential in developing and providing education and training programs. </w:t>
      </w:r>
      <w:r w:rsidRPr="00CE1D7F">
        <w:rPr>
          <w:i/>
          <w:iCs/>
        </w:rPr>
        <w:t xml:space="preserve">Indigenous Legal Judgments: Bringing Indigenous Voices into Judicial Decision Making </w:t>
      </w:r>
      <w:r w:rsidRPr="00CE1D7F">
        <w:t>was published in 2021 as part of Prof Douglas’ Discovery Indigenous grant and is used as a resource for all first-year law students at the Australian National University, the University of Melbourne, the University of Southern Queensland and the University of Technology Sydney. This is bringing Indigenous voices and issues into the law school curriculum, in line with the Council of Australian Law Deans objective to redesign law school curriculums.</w:t>
      </w:r>
      <w:r w:rsidRPr="00CE1D7F">
        <w:rPr>
          <w:rStyle w:val="FootnoteReference"/>
        </w:rPr>
        <w:footnoteReference w:id="229"/>
      </w:r>
    </w:p>
    <w:p w14:paraId="66939287" w14:textId="77777777" w:rsidR="002B32A0" w:rsidRPr="00CE1D7F" w:rsidRDefault="002B32A0" w:rsidP="002B32A0">
      <w:pPr>
        <w:pStyle w:val="Heading4"/>
      </w:pPr>
      <w:r w:rsidRPr="00CE1D7F">
        <w:t>Alignment with government strategic priorities</w:t>
      </w:r>
    </w:p>
    <w:p w14:paraId="466922BE" w14:textId="689136F4" w:rsidR="002B32A0" w:rsidRPr="00CE1D7F" w:rsidRDefault="002B32A0" w:rsidP="002B32A0">
      <w:pPr>
        <w:pStyle w:val="BodyText"/>
      </w:pPr>
      <w:r w:rsidRPr="00CE1D7F">
        <w:t xml:space="preserve">The research does not specifically align with the </w:t>
      </w:r>
      <w:r>
        <w:rPr>
          <w:szCs w:val="24"/>
        </w:rPr>
        <w:t xml:space="preserve">National </w:t>
      </w:r>
      <w:r w:rsidRPr="00CE1D7F">
        <w:t xml:space="preserve">Science and Research Priorities. However, it relates to several other Australian and State and Territory Government priorities, such as those outlined in the National Plan, the Strategy and the Not Now, Not Ever Report (see </w:t>
      </w:r>
      <w:r>
        <w:t>section </w:t>
      </w:r>
      <w:r w:rsidRPr="00F87D0E">
        <w:fldChar w:fldCharType="begin"/>
      </w:r>
      <w:r w:rsidRPr="00F87D0E">
        <w:instrText xml:space="preserve"> REF _Ref125983683 \r \h  \* MERGEFORMAT </w:instrText>
      </w:r>
      <w:r w:rsidRPr="00F87D0E">
        <w:fldChar w:fldCharType="separate"/>
      </w:r>
      <w:r w:rsidR="000B0AC7">
        <w:t>11.3.1</w:t>
      </w:r>
      <w:r w:rsidRPr="00F87D0E">
        <w:fldChar w:fldCharType="end"/>
      </w:r>
      <w:r w:rsidRPr="00CE1D7F">
        <w:t>).</w:t>
      </w:r>
    </w:p>
    <w:p w14:paraId="4A669F26" w14:textId="77777777" w:rsidR="002B32A0" w:rsidRPr="00CE1D7F" w:rsidRDefault="002B32A0" w:rsidP="002B32A0">
      <w:pPr>
        <w:pStyle w:val="Heading4"/>
      </w:pPr>
      <w:r w:rsidRPr="00CE1D7F">
        <w:t>Research capacity building</w:t>
      </w:r>
    </w:p>
    <w:p w14:paraId="5DF4639F" w14:textId="77777777" w:rsidR="002B32A0" w:rsidRPr="00CE1D7F" w:rsidRDefault="002B32A0" w:rsidP="002B32A0">
      <w:pPr>
        <w:pStyle w:val="BodyText"/>
      </w:pPr>
      <w:bookmarkStart w:id="518" w:name="_Hlk129072713"/>
      <w:bookmarkStart w:id="519" w:name="_Hlk124869505"/>
      <w:r w:rsidRPr="00CE1D7F">
        <w:t xml:space="preserve">Prof Douglas supervised the completion of 1 PhD candidate on migration and DFV, with 2 ongoing candidates focused on NFS and coercive control, and investigating, prosecuting and defending cases of NFS in Queensland. A total of 24 honours students were supervised. </w:t>
      </w:r>
    </w:p>
    <w:bookmarkEnd w:id="518"/>
    <w:p w14:paraId="039EBD68" w14:textId="77777777" w:rsidR="002B32A0" w:rsidRPr="00CE1D7F" w:rsidRDefault="002B32A0" w:rsidP="002B32A0">
      <w:pPr>
        <w:pStyle w:val="BodyText"/>
      </w:pPr>
      <w:r w:rsidRPr="00CE1D7F">
        <w:t>Prof Douglas has consistently sought to connect those from research, government, legal, justice and non-profit sectors and to improve communication and understanding across the sectors, and raise awareness of the research findings and its implications for the broader community. This has generated significant social benefits and built the capacity of researchers to engage with end users and the capability of members of the justice system to fulfil their roles better.</w:t>
      </w:r>
    </w:p>
    <w:p w14:paraId="7BD4EECF" w14:textId="77777777" w:rsidR="002B32A0" w:rsidRPr="00CE1D7F" w:rsidRDefault="002B32A0" w:rsidP="002B32A0">
      <w:pPr>
        <w:pStyle w:val="Heading2"/>
      </w:pPr>
      <w:bookmarkStart w:id="520" w:name="_Toc129963981"/>
      <w:bookmarkStart w:id="521" w:name="_Toc131174620"/>
      <w:bookmarkStart w:id="522" w:name="_Toc132970711"/>
      <w:bookmarkStart w:id="523" w:name="_Toc135323750"/>
      <w:bookmarkEnd w:id="519"/>
      <w:r w:rsidRPr="00CE1D7F">
        <w:t>Impacts</w:t>
      </w:r>
      <w:bookmarkEnd w:id="520"/>
      <w:bookmarkEnd w:id="521"/>
      <w:bookmarkEnd w:id="522"/>
      <w:bookmarkEnd w:id="523"/>
    </w:p>
    <w:p w14:paraId="32DA6599" w14:textId="77777777" w:rsidR="002B32A0" w:rsidRPr="00CE1D7F" w:rsidRDefault="002B32A0" w:rsidP="002B32A0">
      <w:pPr>
        <w:pStyle w:val="Heading3"/>
      </w:pPr>
      <w:r w:rsidRPr="00CE1D7F">
        <w:t xml:space="preserve">Economic impacts </w:t>
      </w:r>
    </w:p>
    <w:p w14:paraId="7F7875B8" w14:textId="77777777" w:rsidR="002B32A0" w:rsidRPr="00CE1D7F" w:rsidRDefault="002B32A0" w:rsidP="002B32A0">
      <w:pPr>
        <w:pStyle w:val="Heading4"/>
      </w:pPr>
      <w:r w:rsidRPr="00CE1D7F">
        <w:t>Counterfactual</w:t>
      </w:r>
    </w:p>
    <w:p w14:paraId="4B491D90" w14:textId="77777777" w:rsidR="002B32A0" w:rsidRPr="00CE1D7F" w:rsidRDefault="002B32A0" w:rsidP="002B32A0">
      <w:pPr>
        <w:pStyle w:val="BodyText"/>
      </w:pPr>
      <w:r w:rsidRPr="00CE1D7F">
        <w:t xml:space="preserve">Without ARC funding and support from research partners and end users, it is highly unlikely that Prof Douglas’ suit of research would have been funded or been able to progress. </w:t>
      </w:r>
    </w:p>
    <w:p w14:paraId="4EFFF1C2" w14:textId="77777777" w:rsidR="002B32A0" w:rsidRPr="00CE1D7F" w:rsidRDefault="002B32A0" w:rsidP="002B32A0">
      <w:pPr>
        <w:pStyle w:val="BodyText"/>
      </w:pPr>
      <w:r w:rsidRPr="00CE1D7F">
        <w:t>No other funding bodies in Australia provide the substantial funding amounts awarded to this work. For example, ANROWS, a major funder in this area, commissions research (funded by Commonwealth and State/Territory Governments) to build the DFV evidence base and support the implementation of the National Plan. However, this research is targeted/priority driven (rather than researcher-led discovery research), is periodic and much smaller in quantum (e.g., the 2020-22 Core Grant Research Program allocated $1.157</w:t>
      </w:r>
      <w:r>
        <w:t> million</w:t>
      </w:r>
      <w:r w:rsidRPr="00CE1D7F">
        <w:t xml:space="preserve"> across 8 researchers</w:t>
      </w:r>
      <w:r w:rsidRPr="00CE1D7F">
        <w:rPr>
          <w:rStyle w:val="FootnoteReference"/>
        </w:rPr>
        <w:footnoteReference w:id="230"/>
      </w:r>
      <w:r w:rsidRPr="00CE1D7F">
        <w:t>). Some state governments also provide funding for priority-driven research, which is also typically smaller in quantum. In particular, one of the key advantages of the Future Fellowship program is that it allowed for a longitudinal study over 3 years. This allowed for developing and testing a novel research methodology in the context of exploring legal responses to DFV and produced new information and understanding. As such, Prof Douglas strongly believes that the research would not have been conducted without ARC funding.</w:t>
      </w:r>
    </w:p>
    <w:p w14:paraId="4BEA6E27" w14:textId="77777777" w:rsidR="002B32A0" w:rsidRPr="00CE1D7F" w:rsidRDefault="002B32A0" w:rsidP="002B32A0">
      <w:pPr>
        <w:pStyle w:val="BodyText"/>
      </w:pPr>
      <w:r w:rsidRPr="00CE1D7F">
        <w:t>In-kind contributions from DFV organisations were critical in supporting engagement with research participants. Without these organisations, Prof Douglas would not have been able to conduct longitudinal engagements with women for her research.</w:t>
      </w:r>
    </w:p>
    <w:p w14:paraId="7B909D5D" w14:textId="77777777" w:rsidR="002B32A0" w:rsidRPr="00CE1D7F" w:rsidRDefault="002B32A0" w:rsidP="002B32A0">
      <w:pPr>
        <w:pStyle w:val="BodyText"/>
      </w:pPr>
      <w:r w:rsidRPr="00CE1D7F">
        <w:t>AIJA and NJC were essential in supporting research translation, by funding the development of the Bench Book and related training courses for judiciary, magistrates and tribunal members.</w:t>
      </w:r>
    </w:p>
    <w:p w14:paraId="75F1F8C2" w14:textId="77777777" w:rsidR="002B32A0" w:rsidRPr="00CE1D7F" w:rsidRDefault="002B32A0" w:rsidP="002B32A0">
      <w:pPr>
        <w:pStyle w:val="BodyText"/>
      </w:pPr>
      <w:r w:rsidRPr="00CE1D7F">
        <w:t>UQ was also necessary for the research and supported research capacity building by enabling PhDs and honours students to participate in the research. Prof Douglas moved to the University of Melbourne in 2021 and has received strong support for her research since then. Most of the Discovery Project work on NFS has been undertaken while at the University of Melbourne, and the University’s support was pivotal for the successful Centre of Excellence proposal.</w:t>
      </w:r>
    </w:p>
    <w:p w14:paraId="5EE133F8" w14:textId="77777777" w:rsidR="002B32A0" w:rsidRPr="00CE1D7F" w:rsidRDefault="002B32A0" w:rsidP="002B32A0">
      <w:pPr>
        <w:pStyle w:val="Heading4"/>
      </w:pPr>
      <w:r w:rsidRPr="00CE1D7F">
        <w:t>Attribution</w:t>
      </w:r>
    </w:p>
    <w:p w14:paraId="009396ED" w14:textId="77777777" w:rsidR="002B32A0" w:rsidRPr="00CE1D7F" w:rsidRDefault="002B32A0" w:rsidP="002B32A0">
      <w:pPr>
        <w:pStyle w:val="BodyText"/>
      </w:pPr>
      <w:r w:rsidRPr="00CE1D7F">
        <w:t>The ARC provided 63% of the total amount of cash contributions (or 51% of total amount of cash and in-kind contributions). The funding has been essential for this research to occur. However, funding sources from non-academic partners were critical in applying the research, through development of the Bench Book and training and education materials. As such, it is estimated that at least 63% of the benefit delivered by this research is attributable to the ARC, noting that the in-kind contributions would not have been made without ARC funding.</w:t>
      </w:r>
    </w:p>
    <w:p w14:paraId="3911AFCE" w14:textId="77777777" w:rsidR="002B32A0" w:rsidRPr="00CE1D7F" w:rsidRDefault="002B32A0" w:rsidP="002B32A0">
      <w:pPr>
        <w:pStyle w:val="Heading4"/>
      </w:pPr>
      <w:r w:rsidRPr="00CE1D7F">
        <w:t>Calculation of NPV and breakeven analysis</w:t>
      </w:r>
    </w:p>
    <w:p w14:paraId="76924408" w14:textId="77777777" w:rsidR="002B32A0" w:rsidRPr="00CE1D7F" w:rsidRDefault="002B32A0" w:rsidP="002B32A0">
      <w:pPr>
        <w:pStyle w:val="BodyText"/>
      </w:pPr>
      <w:r w:rsidRPr="00CE1D7F">
        <w:t>As discussed above, the program of research has delivered many significant impacts, including raising awareness of DFV (including NFS, coercive control, legal systems abuse), contributing to a culture change movement, contributing to the education and training of legal professionals in the DFV sector and influencing the establishment and implementation of legislation relating to DFV. These changes are likely to lead to greater need for resources and funding in the short to medium term, rather than savings. However, in the longer term, the ultimate aim is for the research to save lives.</w:t>
      </w:r>
    </w:p>
    <w:p w14:paraId="6448D62C" w14:textId="77777777" w:rsidR="002B32A0" w:rsidRPr="00CE1D7F" w:rsidRDefault="002B32A0" w:rsidP="002B32A0">
      <w:pPr>
        <w:pStyle w:val="BodyText"/>
      </w:pPr>
      <w:r w:rsidRPr="00CE1D7F">
        <w:t>Given the nature of this research, a cost-benefit analysis (CBA) was not considered to be appropriate for assessing the benefits it has delivered. The benefits are not amenable to easy quantification due to:</w:t>
      </w:r>
    </w:p>
    <w:p w14:paraId="594D4C25" w14:textId="77777777" w:rsidR="002B32A0" w:rsidRPr="00CE1D7F" w:rsidRDefault="002B32A0" w:rsidP="00F26F55">
      <w:pPr>
        <w:pStyle w:val="ListBullet"/>
      </w:pPr>
      <w:r w:rsidRPr="00CE1D7F">
        <w:t>Limited data available to comprehensively demonstrate the link between the increased awareness, the introduction of new offences and improved training of the judiciary, magistrates and tribunal members and reductions in risk to women’s health and lives</w:t>
      </w:r>
    </w:p>
    <w:p w14:paraId="056F1271" w14:textId="77777777" w:rsidR="002B32A0" w:rsidRPr="00CE1D7F" w:rsidRDefault="002B32A0" w:rsidP="00F26F55">
      <w:pPr>
        <w:pStyle w:val="ListBullet"/>
      </w:pPr>
      <w:r w:rsidRPr="00CE1D7F">
        <w:t xml:space="preserve">The impracticability of measuring the scale of </w:t>
      </w:r>
      <w:r w:rsidRPr="00CE1D7F">
        <w:rPr>
          <w:i/>
          <w:iCs/>
        </w:rPr>
        <w:t xml:space="preserve">marginal </w:t>
      </w:r>
      <w:r w:rsidRPr="00CE1D7F">
        <w:t>avoidable harm that could be attributed to research in a robust way</w:t>
      </w:r>
    </w:p>
    <w:p w14:paraId="11233B37" w14:textId="77777777" w:rsidR="002B32A0" w:rsidRPr="00CE1D7F" w:rsidRDefault="002B32A0" w:rsidP="00F26F55">
      <w:pPr>
        <w:pStyle w:val="ListBullet"/>
      </w:pPr>
      <w:r w:rsidRPr="00CE1D7F">
        <w:t>The ongoing nature of the research.</w:t>
      </w:r>
    </w:p>
    <w:p w14:paraId="0FA36F5F" w14:textId="77777777" w:rsidR="002B32A0" w:rsidRPr="00CE1D7F" w:rsidRDefault="002B32A0" w:rsidP="002B32A0">
      <w:pPr>
        <w:pStyle w:val="BodyText"/>
      </w:pPr>
      <w:r w:rsidRPr="00CE1D7F">
        <w:t>Instead, a breakeven analysis was undertaken to illustrate the potential scale of the benefits of the research. Breakeven analyses are common practice in situations where the costs of a project can be quantified, but the benefits are less certain. In this context, the breakeven analysis sets a baseline whereby the net benefit test is satisfied — that is, it sets a level of benefit beyond which it can be concluded that the research will achieve a net benefit across the community. Setting this target for benefits allows a judgement to be made on the basis of experience and reasonable expectations.</w:t>
      </w:r>
    </w:p>
    <w:p w14:paraId="0BF44072" w14:textId="421138FE" w:rsidR="002B32A0" w:rsidRPr="00CE1D7F" w:rsidRDefault="002B32A0" w:rsidP="002B32A0">
      <w:pPr>
        <w:pStyle w:val="BodyText"/>
      </w:pPr>
      <w:r w:rsidRPr="00CE1D7F">
        <w:t xml:space="preserve">As discussed in </w:t>
      </w:r>
      <w:r>
        <w:t>Section </w:t>
      </w:r>
      <w:r w:rsidRPr="00F87D0E">
        <w:fldChar w:fldCharType="begin"/>
      </w:r>
      <w:r w:rsidRPr="00F87D0E">
        <w:instrText xml:space="preserve"> REF _Ref125983683 \r \h  \* MERGEFORMAT </w:instrText>
      </w:r>
      <w:r w:rsidRPr="00F87D0E">
        <w:fldChar w:fldCharType="separate"/>
      </w:r>
      <w:r w:rsidR="000B0AC7">
        <w:t>11.3.1</w:t>
      </w:r>
      <w:r w:rsidRPr="00F87D0E">
        <w:fldChar w:fldCharType="end"/>
      </w:r>
      <w:r w:rsidRPr="00CE1D7F">
        <w:t xml:space="preserve">, </w:t>
      </w:r>
      <w:r w:rsidRPr="007343B4">
        <w:t xml:space="preserve">DFV poses a range of threats to the health and lives of victims. In 2021, 61 women lost their lives due to </w:t>
      </w:r>
      <w:r w:rsidRPr="00304F4C">
        <w:t>DFV in Australia.</w:t>
      </w:r>
      <w:r w:rsidRPr="00304F4C">
        <w:rPr>
          <w:rStyle w:val="FootnoteReference"/>
        </w:rPr>
        <w:footnoteReference w:id="231"/>
      </w:r>
      <w:r w:rsidRPr="00304F4C">
        <w:t xml:space="preserve"> The number of lives lost due to DFV was steady between 2017-20, and decreased in 2021 (see</w:t>
      </w:r>
      <w:r>
        <w:t xml:space="preserve"> </w:t>
      </w:r>
      <w:r w:rsidRPr="00F87D0E">
        <w:fldChar w:fldCharType="begin"/>
      </w:r>
      <w:r w:rsidR="00F87D0E" w:rsidRPr="00F87D0E">
        <w:instrText xml:space="preserve"> REF _Ref129335272 \h  \* MERGEFORMAT </w:instrText>
      </w:r>
      <w:r w:rsidRPr="00F87D0E">
        <w:fldChar w:fldCharType="separate"/>
      </w:r>
      <w:r w:rsidR="000B0AC7" w:rsidRPr="000B0AC7">
        <w:t>Figure 11.4</w:t>
      </w:r>
      <w:r w:rsidRPr="00F87D0E">
        <w:fldChar w:fldCharType="end"/>
      </w:r>
      <w:r w:rsidRPr="00304F4C">
        <w:t>). This does not consider the male lives due to DFV (e.g. as new partners and fathers who ar</w:t>
      </w:r>
      <w:r w:rsidRPr="00CE1D7F">
        <w:t xml:space="preserve">e killed by the woman's previous abusive partner) nor the loss of life by suicide as a result of DFV. </w:t>
      </w:r>
    </w:p>
    <w:p w14:paraId="534FBFE6" w14:textId="3FAC6556" w:rsidR="000B0AC7" w:rsidRPr="00CE1D7F" w:rsidRDefault="000B0AC7" w:rsidP="000B0AC7">
      <w:pPr>
        <w:pStyle w:val="Caption"/>
        <w:keepLines/>
        <w:ind w:left="-1102" w:hanging="1308"/>
      </w:pPr>
      <w:bookmarkStart w:id="524" w:name="_Ref129335272"/>
      <w:r w:rsidRPr="00CE1D7F">
        <w:rPr>
          <w:rStyle w:val="CaptionLabel"/>
        </w:rPr>
        <w:t>Figure </w:t>
      </w:r>
      <w:r w:rsidRPr="00CE1D7F">
        <w:rPr>
          <w:rStyle w:val="CaptionLabel"/>
        </w:rPr>
        <w:fldChar w:fldCharType="begin"/>
      </w:r>
      <w:r w:rsidRPr="00CE1D7F">
        <w:rPr>
          <w:rStyle w:val="CaptionLabel"/>
        </w:rPr>
        <w:instrText xml:space="preserve"> STYLEREF 1 \S \* MERGEFORMAT </w:instrText>
      </w:r>
      <w:r w:rsidRPr="00CE1D7F">
        <w:rPr>
          <w:rStyle w:val="CaptionLabel"/>
        </w:rPr>
        <w:fldChar w:fldCharType="separate"/>
      </w:r>
      <w:r>
        <w:rPr>
          <w:rStyle w:val="CaptionLabel"/>
          <w:noProof/>
        </w:rPr>
        <w:t>11</w:t>
      </w:r>
      <w:r w:rsidRPr="00CE1D7F">
        <w:rPr>
          <w:rStyle w:val="CaptionLabel"/>
        </w:rPr>
        <w:fldChar w:fldCharType="end"/>
      </w:r>
      <w:r w:rsidRPr="00CE1D7F">
        <w:rPr>
          <w:rStyle w:val="CaptionLabel"/>
        </w:rPr>
        <w:t>.</w:t>
      </w:r>
      <w:r w:rsidRPr="00CE1D7F">
        <w:rPr>
          <w:rStyle w:val="CaptionLabel"/>
        </w:rPr>
        <w:fldChar w:fldCharType="begin"/>
      </w:r>
      <w:r w:rsidRPr="00CE1D7F">
        <w:rPr>
          <w:rStyle w:val="CaptionLabel"/>
        </w:rPr>
        <w:instrText xml:space="preserve"> SEQ Figure \* ARABIC \S 1 \* MERGEFORMAT </w:instrText>
      </w:r>
      <w:r w:rsidRPr="00CE1D7F">
        <w:rPr>
          <w:rStyle w:val="CaptionLabel"/>
        </w:rPr>
        <w:fldChar w:fldCharType="separate"/>
      </w:r>
      <w:r>
        <w:rPr>
          <w:rStyle w:val="CaptionLabel"/>
          <w:noProof/>
        </w:rPr>
        <w:t>4</w:t>
      </w:r>
      <w:r w:rsidRPr="00CE1D7F">
        <w:rPr>
          <w:rStyle w:val="CaptionLabel"/>
        </w:rPr>
        <w:fldChar w:fldCharType="end"/>
      </w:r>
      <w:bookmarkEnd w:id="524"/>
      <w:r w:rsidRPr="00CE1D7F">
        <w:tab/>
        <w:t>Women victims of DFV related homicide and related offences, Australia, 2014–2021</w:t>
      </w:r>
    </w:p>
    <w:tbl>
      <w:tblPr>
        <w:tblW w:w="6518" w:type="pct"/>
        <w:tblInd w:w="-2410" w:type="dxa"/>
        <w:tblLook w:val="0000" w:firstRow="0" w:lastRow="0" w:firstColumn="0" w:lastColumn="0" w:noHBand="0" w:noVBand="0"/>
      </w:tblPr>
      <w:tblGrid>
        <w:gridCol w:w="10346"/>
      </w:tblGrid>
      <w:tr w:rsidR="002B32A0" w:rsidRPr="00CE1D7F" w14:paraId="5E762FB4" w14:textId="77777777" w:rsidTr="006258ED">
        <w:tc>
          <w:tcPr>
            <w:tcW w:w="5000" w:type="pct"/>
            <w:tcBorders>
              <w:top w:val="single" w:sz="4" w:space="0" w:color="000100"/>
            </w:tcBorders>
            <w:shd w:val="clear" w:color="auto" w:fill="auto"/>
          </w:tcPr>
          <w:p w14:paraId="08AC8BA7" w14:textId="77777777" w:rsidR="002B32A0" w:rsidRPr="00CE1D7F" w:rsidRDefault="002B32A0" w:rsidP="00F26F55">
            <w:pPr>
              <w:pStyle w:val="Figure"/>
              <w:keepLines/>
            </w:pPr>
            <w:r w:rsidRPr="00CE1D7F">
              <w:rPr>
                <w:noProof/>
              </w:rPr>
              <w:drawing>
                <wp:inline distT="0" distB="0" distL="0" distR="0" wp14:anchorId="77BE0F36" wp14:editId="60248639">
                  <wp:extent cx="6591283" cy="2026823"/>
                  <wp:effectExtent l="0" t="0" r="635" b="0"/>
                  <wp:docPr id="11" name="Picture 11" descr="Women victims of DFV related homicide and related offences, Australia, 2014–2021, see description in text abov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Women victims of DFV related homicide and related offences, Australia, 2014–2021, see description in text above figure."/>
                          <pic:cNvPicPr>
                            <a:picLocks noChangeAspect="1" noChangeArrowheads="1"/>
                          </pic:cNvPicPr>
                        </pic:nvPicPr>
                        <pic:blipFill rotWithShape="1">
                          <a:blip r:embed="rId211">
                            <a:extLst>
                              <a:ext uri="{28A0092B-C50C-407E-A947-70E740481C1C}">
                                <a14:useLocalDpi xmlns:a14="http://schemas.microsoft.com/office/drawing/2010/main" val="0"/>
                              </a:ext>
                            </a:extLst>
                          </a:blip>
                          <a:srcRect b="8230"/>
                          <a:stretch/>
                        </pic:blipFill>
                        <pic:spPr bwMode="auto">
                          <a:xfrm>
                            <a:off x="0" y="0"/>
                            <a:ext cx="6591283" cy="202682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B32A0" w:rsidRPr="00CE1D7F" w14:paraId="29AF0380" w14:textId="77777777" w:rsidTr="006258ED">
        <w:tblPrEx>
          <w:tblCellMar>
            <w:left w:w="0" w:type="dxa"/>
            <w:right w:w="0" w:type="dxa"/>
          </w:tblCellMar>
        </w:tblPrEx>
        <w:trPr>
          <w:trHeight w:val="144"/>
        </w:trPr>
        <w:tc>
          <w:tcPr>
            <w:tcW w:w="5000" w:type="pct"/>
            <w:tcBorders>
              <w:bottom w:val="single" w:sz="4" w:space="0" w:color="000100"/>
            </w:tcBorders>
            <w:shd w:val="clear" w:color="auto" w:fill="auto"/>
            <w:tcMar>
              <w:top w:w="12" w:type="dxa"/>
              <w:bottom w:w="113" w:type="dxa"/>
            </w:tcMar>
          </w:tcPr>
          <w:p w14:paraId="7710E268" w14:textId="77777777" w:rsidR="002B32A0" w:rsidRPr="00CE1D7F" w:rsidRDefault="002B32A0" w:rsidP="00F26F55">
            <w:pPr>
              <w:pStyle w:val="Source"/>
              <w:keepLines/>
              <w:spacing w:before="0"/>
              <w:rPr>
                <w:i w:val="0"/>
                <w:iCs/>
              </w:rPr>
            </w:pPr>
            <w:r w:rsidRPr="00CE1D7F">
              <w:rPr>
                <w:i w:val="0"/>
                <w:iCs/>
              </w:rPr>
              <w:t xml:space="preserve">Victims of selected offences have been determined to be DFV related where the relationship of offender to victim, as stored on police recording systems, falls within a specified family or domestic relationship, or where an DFV flag has been recorded, following a police investigation. </w:t>
            </w:r>
          </w:p>
          <w:p w14:paraId="5DCA9DB3" w14:textId="77777777" w:rsidR="002B32A0" w:rsidRPr="00CE1D7F" w:rsidRDefault="002B32A0" w:rsidP="00F26F55">
            <w:pPr>
              <w:pStyle w:val="Source"/>
              <w:keepLines/>
              <w:spacing w:before="0"/>
              <w:rPr>
                <w:i w:val="0"/>
                <w:iCs/>
              </w:rPr>
            </w:pPr>
            <w:r w:rsidRPr="00CE1D7F">
              <w:rPr>
                <w:i w:val="0"/>
                <w:iCs/>
              </w:rPr>
              <w:t>(a) Homicide and related offences include murder, attempted murder and manslaughter. Excludes driving causing death.</w:t>
            </w:r>
          </w:p>
          <w:p w14:paraId="4110C7D9" w14:textId="77777777" w:rsidR="002B32A0" w:rsidRPr="00CE1D7F" w:rsidRDefault="002B32A0" w:rsidP="00F26F55">
            <w:pPr>
              <w:pStyle w:val="Source"/>
              <w:keepLines/>
              <w:spacing w:before="0"/>
              <w:rPr>
                <w:i w:val="0"/>
                <w:iCs/>
              </w:rPr>
            </w:pPr>
            <w:r w:rsidRPr="00CE1D7F">
              <w:rPr>
                <w:i w:val="0"/>
                <w:iCs/>
              </w:rPr>
              <w:t xml:space="preserve">(b) 2020 data for Tasmania revised. </w:t>
            </w:r>
          </w:p>
          <w:p w14:paraId="3BCFB848" w14:textId="77777777" w:rsidR="002B32A0" w:rsidRPr="00CE1D7F" w:rsidRDefault="002B32A0" w:rsidP="00F26F55">
            <w:pPr>
              <w:pStyle w:val="Source"/>
              <w:keepLines/>
              <w:spacing w:before="0"/>
              <w:rPr>
                <w:i w:val="0"/>
                <w:iCs/>
              </w:rPr>
            </w:pPr>
            <w:r w:rsidRPr="00CE1D7F">
              <w:rPr>
                <w:i w:val="0"/>
                <w:iCs/>
              </w:rPr>
              <w:t>(c) Includes syringe, bottle/glass, bat/bar/club, chemical, and other weapons.</w:t>
            </w:r>
          </w:p>
          <w:p w14:paraId="2ADD83F0" w14:textId="77777777" w:rsidR="002B32A0" w:rsidRPr="00CE1D7F" w:rsidRDefault="002B32A0" w:rsidP="00F26F55">
            <w:pPr>
              <w:pStyle w:val="Source"/>
              <w:keepLines/>
              <w:spacing w:before="0"/>
              <w:rPr>
                <w:i w:val="0"/>
                <w:iCs/>
              </w:rPr>
            </w:pPr>
            <w:r w:rsidRPr="00CE1D7F">
              <w:rPr>
                <w:i w:val="0"/>
                <w:iCs/>
              </w:rPr>
              <w:t>(d) Weapon used data for Queensland overstated prior to 2020.</w:t>
            </w:r>
          </w:p>
          <w:p w14:paraId="0F1B699A" w14:textId="77777777" w:rsidR="002B32A0" w:rsidRPr="00CE1D7F" w:rsidRDefault="002B32A0" w:rsidP="00F26F55">
            <w:pPr>
              <w:pStyle w:val="Source"/>
              <w:keepLines/>
              <w:spacing w:before="0"/>
            </w:pPr>
            <w:r w:rsidRPr="00CE1D7F">
              <w:t>Source: ACIL Allen analysis of ABS data</w:t>
            </w:r>
          </w:p>
        </w:tc>
      </w:tr>
      <w:tr w:rsidR="002B32A0" w:rsidRPr="00CE1D7F" w14:paraId="62034FFE" w14:textId="77777777" w:rsidTr="006258ED">
        <w:tblPrEx>
          <w:tblCellMar>
            <w:left w:w="0" w:type="dxa"/>
            <w:right w:w="0" w:type="dxa"/>
          </w:tblCellMar>
        </w:tblPrEx>
        <w:trPr>
          <w:trHeight w:hRule="exact" w:val="160"/>
        </w:trPr>
        <w:tc>
          <w:tcPr>
            <w:tcW w:w="5000" w:type="pct"/>
            <w:tcBorders>
              <w:top w:val="single" w:sz="4" w:space="0" w:color="000100"/>
            </w:tcBorders>
            <w:shd w:val="clear" w:color="auto" w:fill="auto"/>
            <w:tcMar>
              <w:top w:w="0" w:type="dxa"/>
              <w:bottom w:w="40" w:type="dxa"/>
            </w:tcMar>
          </w:tcPr>
          <w:p w14:paraId="3A261513" w14:textId="77777777" w:rsidR="002B32A0" w:rsidRPr="00CE1D7F" w:rsidRDefault="002B32A0" w:rsidP="00F26F55">
            <w:pPr>
              <w:pStyle w:val="spacer"/>
            </w:pPr>
          </w:p>
        </w:tc>
      </w:tr>
    </w:tbl>
    <w:p w14:paraId="3420B82A" w14:textId="77777777" w:rsidR="002B32A0" w:rsidRPr="00CE1D7F" w:rsidRDefault="002B32A0" w:rsidP="002B32A0">
      <w:pPr>
        <w:pStyle w:val="BodyText"/>
      </w:pPr>
      <w:r w:rsidRPr="00CE1D7F">
        <w:t>The most significant costs of DFV are the costs associated with:</w:t>
      </w:r>
      <w:r w:rsidRPr="00CE1D7F">
        <w:rPr>
          <w:rStyle w:val="FootnoteReference"/>
        </w:rPr>
        <w:footnoteReference w:id="232"/>
      </w:r>
    </w:p>
    <w:p w14:paraId="6645E485" w14:textId="77777777" w:rsidR="002B32A0" w:rsidRPr="00CE1D7F" w:rsidRDefault="002B32A0" w:rsidP="00F26F55">
      <w:pPr>
        <w:pStyle w:val="ListBullet"/>
      </w:pPr>
      <w:r w:rsidRPr="00CE1D7F">
        <w:t>Pain, suffering and premature mortality (incurred by victims and the economy): $10.4</w:t>
      </w:r>
      <w:r>
        <w:t> billion.</w:t>
      </w:r>
    </w:p>
    <w:p w14:paraId="225CA42D" w14:textId="77777777" w:rsidR="002B32A0" w:rsidRPr="00CE1D7F" w:rsidRDefault="002B32A0" w:rsidP="00F26F55">
      <w:pPr>
        <w:pStyle w:val="ListBullet"/>
      </w:pPr>
      <w:r w:rsidRPr="00CE1D7F">
        <w:t>Private and public health systems (incurred by victims, communities and government): $1.4</w:t>
      </w:r>
      <w:r>
        <w:t> billion.</w:t>
      </w:r>
    </w:p>
    <w:p w14:paraId="57130E5D" w14:textId="77777777" w:rsidR="002B32A0" w:rsidRPr="00CE1D7F" w:rsidRDefault="002B32A0" w:rsidP="00F26F55">
      <w:pPr>
        <w:pStyle w:val="ListBullet"/>
      </w:pPr>
      <w:r w:rsidRPr="00CE1D7F">
        <w:t>Productivity and the business sector: $1.9</w:t>
      </w:r>
      <w:r>
        <w:t> billion.</w:t>
      </w:r>
      <w:r w:rsidRPr="00CE1D7F">
        <w:t xml:space="preserve"> </w:t>
      </w:r>
    </w:p>
    <w:p w14:paraId="111AF296" w14:textId="77777777" w:rsidR="002B32A0" w:rsidRPr="00CE1D7F" w:rsidRDefault="002B32A0" w:rsidP="00F26F55">
      <w:pPr>
        <w:pStyle w:val="ListBullet"/>
      </w:pPr>
      <w:r w:rsidRPr="00CE1D7F">
        <w:t>Economic opportunities (incurred by victims and their children): $4.4</w:t>
      </w:r>
      <w:r>
        <w:t> billion.</w:t>
      </w:r>
      <w:r w:rsidRPr="00CE1D7F">
        <w:t xml:space="preserve"> </w:t>
      </w:r>
    </w:p>
    <w:p w14:paraId="51D90E14" w14:textId="77777777" w:rsidR="002B32A0" w:rsidRPr="00CE1D7F" w:rsidRDefault="002B32A0" w:rsidP="00F26F55">
      <w:pPr>
        <w:pStyle w:val="ListBullet"/>
      </w:pPr>
      <w:r w:rsidRPr="00CE1D7F">
        <w:t>Second generational impacts (incurred by the Australian economy): $333</w:t>
      </w:r>
      <w:r>
        <w:t> million.</w:t>
      </w:r>
      <w:r w:rsidRPr="00CE1D7F">
        <w:t xml:space="preserve"> </w:t>
      </w:r>
    </w:p>
    <w:p w14:paraId="0EFDE7D7" w14:textId="77777777" w:rsidR="002B32A0" w:rsidRPr="00CE1D7F" w:rsidRDefault="002B32A0" w:rsidP="00F26F55">
      <w:pPr>
        <w:pStyle w:val="ListBullet"/>
      </w:pPr>
      <w:r w:rsidRPr="00CE1D7F">
        <w:t>Justice, services and funeral sectors (incurred by the Australian economy): $1.7</w:t>
      </w:r>
      <w:r>
        <w:t> billion.</w:t>
      </w:r>
      <w:r w:rsidRPr="00CE1D7F">
        <w:t xml:space="preserve"> </w:t>
      </w:r>
    </w:p>
    <w:p w14:paraId="3DB3DD07" w14:textId="77777777" w:rsidR="002B32A0" w:rsidRPr="00CE1D7F" w:rsidRDefault="002B32A0" w:rsidP="00F26F55">
      <w:pPr>
        <w:pStyle w:val="ListBullet"/>
      </w:pPr>
      <w:r w:rsidRPr="00CE1D7F">
        <w:t>Transfer costs, including loss of income tax, additional social welfare payments, victim compensation payments and other government services (incurred by Australian economy): $1.6</w:t>
      </w:r>
      <w:r>
        <w:t> billion</w:t>
      </w:r>
      <w:r w:rsidRPr="00CE1D7F">
        <w:t>.</w:t>
      </w:r>
    </w:p>
    <w:p w14:paraId="383318AE" w14:textId="77777777" w:rsidR="002B32A0" w:rsidRPr="00CE1D7F" w:rsidRDefault="002B32A0" w:rsidP="002B32A0">
      <w:pPr>
        <w:pStyle w:val="BodyText"/>
      </w:pPr>
      <w:r w:rsidRPr="00CE1D7F">
        <w:t>The breakeven analysis compares the costs of the ARC-funded research to the value of a statistical life (as determined regularly by the Commonwealth Government)</w:t>
      </w:r>
      <w:r w:rsidRPr="00CE1D7F">
        <w:rPr>
          <w:rStyle w:val="FootnoteReference"/>
        </w:rPr>
        <w:footnoteReference w:id="233"/>
      </w:r>
      <w:r w:rsidRPr="00CE1D7F">
        <w:t xml:space="preserve"> to provide an estimate of the number of lives that would need to be saved to offset the costs of the research. The value of a statistical life is the most appropriate way to estimate how much society is willing to pay to reduce the risk of dying. It is defined as:</w:t>
      </w:r>
    </w:p>
    <w:p w14:paraId="1B469B76" w14:textId="77777777" w:rsidR="002B32A0" w:rsidRPr="00CE1D7F" w:rsidRDefault="002B32A0" w:rsidP="002B32A0">
      <w:pPr>
        <w:pStyle w:val="Quote"/>
      </w:pPr>
      <w:r w:rsidRPr="00CE1D7F">
        <w:t>“</w:t>
      </w:r>
      <w:bookmarkStart w:id="526" w:name="_Hlk129081303"/>
      <w:r w:rsidRPr="00CE1D7F">
        <w:t>The value of a statistical life is an estimate of how much society is willing to pay to reduce the risk of death. By convention the life is assumed to be the life of a young adult with at least 40 years of life ahead. It is a statistical life because it is not the life of any particular person</w:t>
      </w:r>
      <w:bookmarkEnd w:id="526"/>
      <w:r w:rsidRPr="00CE1D7F">
        <w:t>.”</w:t>
      </w:r>
    </w:p>
    <w:p w14:paraId="7EC6C5F2" w14:textId="77777777" w:rsidR="002B32A0" w:rsidRPr="00CE1D7F" w:rsidRDefault="002B32A0" w:rsidP="002B32A0">
      <w:pPr>
        <w:pStyle w:val="BodyText"/>
      </w:pPr>
      <w:r w:rsidRPr="00CE1D7F">
        <w:t>In other words, the breakeven analysis answers the question ‘How many lives would the research have to save for the research to break even to society in cost-benefit terms?’</w:t>
      </w:r>
    </w:p>
    <w:p w14:paraId="2AA4CB14" w14:textId="77777777" w:rsidR="002B32A0" w:rsidRPr="00CE1D7F" w:rsidRDefault="002B32A0" w:rsidP="002B32A0">
      <w:pPr>
        <w:pStyle w:val="BodyText"/>
      </w:pPr>
      <w:r w:rsidRPr="00CE1D7F">
        <w:t>The cost of the research program is $3.9</w:t>
      </w:r>
      <w:r>
        <w:t> million</w:t>
      </w:r>
      <w:r w:rsidRPr="00CE1D7F">
        <w:t xml:space="preserve"> in present value terms (in 2022 using a 7% discount rate</w:t>
      </w:r>
      <w:r w:rsidRPr="00CE1D7F">
        <w:rPr>
          <w:rStyle w:val="FootnoteReference"/>
        </w:rPr>
        <w:footnoteReference w:id="234"/>
      </w:r>
      <w:r w:rsidRPr="00CE1D7F">
        <w:t xml:space="preserve">), </w:t>
      </w:r>
      <w:bookmarkStart w:id="527" w:name="_Hlk129012875"/>
      <w:r w:rsidRPr="00CE1D7F">
        <w:t>and the statistical value of one life in 2022 was estimated to be $5.3</w:t>
      </w:r>
      <w:r>
        <w:t> million</w:t>
      </w:r>
      <w:r w:rsidRPr="00CE1D7F">
        <w:t xml:space="preserve"> in 2022</w:t>
      </w:r>
      <w:bookmarkEnd w:id="527"/>
      <w:r w:rsidRPr="00CE1D7F">
        <w:t xml:space="preserve">. This implies that, if the research helps prevent the death of only one woman from DFV, the benefits of the project would more than offset its costs. </w:t>
      </w:r>
      <w:bookmarkStart w:id="528" w:name="_Hlk129080981"/>
      <w:r w:rsidRPr="00CE1D7F">
        <w:t xml:space="preserve">Given the breadth and depth of the costs related to DFV detailed above and the positive impacts that this research has and will continue to have on the accuracy, responsiveness and efficiency of the legal system, it is not unreasonable to suggest that it would have helped to save at least the life of one woman in Australia. </w:t>
      </w:r>
      <w:bookmarkEnd w:id="528"/>
    </w:p>
    <w:p w14:paraId="0F0F82FA" w14:textId="77777777" w:rsidR="002B32A0" w:rsidRPr="00CE1D7F" w:rsidRDefault="002B32A0" w:rsidP="002B32A0">
      <w:pPr>
        <w:pStyle w:val="BodyText"/>
      </w:pPr>
      <w:r w:rsidRPr="00CE1D7F">
        <w:t>To put the potential benefits in context, while it is challenging to make assumptions as to the quantum of benefit that may be delivered by the research due to challenges with data collection and establishing a causal link between the research and the impact of DFV, if the research were to contribute to saving 1 life every year for the next 10 years, this would amount to $53</w:t>
      </w:r>
      <w:r>
        <w:t> million</w:t>
      </w:r>
      <w:r w:rsidRPr="00CE1D7F">
        <w:t xml:space="preserve"> in benefit. This does not consider the avoidance of injury, loss of male lives or loss of lives by suicide, nor the increased costs to the service system resulting from the research. </w:t>
      </w:r>
    </w:p>
    <w:p w14:paraId="612079F3" w14:textId="77777777" w:rsidR="002B32A0" w:rsidRPr="00CE1D7F" w:rsidRDefault="002B32A0" w:rsidP="002B32A0">
      <w:pPr>
        <w:pStyle w:val="Heading3"/>
      </w:pPr>
      <w:r w:rsidRPr="00CE1D7F">
        <w:t xml:space="preserve">Social impacts </w:t>
      </w:r>
    </w:p>
    <w:p w14:paraId="35F343E8" w14:textId="77777777" w:rsidR="002B32A0" w:rsidRPr="00CE1D7F" w:rsidRDefault="002B32A0" w:rsidP="002B32A0">
      <w:pPr>
        <w:pStyle w:val="BodyText"/>
      </w:pPr>
      <w:r w:rsidRPr="00CE1D7F">
        <w:t xml:space="preserve">Prof Douglas’ research has helped to fundamentally change how government, the legal and justice systems, and society understand and respond to DFV. It has provided evidence to inform a culture change movement. </w:t>
      </w:r>
    </w:p>
    <w:p w14:paraId="5080F2F2" w14:textId="77777777" w:rsidR="002B32A0" w:rsidRPr="00CE1D7F" w:rsidRDefault="002B32A0" w:rsidP="002B32A0">
      <w:r w:rsidRPr="00CE1D7F">
        <w:t xml:space="preserve">While many jurisdictions in Australia and other countries (e.g., most states in the United States) have NFS laws, these have not been evaluated to date to determine whether they increase women’s safety. This is the focus of Prof Douglas’ current grant, </w:t>
      </w:r>
      <w:r w:rsidRPr="00CE1D7F">
        <w:rPr>
          <w:i/>
          <w:iCs/>
        </w:rPr>
        <w:t>Discovery Projects – The non-fatal strangulation offence as a response to domestic violence</w:t>
      </w:r>
      <w:r w:rsidRPr="00CE1D7F">
        <w:t>. Further, NFS is one of many risk factors and acts of serious harm, and as such, should be considered in the broader context of DFV.</w:t>
      </w:r>
    </w:p>
    <w:p w14:paraId="7DF51BAE" w14:textId="77777777" w:rsidR="002B32A0" w:rsidRPr="00CE1D7F" w:rsidRDefault="002B32A0" w:rsidP="002B32A0">
      <w:r w:rsidRPr="00CE1D7F">
        <w:t>Prof Douglas’ research ultimately aims to impact the accuracy, responsiveness and efficiency of the legal system, which in turn, may lead to long-term impacts on the improved experience of women who seek safety through law, the confidence and perceived credibility of victims testifying in NFS cases; the incidence of NFS and related charges and convictions; women’s safety, health and wellbeing; service system response to women reporting NFS; and the quality of women’s experiences in navigating the legal system. These aim to reduce the burden on women’s (and their family’s) health, wellbeing and financial position and enable them to participate in their communities and workforce more fully.</w:t>
      </w:r>
    </w:p>
    <w:p w14:paraId="3F33E663" w14:textId="77777777" w:rsidR="002B32A0" w:rsidRPr="00CE1D7F" w:rsidRDefault="002B32A0" w:rsidP="002B32A0">
      <w:pPr>
        <w:pStyle w:val="Heading4"/>
      </w:pPr>
      <w:r w:rsidRPr="00CE1D7F">
        <w:t xml:space="preserve">Educational impacts </w:t>
      </w:r>
    </w:p>
    <w:p w14:paraId="451A2753" w14:textId="77777777" w:rsidR="002B32A0" w:rsidRPr="00CE1D7F" w:rsidRDefault="002B32A0" w:rsidP="002B32A0">
      <w:r w:rsidRPr="00CE1D7F">
        <w:t>The introduction of the Queensland NFS offence improved awareness of the direct harms of NFS and of the importance of NFS in identifying a high risk of future serious harm and death. Courts now use NFS as a key consideration for arresting a defendant or granting bail. The charge also signals to victims and services that victims will need safe housing and a health check.</w:t>
      </w:r>
      <w:r w:rsidRPr="00CE1D7F">
        <w:rPr>
          <w:rStyle w:val="FootnoteReference"/>
        </w:rPr>
        <w:footnoteReference w:id="235"/>
      </w:r>
      <w:r w:rsidRPr="00CE1D7F">
        <w:t xml:space="preserve"> The elevated profile of NFS and uptake of education and training materials and use of the Bench Book is evidenced by judges across Australia better recognising the complexity of DFV, systems abuse as a form of coercive control and the dangers of NFS and highlighting these in their judgments.</w:t>
      </w:r>
      <w:r w:rsidRPr="00CE1D7F">
        <w:rPr>
          <w:rStyle w:val="FootnoteReference"/>
        </w:rPr>
        <w:footnoteReference w:id="236"/>
      </w:r>
      <w:r w:rsidRPr="00CE1D7F">
        <w:t xml:space="preserve"> For example, this research refers to 5 cases, 1 law reform report and 2 law journal articles.</w:t>
      </w:r>
      <w:r w:rsidRPr="00CE1D7F">
        <w:rPr>
          <w:rStyle w:val="FootnoteReference"/>
        </w:rPr>
        <w:footnoteReference w:id="237"/>
      </w:r>
    </w:p>
    <w:p w14:paraId="1763804F" w14:textId="67F2B22C" w:rsidR="002B32A0" w:rsidRPr="00CE1D7F" w:rsidRDefault="002B32A0" w:rsidP="002B32A0">
      <w:pPr>
        <w:pStyle w:val="BodyText"/>
      </w:pPr>
      <w:r w:rsidRPr="00CE1D7F">
        <w:t xml:space="preserve">Prof Douglas’ research has also provided an opportunity for the training and development of PhD and honours students, as noted in </w:t>
      </w:r>
      <w:r>
        <w:t>section </w:t>
      </w:r>
      <w:r w:rsidRPr="00F87D0E">
        <w:fldChar w:fldCharType="begin"/>
      </w:r>
      <w:r w:rsidRPr="00F87D0E">
        <w:instrText xml:space="preserve"> REF _Ref125989966 \r \h  \* MERGEFORMAT </w:instrText>
      </w:r>
      <w:r w:rsidRPr="00F87D0E">
        <w:fldChar w:fldCharType="separate"/>
      </w:r>
      <w:r w:rsidR="000B0AC7">
        <w:t>11.7</w:t>
      </w:r>
      <w:r w:rsidRPr="00F87D0E">
        <w:fldChar w:fldCharType="end"/>
      </w:r>
      <w:r w:rsidRPr="00CE1D7F">
        <w:t>. This is essential for ensuring the building of research capacity and capability among new social researchers and building a workforce pipeline.</w:t>
      </w:r>
    </w:p>
    <w:p w14:paraId="5F3E126A" w14:textId="77777777" w:rsidR="002B32A0" w:rsidRPr="00CE1D7F" w:rsidRDefault="002B32A0" w:rsidP="002B32A0">
      <w:pPr>
        <w:pStyle w:val="Heading4"/>
      </w:pPr>
      <w:r w:rsidRPr="00CE1D7F">
        <w:t xml:space="preserve">Legal impacts </w:t>
      </w:r>
    </w:p>
    <w:p w14:paraId="6B5563CB" w14:textId="77777777" w:rsidR="002B32A0" w:rsidRPr="00CE1D7F" w:rsidRDefault="002B32A0" w:rsidP="002B32A0">
      <w:pPr>
        <w:pStyle w:val="BodyText"/>
      </w:pPr>
      <w:r w:rsidRPr="00CE1D7F">
        <w:t>Since its introduction, there have been 4,467 strangulation offences lodged in Queensland (2017</w:t>
      </w:r>
      <w:r w:rsidRPr="00CE1D7F">
        <w:noBreakHyphen/>
        <w:t>18 to 2022-23).</w:t>
      </w:r>
      <w:r w:rsidRPr="00CE1D7F">
        <w:rPr>
          <w:rStyle w:val="FootnoteReference"/>
        </w:rPr>
        <w:footnoteReference w:id="238"/>
      </w:r>
      <w:r w:rsidRPr="00CE1D7F">
        <w:t xml:space="preserve"> Of these, 1,600 defendants were convicted, with more than 95% of convicted defendants sentenced to imprisonment.</w:t>
      </w:r>
      <w:r w:rsidRPr="00CE1D7F">
        <w:rPr>
          <w:rStyle w:val="FootnoteReference"/>
        </w:rPr>
        <w:footnoteReference w:id="239"/>
      </w:r>
      <w:r w:rsidRPr="00CE1D7F">
        <w:t xml:space="preserve"> An important element of the NFS charge is that NFS is recorded on the individual’s criminal record and serves as a clear indicator for police and legal services that they may be particularly dangerous. This is an important consideration for any future charges.</w:t>
      </w:r>
    </w:p>
    <w:p w14:paraId="45E2432E" w14:textId="77777777" w:rsidR="002B32A0" w:rsidRPr="00CE1D7F" w:rsidRDefault="002B32A0" w:rsidP="002B32A0">
      <w:pPr>
        <w:pStyle w:val="BodyText"/>
      </w:pPr>
      <w:r w:rsidRPr="00CE1D7F">
        <w:t xml:space="preserve">While it is noteworthy that the suite of research has led to important changes for the legal system, the impact of these changes is unknown and currently being explored through the grant </w:t>
      </w:r>
      <w:r w:rsidRPr="00CE1D7F">
        <w:rPr>
          <w:i/>
          <w:iCs/>
        </w:rPr>
        <w:t>Discovery Projects – The non-fatal strangulation offence as a response to domestic violence.</w:t>
      </w:r>
      <w:r w:rsidRPr="00CE1D7F">
        <w:t xml:space="preserve"> This will determine the benefits and limitations of the NFS law in Queensland and beyond.</w:t>
      </w:r>
    </w:p>
    <w:p w14:paraId="14380CDC" w14:textId="77777777" w:rsidR="002B32A0" w:rsidRPr="00CE1D7F" w:rsidRDefault="002B32A0" w:rsidP="002B32A0">
      <w:pPr>
        <w:pStyle w:val="Heading2"/>
      </w:pPr>
      <w:bookmarkStart w:id="529" w:name="_Toc129963982"/>
      <w:bookmarkStart w:id="530" w:name="_Toc131174621"/>
      <w:bookmarkStart w:id="531" w:name="_Toc132970712"/>
      <w:bookmarkStart w:id="532" w:name="_Toc135323751"/>
      <w:r w:rsidRPr="00CE1D7F">
        <w:t>Potential future impacts</w:t>
      </w:r>
      <w:bookmarkEnd w:id="529"/>
      <w:bookmarkEnd w:id="530"/>
      <w:bookmarkEnd w:id="531"/>
      <w:bookmarkEnd w:id="532"/>
      <w:r w:rsidRPr="00CE1D7F">
        <w:t xml:space="preserve"> </w:t>
      </w:r>
    </w:p>
    <w:p w14:paraId="455222E5" w14:textId="77777777" w:rsidR="002B32A0" w:rsidRPr="00CE1D7F" w:rsidRDefault="002B32A0" w:rsidP="002B32A0">
      <w:pPr>
        <w:pStyle w:val="BodyText"/>
      </w:pPr>
      <w:r w:rsidRPr="00CE1D7F">
        <w:t xml:space="preserve">Prof Douglas’ research has paved the way for future DFV research, by herself and others, across a number of areas, including reproductive coercion, NFS, legal systems abuse and legal ethics for lawyers working in DFV. </w:t>
      </w:r>
    </w:p>
    <w:p w14:paraId="7B119643" w14:textId="77777777" w:rsidR="002B32A0" w:rsidRPr="00CE1D7F" w:rsidRDefault="002B32A0" w:rsidP="002B32A0">
      <w:pPr>
        <w:pStyle w:val="BodyText"/>
      </w:pPr>
      <w:r w:rsidRPr="00CE1D7F">
        <w:t xml:space="preserve">As noted above, current and future research on </w:t>
      </w:r>
      <w:r w:rsidRPr="00CE1D7F">
        <w:rPr>
          <w:i/>
          <w:iCs/>
        </w:rPr>
        <w:t>Discovery Projects – The non-fatal strangulation offence as a response to domestic violence</w:t>
      </w:r>
      <w:r w:rsidRPr="00CE1D7F">
        <w:t xml:space="preserve"> is extending the suite of research by assessing the impact of the NFS law in Queensland. </w:t>
      </w:r>
    </w:p>
    <w:p w14:paraId="6CBE77D5" w14:textId="77777777" w:rsidR="002B32A0" w:rsidRPr="00CE1D7F" w:rsidRDefault="002B32A0" w:rsidP="002B32A0">
      <w:pPr>
        <w:pStyle w:val="BodyText"/>
      </w:pPr>
      <w:r w:rsidRPr="00CE1D7F">
        <w:t xml:space="preserve">Prof Douglas was recently awarded an </w:t>
      </w:r>
      <w:r w:rsidRPr="00CE1D7F">
        <w:rPr>
          <w:bCs/>
        </w:rPr>
        <w:t>ARC Centre of Excellence for the Elimination of Violence Against Women (2023-29)</w:t>
      </w:r>
      <w:r w:rsidRPr="00CE1D7F">
        <w:t xml:space="preserve"> as part of a consortium of researchers. Her research has been supported by $160,000 in funding from Commonwealth Bank of Australia. This will be used to progress research into financial abuse as a form of coercive control and provide a greater understanding of financial systems abuse. Women’s legal Services Australia, AIJA, Australian Women Judges Association and DV Connect have promised in-kind contributions for the research.</w:t>
      </w:r>
    </w:p>
    <w:p w14:paraId="62080B01" w14:textId="77777777" w:rsidR="002B32A0" w:rsidRPr="00CE1D7F" w:rsidRDefault="002B32A0" w:rsidP="002B32A0">
      <w:pPr>
        <w:pStyle w:val="BodyText"/>
      </w:pPr>
      <w:r w:rsidRPr="00CE1D7F">
        <w:t xml:space="preserve">The successful development and implementation of the Bench Book set the standard for how the judiciary, magistrates and tribunal members could be educated and trained. AIJA, funded by the Commonwealth Attorney-General's Department, since commissioned Prof Douglas to develop the </w:t>
      </w:r>
      <w:r w:rsidRPr="00CE1D7F">
        <w:rPr>
          <w:i/>
          <w:iCs/>
        </w:rPr>
        <w:t>National Bench Book on Aboriginal and Torres Strait Islander Peoples and the Legal System</w:t>
      </w:r>
      <w:r w:rsidRPr="00CE1D7F">
        <w:t>, which will be a practical and readily accessible resource for those working in the criminal and civil justice systems that provide justice and legal assistance services to Aboriginal and Torres Strait Islander peoples.</w:t>
      </w:r>
      <w:r w:rsidRPr="00CE1D7F">
        <w:rPr>
          <w:rStyle w:val="FootnoteReference"/>
        </w:rPr>
        <w:footnoteReference w:id="240"/>
      </w:r>
    </w:p>
    <w:p w14:paraId="699B2377" w14:textId="77777777" w:rsidR="002B32A0" w:rsidRPr="00CE1D7F" w:rsidRDefault="002B32A0" w:rsidP="002B32A0">
      <w:pPr>
        <w:pStyle w:val="BodyText"/>
        <w:sectPr w:rsidR="002B32A0" w:rsidRPr="00CE1D7F" w:rsidSect="00327E78">
          <w:headerReference w:type="even" r:id="rId212"/>
          <w:headerReference w:type="default" r:id="rId213"/>
          <w:footerReference w:type="even" r:id="rId214"/>
          <w:footerReference w:type="default" r:id="rId215"/>
          <w:headerReference w:type="first" r:id="rId216"/>
          <w:footerReference w:type="first" r:id="rId217"/>
          <w:pgSz w:w="11906" w:h="16838" w:code="9"/>
          <w:pgMar w:top="1134" w:right="851" w:bottom="1134" w:left="3119" w:header="454" w:footer="159" w:gutter="0"/>
          <w:cols w:space="708"/>
          <w:docGrid w:linePitch="360"/>
        </w:sectPr>
      </w:pPr>
    </w:p>
    <w:p w14:paraId="7EF675C2" w14:textId="77777777" w:rsidR="000B0AC7" w:rsidRPr="00CE1D7F" w:rsidRDefault="000B0AC7" w:rsidP="000B0AC7">
      <w:pPr>
        <w:pStyle w:val="Heading1"/>
        <w:pageBreakBefore/>
        <w:ind w:left="0" w:hanging="600"/>
      </w:pPr>
      <w:bookmarkStart w:id="533" w:name="_Ref131081583"/>
      <w:bookmarkStart w:id="534" w:name="_Toc135323752"/>
      <w:r w:rsidRPr="00CE1D7F">
        <w:t>Indigenous Persistence in Formal Learning</w:t>
      </w:r>
      <w:bookmarkEnd w:id="533"/>
      <w:bookmarkEnd w:id="534"/>
    </w:p>
    <w:p w14:paraId="5EA6DD8B" w14:textId="77777777" w:rsidR="002B32A0" w:rsidRPr="00CE1D7F" w:rsidRDefault="002B32A0" w:rsidP="00F26F55">
      <w:pPr>
        <w:pStyle w:val="Heading2"/>
        <w:spacing w:after="600"/>
      </w:pPr>
      <w:bookmarkStart w:id="535" w:name="_Toc129963984"/>
      <w:bookmarkStart w:id="536" w:name="_Toc131174623"/>
      <w:bookmarkStart w:id="537" w:name="_Toc132970714"/>
      <w:bookmarkStart w:id="538" w:name="_Toc135323753"/>
      <w:r w:rsidRPr="00CE1D7F">
        <w:rPr>
          <w:noProof/>
        </w:rPr>
        <mc:AlternateContent>
          <mc:Choice Requires="wps">
            <w:drawing>
              <wp:anchor distT="0" distB="0" distL="114300" distR="114300" simplePos="0" relativeHeight="251712512" behindDoc="0" locked="0" layoutInCell="1" allowOverlap="1" wp14:anchorId="1CBD1A5F" wp14:editId="2D4AE9CE">
                <wp:simplePos x="0" y="0"/>
                <wp:positionH relativeFrom="margin">
                  <wp:align>right</wp:align>
                </wp:positionH>
                <wp:positionV relativeFrom="paragraph">
                  <wp:posOffset>618587</wp:posOffset>
                </wp:positionV>
                <wp:extent cx="6335157" cy="3009900"/>
                <wp:effectExtent l="19050" t="19050" r="27940" b="19050"/>
                <wp:wrapNone/>
                <wp:docPr id="600" name="Rectangle: Rounded Corners 6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35157" cy="3009900"/>
                        </a:xfrm>
                        <a:prstGeom prst="roundRect">
                          <a:avLst>
                            <a:gd name="adj" fmla="val 6814"/>
                          </a:avLst>
                        </a:prstGeom>
                        <a:noFill/>
                        <a:ln w="34925" cap="rnd">
                          <a:solidFill>
                            <a:schemeClr val="tx2"/>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17CFAABE" id="Rectangle: Rounded Corners 600" o:spid="_x0000_s1026" alt="&quot;&quot;" style="position:absolute;margin-left:447.65pt;margin-top:48.7pt;width:498.85pt;height:237pt;z-index:2517125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446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" filled="f" strokecolor="#6c3f99 [3215]" strokeweight="2.75pt">
                <v:stroke dashstyle="1 1" joinstyle="miter" endcap="round"/>
                <w10:wrap anchorx="margin"/>
              </v:roundrect>
            </w:pict>
          </mc:Fallback>
        </mc:AlternateContent>
      </w:r>
      <w:r w:rsidRPr="00CE1D7F">
        <w:t>Key Findings</w:t>
      </w:r>
      <w:bookmarkEnd w:id="535"/>
      <w:bookmarkEnd w:id="536"/>
      <w:r>
        <w:rPr>
          <w:rStyle w:val="FootnoteReference"/>
        </w:rPr>
        <w:footnoteReference w:id="241"/>
      </w:r>
      <w:bookmarkEnd w:id="537"/>
      <w:bookmarkEnd w:id="538"/>
    </w:p>
    <w:p w14:paraId="428E08DE" w14:textId="77777777" w:rsidR="002B32A0" w:rsidRPr="00CE1D7F" w:rsidRDefault="002B32A0" w:rsidP="002B32A0">
      <w:pPr>
        <w:pStyle w:val="BodyText"/>
      </w:pPr>
      <w:r w:rsidRPr="00CE1D7F">
        <w:rPr>
          <w:noProof/>
        </w:rPr>
        <mc:AlternateContent>
          <mc:Choice Requires="wps">
            <w:drawing>
              <wp:anchor distT="0" distB="0" distL="114300" distR="114300" simplePos="0" relativeHeight="251705344" behindDoc="0" locked="0" layoutInCell="1" allowOverlap="1" wp14:anchorId="07434B86" wp14:editId="3BB50C7A">
                <wp:simplePos x="0" y="0"/>
                <wp:positionH relativeFrom="column">
                  <wp:posOffset>-484274</wp:posOffset>
                </wp:positionH>
                <wp:positionV relativeFrom="paragraph">
                  <wp:posOffset>179062</wp:posOffset>
                </wp:positionV>
                <wp:extent cx="1809750" cy="997527"/>
                <wp:effectExtent l="0" t="0" r="0" b="0"/>
                <wp:wrapNone/>
                <wp:docPr id="606" name="Text Box 60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809750" cy="997527"/>
                        </a:xfrm>
                        <a:prstGeom prst="rect">
                          <a:avLst/>
                        </a:prstGeom>
                        <a:noFill/>
                      </wps:spPr>
                      <wps:txbx>
                        <w:txbxContent>
                          <w:p w14:paraId="60CBD8A3" w14:textId="77777777" w:rsidR="002B32A0" w:rsidRDefault="002B32A0" w:rsidP="002B32A0">
                            <w:pPr>
                              <w:spacing w:line="204" w:lineRule="auto"/>
                              <w:rPr>
                                <w:rFonts w:asciiTheme="minorHAnsi" w:eastAsia="Yu Gothic UI Semibold" w:cstheme="minorBidi"/>
                                <w:b/>
                                <w:bCs/>
                                <w:color w:val="000000" w:themeColor="text1"/>
                                <w:kern w:val="24"/>
                                <w:sz w:val="36"/>
                                <w:szCs w:val="36"/>
                              </w:rPr>
                            </w:pPr>
                            <w:r>
                              <w:rPr>
                                <w:rFonts w:asciiTheme="minorHAnsi" w:eastAsia="Yu Gothic UI Semibold" w:cstheme="minorBidi"/>
                                <w:b/>
                                <w:bCs/>
                                <w:color w:val="000000" w:themeColor="text1"/>
                                <w:kern w:val="24"/>
                                <w:sz w:val="36"/>
                                <w:szCs w:val="36"/>
                              </w:rPr>
                              <w:t xml:space="preserve">$693,000 </w:t>
                            </w:r>
                            <w:r>
                              <w:rPr>
                                <w:rFonts w:asciiTheme="minorHAnsi" w:eastAsia="Yu Gothic UI Semibold" w:cstheme="minorBidi"/>
                                <w:b/>
                                <w:bCs/>
                                <w:color w:val="000000" w:themeColor="text1"/>
                                <w:kern w:val="24"/>
                              </w:rPr>
                              <w:t xml:space="preserve">invested by ARC (with funding from other ARC grants and participating organisations supporting related projects)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7434B86" id="Text Box 606" o:spid="_x0000_s1076" type="#_x0000_t202" alt="&quot;&quot;" style="position:absolute;margin-left:-38.15pt;margin-top:14.1pt;width:142.5pt;height:78.5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" filled="f" stroked="f">
                <v:textbox>
                  <w:txbxContent>
                    <w:p w14:paraId="60CBD8A3" w14:textId="77777777" w:rsidR="002B32A0" w:rsidRDefault="002B32A0" w:rsidP="002B32A0">
                      <w:pPr>
                        <w:spacing w:line="204" w:lineRule="auto"/>
                        <w:rPr>
                          <w:rFonts w:asciiTheme="minorHAnsi" w:eastAsia="Yu Gothic UI Semibold" w:cstheme="minorBidi"/>
                          <w:b/>
                          <w:bCs/>
                          <w:color w:val="000000" w:themeColor="text1"/>
                          <w:kern w:val="24"/>
                          <w:sz w:val="36"/>
                          <w:szCs w:val="36"/>
                        </w:rPr>
                      </w:pPr>
                      <w:r>
                        <w:rPr>
                          <w:rFonts w:asciiTheme="minorHAnsi" w:eastAsia="Yu Gothic UI Semibold" w:cstheme="minorBidi"/>
                          <w:b/>
                          <w:bCs/>
                          <w:color w:val="000000" w:themeColor="text1"/>
                          <w:kern w:val="24"/>
                          <w:sz w:val="36"/>
                          <w:szCs w:val="36"/>
                        </w:rPr>
                        <w:t xml:space="preserve">$693,000 </w:t>
                      </w:r>
                      <w:r>
                        <w:rPr>
                          <w:rFonts w:asciiTheme="minorHAnsi" w:eastAsia="Yu Gothic UI Semibold" w:cstheme="minorBidi"/>
                          <w:b/>
                          <w:bCs/>
                          <w:color w:val="000000" w:themeColor="text1"/>
                          <w:kern w:val="24"/>
                        </w:rPr>
                        <w:t xml:space="preserve">invested by ARC (with funding from other ARC grants and participating organisations supporting related projects) </w:t>
                      </w:r>
                    </w:p>
                  </w:txbxContent>
                </v:textbox>
              </v:shape>
            </w:pict>
          </mc:Fallback>
        </mc:AlternateContent>
      </w:r>
      <w:r w:rsidRPr="00CE1D7F">
        <w:rPr>
          <w:noProof/>
        </w:rPr>
        <mc:AlternateContent>
          <mc:Choice Requires="wps">
            <w:drawing>
              <wp:anchor distT="0" distB="0" distL="114300" distR="114300" simplePos="0" relativeHeight="251714560" behindDoc="0" locked="0" layoutInCell="1" allowOverlap="1" wp14:anchorId="2BAC7206" wp14:editId="119F1185">
                <wp:simplePos x="0" y="0"/>
                <wp:positionH relativeFrom="column">
                  <wp:posOffset>2575560</wp:posOffset>
                </wp:positionH>
                <wp:positionV relativeFrom="paragraph">
                  <wp:posOffset>2021840</wp:posOffset>
                </wp:positionV>
                <wp:extent cx="2235200" cy="742950"/>
                <wp:effectExtent l="0" t="0" r="0" b="0"/>
                <wp:wrapNone/>
                <wp:docPr id="601" name="Text Box 60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235200" cy="742950"/>
                        </a:xfrm>
                        <a:prstGeom prst="rect">
                          <a:avLst/>
                        </a:prstGeom>
                        <a:noFill/>
                      </wps:spPr>
                      <wps:txbx>
                        <w:txbxContent>
                          <w:p w14:paraId="2920B14F" w14:textId="77777777" w:rsidR="002B32A0" w:rsidRDefault="002B32A0" w:rsidP="002B32A0">
                            <w:pPr>
                              <w:spacing w:line="204" w:lineRule="auto"/>
                              <w:rPr>
                                <w:rFonts w:asciiTheme="minorHAnsi" w:eastAsia="Yu Gothic UI Semibold" w:cstheme="minorBidi"/>
                                <w:b/>
                                <w:bCs/>
                                <w:color w:val="000000" w:themeColor="text1"/>
                                <w:kern w:val="24"/>
                                <w:lang w:val="en-US"/>
                              </w:rPr>
                            </w:pPr>
                            <w:r w:rsidRPr="00E36638">
                              <w:rPr>
                                <w:rFonts w:asciiTheme="minorHAnsi" w:eastAsia="Yu Gothic UI Semibold" w:cstheme="minorBidi"/>
                                <w:b/>
                                <w:bCs/>
                                <w:color w:val="000000" w:themeColor="text1"/>
                                <w:kern w:val="24"/>
                                <w:lang w:val="en-US"/>
                              </w:rPr>
                              <w:t xml:space="preserve">Alignment with Government </w:t>
                            </w:r>
                            <w:r>
                              <w:rPr>
                                <w:rFonts w:asciiTheme="minorHAnsi" w:eastAsia="Yu Gothic UI Semibold" w:cstheme="minorBidi"/>
                                <w:b/>
                                <w:bCs/>
                                <w:color w:val="000000" w:themeColor="text1"/>
                                <w:kern w:val="24"/>
                                <w:lang w:val="en-US"/>
                              </w:rPr>
                              <w:t>priorities</w:t>
                            </w:r>
                          </w:p>
                          <w:p w14:paraId="663EE4CF" w14:textId="77777777" w:rsidR="002B32A0" w:rsidRPr="00AB537F" w:rsidRDefault="002B32A0" w:rsidP="002B32A0">
                            <w:pPr>
                              <w:spacing w:line="204" w:lineRule="auto"/>
                              <w:rPr>
                                <w:rFonts w:asciiTheme="minorHAnsi" w:eastAsia="Yu Gothic UI Semibold" w:cstheme="minorBidi"/>
                                <w:b/>
                                <w:bCs/>
                                <w:color w:val="000000" w:themeColor="text1"/>
                                <w:kern w:val="24"/>
                                <w:lang w:val="en-US"/>
                              </w:rPr>
                            </w:pPr>
                            <w:r w:rsidRPr="00AB537F">
                              <w:rPr>
                                <w:rFonts w:asciiTheme="minorHAnsi" w:eastAsia="Yu Gothic UI Semibold" w:cstheme="minorBidi"/>
                                <w:b/>
                                <w:bCs/>
                                <w:color w:val="000000" w:themeColor="text1"/>
                                <w:kern w:val="24"/>
                                <w:lang w:val="en-US"/>
                              </w:rPr>
                              <w:t>-</w:t>
                            </w:r>
                            <w:r>
                              <w:rPr>
                                <w:rFonts w:asciiTheme="minorHAnsi" w:eastAsia="Yu Gothic UI Semibold" w:cstheme="minorBidi"/>
                                <w:b/>
                                <w:bCs/>
                                <w:color w:val="000000" w:themeColor="text1"/>
                                <w:kern w:val="24"/>
                                <w:lang w:val="en-US"/>
                              </w:rPr>
                              <w:t xml:space="preserve"> </w:t>
                            </w:r>
                            <w:r w:rsidRPr="00AB537F">
                              <w:rPr>
                                <w:rFonts w:asciiTheme="minorHAnsi" w:eastAsia="Yu Gothic UI Semibold" w:cstheme="minorBidi"/>
                                <w:b/>
                                <w:bCs/>
                                <w:color w:val="000000" w:themeColor="text1"/>
                                <w:kern w:val="24"/>
                                <w:lang w:val="en-US"/>
                              </w:rPr>
                              <w:t>Cl</w:t>
                            </w:r>
                            <w:r>
                              <w:rPr>
                                <w:rFonts w:asciiTheme="minorHAnsi" w:eastAsia="Yu Gothic UI Semibold" w:cstheme="minorBidi"/>
                                <w:b/>
                                <w:bCs/>
                                <w:color w:val="000000" w:themeColor="text1"/>
                                <w:kern w:val="24"/>
                                <w:lang w:val="en-US"/>
                              </w:rPr>
                              <w:t>osing the Gap</w:t>
                            </w:r>
                          </w:p>
                        </w:txbxContent>
                      </wps:txbx>
                      <wps:bodyPr wrap="square" rtlCol="0">
                        <a:noAutofit/>
                      </wps:bodyPr>
                    </wps:wsp>
                  </a:graphicData>
                </a:graphic>
                <wp14:sizeRelV relativeFrom="margin">
                  <wp14:pctHeight>0</wp14:pctHeight>
                </wp14:sizeRelV>
              </wp:anchor>
            </w:drawing>
          </mc:Choice>
          <mc:Fallback>
            <w:pict>
              <v:shape w14:anchorId="2BAC7206" id="Text Box 601" o:spid="_x0000_s1077" type="#_x0000_t202" alt="&quot;&quot;" style="position:absolute;margin-left:202.8pt;margin-top:159.2pt;width:176pt;height:58.5pt;z-index:251714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" filled="f" stroked="f">
                <v:textbox>
                  <w:txbxContent>
                    <w:p w14:paraId="2920B14F" w14:textId="77777777" w:rsidR="002B32A0" w:rsidRDefault="002B32A0" w:rsidP="002B32A0">
                      <w:pPr>
                        <w:spacing w:line="204" w:lineRule="auto"/>
                        <w:rPr>
                          <w:rFonts w:asciiTheme="minorHAnsi" w:eastAsia="Yu Gothic UI Semibold" w:cstheme="minorBidi"/>
                          <w:b/>
                          <w:bCs/>
                          <w:color w:val="000000" w:themeColor="text1"/>
                          <w:kern w:val="24"/>
                          <w:lang w:val="en-US"/>
                        </w:rPr>
                      </w:pPr>
                      <w:r w:rsidRPr="00E36638">
                        <w:rPr>
                          <w:rFonts w:asciiTheme="minorHAnsi" w:eastAsia="Yu Gothic UI Semibold" w:cstheme="minorBidi"/>
                          <w:b/>
                          <w:bCs/>
                          <w:color w:val="000000" w:themeColor="text1"/>
                          <w:kern w:val="24"/>
                          <w:lang w:val="en-US"/>
                        </w:rPr>
                        <w:t xml:space="preserve">Alignment with Government </w:t>
                      </w:r>
                      <w:r>
                        <w:rPr>
                          <w:rFonts w:asciiTheme="minorHAnsi" w:eastAsia="Yu Gothic UI Semibold" w:cstheme="minorBidi"/>
                          <w:b/>
                          <w:bCs/>
                          <w:color w:val="000000" w:themeColor="text1"/>
                          <w:kern w:val="24"/>
                          <w:lang w:val="en-US"/>
                        </w:rPr>
                        <w:t>priorities</w:t>
                      </w:r>
                    </w:p>
                    <w:p w14:paraId="663EE4CF" w14:textId="77777777" w:rsidR="002B32A0" w:rsidRPr="00AB537F" w:rsidRDefault="002B32A0" w:rsidP="002B32A0">
                      <w:pPr>
                        <w:spacing w:line="204" w:lineRule="auto"/>
                        <w:rPr>
                          <w:rFonts w:asciiTheme="minorHAnsi" w:eastAsia="Yu Gothic UI Semibold" w:cstheme="minorBidi"/>
                          <w:b/>
                          <w:bCs/>
                          <w:color w:val="000000" w:themeColor="text1"/>
                          <w:kern w:val="24"/>
                          <w:lang w:val="en-US"/>
                        </w:rPr>
                      </w:pPr>
                      <w:r w:rsidRPr="00AB537F">
                        <w:rPr>
                          <w:rFonts w:asciiTheme="minorHAnsi" w:eastAsia="Yu Gothic UI Semibold" w:cstheme="minorBidi"/>
                          <w:b/>
                          <w:bCs/>
                          <w:color w:val="000000" w:themeColor="text1"/>
                          <w:kern w:val="24"/>
                          <w:lang w:val="en-US"/>
                        </w:rPr>
                        <w:t>-</w:t>
                      </w:r>
                      <w:r>
                        <w:rPr>
                          <w:rFonts w:asciiTheme="minorHAnsi" w:eastAsia="Yu Gothic UI Semibold" w:cstheme="minorBidi"/>
                          <w:b/>
                          <w:bCs/>
                          <w:color w:val="000000" w:themeColor="text1"/>
                          <w:kern w:val="24"/>
                          <w:lang w:val="en-US"/>
                        </w:rPr>
                        <w:t xml:space="preserve"> </w:t>
                      </w:r>
                      <w:r w:rsidRPr="00AB537F">
                        <w:rPr>
                          <w:rFonts w:asciiTheme="minorHAnsi" w:eastAsia="Yu Gothic UI Semibold" w:cstheme="minorBidi"/>
                          <w:b/>
                          <w:bCs/>
                          <w:color w:val="000000" w:themeColor="text1"/>
                          <w:kern w:val="24"/>
                          <w:lang w:val="en-US"/>
                        </w:rPr>
                        <w:t>Cl</w:t>
                      </w:r>
                      <w:r>
                        <w:rPr>
                          <w:rFonts w:asciiTheme="minorHAnsi" w:eastAsia="Yu Gothic UI Semibold" w:cstheme="minorBidi"/>
                          <w:b/>
                          <w:bCs/>
                          <w:color w:val="000000" w:themeColor="text1"/>
                          <w:kern w:val="24"/>
                          <w:lang w:val="en-US"/>
                        </w:rPr>
                        <w:t>osing the Gap</w:t>
                      </w:r>
                    </w:p>
                  </w:txbxContent>
                </v:textbox>
              </v:shape>
            </w:pict>
          </mc:Fallback>
        </mc:AlternateContent>
      </w:r>
      <w:r w:rsidRPr="00CE1D7F">
        <w:rPr>
          <w:noProof/>
        </w:rPr>
        <w:drawing>
          <wp:anchor distT="0" distB="0" distL="114300" distR="114300" simplePos="0" relativeHeight="251713536" behindDoc="0" locked="0" layoutInCell="1" allowOverlap="1" wp14:anchorId="1E6FDDC8" wp14:editId="449BF98E">
            <wp:simplePos x="0" y="0"/>
            <wp:positionH relativeFrom="column">
              <wp:posOffset>1805940</wp:posOffset>
            </wp:positionH>
            <wp:positionV relativeFrom="paragraph">
              <wp:posOffset>1981200</wp:posOffset>
            </wp:positionV>
            <wp:extent cx="582295" cy="593725"/>
            <wp:effectExtent l="0" t="0" r="8255" b="0"/>
            <wp:wrapNone/>
            <wp:docPr id="678" name="Picture 67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Picture 555" descr="Icon&#10;&#10;Description automatically generated"/>
                    <pic:cNvPicPr>
                      <a:picLocks noChangeAspect="1"/>
                    </pic:cNvPicPr>
                  </pic:nvPicPr>
                  <pic:blipFill>
                    <a:blip r:embed="rId138" cstate="print">
                      <a:extLst>
                        <a:ext uri="{BEBA8EAE-BF5A-486C-A8C5-ECC9F3942E4B}">
                          <a14:imgProps xmlns:a14="http://schemas.microsoft.com/office/drawing/2010/main">
                            <a14:imgLayer r:embed="rId139">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582295" cy="593725"/>
                    </a:xfrm>
                    <a:prstGeom prst="rect">
                      <a:avLst/>
                    </a:prstGeom>
                  </pic:spPr>
                </pic:pic>
              </a:graphicData>
            </a:graphic>
          </wp:anchor>
        </w:drawing>
      </w:r>
      <w:r w:rsidRPr="00CE1D7F">
        <w:rPr>
          <w:noProof/>
        </w:rPr>
        <w:drawing>
          <wp:anchor distT="0" distB="0" distL="114300" distR="114300" simplePos="0" relativeHeight="251710464" behindDoc="0" locked="0" layoutInCell="1" allowOverlap="1" wp14:anchorId="2EC18365" wp14:editId="50DA861E">
            <wp:simplePos x="0" y="0"/>
            <wp:positionH relativeFrom="column">
              <wp:posOffset>-1207770</wp:posOffset>
            </wp:positionH>
            <wp:positionV relativeFrom="paragraph">
              <wp:posOffset>1175385</wp:posOffset>
            </wp:positionV>
            <wp:extent cx="682625" cy="683260"/>
            <wp:effectExtent l="0" t="0" r="3175" b="2540"/>
            <wp:wrapNone/>
            <wp:docPr id="679" name="Picture 679"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descr="Icon&#10;&#10;Description automatically generated"/>
                    <pic:cNvPicPr>
                      <a:picLocks noChangeAspect="1"/>
                    </pic:cNvPicPr>
                  </pic:nvPicPr>
                  <pic:blipFill>
                    <a:blip r:embed="rId148" cstate="print">
                      <a:extLst>
                        <a:ext uri="{BEBA8EAE-BF5A-486C-A8C5-ECC9F3942E4B}">
                          <a14:imgProps xmlns:a14="http://schemas.microsoft.com/office/drawing/2010/main">
                            <a14:imgLayer r:embed="rId149">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682625" cy="683260"/>
                    </a:xfrm>
                    <a:prstGeom prst="rect">
                      <a:avLst/>
                    </a:prstGeom>
                  </pic:spPr>
                </pic:pic>
              </a:graphicData>
            </a:graphic>
          </wp:anchor>
        </w:drawing>
      </w:r>
      <w:r w:rsidRPr="00CE1D7F">
        <w:rPr>
          <w:noProof/>
        </w:rPr>
        <mc:AlternateContent>
          <mc:Choice Requires="wpg">
            <w:drawing>
              <wp:anchor distT="0" distB="0" distL="114300" distR="114300" simplePos="0" relativeHeight="251708416" behindDoc="0" locked="0" layoutInCell="1" allowOverlap="1" wp14:anchorId="6A58113A" wp14:editId="166C0F55">
                <wp:simplePos x="0" y="0"/>
                <wp:positionH relativeFrom="column">
                  <wp:posOffset>1746885</wp:posOffset>
                </wp:positionH>
                <wp:positionV relativeFrom="paragraph">
                  <wp:posOffset>993775</wp:posOffset>
                </wp:positionV>
                <wp:extent cx="790575" cy="752475"/>
                <wp:effectExtent l="0" t="0" r="0" b="0"/>
                <wp:wrapNone/>
                <wp:docPr id="602" name="Group 602" descr="Icon&#10;&#10;Description automatically generated"/>
                <wp:cNvGraphicFramePr/>
                <a:graphic xmlns:a="http://schemas.openxmlformats.org/drawingml/2006/main">
                  <a:graphicData uri="http://schemas.microsoft.com/office/word/2010/wordprocessingGroup">
                    <wpg:wgp>
                      <wpg:cNvGrpSpPr/>
                      <wpg:grpSpPr>
                        <a:xfrm>
                          <a:off x="0" y="0"/>
                          <a:ext cx="790575" cy="752475"/>
                          <a:chOff x="0" y="0"/>
                          <a:chExt cx="790575" cy="752475"/>
                        </a:xfrm>
                      </wpg:grpSpPr>
                      <pic:pic xmlns:pic="http://schemas.openxmlformats.org/drawingml/2006/picture">
                        <pic:nvPicPr>
                          <pic:cNvPr id="603" name="Graphic 603" descr="Diploma roll with solid fill"/>
                          <pic:cNvPicPr>
                            <a:picLocks noChangeAspect="1"/>
                          </pic:cNvPicPr>
                        </pic:nvPicPr>
                        <pic:blipFill>
                          <a:blip r:embed="rId142">
                            <a:extLst>
                              <a:ext uri="{28A0092B-C50C-407E-A947-70E740481C1C}">
                                <a14:useLocalDpi xmlns:a14="http://schemas.microsoft.com/office/drawing/2010/main" val="0"/>
                              </a:ext>
                              <a:ext uri="{96DAC541-7B7A-43D3-8B79-37D633B846F1}">
                                <asvg:svgBlip xmlns:asvg="http://schemas.microsoft.com/office/drawing/2016/SVG/main" r:embed="rId143"/>
                              </a:ext>
                            </a:extLst>
                          </a:blip>
                          <a:stretch>
                            <a:fillRect/>
                          </a:stretch>
                        </pic:blipFill>
                        <pic:spPr>
                          <a:xfrm rot="19117289">
                            <a:off x="257175" y="219075"/>
                            <a:ext cx="533400" cy="533400"/>
                          </a:xfrm>
                          <a:prstGeom prst="rect">
                            <a:avLst/>
                          </a:prstGeom>
                        </pic:spPr>
                      </pic:pic>
                      <pic:pic xmlns:pic="http://schemas.openxmlformats.org/drawingml/2006/picture">
                        <pic:nvPicPr>
                          <pic:cNvPr id="604" name="Graphic 604" descr="Graduation cap with solid fill"/>
                          <pic:cNvPicPr>
                            <a:picLocks noChangeAspect="1"/>
                          </pic:cNvPicPr>
                        </pic:nvPicPr>
                        <pic:blipFill>
                          <a:blip r:embed="rId144">
                            <a:extLst>
                              <a:ext uri="{28A0092B-C50C-407E-A947-70E740481C1C}">
                                <a14:useLocalDpi xmlns:a14="http://schemas.microsoft.com/office/drawing/2010/main" val="0"/>
                              </a:ext>
                              <a:ext uri="{96DAC541-7B7A-43D3-8B79-37D633B846F1}">
                                <asvg:svgBlip xmlns:asvg="http://schemas.microsoft.com/office/drawing/2016/SVG/main" r:embed="rId145"/>
                              </a:ext>
                            </a:extLst>
                          </a:blip>
                          <a:stretch>
                            <a:fillRect/>
                          </a:stretch>
                        </pic:blipFill>
                        <pic:spPr>
                          <a:xfrm>
                            <a:off x="0" y="0"/>
                            <a:ext cx="619125" cy="619125"/>
                          </a:xfrm>
                          <a:prstGeom prst="rect">
                            <a:avLst/>
                          </a:prstGeom>
                        </pic:spPr>
                      </pic:pic>
                    </wpg:wgp>
                  </a:graphicData>
                </a:graphic>
              </wp:anchor>
            </w:drawing>
          </mc:Choice>
          <mc:Fallback>
            <w:pict>
              <v:group w14:anchorId="7C791BB0" id="Group 602" o:spid="_x0000_s1026" alt="Icon&#10;&#10;Description automatically generated" style="position:absolute;margin-left:137.55pt;margin-top:78.25pt;width:62.25pt;height:59.25pt;z-index:251708416" coordsize="7905,752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">
                <v:shape id="Graphic 603" o:spid="_x0000_s1027" type="#_x0000_t75" alt="Diploma roll with solid fill" style="position:absolute;left:2571;top:2190;width:5334;height:5334;rotation:-271178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">
                  <v:imagedata r:id="rId146" o:title="Diploma roll with solid fill"/>
                </v:shape>
                <v:shape id="Graphic 604" o:spid="_x0000_s1028" type="#_x0000_t75" alt="Graduation cap with solid fill" style="position:absolute;width:6191;height:6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">
                  <v:imagedata r:id="rId147" o:title="Graduation cap with solid fill"/>
                </v:shape>
              </v:group>
            </w:pict>
          </mc:Fallback>
        </mc:AlternateContent>
      </w:r>
      <w:r w:rsidRPr="00CE1D7F">
        <w:rPr>
          <w:noProof/>
        </w:rPr>
        <w:drawing>
          <wp:anchor distT="0" distB="0" distL="114300" distR="114300" simplePos="0" relativeHeight="251704320" behindDoc="0" locked="0" layoutInCell="1" allowOverlap="1" wp14:anchorId="587048F6" wp14:editId="66ABE1AD">
            <wp:simplePos x="0" y="0"/>
            <wp:positionH relativeFrom="column">
              <wp:posOffset>-1144270</wp:posOffset>
            </wp:positionH>
            <wp:positionV relativeFrom="paragraph">
              <wp:posOffset>200660</wp:posOffset>
            </wp:positionV>
            <wp:extent cx="555625" cy="566420"/>
            <wp:effectExtent l="0" t="0" r="0" b="0"/>
            <wp:wrapNone/>
            <wp:docPr id="680" name="Picture 68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Picture 556" descr="Icon&#10;&#10;Description automatically generated"/>
                    <pic:cNvPicPr>
                      <a:picLocks noChangeAspect="1"/>
                    </pic:cNvPicPr>
                  </pic:nvPicPr>
                  <pic:blipFill>
                    <a:blip r:embed="rId140" cstate="print">
                      <a:extLst>
                        <a:ext uri="{BEBA8EAE-BF5A-486C-A8C5-ECC9F3942E4B}">
                          <a14:imgProps xmlns:a14="http://schemas.microsoft.com/office/drawing/2010/main">
                            <a14:imgLayer r:embed="rId141">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555625" cy="566420"/>
                    </a:xfrm>
                    <a:prstGeom prst="rect">
                      <a:avLst/>
                    </a:prstGeom>
                  </pic:spPr>
                </pic:pic>
              </a:graphicData>
            </a:graphic>
          </wp:anchor>
        </w:drawing>
      </w:r>
      <w:r w:rsidRPr="00CE1D7F">
        <w:rPr>
          <w:noProof/>
        </w:rPr>
        <mc:AlternateContent>
          <mc:Choice Requires="wps">
            <w:drawing>
              <wp:anchor distT="0" distB="0" distL="114300" distR="114300" simplePos="0" relativeHeight="251707392" behindDoc="0" locked="0" layoutInCell="1" allowOverlap="1" wp14:anchorId="6AFDA1A8" wp14:editId="1F2F94E2">
                <wp:simplePos x="0" y="0"/>
                <wp:positionH relativeFrom="column">
                  <wp:posOffset>2505075</wp:posOffset>
                </wp:positionH>
                <wp:positionV relativeFrom="paragraph">
                  <wp:posOffset>175260</wp:posOffset>
                </wp:positionV>
                <wp:extent cx="1703705" cy="842645"/>
                <wp:effectExtent l="0" t="0" r="0" b="0"/>
                <wp:wrapNone/>
                <wp:docPr id="605" name="Text Box 60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703705" cy="842645"/>
                        </a:xfrm>
                        <a:prstGeom prst="rect">
                          <a:avLst/>
                        </a:prstGeom>
                        <a:noFill/>
                      </wps:spPr>
                      <wps:txbx>
                        <w:txbxContent>
                          <w:p w14:paraId="53AA004E" w14:textId="77777777" w:rsidR="002B32A0" w:rsidRDefault="002B32A0" w:rsidP="002B32A0">
                            <w:pPr>
                              <w:spacing w:line="204" w:lineRule="auto"/>
                              <w:rPr>
                                <w:rFonts w:asciiTheme="minorHAnsi" w:eastAsia="Yu Gothic UI Semibold" w:cstheme="minorBidi"/>
                                <w:b/>
                                <w:bCs/>
                                <w:color w:val="000000" w:themeColor="text1"/>
                                <w:kern w:val="24"/>
                                <w:sz w:val="36"/>
                                <w:szCs w:val="36"/>
                              </w:rPr>
                            </w:pPr>
                            <w:r>
                              <w:rPr>
                                <w:rFonts w:asciiTheme="minorHAnsi" w:eastAsia="Yu Gothic UI Semibold" w:cstheme="minorBidi"/>
                                <w:b/>
                                <w:bCs/>
                                <w:color w:val="000000" w:themeColor="text1"/>
                                <w:kern w:val="24"/>
                                <w:sz w:val="36"/>
                                <w:szCs w:val="36"/>
                              </w:rPr>
                              <w:t xml:space="preserve">$105.3m </w:t>
                            </w:r>
                            <w:r w:rsidRPr="00105EEA">
                              <w:rPr>
                                <w:rFonts w:cstheme="minorBidi"/>
                                <w:b/>
                                <w:bCs/>
                                <w:color w:val="000000" w:themeColor="text1"/>
                                <w:kern w:val="24"/>
                              </w:rPr>
                              <w:t xml:space="preserve">NPV </w:t>
                            </w:r>
                            <w:r>
                              <w:rPr>
                                <w:rFonts w:cstheme="minorBidi"/>
                                <w:b/>
                                <w:bCs/>
                                <w:color w:val="000000" w:themeColor="text1"/>
                                <w:kern w:val="24"/>
                              </w:rPr>
                              <w:t>of present and anticipated economic impacts and. BCR of 2.48.</w:t>
                            </w:r>
                          </w:p>
                          <w:p w14:paraId="3BDA9C62" w14:textId="77777777" w:rsidR="002B32A0" w:rsidRDefault="002B32A0" w:rsidP="002B32A0">
                            <w:pPr>
                              <w:spacing w:line="204" w:lineRule="auto"/>
                              <w:rPr>
                                <w:rFonts w:asciiTheme="minorHAnsi" w:eastAsia="Yu Gothic UI Semibold" w:cstheme="minorBidi"/>
                                <w:b/>
                                <w:bCs/>
                                <w:color w:val="000000" w:themeColor="text1"/>
                                <w:kern w:val="24"/>
                                <w:sz w:val="36"/>
                                <w:szCs w:val="36"/>
                              </w:rPr>
                            </w:pPr>
                          </w:p>
                        </w:txbxContent>
                      </wps:txbx>
                      <wps:bodyPr wrap="square" rtlCol="0">
                        <a:noAutofit/>
                      </wps:bodyPr>
                    </wps:wsp>
                  </a:graphicData>
                </a:graphic>
                <wp14:sizeRelV relativeFrom="margin">
                  <wp14:pctHeight>0</wp14:pctHeight>
                </wp14:sizeRelV>
              </wp:anchor>
            </w:drawing>
          </mc:Choice>
          <mc:Fallback>
            <w:pict>
              <v:shape w14:anchorId="6AFDA1A8" id="Text Box 605" o:spid="_x0000_s1078" type="#_x0000_t202" alt="&quot;&quot;" style="position:absolute;margin-left:197.25pt;margin-top:13.8pt;width:134.15pt;height:66.35pt;z-index:251707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" filled="f" stroked="f">
                <v:textbox>
                  <w:txbxContent>
                    <w:p w14:paraId="53AA004E" w14:textId="77777777" w:rsidR="002B32A0" w:rsidRDefault="002B32A0" w:rsidP="002B32A0">
                      <w:pPr>
                        <w:spacing w:line="204" w:lineRule="auto"/>
                        <w:rPr>
                          <w:rFonts w:asciiTheme="minorHAnsi" w:eastAsia="Yu Gothic UI Semibold" w:cstheme="minorBidi"/>
                          <w:b/>
                          <w:bCs/>
                          <w:color w:val="000000" w:themeColor="text1"/>
                          <w:kern w:val="24"/>
                          <w:sz w:val="36"/>
                          <w:szCs w:val="36"/>
                        </w:rPr>
                      </w:pPr>
                      <w:r>
                        <w:rPr>
                          <w:rFonts w:asciiTheme="minorHAnsi" w:eastAsia="Yu Gothic UI Semibold" w:cstheme="minorBidi"/>
                          <w:b/>
                          <w:bCs/>
                          <w:color w:val="000000" w:themeColor="text1"/>
                          <w:kern w:val="24"/>
                          <w:sz w:val="36"/>
                          <w:szCs w:val="36"/>
                        </w:rPr>
                        <w:t xml:space="preserve">$105.3m </w:t>
                      </w:r>
                      <w:r w:rsidRPr="00105EEA">
                        <w:rPr>
                          <w:rFonts w:cstheme="minorBidi"/>
                          <w:b/>
                          <w:bCs/>
                          <w:color w:val="000000" w:themeColor="text1"/>
                          <w:kern w:val="24"/>
                        </w:rPr>
                        <w:t xml:space="preserve">NPV </w:t>
                      </w:r>
                      <w:r>
                        <w:rPr>
                          <w:rFonts w:cstheme="minorBidi"/>
                          <w:b/>
                          <w:bCs/>
                          <w:color w:val="000000" w:themeColor="text1"/>
                          <w:kern w:val="24"/>
                        </w:rPr>
                        <w:t>of present and anticipated economic impacts and. BCR of 2.48.</w:t>
                      </w:r>
                    </w:p>
                    <w:p w14:paraId="3BDA9C62" w14:textId="77777777" w:rsidR="002B32A0" w:rsidRDefault="002B32A0" w:rsidP="002B32A0">
                      <w:pPr>
                        <w:spacing w:line="204" w:lineRule="auto"/>
                        <w:rPr>
                          <w:rFonts w:asciiTheme="minorHAnsi" w:eastAsia="Yu Gothic UI Semibold" w:cstheme="minorBidi"/>
                          <w:b/>
                          <w:bCs/>
                          <w:color w:val="000000" w:themeColor="text1"/>
                          <w:kern w:val="24"/>
                          <w:sz w:val="36"/>
                          <w:szCs w:val="36"/>
                        </w:rPr>
                      </w:pPr>
                    </w:p>
                  </w:txbxContent>
                </v:textbox>
              </v:shape>
            </w:pict>
          </mc:Fallback>
        </mc:AlternateContent>
      </w:r>
    </w:p>
    <w:p w14:paraId="5DF711A6" w14:textId="77777777" w:rsidR="002B32A0" w:rsidRPr="00CE1D7F" w:rsidRDefault="002B32A0" w:rsidP="002B32A0">
      <w:pPr>
        <w:pStyle w:val="BodyText"/>
      </w:pPr>
      <w:r w:rsidRPr="00CE1D7F">
        <w:rPr>
          <w:noProof/>
        </w:rPr>
        <w:drawing>
          <wp:anchor distT="0" distB="0" distL="114300" distR="114300" simplePos="0" relativeHeight="251706368" behindDoc="0" locked="0" layoutInCell="1" allowOverlap="1" wp14:anchorId="7F6F5679" wp14:editId="6D555EE2">
            <wp:simplePos x="0" y="0"/>
            <wp:positionH relativeFrom="page">
              <wp:posOffset>3828415</wp:posOffset>
            </wp:positionH>
            <wp:positionV relativeFrom="paragraph">
              <wp:posOffset>59690</wp:posOffset>
            </wp:positionV>
            <wp:extent cx="514418" cy="514877"/>
            <wp:effectExtent l="0" t="0" r="0" b="0"/>
            <wp:wrapNone/>
            <wp:docPr id="681" name="Picture 68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192" descr="Icon&#10;&#10;Description automatically generated"/>
                    <pic:cNvPicPr>
                      <a:picLocks noChangeAspect="1"/>
                    </pic:cNvPicPr>
                  </pic:nvPicPr>
                  <pic:blipFill>
                    <a:blip r:embed="rId136" cstate="print">
                      <a:extLst>
                        <a:ext uri="{BEBA8EAE-BF5A-486C-A8C5-ECC9F3942E4B}">
                          <a14:imgProps xmlns:a14="http://schemas.microsoft.com/office/drawing/2010/main">
                            <a14:imgLayer r:embed="rId137">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514418" cy="514877"/>
                    </a:xfrm>
                    <a:prstGeom prst="rect">
                      <a:avLst/>
                    </a:prstGeom>
                  </pic:spPr>
                </pic:pic>
              </a:graphicData>
            </a:graphic>
          </wp:anchor>
        </w:drawing>
      </w:r>
    </w:p>
    <w:p w14:paraId="6A6D07CF" w14:textId="77777777" w:rsidR="002B32A0" w:rsidRPr="00CE1D7F" w:rsidRDefault="002B32A0" w:rsidP="002B32A0">
      <w:pPr>
        <w:pStyle w:val="BodyText"/>
      </w:pPr>
    </w:p>
    <w:p w14:paraId="73D18FB9" w14:textId="77777777" w:rsidR="002B32A0" w:rsidRPr="00CE1D7F" w:rsidRDefault="002B32A0" w:rsidP="002B32A0">
      <w:pPr>
        <w:pStyle w:val="BodyText"/>
      </w:pPr>
    </w:p>
    <w:p w14:paraId="4983B241" w14:textId="77777777" w:rsidR="002B32A0" w:rsidRPr="00CE1D7F" w:rsidRDefault="002B32A0" w:rsidP="002B32A0">
      <w:pPr>
        <w:pStyle w:val="BodyText"/>
      </w:pPr>
      <w:r w:rsidRPr="00CE1D7F">
        <w:rPr>
          <w:noProof/>
        </w:rPr>
        <mc:AlternateContent>
          <mc:Choice Requires="wps">
            <w:drawing>
              <wp:anchor distT="0" distB="0" distL="114300" distR="114300" simplePos="0" relativeHeight="251711488" behindDoc="0" locked="0" layoutInCell="1" allowOverlap="1" wp14:anchorId="7F25F8E9" wp14:editId="6ECB09BD">
                <wp:simplePos x="0" y="0"/>
                <wp:positionH relativeFrom="column">
                  <wp:posOffset>-438785</wp:posOffset>
                </wp:positionH>
                <wp:positionV relativeFrom="paragraph">
                  <wp:posOffset>159195</wp:posOffset>
                </wp:positionV>
                <wp:extent cx="1924050" cy="1524000"/>
                <wp:effectExtent l="0" t="0" r="0" b="0"/>
                <wp:wrapNone/>
                <wp:docPr id="37" name="Text Box 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924050" cy="1524000"/>
                        </a:xfrm>
                        <a:prstGeom prst="rect">
                          <a:avLst/>
                        </a:prstGeom>
                        <a:noFill/>
                      </wps:spPr>
                      <wps:txbx>
                        <w:txbxContent>
                          <w:p w14:paraId="51D7C6A3" w14:textId="77777777" w:rsidR="002B32A0" w:rsidRPr="00105EEA" w:rsidRDefault="002B32A0" w:rsidP="002B32A0">
                            <w:pPr>
                              <w:spacing w:line="204" w:lineRule="auto"/>
                              <w:rPr>
                                <w:rFonts w:cstheme="minorBidi"/>
                                <w:color w:val="000000" w:themeColor="text1"/>
                                <w:kern w:val="24"/>
                                <w:sz w:val="24"/>
                                <w:szCs w:val="24"/>
                              </w:rPr>
                            </w:pPr>
                            <w:r>
                              <w:rPr>
                                <w:rFonts w:cstheme="minorBidi"/>
                                <w:color w:val="000000" w:themeColor="text1"/>
                                <w:kern w:val="24"/>
                              </w:rPr>
                              <w:t xml:space="preserve">The project has produced </w:t>
                            </w:r>
                            <w:r>
                              <w:rPr>
                                <w:rFonts w:cstheme="minorBidi"/>
                                <w:color w:val="000000" w:themeColor="text1"/>
                                <w:kern w:val="24"/>
                              </w:rPr>
                              <w:br/>
                            </w:r>
                            <w:r>
                              <w:rPr>
                                <w:rFonts w:cstheme="minorBidi"/>
                                <w:b/>
                                <w:bCs/>
                                <w:color w:val="000000" w:themeColor="text1"/>
                                <w:kern w:val="24"/>
                              </w:rPr>
                              <w:t>-</w:t>
                            </w:r>
                            <w:r w:rsidRPr="00AB537F">
                              <w:rPr>
                                <w:rFonts w:cstheme="minorBidi"/>
                                <w:b/>
                                <w:bCs/>
                                <w:color w:val="000000" w:themeColor="text1"/>
                                <w:kern w:val="24"/>
                              </w:rPr>
                              <w:t xml:space="preserve"> Transitional Academic Pastoral Support Indigenous learning model</w:t>
                            </w:r>
                            <w:r>
                              <w:rPr>
                                <w:rFonts w:cstheme="minorBidi"/>
                                <w:b/>
                                <w:bCs/>
                                <w:color w:val="000000" w:themeColor="text1"/>
                                <w:kern w:val="24"/>
                              </w:rPr>
                              <w:t xml:space="preserve"> </w:t>
                            </w:r>
                          </w:p>
                          <w:p w14:paraId="54CE6EEE" w14:textId="55B2344A" w:rsidR="002B32A0" w:rsidRPr="009847FE" w:rsidRDefault="002B32A0" w:rsidP="008C0C17">
                            <w:pPr>
                              <w:spacing w:line="204" w:lineRule="auto"/>
                            </w:pPr>
                            <w:r w:rsidRPr="00AB537F">
                              <w:rPr>
                                <w:rFonts w:cstheme="minorBidi"/>
                                <w:b/>
                                <w:bCs/>
                                <w:color w:val="000000" w:themeColor="text1"/>
                                <w:kern w:val="24"/>
                              </w:rPr>
                              <w:t>-</w:t>
                            </w:r>
                            <w:r>
                              <w:rPr>
                                <w:rFonts w:cstheme="minorBidi"/>
                                <w:b/>
                                <w:bCs/>
                                <w:color w:val="000000" w:themeColor="text1"/>
                                <w:kern w:val="24"/>
                              </w:rPr>
                              <w:t xml:space="preserve"> </w:t>
                            </w:r>
                            <w:r w:rsidR="009847FE" w:rsidRPr="009847FE">
                              <w:rPr>
                                <w:rFonts w:cstheme="minorBidi"/>
                                <w:b/>
                                <w:bCs/>
                                <w:color w:val="000000" w:themeColor="text1"/>
                                <w:kern w:val="24"/>
                              </w:rPr>
                              <w:t>5</w:t>
                            </w:r>
                            <w:r w:rsidR="009847FE" w:rsidRPr="008C0C17">
                              <w:rPr>
                                <w:rFonts w:cstheme="minorBidi"/>
                                <w:color w:val="000000" w:themeColor="text1"/>
                                <w:kern w:val="24"/>
                              </w:rPr>
                              <w:t xml:space="preserve"> journal articles, </w:t>
                            </w:r>
                            <w:r w:rsidR="009847FE" w:rsidRPr="009847FE">
                              <w:rPr>
                                <w:rFonts w:cstheme="minorBidi"/>
                                <w:b/>
                                <w:bCs/>
                                <w:color w:val="000000" w:themeColor="text1"/>
                                <w:kern w:val="24"/>
                              </w:rPr>
                              <w:t xml:space="preserve">3 </w:t>
                            </w:r>
                            <w:r w:rsidR="009847FE" w:rsidRPr="008C0C17">
                              <w:rPr>
                                <w:rFonts w:cstheme="minorBidi"/>
                                <w:color w:val="000000" w:themeColor="text1"/>
                                <w:kern w:val="24"/>
                              </w:rPr>
                              <w:t xml:space="preserve">conference presentations, </w:t>
                            </w:r>
                            <w:r w:rsidR="009847FE" w:rsidRPr="009847FE">
                              <w:rPr>
                                <w:rFonts w:cstheme="minorBidi"/>
                                <w:b/>
                                <w:bCs/>
                                <w:color w:val="000000" w:themeColor="text1"/>
                                <w:kern w:val="24"/>
                              </w:rPr>
                              <w:t>2</w:t>
                            </w:r>
                            <w:r w:rsidR="009847FE" w:rsidRPr="008C0C17">
                              <w:rPr>
                                <w:rFonts w:cstheme="minorBidi"/>
                                <w:color w:val="000000" w:themeColor="text1"/>
                                <w:kern w:val="24"/>
                              </w:rPr>
                              <w:t xml:space="preserve"> case studies, </w:t>
                            </w:r>
                            <w:r w:rsidR="009847FE" w:rsidRPr="009847FE">
                              <w:rPr>
                                <w:rFonts w:cstheme="minorBidi"/>
                                <w:b/>
                                <w:bCs/>
                                <w:color w:val="000000" w:themeColor="text1"/>
                                <w:kern w:val="24"/>
                              </w:rPr>
                              <w:t>1</w:t>
                            </w:r>
                            <w:r w:rsidR="009847FE" w:rsidRPr="008C0C17">
                              <w:rPr>
                                <w:rFonts w:cstheme="minorBidi"/>
                                <w:color w:val="000000" w:themeColor="text1"/>
                                <w:kern w:val="24"/>
                              </w:rPr>
                              <w:t xml:space="preserve"> book on </w:t>
                            </w:r>
                            <w:r w:rsidR="009847FE" w:rsidRPr="008C0C17">
                              <w:rPr>
                                <w:rFonts w:cstheme="minorBidi"/>
                                <w:i/>
                                <w:iCs/>
                                <w:color w:val="000000" w:themeColor="text1"/>
                                <w:kern w:val="24"/>
                              </w:rPr>
                              <w:t>Supporting Indigenous Students to Succeed at University</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F25F8E9" id="Text Box 37" o:spid="_x0000_s1079" type="#_x0000_t202" alt="&quot;&quot;" style="position:absolute;margin-left:-34.55pt;margin-top:12.55pt;width:151.5pt;height:120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" filled="f" stroked="f">
                <v:textbox>
                  <w:txbxContent>
                    <w:p w14:paraId="51D7C6A3" w14:textId="77777777" w:rsidR="002B32A0" w:rsidRPr="00105EEA" w:rsidRDefault="002B32A0" w:rsidP="002B32A0">
                      <w:pPr>
                        <w:spacing w:line="204" w:lineRule="auto"/>
                        <w:rPr>
                          <w:rFonts w:cstheme="minorBidi"/>
                          <w:color w:val="000000" w:themeColor="text1"/>
                          <w:kern w:val="24"/>
                          <w:sz w:val="24"/>
                          <w:szCs w:val="24"/>
                        </w:rPr>
                      </w:pPr>
                      <w:r>
                        <w:rPr>
                          <w:rFonts w:cstheme="minorBidi"/>
                          <w:color w:val="000000" w:themeColor="text1"/>
                          <w:kern w:val="24"/>
                        </w:rPr>
                        <w:t xml:space="preserve">The project has produced </w:t>
                      </w:r>
                      <w:r>
                        <w:rPr>
                          <w:rFonts w:cstheme="minorBidi"/>
                          <w:color w:val="000000" w:themeColor="text1"/>
                          <w:kern w:val="24"/>
                        </w:rPr>
                        <w:br/>
                      </w:r>
                      <w:r>
                        <w:rPr>
                          <w:rFonts w:cstheme="minorBidi"/>
                          <w:b/>
                          <w:bCs/>
                          <w:color w:val="000000" w:themeColor="text1"/>
                          <w:kern w:val="24"/>
                        </w:rPr>
                        <w:t>-</w:t>
                      </w:r>
                      <w:r w:rsidRPr="00AB537F">
                        <w:rPr>
                          <w:rFonts w:cstheme="minorBidi"/>
                          <w:b/>
                          <w:bCs/>
                          <w:color w:val="000000" w:themeColor="text1"/>
                          <w:kern w:val="24"/>
                        </w:rPr>
                        <w:t xml:space="preserve"> Transitional Academic Pastoral Support Indigenous learning model</w:t>
                      </w:r>
                      <w:r>
                        <w:rPr>
                          <w:rFonts w:cstheme="minorBidi"/>
                          <w:b/>
                          <w:bCs/>
                          <w:color w:val="000000" w:themeColor="text1"/>
                          <w:kern w:val="24"/>
                        </w:rPr>
                        <w:t xml:space="preserve"> </w:t>
                      </w:r>
                    </w:p>
                    <w:p w14:paraId="54CE6EEE" w14:textId="55B2344A" w:rsidR="002B32A0" w:rsidRPr="009847FE" w:rsidRDefault="002B32A0" w:rsidP="008C0C17">
                      <w:pPr>
                        <w:spacing w:line="204" w:lineRule="auto"/>
                      </w:pPr>
                      <w:r w:rsidRPr="00AB537F">
                        <w:rPr>
                          <w:rFonts w:cstheme="minorBidi"/>
                          <w:b/>
                          <w:bCs/>
                          <w:color w:val="000000" w:themeColor="text1"/>
                          <w:kern w:val="24"/>
                        </w:rPr>
                        <w:t>-</w:t>
                      </w:r>
                      <w:r>
                        <w:rPr>
                          <w:rFonts w:cstheme="minorBidi"/>
                          <w:b/>
                          <w:bCs/>
                          <w:color w:val="000000" w:themeColor="text1"/>
                          <w:kern w:val="24"/>
                        </w:rPr>
                        <w:t xml:space="preserve"> </w:t>
                      </w:r>
                      <w:r w:rsidR="009847FE" w:rsidRPr="009847FE">
                        <w:rPr>
                          <w:rFonts w:cstheme="minorBidi"/>
                          <w:b/>
                          <w:bCs/>
                          <w:color w:val="000000" w:themeColor="text1"/>
                          <w:kern w:val="24"/>
                        </w:rPr>
                        <w:t>5</w:t>
                      </w:r>
                      <w:r w:rsidR="009847FE" w:rsidRPr="008C0C17">
                        <w:rPr>
                          <w:rFonts w:cstheme="minorBidi"/>
                          <w:color w:val="000000" w:themeColor="text1"/>
                          <w:kern w:val="24"/>
                        </w:rPr>
                        <w:t xml:space="preserve"> journal articles, </w:t>
                      </w:r>
                      <w:r w:rsidR="009847FE" w:rsidRPr="009847FE">
                        <w:rPr>
                          <w:rFonts w:cstheme="minorBidi"/>
                          <w:b/>
                          <w:bCs/>
                          <w:color w:val="000000" w:themeColor="text1"/>
                          <w:kern w:val="24"/>
                        </w:rPr>
                        <w:t xml:space="preserve">3 </w:t>
                      </w:r>
                      <w:r w:rsidR="009847FE" w:rsidRPr="008C0C17">
                        <w:rPr>
                          <w:rFonts w:cstheme="minorBidi"/>
                          <w:color w:val="000000" w:themeColor="text1"/>
                          <w:kern w:val="24"/>
                        </w:rPr>
                        <w:t xml:space="preserve">conference presentations, </w:t>
                      </w:r>
                      <w:r w:rsidR="009847FE" w:rsidRPr="009847FE">
                        <w:rPr>
                          <w:rFonts w:cstheme="minorBidi"/>
                          <w:b/>
                          <w:bCs/>
                          <w:color w:val="000000" w:themeColor="text1"/>
                          <w:kern w:val="24"/>
                        </w:rPr>
                        <w:t>2</w:t>
                      </w:r>
                      <w:r w:rsidR="009847FE" w:rsidRPr="008C0C17">
                        <w:rPr>
                          <w:rFonts w:cstheme="minorBidi"/>
                          <w:color w:val="000000" w:themeColor="text1"/>
                          <w:kern w:val="24"/>
                        </w:rPr>
                        <w:t xml:space="preserve"> case studies, </w:t>
                      </w:r>
                      <w:r w:rsidR="009847FE" w:rsidRPr="009847FE">
                        <w:rPr>
                          <w:rFonts w:cstheme="minorBidi"/>
                          <w:b/>
                          <w:bCs/>
                          <w:color w:val="000000" w:themeColor="text1"/>
                          <w:kern w:val="24"/>
                        </w:rPr>
                        <w:t>1</w:t>
                      </w:r>
                      <w:r w:rsidR="009847FE" w:rsidRPr="008C0C17">
                        <w:rPr>
                          <w:rFonts w:cstheme="minorBidi"/>
                          <w:color w:val="000000" w:themeColor="text1"/>
                          <w:kern w:val="24"/>
                        </w:rPr>
                        <w:t xml:space="preserve"> book on </w:t>
                      </w:r>
                      <w:r w:rsidR="009847FE" w:rsidRPr="008C0C17">
                        <w:rPr>
                          <w:rFonts w:cstheme="minorBidi"/>
                          <w:i/>
                          <w:iCs/>
                          <w:color w:val="000000" w:themeColor="text1"/>
                          <w:kern w:val="24"/>
                        </w:rPr>
                        <w:t>Supporting Indigenous Students to Succeed at University</w:t>
                      </w:r>
                    </w:p>
                  </w:txbxContent>
                </v:textbox>
              </v:shape>
            </w:pict>
          </mc:Fallback>
        </mc:AlternateContent>
      </w:r>
      <w:r w:rsidRPr="00CE1D7F">
        <w:rPr>
          <w:noProof/>
        </w:rPr>
        <mc:AlternateContent>
          <mc:Choice Requires="wps">
            <w:drawing>
              <wp:anchor distT="0" distB="0" distL="114300" distR="114300" simplePos="0" relativeHeight="251709440" behindDoc="0" locked="0" layoutInCell="1" allowOverlap="1" wp14:anchorId="7E4184AD" wp14:editId="328BEC24">
                <wp:simplePos x="0" y="0"/>
                <wp:positionH relativeFrom="column">
                  <wp:posOffset>2509490</wp:posOffset>
                </wp:positionH>
                <wp:positionV relativeFrom="paragraph">
                  <wp:posOffset>85444</wp:posOffset>
                </wp:positionV>
                <wp:extent cx="2219325" cy="895350"/>
                <wp:effectExtent l="0" t="0" r="0" b="0"/>
                <wp:wrapNone/>
                <wp:docPr id="212" name="Text Box 2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219325" cy="895350"/>
                        </a:xfrm>
                        <a:prstGeom prst="rect">
                          <a:avLst/>
                        </a:prstGeom>
                        <a:noFill/>
                      </wps:spPr>
                      <wps:txbx>
                        <w:txbxContent>
                          <w:p w14:paraId="3EE28A69" w14:textId="77777777" w:rsidR="002B32A0" w:rsidRDefault="002B32A0" w:rsidP="002B32A0">
                            <w:pPr>
                              <w:spacing w:line="204" w:lineRule="auto"/>
                              <w:rPr>
                                <w:rFonts w:cstheme="minorBidi"/>
                                <w:b/>
                                <w:bCs/>
                                <w:color w:val="000000" w:themeColor="text1"/>
                                <w:kern w:val="24"/>
                              </w:rPr>
                            </w:pPr>
                            <w:r>
                              <w:rPr>
                                <w:rFonts w:asciiTheme="minorHAnsi" w:eastAsia="Yu Gothic UI Semibold" w:cstheme="minorBidi"/>
                                <w:b/>
                                <w:bCs/>
                                <w:color w:val="000000" w:themeColor="text1"/>
                                <w:kern w:val="24"/>
                                <w:sz w:val="36"/>
                                <w:szCs w:val="36"/>
                              </w:rPr>
                              <w:t xml:space="preserve">~6,000 </w:t>
                            </w:r>
                            <w:r w:rsidRPr="004153A2">
                              <w:rPr>
                                <w:rFonts w:cstheme="minorBidi"/>
                                <w:b/>
                                <w:bCs/>
                                <w:color w:val="000000" w:themeColor="text1"/>
                                <w:kern w:val="24"/>
                              </w:rPr>
                              <w:t>Indigenous</w:t>
                            </w:r>
                            <w:r>
                              <w:rPr>
                                <w:rFonts w:asciiTheme="minorHAnsi" w:eastAsia="Yu Gothic UI Semibold" w:cstheme="minorBidi"/>
                                <w:b/>
                                <w:bCs/>
                                <w:color w:val="000000" w:themeColor="text1"/>
                                <w:kern w:val="24"/>
                                <w:sz w:val="36"/>
                                <w:szCs w:val="36"/>
                              </w:rPr>
                              <w:t xml:space="preserve"> </w:t>
                            </w:r>
                            <w:r>
                              <w:rPr>
                                <w:rFonts w:cstheme="minorBidi"/>
                                <w:b/>
                                <w:bCs/>
                                <w:color w:val="000000" w:themeColor="text1"/>
                                <w:kern w:val="24"/>
                              </w:rPr>
                              <w:t>students impacted by the research</w:t>
                            </w:r>
                          </w:p>
                          <w:p w14:paraId="13E4C39A" w14:textId="77777777" w:rsidR="002B32A0" w:rsidRPr="004153A2" w:rsidRDefault="002B32A0" w:rsidP="002B32A0">
                            <w:pPr>
                              <w:spacing w:line="204" w:lineRule="auto"/>
                              <w:rPr>
                                <w:rFonts w:cstheme="minorBidi"/>
                                <w:b/>
                                <w:bCs/>
                                <w:color w:val="000000" w:themeColor="text1"/>
                                <w:kern w:val="24"/>
                              </w:rPr>
                            </w:pPr>
                            <w:r w:rsidRPr="004153A2">
                              <w:rPr>
                                <w:rFonts w:cstheme="minorBidi"/>
                                <w:b/>
                                <w:bCs/>
                                <w:color w:val="000000" w:themeColor="text1"/>
                                <w:kern w:val="24"/>
                              </w:rPr>
                              <w:t>Up to 90 fully funded PhD</w:t>
                            </w:r>
                            <w:r>
                              <w:rPr>
                                <w:rFonts w:cstheme="minorBidi"/>
                                <w:b/>
                                <w:bCs/>
                                <w:color w:val="000000" w:themeColor="text1"/>
                                <w:kern w:val="24"/>
                              </w:rPr>
                              <w:t>/</w:t>
                            </w:r>
                            <w:r w:rsidRPr="004153A2">
                              <w:rPr>
                                <w:rFonts w:cstheme="minorBidi"/>
                                <w:b/>
                                <w:bCs/>
                                <w:color w:val="000000" w:themeColor="text1"/>
                                <w:kern w:val="24"/>
                              </w:rPr>
                              <w:t>MPhil and 42 postdoctoral</w:t>
                            </w:r>
                            <w:r>
                              <w:rPr>
                                <w:rFonts w:cstheme="minorBidi"/>
                                <w:b/>
                                <w:bCs/>
                                <w:color w:val="000000" w:themeColor="text1"/>
                                <w:kern w:val="24"/>
                              </w:rPr>
                              <w:t xml:space="preserve"> fellows trained</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E4184AD" id="Text Box 212" o:spid="_x0000_s1080" type="#_x0000_t202" alt="&quot;&quot;" style="position:absolute;margin-left:197.6pt;margin-top:6.75pt;width:174.75pt;height:70.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" filled="f" stroked="f">
                <v:textbox>
                  <w:txbxContent>
                    <w:p w14:paraId="3EE28A69" w14:textId="77777777" w:rsidR="002B32A0" w:rsidRDefault="002B32A0" w:rsidP="002B32A0">
                      <w:pPr>
                        <w:spacing w:line="204" w:lineRule="auto"/>
                        <w:rPr>
                          <w:rFonts w:cstheme="minorBidi"/>
                          <w:b/>
                          <w:bCs/>
                          <w:color w:val="000000" w:themeColor="text1"/>
                          <w:kern w:val="24"/>
                        </w:rPr>
                      </w:pPr>
                      <w:r>
                        <w:rPr>
                          <w:rFonts w:asciiTheme="minorHAnsi" w:eastAsia="Yu Gothic UI Semibold" w:cstheme="minorBidi"/>
                          <w:b/>
                          <w:bCs/>
                          <w:color w:val="000000" w:themeColor="text1"/>
                          <w:kern w:val="24"/>
                          <w:sz w:val="36"/>
                          <w:szCs w:val="36"/>
                        </w:rPr>
                        <w:t xml:space="preserve">~6,000 </w:t>
                      </w:r>
                      <w:r w:rsidRPr="004153A2">
                        <w:rPr>
                          <w:rFonts w:cstheme="minorBidi"/>
                          <w:b/>
                          <w:bCs/>
                          <w:color w:val="000000" w:themeColor="text1"/>
                          <w:kern w:val="24"/>
                        </w:rPr>
                        <w:t>Indigenous</w:t>
                      </w:r>
                      <w:r>
                        <w:rPr>
                          <w:rFonts w:asciiTheme="minorHAnsi" w:eastAsia="Yu Gothic UI Semibold" w:cstheme="minorBidi"/>
                          <w:b/>
                          <w:bCs/>
                          <w:color w:val="000000" w:themeColor="text1"/>
                          <w:kern w:val="24"/>
                          <w:sz w:val="36"/>
                          <w:szCs w:val="36"/>
                        </w:rPr>
                        <w:t xml:space="preserve"> </w:t>
                      </w:r>
                      <w:r>
                        <w:rPr>
                          <w:rFonts w:cstheme="minorBidi"/>
                          <w:b/>
                          <w:bCs/>
                          <w:color w:val="000000" w:themeColor="text1"/>
                          <w:kern w:val="24"/>
                        </w:rPr>
                        <w:t>students impacted by the research</w:t>
                      </w:r>
                    </w:p>
                    <w:p w14:paraId="13E4C39A" w14:textId="77777777" w:rsidR="002B32A0" w:rsidRPr="004153A2" w:rsidRDefault="002B32A0" w:rsidP="002B32A0">
                      <w:pPr>
                        <w:spacing w:line="204" w:lineRule="auto"/>
                        <w:rPr>
                          <w:rFonts w:cstheme="minorBidi"/>
                          <w:b/>
                          <w:bCs/>
                          <w:color w:val="000000" w:themeColor="text1"/>
                          <w:kern w:val="24"/>
                        </w:rPr>
                      </w:pPr>
                      <w:r w:rsidRPr="004153A2">
                        <w:rPr>
                          <w:rFonts w:cstheme="minorBidi"/>
                          <w:b/>
                          <w:bCs/>
                          <w:color w:val="000000" w:themeColor="text1"/>
                          <w:kern w:val="24"/>
                        </w:rPr>
                        <w:t>Up to 90 fully funded PhD</w:t>
                      </w:r>
                      <w:r>
                        <w:rPr>
                          <w:rFonts w:cstheme="minorBidi"/>
                          <w:b/>
                          <w:bCs/>
                          <w:color w:val="000000" w:themeColor="text1"/>
                          <w:kern w:val="24"/>
                        </w:rPr>
                        <w:t>/</w:t>
                      </w:r>
                      <w:r w:rsidRPr="004153A2">
                        <w:rPr>
                          <w:rFonts w:cstheme="minorBidi"/>
                          <w:b/>
                          <w:bCs/>
                          <w:color w:val="000000" w:themeColor="text1"/>
                          <w:kern w:val="24"/>
                        </w:rPr>
                        <w:t>MPhil and 42 postdoctoral</w:t>
                      </w:r>
                      <w:r>
                        <w:rPr>
                          <w:rFonts w:cstheme="minorBidi"/>
                          <w:b/>
                          <w:bCs/>
                          <w:color w:val="000000" w:themeColor="text1"/>
                          <w:kern w:val="24"/>
                        </w:rPr>
                        <w:t xml:space="preserve"> fellows trained</w:t>
                      </w:r>
                    </w:p>
                  </w:txbxContent>
                </v:textbox>
              </v:shape>
            </w:pict>
          </mc:Fallback>
        </mc:AlternateContent>
      </w:r>
    </w:p>
    <w:p w14:paraId="5C5A3FCD" w14:textId="77777777" w:rsidR="002B32A0" w:rsidRPr="00CE1D7F" w:rsidRDefault="002B32A0" w:rsidP="002B32A0">
      <w:pPr>
        <w:pStyle w:val="BodyText"/>
      </w:pPr>
    </w:p>
    <w:p w14:paraId="0D4E93A9" w14:textId="77777777" w:rsidR="002B32A0" w:rsidRPr="00CE1D7F" w:rsidRDefault="002B32A0" w:rsidP="002B32A0">
      <w:pPr>
        <w:pStyle w:val="BodyText"/>
      </w:pPr>
    </w:p>
    <w:p w14:paraId="1A837B5C" w14:textId="77777777" w:rsidR="002B32A0" w:rsidRPr="00CE1D7F" w:rsidRDefault="002B32A0" w:rsidP="002B32A0">
      <w:pPr>
        <w:pStyle w:val="BodyText"/>
      </w:pPr>
    </w:p>
    <w:p w14:paraId="41203E68" w14:textId="77777777" w:rsidR="002B32A0" w:rsidRPr="00CE1D7F" w:rsidRDefault="002B32A0" w:rsidP="002B32A0">
      <w:pPr>
        <w:pStyle w:val="BodyText"/>
      </w:pPr>
    </w:p>
    <w:p w14:paraId="0D06E849" w14:textId="77777777" w:rsidR="002B32A0" w:rsidRPr="00CE1D7F" w:rsidRDefault="002B32A0" w:rsidP="002B32A0">
      <w:pPr>
        <w:pStyle w:val="BodyText"/>
      </w:pPr>
    </w:p>
    <w:p w14:paraId="5D09FD74" w14:textId="77777777" w:rsidR="002B32A0" w:rsidRPr="00CE1D7F" w:rsidRDefault="002B32A0" w:rsidP="002B32A0">
      <w:pPr>
        <w:pStyle w:val="BodyText"/>
      </w:pPr>
    </w:p>
    <w:p w14:paraId="634D292C" w14:textId="77777777" w:rsidR="002B32A0" w:rsidRPr="00CE1D7F" w:rsidRDefault="002B32A0" w:rsidP="002B32A0">
      <w:pPr>
        <w:pStyle w:val="BodyText"/>
      </w:pPr>
    </w:p>
    <w:p w14:paraId="22317B9E" w14:textId="77777777" w:rsidR="002B32A0" w:rsidRPr="00CE1D7F" w:rsidRDefault="002B32A0" w:rsidP="002B32A0">
      <w:pPr>
        <w:pStyle w:val="Heading2"/>
      </w:pPr>
      <w:bookmarkStart w:id="539" w:name="_Toc129963985"/>
      <w:bookmarkStart w:id="540" w:name="_Toc131174624"/>
      <w:bookmarkStart w:id="541" w:name="_Toc132970715"/>
      <w:bookmarkStart w:id="542" w:name="_Toc135323754"/>
      <w:r w:rsidRPr="00CE1D7F">
        <w:t>Case study framework</w:t>
      </w:r>
      <w:bookmarkEnd w:id="539"/>
      <w:bookmarkEnd w:id="540"/>
      <w:bookmarkEnd w:id="541"/>
      <w:bookmarkEnd w:id="542"/>
    </w:p>
    <w:p w14:paraId="5F600ED3" w14:textId="502F3BD9" w:rsidR="00325D56" w:rsidRDefault="002B32A0" w:rsidP="002B32A0">
      <w:pPr>
        <w:pStyle w:val="BodyText"/>
      </w:pPr>
      <w:r w:rsidRPr="00CE1D7F">
        <w:t>This case study uses an evaluation framework</w:t>
      </w:r>
      <w:r>
        <w:t xml:space="preserve"> that ACIL Allen has used</w:t>
      </w:r>
      <w:r w:rsidRPr="00CE1D7F">
        <w:t xml:space="preserve"> to assess the impact and value of research undertaken by many organisations.</w:t>
      </w:r>
      <w:r w:rsidRPr="00CE1D7F">
        <w:rPr>
          <w:rStyle w:val="FootnoteReference"/>
        </w:rPr>
        <w:footnoteReference w:id="242"/>
      </w:r>
      <w:r w:rsidRPr="00CE1D7F">
        <w:t xml:space="preserve"> The results from </w:t>
      </w:r>
      <w:r>
        <w:t>applying that</w:t>
      </w:r>
      <w:r w:rsidRPr="00CE1D7F">
        <w:t xml:space="preserve"> framework Indigenous Persistence in Formal Learning</w:t>
      </w:r>
      <w:r w:rsidRPr="00CE1D7F" w:rsidDel="00D96F36">
        <w:t xml:space="preserve"> </w:t>
      </w:r>
      <w:r w:rsidRPr="00CE1D7F">
        <w:t xml:space="preserve">case study are summarised in </w:t>
      </w:r>
      <w:r w:rsidRPr="00F87D0E">
        <w:fldChar w:fldCharType="begin"/>
      </w:r>
      <w:r w:rsidRPr="00F87D0E">
        <w:instrText xml:space="preserve"> REF _Ref129343795 \h  \* MERGEFORMAT </w:instrText>
      </w:r>
      <w:r w:rsidRPr="00F87D0E">
        <w:fldChar w:fldCharType="separate"/>
      </w:r>
      <w:r w:rsidR="000B0AC7" w:rsidRPr="000B0AC7">
        <w:t>Figure 12.1</w:t>
      </w:r>
      <w:r w:rsidRPr="00F87D0E">
        <w:fldChar w:fldCharType="end"/>
      </w:r>
      <w:r w:rsidRPr="00CE1D7F">
        <w:t>.</w:t>
      </w:r>
    </w:p>
    <w:p w14:paraId="3F17C401" w14:textId="77777777" w:rsidR="00325D56" w:rsidRDefault="00325D56">
      <w:pPr>
        <w:spacing w:before="0" w:after="160" w:line="259" w:lineRule="auto"/>
      </w:pPr>
      <w:r>
        <w:br w:type="page"/>
      </w:r>
    </w:p>
    <w:p w14:paraId="032597DD" w14:textId="7893AB61" w:rsidR="002B32A0" w:rsidRPr="00CE1D7F" w:rsidRDefault="002B32A0" w:rsidP="002B32A0">
      <w:pPr>
        <w:pStyle w:val="Caption"/>
        <w:ind w:left="-1202"/>
      </w:pPr>
      <w:bookmarkStart w:id="543" w:name="_Ref129343795"/>
      <w:r w:rsidRPr="00CE1D7F">
        <w:rPr>
          <w:rStyle w:val="CaptionLabel"/>
        </w:rPr>
        <w:t>Figure </w:t>
      </w:r>
      <w:r w:rsidRPr="00CE1D7F">
        <w:rPr>
          <w:rStyle w:val="CaptionLabel"/>
        </w:rPr>
        <w:fldChar w:fldCharType="begin"/>
      </w:r>
      <w:r w:rsidRPr="00CE1D7F">
        <w:rPr>
          <w:rStyle w:val="CaptionLabel"/>
        </w:rPr>
        <w:instrText xml:space="preserve"> STYLEREF 1 \S \* MERGEFORMAT </w:instrText>
      </w:r>
      <w:r w:rsidRPr="00CE1D7F">
        <w:rPr>
          <w:rStyle w:val="CaptionLabel"/>
        </w:rPr>
        <w:fldChar w:fldCharType="separate"/>
      </w:r>
      <w:r w:rsidR="000B0AC7">
        <w:rPr>
          <w:rStyle w:val="CaptionLabel"/>
          <w:noProof/>
        </w:rPr>
        <w:t>12</w:t>
      </w:r>
      <w:r w:rsidRPr="00CE1D7F">
        <w:rPr>
          <w:rStyle w:val="CaptionLabel"/>
        </w:rPr>
        <w:fldChar w:fldCharType="end"/>
      </w:r>
      <w:r w:rsidRPr="00CE1D7F">
        <w:rPr>
          <w:rStyle w:val="CaptionLabel"/>
        </w:rPr>
        <w:t>.</w:t>
      </w:r>
      <w:r w:rsidRPr="00CE1D7F">
        <w:rPr>
          <w:rStyle w:val="CaptionLabel"/>
        </w:rPr>
        <w:fldChar w:fldCharType="begin"/>
      </w:r>
      <w:r w:rsidRPr="00CE1D7F">
        <w:rPr>
          <w:rStyle w:val="CaptionLabel"/>
        </w:rPr>
        <w:instrText xml:space="preserve"> SEQ Figure \* ARABIC \S 1 \* MERGEFORMAT </w:instrText>
      </w:r>
      <w:r w:rsidRPr="00CE1D7F">
        <w:rPr>
          <w:rStyle w:val="CaptionLabel"/>
        </w:rPr>
        <w:fldChar w:fldCharType="separate"/>
      </w:r>
      <w:r w:rsidR="000B0AC7">
        <w:rPr>
          <w:rStyle w:val="CaptionLabel"/>
          <w:noProof/>
        </w:rPr>
        <w:t>1</w:t>
      </w:r>
      <w:r w:rsidRPr="00CE1D7F">
        <w:rPr>
          <w:rStyle w:val="CaptionLabel"/>
        </w:rPr>
        <w:fldChar w:fldCharType="end"/>
      </w:r>
      <w:bookmarkEnd w:id="543"/>
      <w:r w:rsidRPr="00CE1D7F">
        <w:tab/>
        <w:t>Indigenous Persistence in Formal Learning</w:t>
      </w:r>
      <w:r w:rsidRPr="00CE1D7F" w:rsidDel="00D96F36">
        <w:t xml:space="preserve"> </w:t>
      </w:r>
      <w:r w:rsidRPr="00CE1D7F">
        <w:t>– Impact Framework Diagram</w:t>
      </w:r>
    </w:p>
    <w:tbl>
      <w:tblPr>
        <w:tblW w:w="6531" w:type="pct"/>
        <w:tblInd w:w="-2410" w:type="dxa"/>
        <w:tblBorders>
          <w:top w:val="single" w:sz="4" w:space="0" w:color="auto"/>
          <w:bottom w:val="single" w:sz="4" w:space="0" w:color="auto"/>
        </w:tblBorders>
        <w:tblLayout w:type="fixed"/>
        <w:tblCellMar>
          <w:left w:w="0" w:type="dxa"/>
          <w:right w:w="0" w:type="dxa"/>
        </w:tblCellMar>
        <w:tblLook w:val="0000" w:firstRow="0" w:lastRow="0" w:firstColumn="0" w:lastColumn="0" w:noHBand="0" w:noVBand="0"/>
        <w:tblCaption w:val="Figure 12.1"/>
        <w:tblDescription w:val="Indigenous Persistence in Formal Learning – Impact Framework Diagram"/>
      </w:tblPr>
      <w:tblGrid>
        <w:gridCol w:w="1276"/>
        <w:gridCol w:w="141"/>
        <w:gridCol w:w="2127"/>
        <w:gridCol w:w="142"/>
        <w:gridCol w:w="1843"/>
        <w:gridCol w:w="142"/>
        <w:gridCol w:w="1842"/>
        <w:gridCol w:w="142"/>
        <w:gridCol w:w="2711"/>
      </w:tblGrid>
      <w:tr w:rsidR="002B32A0" w:rsidRPr="00CE1D7F" w14:paraId="0BC9AE59" w14:textId="77777777" w:rsidTr="00325D56">
        <w:trPr>
          <w:trHeight w:val="591"/>
        </w:trPr>
        <w:tc>
          <w:tcPr>
            <w:tcW w:w="1276" w:type="dxa"/>
            <w:tcBorders>
              <w:top w:val="nil"/>
              <w:left w:val="nil"/>
              <w:bottom w:val="nil"/>
              <w:right w:val="nil"/>
            </w:tcBorders>
            <w:shd w:val="clear" w:color="auto" w:fill="140034" w:themeFill="background2"/>
            <w:vAlign w:val="center"/>
          </w:tcPr>
          <w:p w14:paraId="543F9947" w14:textId="77777777" w:rsidR="002B32A0" w:rsidRPr="00CE1D7F" w:rsidRDefault="002B32A0" w:rsidP="006258ED">
            <w:pPr>
              <w:keepNext/>
              <w:spacing w:after="0" w:line="240" w:lineRule="auto"/>
              <w:jc w:val="center"/>
              <w:rPr>
                <w:rFonts w:cstheme="majorHAnsi"/>
                <w:b/>
                <w:color w:val="FFFFFF" w:themeColor="background1"/>
              </w:rPr>
            </w:pPr>
            <w:r w:rsidRPr="00CE1D7F">
              <w:rPr>
                <w:rFonts w:cstheme="majorHAnsi"/>
                <w:b/>
                <w:color w:val="FFFFFF" w:themeColor="background1"/>
              </w:rPr>
              <w:t>INPUTS</w:t>
            </w:r>
          </w:p>
        </w:tc>
        <w:tc>
          <w:tcPr>
            <w:tcW w:w="141" w:type="dxa"/>
            <w:tcBorders>
              <w:top w:val="nil"/>
              <w:left w:val="nil"/>
              <w:bottom w:val="nil"/>
              <w:right w:val="nil"/>
            </w:tcBorders>
            <w:shd w:val="clear" w:color="auto" w:fill="auto"/>
            <w:vAlign w:val="center"/>
          </w:tcPr>
          <w:p w14:paraId="26E82824" w14:textId="77777777" w:rsidR="002B32A0" w:rsidRPr="00CE1D7F" w:rsidRDefault="002B32A0" w:rsidP="006258ED">
            <w:pPr>
              <w:keepNext/>
              <w:spacing w:after="0" w:line="240" w:lineRule="auto"/>
              <w:jc w:val="center"/>
              <w:rPr>
                <w:rFonts w:cstheme="majorHAnsi"/>
                <w:b/>
                <w:color w:val="FFFFFF" w:themeColor="background1"/>
              </w:rPr>
            </w:pPr>
          </w:p>
        </w:tc>
        <w:tc>
          <w:tcPr>
            <w:tcW w:w="2127" w:type="dxa"/>
            <w:tcBorders>
              <w:top w:val="nil"/>
              <w:left w:val="nil"/>
              <w:bottom w:val="nil"/>
              <w:right w:val="nil"/>
            </w:tcBorders>
            <w:shd w:val="clear" w:color="auto" w:fill="140034" w:themeFill="background2"/>
            <w:vAlign w:val="center"/>
          </w:tcPr>
          <w:p w14:paraId="3358B469" w14:textId="77777777" w:rsidR="002B32A0" w:rsidRPr="00CE1D7F" w:rsidRDefault="002B32A0" w:rsidP="006258ED">
            <w:pPr>
              <w:keepNext/>
              <w:spacing w:after="0" w:line="240" w:lineRule="auto"/>
              <w:jc w:val="center"/>
              <w:rPr>
                <w:rFonts w:cstheme="majorHAnsi"/>
                <w:b/>
                <w:color w:val="FFFFFF" w:themeColor="background1"/>
              </w:rPr>
            </w:pPr>
            <w:r w:rsidRPr="00CE1D7F">
              <w:rPr>
                <w:rFonts w:cstheme="majorHAnsi"/>
                <w:b/>
                <w:color w:val="FFFFFF" w:themeColor="background1"/>
              </w:rPr>
              <w:t>ACTIVITIES</w:t>
            </w:r>
          </w:p>
        </w:tc>
        <w:tc>
          <w:tcPr>
            <w:tcW w:w="142" w:type="dxa"/>
            <w:tcBorders>
              <w:top w:val="nil"/>
              <w:left w:val="nil"/>
              <w:bottom w:val="nil"/>
              <w:right w:val="nil"/>
            </w:tcBorders>
            <w:shd w:val="clear" w:color="auto" w:fill="auto"/>
            <w:vAlign w:val="center"/>
          </w:tcPr>
          <w:p w14:paraId="6D0DF6FC" w14:textId="77777777" w:rsidR="002B32A0" w:rsidRPr="00CE1D7F" w:rsidRDefault="002B32A0" w:rsidP="006258ED">
            <w:pPr>
              <w:keepNext/>
              <w:spacing w:after="0" w:line="240" w:lineRule="auto"/>
              <w:ind w:firstLine="34"/>
              <w:jc w:val="center"/>
              <w:rPr>
                <w:rFonts w:cstheme="majorHAnsi"/>
                <w:b/>
                <w:color w:val="FFFFFF" w:themeColor="background1"/>
              </w:rPr>
            </w:pPr>
          </w:p>
        </w:tc>
        <w:tc>
          <w:tcPr>
            <w:tcW w:w="1843" w:type="dxa"/>
            <w:tcBorders>
              <w:top w:val="nil"/>
              <w:left w:val="nil"/>
              <w:bottom w:val="nil"/>
              <w:right w:val="nil"/>
            </w:tcBorders>
            <w:shd w:val="clear" w:color="auto" w:fill="140034" w:themeFill="background2"/>
            <w:vAlign w:val="center"/>
          </w:tcPr>
          <w:p w14:paraId="4BC90F64" w14:textId="77777777" w:rsidR="002B32A0" w:rsidRPr="00CE1D7F" w:rsidRDefault="002B32A0" w:rsidP="006258ED">
            <w:pPr>
              <w:keepNext/>
              <w:spacing w:after="0" w:line="240" w:lineRule="auto"/>
              <w:ind w:left="118"/>
              <w:jc w:val="center"/>
              <w:rPr>
                <w:rFonts w:cstheme="majorHAnsi"/>
                <w:b/>
                <w:color w:val="FFFFFF" w:themeColor="background1"/>
              </w:rPr>
            </w:pPr>
            <w:r w:rsidRPr="00CE1D7F">
              <w:rPr>
                <w:rFonts w:cstheme="majorHAnsi"/>
                <w:b/>
                <w:color w:val="FFFFFF" w:themeColor="background1"/>
              </w:rPr>
              <w:t>OUTPUTS</w:t>
            </w:r>
          </w:p>
        </w:tc>
        <w:tc>
          <w:tcPr>
            <w:tcW w:w="142" w:type="dxa"/>
            <w:tcBorders>
              <w:top w:val="nil"/>
              <w:left w:val="nil"/>
              <w:bottom w:val="nil"/>
              <w:right w:val="nil"/>
            </w:tcBorders>
            <w:shd w:val="clear" w:color="auto" w:fill="auto"/>
            <w:vAlign w:val="center"/>
          </w:tcPr>
          <w:p w14:paraId="7B605441" w14:textId="77777777" w:rsidR="002B32A0" w:rsidRPr="00CE1D7F" w:rsidRDefault="002B32A0" w:rsidP="006258ED">
            <w:pPr>
              <w:keepNext/>
              <w:spacing w:after="0" w:line="240" w:lineRule="auto"/>
              <w:ind w:firstLine="32"/>
              <w:jc w:val="center"/>
              <w:rPr>
                <w:rFonts w:cstheme="majorHAnsi"/>
                <w:b/>
                <w:color w:val="FFFFFF" w:themeColor="background1"/>
              </w:rPr>
            </w:pPr>
          </w:p>
        </w:tc>
        <w:tc>
          <w:tcPr>
            <w:tcW w:w="1842" w:type="dxa"/>
            <w:tcBorders>
              <w:top w:val="nil"/>
              <w:left w:val="nil"/>
              <w:bottom w:val="nil"/>
              <w:right w:val="nil"/>
            </w:tcBorders>
            <w:shd w:val="clear" w:color="auto" w:fill="140034" w:themeFill="background2"/>
            <w:vAlign w:val="center"/>
          </w:tcPr>
          <w:p w14:paraId="398D3527" w14:textId="77777777" w:rsidR="002B32A0" w:rsidRPr="00CE1D7F" w:rsidRDefault="002B32A0" w:rsidP="006258ED">
            <w:pPr>
              <w:spacing w:after="0" w:line="240" w:lineRule="auto"/>
              <w:ind w:left="61"/>
              <w:jc w:val="center"/>
              <w:rPr>
                <w:rFonts w:cstheme="majorHAnsi"/>
                <w:b/>
                <w:color w:val="FFFFFF" w:themeColor="background1"/>
                <w:lang w:eastAsia="en-AU"/>
              </w:rPr>
            </w:pPr>
            <w:r w:rsidRPr="00CE1D7F">
              <w:rPr>
                <w:rFonts w:cstheme="majorHAnsi"/>
                <w:b/>
                <w:color w:val="FFFFFF" w:themeColor="background1"/>
                <w:lang w:eastAsia="en-AU"/>
              </w:rPr>
              <w:t>OUTCOMES</w:t>
            </w:r>
          </w:p>
        </w:tc>
        <w:tc>
          <w:tcPr>
            <w:tcW w:w="142" w:type="dxa"/>
            <w:tcBorders>
              <w:top w:val="nil"/>
              <w:left w:val="nil"/>
              <w:bottom w:val="nil"/>
              <w:right w:val="nil"/>
            </w:tcBorders>
            <w:shd w:val="clear" w:color="auto" w:fill="auto"/>
            <w:vAlign w:val="center"/>
          </w:tcPr>
          <w:p w14:paraId="793CF69A" w14:textId="77777777" w:rsidR="002B32A0" w:rsidRPr="00CE1D7F" w:rsidRDefault="002B32A0" w:rsidP="006258ED">
            <w:pPr>
              <w:keepNext/>
              <w:spacing w:after="0" w:line="240" w:lineRule="auto"/>
              <w:ind w:left="-65" w:firstLine="32"/>
              <w:jc w:val="center"/>
              <w:rPr>
                <w:rFonts w:cstheme="majorHAnsi"/>
                <w:b/>
                <w:color w:val="FFFFFF" w:themeColor="background1"/>
              </w:rPr>
            </w:pPr>
          </w:p>
        </w:tc>
        <w:tc>
          <w:tcPr>
            <w:tcW w:w="2711" w:type="dxa"/>
            <w:tcBorders>
              <w:top w:val="nil"/>
              <w:left w:val="nil"/>
              <w:bottom w:val="nil"/>
              <w:right w:val="nil"/>
            </w:tcBorders>
            <w:shd w:val="clear" w:color="auto" w:fill="140034" w:themeFill="background2"/>
            <w:vAlign w:val="center"/>
          </w:tcPr>
          <w:p w14:paraId="32CD5F31" w14:textId="77777777" w:rsidR="002B32A0" w:rsidRPr="00CE1D7F" w:rsidRDefault="002B32A0" w:rsidP="006258ED">
            <w:pPr>
              <w:spacing w:after="0" w:line="240" w:lineRule="auto"/>
              <w:ind w:left="61"/>
              <w:jc w:val="center"/>
              <w:rPr>
                <w:rFonts w:cstheme="majorHAnsi"/>
                <w:b/>
                <w:color w:val="FFFFFF" w:themeColor="background1"/>
                <w:lang w:eastAsia="en-AU"/>
              </w:rPr>
            </w:pPr>
            <w:r w:rsidRPr="00CE1D7F">
              <w:rPr>
                <w:rFonts w:cstheme="majorHAnsi"/>
                <w:b/>
                <w:color w:val="FFFFFF" w:themeColor="background1"/>
                <w:lang w:eastAsia="en-AU"/>
              </w:rPr>
              <w:t>IMPACTS</w:t>
            </w:r>
          </w:p>
        </w:tc>
      </w:tr>
      <w:tr w:rsidR="002B32A0" w:rsidRPr="00CE1D7F" w14:paraId="4C7BBBC4" w14:textId="77777777" w:rsidTr="00325D56">
        <w:trPr>
          <w:trHeight w:hRule="exact" w:val="170"/>
        </w:trPr>
        <w:tc>
          <w:tcPr>
            <w:tcW w:w="1276" w:type="dxa"/>
            <w:tcBorders>
              <w:top w:val="nil"/>
              <w:bottom w:val="nil"/>
              <w:right w:val="single" w:sz="12" w:space="0" w:color="FFFFFF" w:themeColor="background1"/>
            </w:tcBorders>
          </w:tcPr>
          <w:p w14:paraId="5332541D" w14:textId="77777777" w:rsidR="002B32A0" w:rsidRPr="00CE1D7F" w:rsidRDefault="002B32A0" w:rsidP="006258ED">
            <w:pPr>
              <w:keepNext/>
              <w:spacing w:after="0" w:line="240" w:lineRule="auto"/>
              <w:ind w:hanging="3402"/>
              <w:jc w:val="center"/>
              <w:rPr>
                <w:rFonts w:ascii="Calibri" w:hAnsi="Calibri"/>
                <w:sz w:val="16"/>
                <w:szCs w:val="16"/>
              </w:rPr>
            </w:pPr>
          </w:p>
        </w:tc>
        <w:tc>
          <w:tcPr>
            <w:tcW w:w="141" w:type="dxa"/>
            <w:tcBorders>
              <w:top w:val="nil"/>
              <w:left w:val="single" w:sz="12" w:space="0" w:color="FFFFFF" w:themeColor="background1"/>
              <w:bottom w:val="single" w:sz="12" w:space="0" w:color="FFFFFF" w:themeColor="background1"/>
              <w:right w:val="single" w:sz="12" w:space="0" w:color="FFFFFF" w:themeColor="background1"/>
            </w:tcBorders>
          </w:tcPr>
          <w:p w14:paraId="4CD1B6D3" w14:textId="77777777" w:rsidR="002B32A0" w:rsidRPr="00CE1D7F" w:rsidRDefault="002B32A0" w:rsidP="006258ED">
            <w:pPr>
              <w:keepNext/>
              <w:spacing w:after="0" w:line="240" w:lineRule="auto"/>
              <w:jc w:val="center"/>
              <w:rPr>
                <w:rFonts w:ascii="Calibri" w:hAnsi="Calibri"/>
                <w:sz w:val="16"/>
                <w:szCs w:val="16"/>
              </w:rPr>
            </w:pPr>
          </w:p>
        </w:tc>
        <w:tc>
          <w:tcPr>
            <w:tcW w:w="2127" w:type="dxa"/>
            <w:tcBorders>
              <w:top w:val="nil"/>
              <w:left w:val="single" w:sz="12" w:space="0" w:color="FFFFFF" w:themeColor="background1"/>
              <w:bottom w:val="nil"/>
              <w:right w:val="single" w:sz="12" w:space="0" w:color="FFFFFF" w:themeColor="background1"/>
            </w:tcBorders>
          </w:tcPr>
          <w:p w14:paraId="245F91C6" w14:textId="77777777" w:rsidR="002B32A0" w:rsidRPr="00CE1D7F" w:rsidRDefault="002B32A0" w:rsidP="006258ED">
            <w:pPr>
              <w:keepNext/>
              <w:spacing w:after="0" w:line="240" w:lineRule="auto"/>
              <w:ind w:left="-108"/>
              <w:jc w:val="center"/>
              <w:rPr>
                <w:rFonts w:ascii="Calibri" w:hAnsi="Calibri"/>
                <w:sz w:val="16"/>
                <w:szCs w:val="16"/>
              </w:rPr>
            </w:pPr>
          </w:p>
        </w:tc>
        <w:tc>
          <w:tcPr>
            <w:tcW w:w="142" w:type="dxa"/>
            <w:tcBorders>
              <w:top w:val="nil"/>
              <w:left w:val="single" w:sz="12" w:space="0" w:color="FFFFFF" w:themeColor="background1"/>
              <w:bottom w:val="nil"/>
              <w:right w:val="single" w:sz="12" w:space="0" w:color="FFFFFF" w:themeColor="background1"/>
            </w:tcBorders>
          </w:tcPr>
          <w:p w14:paraId="01681999" w14:textId="77777777" w:rsidR="002B32A0" w:rsidRPr="00CE1D7F" w:rsidRDefault="002B32A0" w:rsidP="006258ED">
            <w:pPr>
              <w:keepNext/>
              <w:spacing w:after="0" w:line="240" w:lineRule="auto"/>
              <w:ind w:firstLine="34"/>
              <w:jc w:val="center"/>
              <w:rPr>
                <w:rFonts w:ascii="Calibri" w:hAnsi="Calibri"/>
                <w:sz w:val="16"/>
                <w:szCs w:val="16"/>
              </w:rPr>
            </w:pPr>
          </w:p>
        </w:tc>
        <w:tc>
          <w:tcPr>
            <w:tcW w:w="1843" w:type="dxa"/>
            <w:tcBorders>
              <w:top w:val="nil"/>
              <w:left w:val="single" w:sz="12" w:space="0" w:color="FFFFFF" w:themeColor="background1"/>
              <w:bottom w:val="nil"/>
              <w:right w:val="single" w:sz="12" w:space="0" w:color="FFFFFF" w:themeColor="background1"/>
            </w:tcBorders>
          </w:tcPr>
          <w:p w14:paraId="11AAACB2" w14:textId="77777777" w:rsidR="002B32A0" w:rsidRPr="00CE1D7F" w:rsidRDefault="002B32A0" w:rsidP="006258ED">
            <w:pPr>
              <w:pStyle w:val="Tablelistbullet"/>
              <w:numPr>
                <w:ilvl w:val="0"/>
                <w:numId w:val="0"/>
              </w:numPr>
              <w:rPr>
                <w:rFonts w:ascii="Calibri" w:hAnsi="Calibri" w:cs="Arial"/>
                <w:sz w:val="16"/>
                <w:szCs w:val="16"/>
              </w:rPr>
            </w:pPr>
          </w:p>
        </w:tc>
        <w:tc>
          <w:tcPr>
            <w:tcW w:w="142" w:type="dxa"/>
            <w:tcBorders>
              <w:top w:val="nil"/>
              <w:left w:val="single" w:sz="12" w:space="0" w:color="FFFFFF" w:themeColor="background1"/>
              <w:bottom w:val="nil"/>
              <w:right w:val="single" w:sz="12" w:space="0" w:color="FFFFFF" w:themeColor="background1"/>
            </w:tcBorders>
          </w:tcPr>
          <w:p w14:paraId="5BAFDF49" w14:textId="77777777" w:rsidR="002B32A0" w:rsidRPr="00CE1D7F" w:rsidRDefault="002B32A0" w:rsidP="006258ED">
            <w:pPr>
              <w:keepNext/>
              <w:spacing w:after="0" w:line="240" w:lineRule="auto"/>
              <w:ind w:hanging="3402"/>
              <w:jc w:val="center"/>
              <w:rPr>
                <w:rFonts w:ascii="Calibri" w:hAnsi="Calibri"/>
                <w:sz w:val="16"/>
                <w:szCs w:val="16"/>
              </w:rPr>
            </w:pPr>
          </w:p>
        </w:tc>
        <w:tc>
          <w:tcPr>
            <w:tcW w:w="1842" w:type="dxa"/>
            <w:tcBorders>
              <w:top w:val="nil"/>
              <w:left w:val="single" w:sz="12" w:space="0" w:color="FFFFFF" w:themeColor="background1"/>
              <w:bottom w:val="nil"/>
              <w:right w:val="single" w:sz="12" w:space="0" w:color="FFFFFF" w:themeColor="background1"/>
            </w:tcBorders>
          </w:tcPr>
          <w:p w14:paraId="0515E8D3" w14:textId="77777777" w:rsidR="002B32A0" w:rsidRPr="00CE1D7F" w:rsidRDefault="002B32A0" w:rsidP="006258ED">
            <w:pPr>
              <w:keepNext/>
              <w:spacing w:after="0" w:line="240" w:lineRule="auto"/>
              <w:jc w:val="center"/>
              <w:rPr>
                <w:rFonts w:ascii="Calibri" w:hAnsi="Calibri"/>
                <w:sz w:val="16"/>
                <w:szCs w:val="16"/>
              </w:rPr>
            </w:pPr>
          </w:p>
        </w:tc>
        <w:tc>
          <w:tcPr>
            <w:tcW w:w="142" w:type="dxa"/>
            <w:tcBorders>
              <w:top w:val="nil"/>
              <w:left w:val="single" w:sz="12" w:space="0" w:color="FFFFFF" w:themeColor="background1"/>
              <w:bottom w:val="nil"/>
              <w:right w:val="single" w:sz="12" w:space="0" w:color="FFFFFF" w:themeColor="background1"/>
            </w:tcBorders>
          </w:tcPr>
          <w:p w14:paraId="349194A9" w14:textId="77777777" w:rsidR="002B32A0" w:rsidRPr="00CE1D7F" w:rsidRDefault="002B32A0" w:rsidP="006258ED">
            <w:pPr>
              <w:keepNext/>
              <w:spacing w:after="0" w:line="240" w:lineRule="auto"/>
              <w:ind w:left="-17" w:firstLine="32"/>
              <w:jc w:val="center"/>
              <w:rPr>
                <w:rFonts w:ascii="Calibri" w:hAnsi="Calibri"/>
                <w:sz w:val="16"/>
                <w:szCs w:val="16"/>
              </w:rPr>
            </w:pPr>
          </w:p>
        </w:tc>
        <w:tc>
          <w:tcPr>
            <w:tcW w:w="2711" w:type="dxa"/>
            <w:tcBorders>
              <w:top w:val="nil"/>
              <w:left w:val="single" w:sz="12" w:space="0" w:color="FFFFFF" w:themeColor="background1"/>
              <w:bottom w:val="nil"/>
              <w:right w:val="single" w:sz="12" w:space="0" w:color="FFFFFF" w:themeColor="background1"/>
            </w:tcBorders>
          </w:tcPr>
          <w:p w14:paraId="5000DF1A" w14:textId="77777777" w:rsidR="002B32A0" w:rsidRPr="00CE1D7F" w:rsidRDefault="002B32A0" w:rsidP="006258ED">
            <w:pPr>
              <w:keepNext/>
              <w:spacing w:after="0" w:line="240" w:lineRule="auto"/>
              <w:ind w:left="96"/>
              <w:jc w:val="center"/>
              <w:rPr>
                <w:rFonts w:ascii="Calibri" w:hAnsi="Calibri"/>
                <w:sz w:val="16"/>
                <w:szCs w:val="16"/>
              </w:rPr>
            </w:pPr>
          </w:p>
        </w:tc>
      </w:tr>
      <w:tr w:rsidR="002B32A0" w:rsidRPr="00CE1D7F" w14:paraId="34955BC7" w14:textId="77777777" w:rsidTr="00325D56">
        <w:trPr>
          <w:trHeight w:val="390"/>
        </w:trPr>
        <w:tc>
          <w:tcPr>
            <w:tcW w:w="1276" w:type="dxa"/>
            <w:tcBorders>
              <w:top w:val="nil"/>
              <w:left w:val="nil"/>
              <w:bottom w:val="nil"/>
              <w:right w:val="nil"/>
            </w:tcBorders>
            <w:shd w:val="clear" w:color="auto" w:fill="DEDEDE" w:themeFill="accent3" w:themeFillTint="99"/>
          </w:tcPr>
          <w:p w14:paraId="41DF2771" w14:textId="77777777" w:rsidR="002B32A0" w:rsidRPr="00CE1D7F" w:rsidRDefault="002B32A0" w:rsidP="002B32A0">
            <w:pPr>
              <w:pStyle w:val="Tablelistbullet"/>
              <w:numPr>
                <w:ilvl w:val="0"/>
                <w:numId w:val="64"/>
              </w:numPr>
              <w:spacing w:before="60" w:after="0"/>
              <w:ind w:right="120"/>
            </w:pPr>
            <w:r w:rsidRPr="00CE1D7F">
              <w:rPr>
                <w:lang w:eastAsia="en-AU"/>
              </w:rPr>
              <w:t>$693,000</w:t>
            </w:r>
            <w:r>
              <w:rPr>
                <w:lang w:eastAsia="en-AU"/>
              </w:rPr>
              <w:t xml:space="preserve"> </w:t>
            </w:r>
            <w:r w:rsidRPr="00CE1D7F">
              <w:t>in funding from ARC</w:t>
            </w:r>
            <w:r>
              <w:rPr>
                <w:rStyle w:val="FootnoteReference"/>
              </w:rPr>
              <w:footnoteReference w:id="243"/>
            </w:r>
          </w:p>
        </w:tc>
        <w:tc>
          <w:tcPr>
            <w:tcW w:w="141" w:type="dxa"/>
            <w:tcBorders>
              <w:top w:val="single" w:sz="12" w:space="0" w:color="FFFFFF" w:themeColor="background1"/>
              <w:left w:val="nil"/>
              <w:bottom w:val="nil"/>
              <w:right w:val="nil"/>
            </w:tcBorders>
          </w:tcPr>
          <w:p w14:paraId="28F900B4" w14:textId="77777777" w:rsidR="002B32A0" w:rsidRPr="00CE1D7F" w:rsidRDefault="002B32A0" w:rsidP="006258ED">
            <w:pPr>
              <w:pStyle w:val="BodyText"/>
            </w:pPr>
          </w:p>
        </w:tc>
        <w:tc>
          <w:tcPr>
            <w:tcW w:w="2127" w:type="dxa"/>
            <w:tcBorders>
              <w:top w:val="nil"/>
              <w:left w:val="nil"/>
              <w:bottom w:val="nil"/>
              <w:right w:val="nil"/>
            </w:tcBorders>
            <w:shd w:val="clear" w:color="auto" w:fill="DEDEDE" w:themeFill="accent3" w:themeFillTint="99"/>
          </w:tcPr>
          <w:p w14:paraId="739CCD62" w14:textId="77777777" w:rsidR="002B32A0" w:rsidRPr="00CE1D7F" w:rsidRDefault="002B32A0" w:rsidP="002B32A0">
            <w:pPr>
              <w:pStyle w:val="Tablelistbullet"/>
              <w:numPr>
                <w:ilvl w:val="0"/>
                <w:numId w:val="64"/>
              </w:numPr>
              <w:spacing w:before="60" w:after="0"/>
              <w:ind w:right="120"/>
            </w:pPr>
            <w:r w:rsidRPr="00CE1D7F">
              <w:t xml:space="preserve">Developed research partnerships </w:t>
            </w:r>
          </w:p>
          <w:p w14:paraId="61801A31" w14:textId="77777777" w:rsidR="002B32A0" w:rsidRPr="00CE1D7F" w:rsidRDefault="002B32A0" w:rsidP="002B32A0">
            <w:pPr>
              <w:pStyle w:val="Tablelistbullet"/>
              <w:numPr>
                <w:ilvl w:val="0"/>
                <w:numId w:val="64"/>
              </w:numPr>
              <w:spacing w:before="60" w:after="0"/>
              <w:ind w:right="120"/>
            </w:pPr>
            <w:r w:rsidRPr="00CE1D7F">
              <w:t xml:space="preserve">Reviewed literature and developed data collections </w:t>
            </w:r>
          </w:p>
          <w:p w14:paraId="0A79B1BB" w14:textId="77777777" w:rsidR="002B32A0" w:rsidRPr="00CE1D7F" w:rsidRDefault="002B32A0" w:rsidP="002B32A0">
            <w:pPr>
              <w:pStyle w:val="Tablelistbullet"/>
              <w:numPr>
                <w:ilvl w:val="0"/>
                <w:numId w:val="64"/>
              </w:numPr>
              <w:spacing w:before="60" w:after="0"/>
              <w:ind w:right="120"/>
            </w:pPr>
            <w:r w:rsidRPr="00CE1D7F">
              <w:t xml:space="preserve">Developed case studies and psychosocial measures of persistence </w:t>
            </w:r>
          </w:p>
          <w:p w14:paraId="79A403EF" w14:textId="77777777" w:rsidR="002B32A0" w:rsidRPr="00CE1D7F" w:rsidRDefault="002B32A0" w:rsidP="002B32A0">
            <w:pPr>
              <w:pStyle w:val="Tablelistbullet"/>
              <w:numPr>
                <w:ilvl w:val="0"/>
                <w:numId w:val="64"/>
              </w:numPr>
              <w:spacing w:before="60" w:after="0"/>
              <w:ind w:right="120"/>
            </w:pPr>
            <w:r w:rsidRPr="00CE1D7F">
              <w:t xml:space="preserve">Launched transdisciplinary research programs, developed Indigenous students and researchers, and conducted community engagement </w:t>
            </w:r>
          </w:p>
          <w:p w14:paraId="2437E016" w14:textId="77777777" w:rsidR="002B32A0" w:rsidRPr="00CE1D7F" w:rsidRDefault="002B32A0" w:rsidP="002B32A0">
            <w:pPr>
              <w:pStyle w:val="Tablelistbullet"/>
              <w:numPr>
                <w:ilvl w:val="0"/>
                <w:numId w:val="64"/>
              </w:numPr>
              <w:spacing w:before="60" w:after="0"/>
              <w:ind w:right="120"/>
            </w:pPr>
            <w:r w:rsidRPr="00CE1D7F">
              <w:t>Integrated Indigenous knowledge</w:t>
            </w:r>
          </w:p>
        </w:tc>
        <w:tc>
          <w:tcPr>
            <w:tcW w:w="142" w:type="dxa"/>
            <w:tcBorders>
              <w:top w:val="nil"/>
              <w:left w:val="nil"/>
              <w:bottom w:val="nil"/>
              <w:right w:val="nil"/>
            </w:tcBorders>
          </w:tcPr>
          <w:p w14:paraId="0E9C7400" w14:textId="77777777" w:rsidR="002B32A0" w:rsidRPr="00CE1D7F" w:rsidRDefault="002B32A0" w:rsidP="006258ED">
            <w:pPr>
              <w:pStyle w:val="Tabletext"/>
            </w:pPr>
          </w:p>
        </w:tc>
        <w:tc>
          <w:tcPr>
            <w:tcW w:w="1843" w:type="dxa"/>
            <w:tcBorders>
              <w:top w:val="nil"/>
              <w:left w:val="nil"/>
              <w:bottom w:val="nil"/>
              <w:right w:val="nil"/>
            </w:tcBorders>
            <w:shd w:val="clear" w:color="auto" w:fill="DEDEDE" w:themeFill="accent3" w:themeFillTint="99"/>
          </w:tcPr>
          <w:p w14:paraId="766528F0" w14:textId="7DAD2C7E" w:rsidR="00583B4B" w:rsidRDefault="00583B4B" w:rsidP="002B32A0">
            <w:pPr>
              <w:pStyle w:val="Tablelistbullet"/>
              <w:numPr>
                <w:ilvl w:val="0"/>
                <w:numId w:val="64"/>
              </w:numPr>
              <w:spacing w:before="60" w:after="0"/>
              <w:ind w:right="120"/>
            </w:pPr>
            <w:r>
              <w:t>5 journal articles</w:t>
            </w:r>
          </w:p>
          <w:p w14:paraId="231AECD5" w14:textId="61E3ACB3" w:rsidR="002B32A0" w:rsidRPr="00CE1D7F" w:rsidRDefault="002B32A0" w:rsidP="002B32A0">
            <w:pPr>
              <w:pStyle w:val="Tablelistbullet"/>
              <w:numPr>
                <w:ilvl w:val="0"/>
                <w:numId w:val="64"/>
              </w:numPr>
              <w:spacing w:before="60" w:after="0"/>
              <w:ind w:right="120"/>
            </w:pPr>
            <w:r w:rsidRPr="00CE1D7F">
              <w:t>3 conference presentations</w:t>
            </w:r>
          </w:p>
          <w:p w14:paraId="5AFC7022" w14:textId="77777777" w:rsidR="002B32A0" w:rsidRPr="00CE1D7F" w:rsidRDefault="002B32A0" w:rsidP="002B32A0">
            <w:pPr>
              <w:pStyle w:val="Tablelistbullet"/>
              <w:numPr>
                <w:ilvl w:val="0"/>
                <w:numId w:val="64"/>
              </w:numPr>
              <w:spacing w:before="60" w:after="0"/>
              <w:ind w:right="120"/>
            </w:pPr>
            <w:r w:rsidRPr="00CE1D7F">
              <w:t>2 case studies</w:t>
            </w:r>
          </w:p>
          <w:p w14:paraId="2166B081" w14:textId="77777777" w:rsidR="002B32A0" w:rsidRPr="00CE1D7F" w:rsidRDefault="002B32A0" w:rsidP="002B32A0">
            <w:pPr>
              <w:pStyle w:val="Tablelistbullet"/>
              <w:numPr>
                <w:ilvl w:val="0"/>
                <w:numId w:val="64"/>
              </w:numPr>
              <w:spacing w:before="60" w:after="0"/>
              <w:ind w:right="120"/>
            </w:pPr>
            <w:r w:rsidRPr="00CE1D7F">
              <w:t xml:space="preserve">1 book entitled </w:t>
            </w:r>
            <w:r w:rsidRPr="009B6DB9">
              <w:rPr>
                <w:i/>
                <w:iCs/>
              </w:rPr>
              <w:t>Supporting Indigenous Students to Succeed at University</w:t>
            </w:r>
          </w:p>
          <w:p w14:paraId="7B8E0AC5" w14:textId="77777777" w:rsidR="002B32A0" w:rsidRPr="00CE1D7F" w:rsidRDefault="002B32A0" w:rsidP="002B32A0">
            <w:pPr>
              <w:pStyle w:val="Tablelistbullet"/>
              <w:numPr>
                <w:ilvl w:val="0"/>
                <w:numId w:val="64"/>
              </w:numPr>
              <w:spacing w:before="60" w:after="0"/>
              <w:ind w:right="120"/>
            </w:pPr>
            <w:r w:rsidRPr="00CE1D7F">
              <w:t>Transitional Academic Pastoral Support (TAPS) Indigenous learning model</w:t>
            </w:r>
          </w:p>
          <w:p w14:paraId="13401377" w14:textId="77777777" w:rsidR="002B32A0" w:rsidRPr="00CE1D7F" w:rsidRDefault="002B32A0" w:rsidP="002B32A0">
            <w:pPr>
              <w:pStyle w:val="Tablelistbullet"/>
              <w:numPr>
                <w:ilvl w:val="0"/>
                <w:numId w:val="64"/>
              </w:numPr>
              <w:spacing w:before="60" w:after="0"/>
              <w:ind w:right="120"/>
            </w:pPr>
            <w:r w:rsidRPr="00CE1D7F">
              <w:t xml:space="preserve">WillowSoft commercial application software </w:t>
            </w:r>
          </w:p>
        </w:tc>
        <w:tc>
          <w:tcPr>
            <w:tcW w:w="142" w:type="dxa"/>
            <w:tcBorders>
              <w:top w:val="nil"/>
              <w:left w:val="nil"/>
              <w:bottom w:val="nil"/>
              <w:right w:val="nil"/>
            </w:tcBorders>
          </w:tcPr>
          <w:p w14:paraId="1C37854A" w14:textId="77777777" w:rsidR="002B32A0" w:rsidRPr="00CE1D7F" w:rsidRDefault="002B32A0" w:rsidP="006258ED">
            <w:pPr>
              <w:pStyle w:val="Tabletext"/>
            </w:pPr>
          </w:p>
        </w:tc>
        <w:tc>
          <w:tcPr>
            <w:tcW w:w="1842" w:type="dxa"/>
            <w:tcBorders>
              <w:top w:val="nil"/>
              <w:left w:val="nil"/>
              <w:bottom w:val="nil"/>
              <w:right w:val="nil"/>
            </w:tcBorders>
            <w:shd w:val="clear" w:color="auto" w:fill="DEDEDE" w:themeFill="accent3" w:themeFillTint="99"/>
          </w:tcPr>
          <w:p w14:paraId="19011F2F" w14:textId="77777777" w:rsidR="002B32A0" w:rsidRPr="00CE1D7F" w:rsidRDefault="002B32A0" w:rsidP="002B32A0">
            <w:pPr>
              <w:pStyle w:val="Tablelistbullet"/>
              <w:numPr>
                <w:ilvl w:val="0"/>
                <w:numId w:val="64"/>
              </w:numPr>
              <w:spacing w:before="60" w:after="0"/>
              <w:ind w:right="120"/>
            </w:pPr>
            <w:r w:rsidRPr="00CE1D7F">
              <w:t>Adoption of TAPS at Edith Cowan, Griffith University, James Cook University (JCU) and UNSW and implementation of wrap around support for Indigenous students</w:t>
            </w:r>
          </w:p>
          <w:p w14:paraId="5B16037F" w14:textId="77777777" w:rsidR="002B32A0" w:rsidRPr="00CE1D7F" w:rsidRDefault="002B32A0" w:rsidP="002B32A0">
            <w:pPr>
              <w:pStyle w:val="Tablelistbullet"/>
              <w:numPr>
                <w:ilvl w:val="0"/>
                <w:numId w:val="64"/>
              </w:numPr>
              <w:spacing w:before="60" w:after="0"/>
              <w:ind w:right="120"/>
            </w:pPr>
            <w:r w:rsidRPr="00CE1D7F">
              <w:t>Purchase of WillowSoft licences by a university and 3 secondary schools</w:t>
            </w:r>
          </w:p>
          <w:p w14:paraId="76910C87" w14:textId="77777777" w:rsidR="002B32A0" w:rsidRPr="00CE1D7F" w:rsidRDefault="002B32A0" w:rsidP="002B32A0">
            <w:pPr>
              <w:pStyle w:val="Tablelistbullet"/>
              <w:numPr>
                <w:ilvl w:val="0"/>
                <w:numId w:val="64"/>
              </w:numPr>
              <w:spacing w:before="60" w:after="0"/>
              <w:ind w:right="120"/>
            </w:pPr>
            <w:r w:rsidRPr="00CE1D7F">
              <w:t>JCU implemented an Indigenous Student Services Centre</w:t>
            </w:r>
          </w:p>
          <w:p w14:paraId="359A9EBD" w14:textId="77777777" w:rsidR="002B32A0" w:rsidRPr="00CE1D7F" w:rsidRDefault="002B32A0" w:rsidP="002B32A0">
            <w:pPr>
              <w:pStyle w:val="Tablelistbullet"/>
              <w:numPr>
                <w:ilvl w:val="0"/>
                <w:numId w:val="64"/>
              </w:numPr>
              <w:spacing w:before="60" w:after="0"/>
              <w:ind w:right="120"/>
            </w:pPr>
            <w:r w:rsidRPr="00CE1D7F">
              <w:t>Workforce development and capability</w:t>
            </w:r>
            <w:r w:rsidRPr="00CE1D7F" w:rsidDel="00ED60C6">
              <w:t xml:space="preserve"> </w:t>
            </w:r>
          </w:p>
        </w:tc>
        <w:tc>
          <w:tcPr>
            <w:tcW w:w="142" w:type="dxa"/>
            <w:tcBorders>
              <w:top w:val="nil"/>
              <w:left w:val="nil"/>
              <w:bottom w:val="nil"/>
              <w:right w:val="nil"/>
            </w:tcBorders>
          </w:tcPr>
          <w:p w14:paraId="07C890B4" w14:textId="77777777" w:rsidR="002B32A0" w:rsidRPr="00CE1D7F" w:rsidRDefault="002B32A0" w:rsidP="006258ED">
            <w:pPr>
              <w:pStyle w:val="Tabletext"/>
            </w:pPr>
          </w:p>
        </w:tc>
        <w:tc>
          <w:tcPr>
            <w:tcW w:w="2711" w:type="dxa"/>
            <w:tcBorders>
              <w:top w:val="nil"/>
              <w:left w:val="nil"/>
              <w:bottom w:val="nil"/>
              <w:right w:val="nil"/>
            </w:tcBorders>
            <w:shd w:val="clear" w:color="auto" w:fill="DEDEDE" w:themeFill="accent3" w:themeFillTint="99"/>
          </w:tcPr>
          <w:p w14:paraId="34640D47" w14:textId="77777777" w:rsidR="002B32A0" w:rsidRPr="00CE1D7F" w:rsidRDefault="002B32A0" w:rsidP="002B32A0">
            <w:pPr>
              <w:pStyle w:val="Tablelistbullet"/>
              <w:numPr>
                <w:ilvl w:val="0"/>
                <w:numId w:val="64"/>
              </w:numPr>
              <w:spacing w:before="60" w:after="0"/>
              <w:ind w:right="120"/>
            </w:pPr>
            <w:r w:rsidRPr="00CE1D7F">
              <w:t>$105.3</w:t>
            </w:r>
            <w:r>
              <w:t xml:space="preserve"> </w:t>
            </w:r>
            <w:r w:rsidRPr="00CA70DF">
              <w:t>m</w:t>
            </w:r>
            <w:r>
              <w:t>illion</w:t>
            </w:r>
            <w:r w:rsidRPr="00CE1D7F">
              <w:t xml:space="preserve"> NPV of present and anticipated economic impacts identified</w:t>
            </w:r>
          </w:p>
          <w:p w14:paraId="7D5E25FF" w14:textId="77777777" w:rsidR="002B32A0" w:rsidRPr="00CE1D7F" w:rsidRDefault="002B32A0" w:rsidP="002B32A0">
            <w:pPr>
              <w:pStyle w:val="Tablelistbullet"/>
              <w:numPr>
                <w:ilvl w:val="0"/>
                <w:numId w:val="64"/>
              </w:numPr>
              <w:spacing w:before="60" w:after="0"/>
              <w:ind w:right="120"/>
            </w:pPr>
            <w:r w:rsidRPr="00CE1D7F">
              <w:t>BCR of 2.48</w:t>
            </w:r>
          </w:p>
          <w:p w14:paraId="1FE4933C" w14:textId="77777777" w:rsidR="002B32A0" w:rsidRPr="00CE1D7F" w:rsidRDefault="002B32A0" w:rsidP="002B32A0">
            <w:pPr>
              <w:pStyle w:val="Tablelistbullet"/>
              <w:numPr>
                <w:ilvl w:val="0"/>
                <w:numId w:val="64"/>
              </w:numPr>
              <w:spacing w:before="60" w:after="0"/>
              <w:ind w:right="120"/>
            </w:pPr>
            <w:r w:rsidRPr="00CE1D7F">
              <w:t>Improved graduation and completion rates</w:t>
            </w:r>
          </w:p>
          <w:p w14:paraId="1EF13858" w14:textId="77777777" w:rsidR="002B32A0" w:rsidRPr="00CE1D7F" w:rsidRDefault="002B32A0" w:rsidP="002B32A0">
            <w:pPr>
              <w:pStyle w:val="Tablelistbullet"/>
              <w:numPr>
                <w:ilvl w:val="0"/>
                <w:numId w:val="64"/>
              </w:numPr>
              <w:spacing w:before="60" w:after="0"/>
              <w:ind w:right="120"/>
            </w:pPr>
            <w:r w:rsidRPr="00CE1D7F">
              <w:t>Improved Indigenous student satisfaction</w:t>
            </w:r>
          </w:p>
          <w:p w14:paraId="270B4FC0" w14:textId="77777777" w:rsidR="002B32A0" w:rsidRPr="00CE1D7F" w:rsidRDefault="002B32A0" w:rsidP="002B32A0">
            <w:pPr>
              <w:pStyle w:val="Tablelistbullet"/>
              <w:numPr>
                <w:ilvl w:val="0"/>
                <w:numId w:val="64"/>
              </w:numPr>
              <w:spacing w:before="60" w:after="0"/>
              <w:ind w:right="120"/>
            </w:pPr>
            <w:r w:rsidRPr="00CE1D7F">
              <w:t>Promising evidence for scalability emerging in high schools and other priority cohorts</w:t>
            </w:r>
          </w:p>
          <w:p w14:paraId="77FF5309" w14:textId="77777777" w:rsidR="002B32A0" w:rsidRDefault="002B32A0" w:rsidP="002B32A0">
            <w:pPr>
              <w:pStyle w:val="Tablelistbullet"/>
              <w:numPr>
                <w:ilvl w:val="0"/>
                <w:numId w:val="64"/>
              </w:numPr>
              <w:spacing w:before="60" w:after="0"/>
              <w:ind w:right="120"/>
            </w:pPr>
            <w:r w:rsidRPr="00CE1D7F">
              <w:t>Reduced failure rate for pre-requisite diplomas</w:t>
            </w:r>
          </w:p>
          <w:p w14:paraId="19217BC1" w14:textId="77777777" w:rsidR="002B32A0" w:rsidRPr="00CE1D7F" w:rsidRDefault="002B32A0" w:rsidP="002B32A0">
            <w:pPr>
              <w:pStyle w:val="ListParagraph"/>
              <w:numPr>
                <w:ilvl w:val="0"/>
                <w:numId w:val="64"/>
              </w:numPr>
              <w:spacing w:before="60" w:after="0"/>
              <w:ind w:right="120"/>
            </w:pPr>
            <w:r w:rsidRPr="000B3102">
              <w:rPr>
                <w:rFonts w:cstheme="minorBidi"/>
                <w:color w:val="000100"/>
                <w:sz w:val="20"/>
              </w:rPr>
              <w:t>Only the</w:t>
            </w:r>
            <w:r>
              <w:rPr>
                <w:rFonts w:cstheme="minorBidi"/>
                <w:color w:val="000100"/>
                <w:sz w:val="20"/>
              </w:rPr>
              <w:t xml:space="preserve"> costs of the</w:t>
            </w:r>
            <w:r w:rsidRPr="000B3102">
              <w:rPr>
                <w:rFonts w:cstheme="minorBidi"/>
                <w:color w:val="000100"/>
                <w:sz w:val="20"/>
              </w:rPr>
              <w:t xml:space="preserve"> ARC Discovery Indigenous – Indigenous persistence in formal learning grant </w:t>
            </w:r>
            <w:r>
              <w:rPr>
                <w:rFonts w:cstheme="minorBidi"/>
                <w:color w:val="000100"/>
                <w:sz w:val="20"/>
              </w:rPr>
              <w:t>was</w:t>
            </w:r>
            <w:r w:rsidRPr="000B3102">
              <w:rPr>
                <w:rFonts w:cstheme="minorBidi"/>
                <w:color w:val="000100"/>
                <w:sz w:val="20"/>
              </w:rPr>
              <w:t xml:space="preserve"> included </w:t>
            </w:r>
            <w:r>
              <w:rPr>
                <w:rFonts w:cstheme="minorBidi"/>
                <w:color w:val="000100"/>
                <w:sz w:val="20"/>
              </w:rPr>
              <w:t>as</w:t>
            </w:r>
            <w:r w:rsidRPr="000B3102">
              <w:rPr>
                <w:rFonts w:cstheme="minorBidi"/>
                <w:color w:val="000100"/>
                <w:sz w:val="20"/>
              </w:rPr>
              <w:t xml:space="preserve"> it is the key grant that supported the research behind </w:t>
            </w:r>
            <w:r>
              <w:rPr>
                <w:rFonts w:cstheme="minorBidi"/>
                <w:color w:val="000100"/>
                <w:sz w:val="20"/>
              </w:rPr>
              <w:t>TAPS</w:t>
            </w:r>
          </w:p>
        </w:tc>
      </w:tr>
      <w:tr w:rsidR="002B32A0" w:rsidRPr="00CE1D7F" w14:paraId="40268930" w14:textId="77777777" w:rsidTr="00325D56">
        <w:tblPrEx>
          <w:tblBorders>
            <w:top w:val="none" w:sz="0" w:space="0" w:color="auto"/>
            <w:bottom w:val="none" w:sz="0" w:space="0" w:color="auto"/>
          </w:tblBorders>
        </w:tblPrEx>
        <w:trPr>
          <w:trHeight w:val="135"/>
        </w:trPr>
        <w:tc>
          <w:tcPr>
            <w:tcW w:w="10366" w:type="dxa"/>
            <w:gridSpan w:val="9"/>
            <w:tcBorders>
              <w:bottom w:val="single" w:sz="4" w:space="0" w:color="000100"/>
            </w:tcBorders>
            <w:shd w:val="clear" w:color="auto" w:fill="auto"/>
            <w:tcMar>
              <w:top w:w="12" w:type="dxa"/>
              <w:bottom w:w="113" w:type="dxa"/>
            </w:tcMar>
          </w:tcPr>
          <w:p w14:paraId="60EEB1C4" w14:textId="77777777" w:rsidR="002B32A0" w:rsidRPr="00CE1D7F" w:rsidRDefault="002B32A0" w:rsidP="006258ED">
            <w:pPr>
              <w:pStyle w:val="Source"/>
            </w:pPr>
            <w:r w:rsidRPr="00CE1D7F">
              <w:t>Source: ACIL Allen</w:t>
            </w:r>
          </w:p>
        </w:tc>
      </w:tr>
      <w:tr w:rsidR="002B32A0" w:rsidRPr="00CE1D7F" w14:paraId="75CC49EA" w14:textId="77777777" w:rsidTr="00325D56">
        <w:tblPrEx>
          <w:tblBorders>
            <w:top w:val="none" w:sz="0" w:space="0" w:color="auto"/>
            <w:bottom w:val="none" w:sz="0" w:space="0" w:color="auto"/>
          </w:tblBorders>
        </w:tblPrEx>
        <w:trPr>
          <w:trHeight w:hRule="exact" w:val="160"/>
        </w:trPr>
        <w:tc>
          <w:tcPr>
            <w:tcW w:w="10366" w:type="dxa"/>
            <w:gridSpan w:val="9"/>
            <w:tcBorders>
              <w:top w:val="single" w:sz="4" w:space="0" w:color="000100"/>
            </w:tcBorders>
            <w:shd w:val="clear" w:color="auto" w:fill="auto"/>
            <w:tcMar>
              <w:top w:w="0" w:type="dxa"/>
              <w:bottom w:w="40" w:type="dxa"/>
            </w:tcMar>
          </w:tcPr>
          <w:p w14:paraId="2169E03D" w14:textId="77777777" w:rsidR="002B32A0" w:rsidRPr="00CE1D7F" w:rsidRDefault="002B32A0" w:rsidP="006258ED">
            <w:pPr>
              <w:pStyle w:val="spacer"/>
            </w:pPr>
          </w:p>
        </w:tc>
      </w:tr>
    </w:tbl>
    <w:p w14:paraId="393C9A55" w14:textId="77777777" w:rsidR="002B32A0" w:rsidRPr="00CE1D7F" w:rsidRDefault="002B32A0" w:rsidP="002B32A0">
      <w:pPr>
        <w:pStyle w:val="Heading2"/>
      </w:pPr>
      <w:bookmarkStart w:id="544" w:name="_Toc129963986"/>
      <w:bookmarkStart w:id="545" w:name="_Toc131174625"/>
      <w:bookmarkStart w:id="546" w:name="_Toc132970716"/>
      <w:bookmarkStart w:id="547" w:name="_Toc135323755"/>
      <w:r w:rsidRPr="00CE1D7F">
        <w:t>Background</w:t>
      </w:r>
      <w:bookmarkEnd w:id="544"/>
      <w:bookmarkEnd w:id="545"/>
      <w:bookmarkEnd w:id="546"/>
      <w:bookmarkEnd w:id="547"/>
    </w:p>
    <w:p w14:paraId="64F98053" w14:textId="77777777" w:rsidR="002B32A0" w:rsidRPr="00CE1D7F" w:rsidRDefault="002B32A0" w:rsidP="002B32A0">
      <w:pPr>
        <w:pStyle w:val="BodyText"/>
      </w:pPr>
      <w:r w:rsidRPr="00CE1D7F">
        <w:t xml:space="preserve">This case study relates to projects funded under the following </w:t>
      </w:r>
      <w:r>
        <w:t xml:space="preserve">ARC </w:t>
      </w:r>
      <w:r w:rsidRPr="00CE1D7F">
        <w:t>schemes:</w:t>
      </w:r>
    </w:p>
    <w:p w14:paraId="52BCDB00" w14:textId="77777777" w:rsidR="002B32A0" w:rsidRPr="00CE1D7F" w:rsidRDefault="002B32A0" w:rsidP="00542BF3">
      <w:pPr>
        <w:pStyle w:val="ListBullet"/>
      </w:pPr>
      <w:r w:rsidRPr="00CE1D7F">
        <w:t>Discovery Program</w:t>
      </w:r>
      <w:r>
        <w:t xml:space="preserve">: </w:t>
      </w:r>
      <w:r w:rsidRPr="00DD5811">
        <w:t>Discovery Projects</w:t>
      </w:r>
      <w:r w:rsidRPr="00CE1D7F">
        <w:t xml:space="preserve"> </w:t>
      </w:r>
      <w:r>
        <w:t xml:space="preserve">and </w:t>
      </w:r>
      <w:r w:rsidRPr="00DD5811">
        <w:t>Discovery Indigenous</w:t>
      </w:r>
      <w:r w:rsidRPr="00CE1D7F">
        <w:t>.</w:t>
      </w:r>
    </w:p>
    <w:p w14:paraId="322A6997" w14:textId="77777777" w:rsidR="002B32A0" w:rsidRPr="00CE1D7F" w:rsidRDefault="002B32A0" w:rsidP="00542BF3">
      <w:pPr>
        <w:pStyle w:val="ListBullet"/>
      </w:pPr>
      <w:r w:rsidRPr="00CE1D7F">
        <w:t>Linkage Program</w:t>
      </w:r>
      <w:r>
        <w:t xml:space="preserve">: </w:t>
      </w:r>
      <w:r w:rsidRPr="00DD5811">
        <w:t>ARC Centres of Excellence</w:t>
      </w:r>
      <w:r w:rsidRPr="00CE1D7F">
        <w:t xml:space="preserve"> </w:t>
      </w:r>
      <w:r>
        <w:t xml:space="preserve">and </w:t>
      </w:r>
      <w:r w:rsidRPr="00DD5811">
        <w:t>Linkage Infrastructure, Equipment and Facilities</w:t>
      </w:r>
      <w:r w:rsidRPr="00CE1D7F">
        <w:t>.</w:t>
      </w:r>
    </w:p>
    <w:p w14:paraId="2021907C" w14:textId="77777777" w:rsidR="002B32A0" w:rsidRPr="00CE1D7F" w:rsidRDefault="002B32A0" w:rsidP="002B32A0">
      <w:pPr>
        <w:pStyle w:val="BodyText"/>
      </w:pPr>
      <w:bookmarkStart w:id="548" w:name="_Ref127196116"/>
      <w:r>
        <w:t xml:space="preserve">The Discovery Indigenous grant was the main support </w:t>
      </w:r>
      <w:r w:rsidRPr="00304F4C">
        <w:t>for the impacts described in this case study</w:t>
      </w:r>
      <w:r>
        <w:t xml:space="preserve">. However, description of the activities, outputs and outcomes of </w:t>
      </w:r>
      <w:r w:rsidRPr="00304F4C">
        <w:t xml:space="preserve">other prior and follow-on ARC funding from various schemes </w:t>
      </w:r>
      <w:r>
        <w:t xml:space="preserve">have been included, as these were important for the </w:t>
      </w:r>
      <w:r w:rsidRPr="00304F4C">
        <w:t xml:space="preserve">researcher </w:t>
      </w:r>
      <w:r>
        <w:t xml:space="preserve">in </w:t>
      </w:r>
      <w:r w:rsidRPr="00304F4C">
        <w:t xml:space="preserve">supporting </w:t>
      </w:r>
      <w:r>
        <w:t xml:space="preserve">the </w:t>
      </w:r>
      <w:r w:rsidRPr="00304F4C">
        <w:t>delivery of impact.</w:t>
      </w:r>
    </w:p>
    <w:p w14:paraId="42B0BB97" w14:textId="77777777" w:rsidR="002B32A0" w:rsidRPr="00CE1D7F" w:rsidRDefault="002B32A0" w:rsidP="002B32A0">
      <w:pPr>
        <w:pStyle w:val="Heading3"/>
      </w:pPr>
      <w:r w:rsidRPr="00CE1D7F">
        <w:t>Closing the gap</w:t>
      </w:r>
      <w:bookmarkEnd w:id="548"/>
    </w:p>
    <w:p w14:paraId="111961D5" w14:textId="77777777" w:rsidR="002B32A0" w:rsidRPr="00CE1D7F" w:rsidRDefault="002B32A0" w:rsidP="002B32A0">
      <w:pPr>
        <w:pStyle w:val="BodyText"/>
      </w:pPr>
      <w:r w:rsidRPr="00CE1D7F">
        <w:t xml:space="preserve">The gap between the life outcomes of Indigenous and non-Indigenous Australians is underpinned by a myriad of intersecting forms of entrenched disadvantage. Overcoming this gap is a complex challenge facing our communities, governments, legal systems, and public institutions (like universities). </w:t>
      </w:r>
    </w:p>
    <w:p w14:paraId="15CAD0EB" w14:textId="77777777" w:rsidR="002B32A0" w:rsidRPr="00CE1D7F" w:rsidRDefault="002B32A0" w:rsidP="002B32A0">
      <w:pPr>
        <w:pStyle w:val="BodyText"/>
      </w:pPr>
      <w:r w:rsidRPr="00CE1D7F">
        <w:t>The National Agreement on Closing the Gap (the National Agreement) was developed in 2020 as part of a broad agreement between the Coalition of Aboriginal and Torres Strait Islander Peak Organisations, the Commonwealth Government and each State and Territory Government. The National Agreement focuses on areas where Indigenous Australians are more likely to experience disadvantage, such as education, health, employment, and criminal justice.</w:t>
      </w:r>
      <w:r w:rsidRPr="00CE1D7F">
        <w:rPr>
          <w:rStyle w:val="FootnoteReference"/>
        </w:rPr>
        <w:footnoteReference w:id="244"/>
      </w:r>
      <w:r w:rsidRPr="00CE1D7F">
        <w:t xml:space="preserve"> These disadvantages can be the result of interpersonal or systemic factors and are deeply interconnected. They can compound to generate large differences between Indigenous and non-Indigenous Australians in a broad range of life outcomes.</w:t>
      </w:r>
    </w:p>
    <w:p w14:paraId="20BD851D" w14:textId="77777777" w:rsidR="002B32A0" w:rsidRPr="00CE1D7F" w:rsidRDefault="002B32A0" w:rsidP="002B32A0">
      <w:pPr>
        <w:pStyle w:val="Heading4"/>
      </w:pPr>
      <w:r w:rsidRPr="00CE1D7F">
        <w:t>Indigenous learning outcomes</w:t>
      </w:r>
    </w:p>
    <w:p w14:paraId="21A876CA" w14:textId="77777777" w:rsidR="002B32A0" w:rsidRPr="00CE1D7F" w:rsidRDefault="002B32A0" w:rsidP="002B32A0">
      <w:pPr>
        <w:pStyle w:val="BodyText"/>
      </w:pPr>
      <w:r w:rsidRPr="00CE1D7F">
        <w:t xml:space="preserve">This case study focuses on Indigenous learning outcomes, mostly within higher education, and the impact that ARC-funded research has had on these outcomes. </w:t>
      </w:r>
    </w:p>
    <w:p w14:paraId="56E1E146" w14:textId="77777777" w:rsidR="002B32A0" w:rsidRPr="00CE1D7F" w:rsidRDefault="002B32A0" w:rsidP="002B32A0">
      <w:pPr>
        <w:pStyle w:val="BodyText"/>
      </w:pPr>
      <w:r w:rsidRPr="00CE1D7F">
        <w:t>The National Agreement contains 17 targets for the next decade. 4 goals relate to educational outcomes. The targets are:</w:t>
      </w:r>
      <w:r w:rsidRPr="00CE1D7F">
        <w:rPr>
          <w:rStyle w:val="FootnoteReference"/>
        </w:rPr>
        <w:footnoteReference w:id="245"/>
      </w:r>
    </w:p>
    <w:p w14:paraId="328C159E" w14:textId="77777777" w:rsidR="002B32A0" w:rsidRPr="00CE1D7F" w:rsidRDefault="002B32A0" w:rsidP="00542BF3">
      <w:pPr>
        <w:pStyle w:val="ListBullet"/>
      </w:pPr>
      <w:r w:rsidRPr="00CE1D7F">
        <w:t>By 2025, increase the proportion of Aboriginal and Torres Strait Islander children enrolled in year before fulltime schooling early childhood education to 95% (Goal 3).</w:t>
      </w:r>
    </w:p>
    <w:p w14:paraId="43262A69" w14:textId="77777777" w:rsidR="002B32A0" w:rsidRPr="00CE1D7F" w:rsidRDefault="002B32A0" w:rsidP="00542BF3">
      <w:pPr>
        <w:pStyle w:val="ListBullet"/>
      </w:pPr>
      <w:r w:rsidRPr="00CE1D7F">
        <w:t>By 2031, increase the proportion of Aboriginal and Torres Strait Islander people (age 20-24) attaining year 12 or equivalent qualification to 96% (Goal 5).</w:t>
      </w:r>
    </w:p>
    <w:p w14:paraId="2A35DA15" w14:textId="77777777" w:rsidR="002B32A0" w:rsidRPr="00CE1D7F" w:rsidRDefault="002B32A0" w:rsidP="00542BF3">
      <w:pPr>
        <w:pStyle w:val="ListBullet"/>
      </w:pPr>
      <w:r w:rsidRPr="00CE1D7F">
        <w:t>By 2031, increase the proportion of Aboriginal and Torres Strait Islander people aged 25-34 years who have completed a tertiary qualification (Certificate III and above) to 70% (Goal 6).</w:t>
      </w:r>
    </w:p>
    <w:p w14:paraId="6EFC2C98" w14:textId="77777777" w:rsidR="002B32A0" w:rsidRPr="00CE1D7F" w:rsidRDefault="002B32A0" w:rsidP="00542BF3">
      <w:pPr>
        <w:pStyle w:val="ListBullet"/>
      </w:pPr>
      <w:r w:rsidRPr="00CE1D7F">
        <w:t>By 2031, increase the proportion of Aboriginal and Torres Strait Islander youth (15-24 years) who are in employment, education or training to 67% (Goal 7).</w:t>
      </w:r>
    </w:p>
    <w:p w14:paraId="5B47C2AC" w14:textId="77777777" w:rsidR="002B32A0" w:rsidRPr="00CE1D7F" w:rsidRDefault="002B32A0" w:rsidP="002B32A0">
      <w:pPr>
        <w:pStyle w:val="BodyText"/>
      </w:pPr>
      <w:r w:rsidRPr="00CE1D7F">
        <w:t>The gap in some outcomes, such as early childhood educational enrolment, are on track to close by 2025.</w:t>
      </w:r>
      <w:r w:rsidRPr="00CE1D7F">
        <w:rPr>
          <w:rStyle w:val="FootnoteReference"/>
        </w:rPr>
        <w:footnoteReference w:id="246"/>
      </w:r>
      <w:r w:rsidRPr="00CE1D7F">
        <w:t xml:space="preserve"> For example, Indigenous student enrolment in early childhood education, increased by almost 10% from 2016-18, from 76.7 to 86.4%. This compares with 91.3% of non-Indigenous children.</w:t>
      </w:r>
      <w:r w:rsidRPr="00CE1D7F">
        <w:rPr>
          <w:rStyle w:val="FootnoteReference"/>
        </w:rPr>
        <w:footnoteReference w:id="247"/>
      </w:r>
      <w:r w:rsidRPr="00CE1D7F">
        <w:t xml:space="preserve"> </w:t>
      </w:r>
    </w:p>
    <w:p w14:paraId="6B041946" w14:textId="77777777" w:rsidR="002B32A0" w:rsidRPr="00CE1D7F" w:rsidRDefault="002B32A0" w:rsidP="002B32A0">
      <w:pPr>
        <w:pStyle w:val="BodyText"/>
      </w:pPr>
      <w:r w:rsidRPr="00CE1D7F">
        <w:t>However, progress in primary and secondary school attendance rates has been limited. In the 5 years to 2019, school attendance for years 1-10 declined by 2%,</w:t>
      </w:r>
      <w:r w:rsidRPr="00CE1D7F">
        <w:rPr>
          <w:rStyle w:val="FootnoteReference"/>
        </w:rPr>
        <w:footnoteReference w:id="248"/>
      </w:r>
      <w:r w:rsidRPr="00CE1D7F">
        <w:t xml:space="preserve"> and by a further 0.5% by 2021.</w:t>
      </w:r>
      <w:r w:rsidRPr="00CE1D7F">
        <w:rPr>
          <w:rStyle w:val="FootnoteReference"/>
        </w:rPr>
        <w:footnoteReference w:id="249"/>
      </w:r>
      <w:r w:rsidRPr="00CE1D7F">
        <w:t xml:space="preserve"> The Indigenous school attendance rate was 82%—about 4 days a week on average and 10% below that of non-Indigenous students.</w:t>
      </w:r>
      <w:r w:rsidRPr="00CE1D7F">
        <w:rPr>
          <w:rStyle w:val="FootnoteReference"/>
        </w:rPr>
        <w:footnoteReference w:id="250"/>
      </w:r>
      <w:r w:rsidRPr="00CE1D7F">
        <w:t xml:space="preserve"> The gap in attendance widens in secondary education, with Indigenous attendance rates falling to just over 70% by year 10 while non-Indigenous attendance declines slightly to just over 90%.</w:t>
      </w:r>
    </w:p>
    <w:p w14:paraId="174A75A3" w14:textId="77777777" w:rsidR="002B32A0" w:rsidRPr="00CE1D7F" w:rsidRDefault="002B32A0" w:rsidP="002B32A0">
      <w:pPr>
        <w:pStyle w:val="BodyText"/>
      </w:pPr>
      <w:r w:rsidRPr="00CE1D7F">
        <w:t>This varies by state and territory, with attendance rates far higher in NSW, Victoria and Queensland, than WA and NT. Attendance also varies by remoteness, with Indigenous school attendance in outer regional, remote and very remote areas substantially lower than that of major cities and regional Australia, while non-Indigenous attendance is relatively consistent. In outer regional parts of Queensland, for example, Indigenous attendance rates in secondary education declined to 3 to 4 days per week</w:t>
      </w:r>
      <w:r>
        <w:t xml:space="preserve"> in 2019</w:t>
      </w:r>
      <w:r w:rsidRPr="00CE1D7F">
        <w:t>.</w:t>
      </w:r>
      <w:r w:rsidRPr="00CE1D7F">
        <w:rPr>
          <w:rStyle w:val="FootnoteReference"/>
        </w:rPr>
        <w:footnoteReference w:id="251"/>
      </w:r>
    </w:p>
    <w:p w14:paraId="1E8FB493" w14:textId="77777777" w:rsidR="002B32A0" w:rsidRPr="00CE1D7F" w:rsidRDefault="002B32A0" w:rsidP="002B32A0">
      <w:pPr>
        <w:pStyle w:val="BodyText"/>
      </w:pPr>
      <w:r w:rsidRPr="00CE1D7F">
        <w:t>The gap in high school completion rates has narrowed, with two thirds of Indigenous Australians aged 20-24 having completed year 12 or equivalent.</w:t>
      </w:r>
      <w:r w:rsidRPr="00CE1D7F">
        <w:rPr>
          <w:rStyle w:val="FootnoteReference"/>
        </w:rPr>
        <w:footnoteReference w:id="252"/>
      </w:r>
      <w:r w:rsidRPr="00CE1D7F">
        <w:t xml:space="preserve"> Importantly, research shows that when Indigenous students reach the same educational achievements as non-Indigenous students by age 15, there is no difference in educational outcomes like enrolment in university or vocational training.</w:t>
      </w:r>
      <w:r w:rsidRPr="00CE1D7F">
        <w:rPr>
          <w:rStyle w:val="FootnoteReference"/>
        </w:rPr>
        <w:footnoteReference w:id="253"/>
      </w:r>
      <w:r w:rsidRPr="00CE1D7F">
        <w:t xml:space="preserve"> </w:t>
      </w:r>
    </w:p>
    <w:p w14:paraId="0A0F3463" w14:textId="77777777" w:rsidR="002B32A0" w:rsidRPr="00CE1D7F" w:rsidRDefault="002B32A0" w:rsidP="002B32A0">
      <w:pPr>
        <w:pStyle w:val="BodyText"/>
      </w:pPr>
      <w:r w:rsidRPr="00CE1D7F">
        <w:t>Indigenous students made up 1.8%</w:t>
      </w:r>
      <w:r w:rsidRPr="00CE1D7F">
        <w:rPr>
          <w:rStyle w:val="FootnoteReference"/>
        </w:rPr>
        <w:footnoteReference w:id="254"/>
      </w:r>
      <w:r w:rsidRPr="00CE1D7F">
        <w:t xml:space="preserve"> of those enrolled in higher education in 2018. In 2017, Indigenous students were also less likely to complete higher education, with 35% dropping out of study, compared to 23% for non-Indigenous students. Furthermore, about 40% of Indigenous students enrolled in 2010 had completed a degree by 2015, compared with just over 66% of non-Indigenous students.</w:t>
      </w:r>
      <w:r w:rsidRPr="00CE1D7F">
        <w:rPr>
          <w:rStyle w:val="FootnoteReference"/>
        </w:rPr>
        <w:footnoteReference w:id="255"/>
      </w:r>
    </w:p>
    <w:p w14:paraId="04596A4C" w14:textId="77777777" w:rsidR="002B32A0" w:rsidRPr="00CE1D7F" w:rsidRDefault="002B32A0" w:rsidP="002B32A0">
      <w:pPr>
        <w:pStyle w:val="Heading4"/>
      </w:pPr>
      <w:r w:rsidRPr="00CE1D7F">
        <w:t>The Bradley Review</w:t>
      </w:r>
    </w:p>
    <w:p w14:paraId="754F9F27" w14:textId="77777777" w:rsidR="002B32A0" w:rsidRPr="00CE1D7F" w:rsidRDefault="002B32A0" w:rsidP="002B32A0">
      <w:r w:rsidRPr="00CE1D7F">
        <w:t>The 2008 Review of Australian Higher Education: final report (Bradley Review) was established to determine whether the higher education sector is “structured, organised and financed to position Australia to compete effectively in the new globalised economy”.</w:t>
      </w:r>
      <w:r w:rsidRPr="00CE1D7F">
        <w:rPr>
          <w:rStyle w:val="FootnoteReference"/>
        </w:rPr>
        <w:footnoteReference w:id="256"/>
      </w:r>
      <w:r w:rsidRPr="00CE1D7F">
        <w:t xml:space="preserve"> The Bradley Review identified significant threats requiring financing and regulatory attention. In relation to Indigenous students, the Bradley Review found that:</w:t>
      </w:r>
    </w:p>
    <w:p w14:paraId="0A998831" w14:textId="77777777" w:rsidR="002B32A0" w:rsidRPr="00CE1D7F" w:rsidRDefault="002B32A0" w:rsidP="00542BF3">
      <w:pPr>
        <w:pStyle w:val="ListBullet"/>
      </w:pPr>
      <w:r w:rsidRPr="00CE1D7F">
        <w:t>Higher Education providers should ensure that the institutional culture, the cultural competence of staff and the curriculum's nature, recognises and supports Indigenous students' participation.</w:t>
      </w:r>
    </w:p>
    <w:p w14:paraId="3F0A7E5E" w14:textId="77777777" w:rsidR="002B32A0" w:rsidRPr="00CE1D7F" w:rsidRDefault="002B32A0" w:rsidP="00542BF3">
      <w:pPr>
        <w:pStyle w:val="ListBullet"/>
      </w:pPr>
      <w:r w:rsidRPr="00CE1D7F">
        <w:t>Indigenous knowledge should be embedded into curriculum to ensure that all students understand Indigenous culture.</w:t>
      </w:r>
    </w:p>
    <w:p w14:paraId="109EA954" w14:textId="77777777" w:rsidR="002B32A0" w:rsidRPr="00CE1D7F" w:rsidRDefault="002B32A0" w:rsidP="002B32A0">
      <w:pPr>
        <w:pStyle w:val="BodyText"/>
      </w:pPr>
      <w:r w:rsidRPr="00CE1D7F">
        <w:t>Further, its strategic goals to 2020 included the need for a national higher education system that supports access, including better support for institutions to assist students from a wide range of backgrounds, particularly Indigenous students.</w:t>
      </w:r>
      <w:r w:rsidRPr="00CE1D7F">
        <w:rPr>
          <w:rStyle w:val="FootnoteReference"/>
        </w:rPr>
        <w:footnoteReference w:id="257"/>
      </w:r>
    </w:p>
    <w:p w14:paraId="31D2B270" w14:textId="77777777" w:rsidR="002B32A0" w:rsidRPr="00CE1D7F" w:rsidRDefault="002B32A0" w:rsidP="002B32A0">
      <w:pPr>
        <w:pStyle w:val="BodyText"/>
      </w:pPr>
      <w:r w:rsidRPr="00CE1D7F">
        <w:t>The Bradley Review enabled a discussion on equity, including special entry measures and funding for Indigenous students, and enabled greater access for Indigenous students to the university sector.</w:t>
      </w:r>
    </w:p>
    <w:p w14:paraId="7B1451FE" w14:textId="77777777" w:rsidR="002B32A0" w:rsidRPr="00CE1D7F" w:rsidRDefault="002B32A0" w:rsidP="00542BF3">
      <w:pPr>
        <w:pStyle w:val="BodyText"/>
        <w:keepNext/>
        <w:keepLines/>
      </w:pPr>
      <w:r w:rsidRPr="00CE1D7F">
        <w:t>A national Review</w:t>
      </w:r>
      <w:r w:rsidRPr="00CE1D7F">
        <w:rPr>
          <w:rStyle w:val="FootnoteReference"/>
        </w:rPr>
        <w:footnoteReference w:id="258"/>
      </w:r>
      <w:r w:rsidRPr="00CE1D7F">
        <w:t xml:space="preserve"> of higher education access and outcomes for Aboriginal and Torres Strait Islander people was conducted in 2012 and with a focus on approaches having an impact on the participation and completion rate of higher education degrees by Aboriginal and Torres Strait Islander students.</w:t>
      </w:r>
    </w:p>
    <w:p w14:paraId="559A7F46" w14:textId="77777777" w:rsidR="002B32A0" w:rsidRPr="00CE1D7F" w:rsidRDefault="002B32A0" w:rsidP="002B32A0">
      <w:pPr>
        <w:pStyle w:val="Heading4"/>
      </w:pPr>
      <w:r w:rsidRPr="00CE1D7F">
        <w:t>Education’s link to health and other important outcomes</w:t>
      </w:r>
    </w:p>
    <w:p w14:paraId="23117FF7" w14:textId="77777777" w:rsidR="002B32A0" w:rsidRPr="00CE1D7F" w:rsidRDefault="002B32A0" w:rsidP="002B32A0">
      <w:pPr>
        <w:pStyle w:val="BodyText"/>
      </w:pPr>
      <w:r w:rsidRPr="00CE1D7F">
        <w:t>It is well established in the literature that educational outcomes are interconnected with the achievement of other life outcomes. The Australian Institute of Health and Welfare has identified education as a key social determinant of health and labour market outcomes.</w:t>
      </w:r>
      <w:r w:rsidRPr="00CE1D7F">
        <w:rPr>
          <w:rStyle w:val="FootnoteReference"/>
        </w:rPr>
        <w:footnoteReference w:id="259"/>
      </w:r>
      <w:r w:rsidRPr="00CE1D7F">
        <w:t xml:space="preserve"> At the same time, improving health and wellbeing, among other gaps, can lead to improved participation and outcomes in education.</w:t>
      </w:r>
      <w:r w:rsidRPr="00CE1D7F">
        <w:rPr>
          <w:rStyle w:val="FootnoteReference"/>
        </w:rPr>
        <w:footnoteReference w:id="260"/>
      </w:r>
    </w:p>
    <w:p w14:paraId="7166F0E8" w14:textId="77777777" w:rsidR="002B32A0" w:rsidRPr="00CE1D7F" w:rsidRDefault="002B32A0" w:rsidP="002B32A0">
      <w:pPr>
        <w:pStyle w:val="BodyText"/>
      </w:pPr>
      <w:r w:rsidRPr="00CE1D7F">
        <w:t>The level of schooling and the attainment of education qualifications beyond school, along with employment, income and housing adequacy, account for just over a third of the gap in health outcomes between Indigenous and non-Indigenous Australians. Cultural and historical outcomes and differences in access to health services comprise 47% of the gap, and 19% is attributed to health risk factors like alcohol consumption, weight, smoking, and nutrition.</w:t>
      </w:r>
      <w:r w:rsidRPr="00CE1D7F">
        <w:rPr>
          <w:rStyle w:val="FootnoteReference"/>
        </w:rPr>
        <w:footnoteReference w:id="261"/>
      </w:r>
      <w:r w:rsidRPr="00CE1D7F">
        <w:t xml:space="preserve"> Consequently, the health gap between Indigenous and non-Indigenous Australians reflects interrelated forms of disadvantage. </w:t>
      </w:r>
    </w:p>
    <w:p w14:paraId="1534EDBE" w14:textId="77777777" w:rsidR="002B32A0" w:rsidRPr="00CE1D7F" w:rsidRDefault="002B32A0" w:rsidP="002B32A0">
      <w:pPr>
        <w:pStyle w:val="Heading3"/>
      </w:pPr>
      <w:bookmarkStart w:id="550" w:name="_Ref127278525"/>
      <w:r w:rsidRPr="00CE1D7F">
        <w:t>Models to support student learning</w:t>
      </w:r>
      <w:bookmarkEnd w:id="550"/>
    </w:p>
    <w:p w14:paraId="2A91566F" w14:textId="77777777" w:rsidR="002B32A0" w:rsidRPr="00CE1D7F" w:rsidRDefault="002B32A0" w:rsidP="002B32A0">
      <w:pPr>
        <w:pStyle w:val="BodyText"/>
      </w:pPr>
      <w:r w:rsidRPr="00CE1D7F">
        <w:t>Indigenous learning support is an active area of research that aims to improve Indigenous participation, retention and learning outcomes. Research has historically focused on teaching style and content taught. Supports are typically provided through personal and cultural support by Indigenous Education Units at higher education institutions and academic learning support in the form of individual supplementary tutorials provided by Commonwealth and higher education faculties.</w:t>
      </w:r>
      <w:r w:rsidRPr="00CE1D7F">
        <w:rPr>
          <w:rStyle w:val="FootnoteReference"/>
        </w:rPr>
        <w:footnoteReference w:id="262"/>
      </w:r>
      <w:r w:rsidRPr="00CE1D7F">
        <w:t xml:space="preserve"> Other approaches have sought to incorporate Indigenous topics, insights and culture into formal education and within institutes (e.g., Indigenous artworks), and to explore racism and cultural change. For example, in 2020, 14 universities claimed to have an Indigenous-specific graduate attribute, indicating a greater focus on incorporating initiatives, ideas and resources to embed Indigenous content and perspectives into courses.</w:t>
      </w:r>
      <w:r w:rsidRPr="00CE1D7F">
        <w:rPr>
          <w:rStyle w:val="FootnoteReference"/>
        </w:rPr>
        <w:footnoteReference w:id="263"/>
      </w:r>
      <w:r w:rsidRPr="00CE1D7F">
        <w:t xml:space="preserve"> </w:t>
      </w:r>
    </w:p>
    <w:p w14:paraId="24ADB3F2" w14:textId="77777777" w:rsidR="002B32A0" w:rsidRPr="00CE1D7F" w:rsidRDefault="002B32A0" w:rsidP="002B32A0">
      <w:pPr>
        <w:pStyle w:val="BodyText"/>
      </w:pPr>
      <w:r w:rsidRPr="00CE1D7F">
        <w:t>Broadly speaking, these approaches have had limited success. For example, less than 30% of Indigenous students complete degrees after 4 years of study, and this rate of completion has been the same since 2005.</w:t>
      </w:r>
      <w:r w:rsidRPr="00CE1D7F">
        <w:rPr>
          <w:rStyle w:val="FootnoteReference"/>
        </w:rPr>
        <w:footnoteReference w:id="264"/>
      </w:r>
      <w:r w:rsidRPr="00CE1D7F">
        <w:t xml:space="preserve"> There is a clear gap in our understanding of how to improve Indigenous learning outcomes in higher education. </w:t>
      </w:r>
    </w:p>
    <w:p w14:paraId="36DD19AA" w14:textId="77777777" w:rsidR="002B32A0" w:rsidRPr="00CE1D7F" w:rsidRDefault="002B32A0" w:rsidP="002B32A0">
      <w:pPr>
        <w:pStyle w:val="BodyText"/>
      </w:pPr>
      <w:r w:rsidRPr="00CE1D7F">
        <w:t xml:space="preserve">This ARC-supported study of Indigenous academic persistence focuses on an approach to improving learning outcomes in higher education for Indigenous students that is fundamental to established norms in the literature and past practices within universities. The approach focuses on building an understanding and culture of learning (learner identities) among Indigenous students to support persistence in learning. Higher education institutes are often unfamiliar, leaving Indigenous students with a diminished sense of belonging. This is particularly the case when students are the first in their families to participate in higher education. The model is underpinned by the philosophy that building learning capabilities through institutional interventions and supports outside the classroom leads students to develop a pattern of intellectual behaviours and dispositions that enable them to be more effective in their learning engagements. </w:t>
      </w:r>
    </w:p>
    <w:p w14:paraId="5B2E64ED" w14:textId="77777777" w:rsidR="002B32A0" w:rsidRPr="00CE1D7F" w:rsidRDefault="002B32A0" w:rsidP="002B32A0">
      <w:pPr>
        <w:pStyle w:val="Heading3"/>
      </w:pPr>
      <w:r w:rsidRPr="00CE1D7F">
        <w:t>ARC-funded research</w:t>
      </w:r>
    </w:p>
    <w:p w14:paraId="1DE2AD98" w14:textId="77777777" w:rsidR="002B32A0" w:rsidRPr="00CE1D7F" w:rsidRDefault="002B32A0" w:rsidP="002B32A0">
      <w:pPr>
        <w:pStyle w:val="BodyText"/>
      </w:pPr>
      <w:bookmarkStart w:id="551" w:name="_Hlk126745693"/>
      <w:r w:rsidRPr="00CE1D7F">
        <w:t>Professor Nicholas Martin Nakata was the first Torres Strait Islander to receive a PhD in Australia. He graduated in 1998. His research has focused on a range of topics under the broad theme of Indigenous education for more than 20 years. He has been funded by a number of ARC research grants, overviewed below.</w:t>
      </w:r>
    </w:p>
    <w:p w14:paraId="1C2A5D5D" w14:textId="77777777" w:rsidR="002B32A0" w:rsidRPr="00CE1D7F" w:rsidRDefault="002B32A0" w:rsidP="002B32A0">
      <w:pPr>
        <w:pStyle w:val="BodyText"/>
      </w:pPr>
      <w:r w:rsidRPr="00CE1D7F">
        <w:t>Prior to beginning his research career, Prof Nakata worked with the Commonwealth Department of Education to support Indigenous students studying at boarding schools. He found students were very excited when they began their initial journey to boarding school at the beginning of each year and was interested to learn how their initial enthusiasm for school diminished by Easter. His early research education initially aimed to understand how to better represent Indigenous student issues using policy-based approaches</w:t>
      </w:r>
      <w:r>
        <w:t xml:space="preserve">. Following this, he </w:t>
      </w:r>
      <w:r w:rsidRPr="00CE1D7F">
        <w:t>investigat</w:t>
      </w:r>
      <w:r>
        <w:t>ed</w:t>
      </w:r>
      <w:r w:rsidRPr="00CE1D7F">
        <w:t xml:space="preserve"> the preparation of Indigenous students for classroom learning, explor</w:t>
      </w:r>
      <w:r>
        <w:t>ed</w:t>
      </w:r>
      <w:r w:rsidRPr="00CE1D7F">
        <w:t xml:space="preserve"> ways to better support Indigenous students in their learning, and </w:t>
      </w:r>
      <w:r>
        <w:t>worked to</w:t>
      </w:r>
      <w:r w:rsidRPr="00CE1D7F">
        <w:t xml:space="preserve"> build a pathway to impact for this work.</w:t>
      </w:r>
    </w:p>
    <w:p w14:paraId="204C74A8" w14:textId="27EA7EF7" w:rsidR="002B32A0" w:rsidRPr="00CE1D7F" w:rsidRDefault="002B32A0" w:rsidP="002B32A0">
      <w:pPr>
        <w:pStyle w:val="BodyText"/>
      </w:pPr>
      <w:r w:rsidRPr="00CE1D7F">
        <w:t xml:space="preserve">As overviewed in </w:t>
      </w:r>
      <w:r w:rsidRPr="00F87D0E">
        <w:fldChar w:fldCharType="begin"/>
      </w:r>
      <w:r w:rsidRPr="00F87D0E">
        <w:instrText xml:space="preserve"> REF _Ref129344791 \h  \* MERGEFORMAT </w:instrText>
      </w:r>
      <w:r w:rsidRPr="00F87D0E">
        <w:fldChar w:fldCharType="separate"/>
      </w:r>
      <w:r w:rsidR="000B0AC7" w:rsidRPr="000B0AC7">
        <w:t>Figure 12.2</w:t>
      </w:r>
      <w:r w:rsidRPr="00F87D0E">
        <w:fldChar w:fldCharType="end"/>
      </w:r>
      <w:r w:rsidRPr="00CE1D7F">
        <w:t xml:space="preserve">, one of Prof Nakata’s first ARC grants was funded by the inaugural ARC Indigenous Researcher’s Development Scheme (IRDS) – </w:t>
      </w:r>
      <w:r w:rsidRPr="00CE1D7F">
        <w:rPr>
          <w:i/>
          <w:iCs/>
        </w:rPr>
        <w:t>Curriculum and Learning Pathways for Indigenous learners: Urban Adelaide</w:t>
      </w:r>
      <w:r w:rsidRPr="00CE1D7F">
        <w:t xml:space="preserve">. This project was designed to build on from his doctoral research work into studies of curriculum pathways for Indigenous learners (1998-99). </w:t>
      </w:r>
    </w:p>
    <w:p w14:paraId="30240987" w14:textId="77777777" w:rsidR="002B32A0" w:rsidRPr="00CE1D7F" w:rsidRDefault="002B32A0" w:rsidP="002B32A0">
      <w:pPr>
        <w:pStyle w:val="BodyText"/>
      </w:pPr>
      <w:r w:rsidRPr="00CE1D7F">
        <w:t>Following several failed attempts at winning further grants in the education areas, he joined other projects to build his research track record:</w:t>
      </w:r>
    </w:p>
    <w:p w14:paraId="718E583B" w14:textId="77777777" w:rsidR="002B32A0" w:rsidRPr="00CE1D7F" w:rsidRDefault="002B32A0" w:rsidP="002B32A0">
      <w:pPr>
        <w:pStyle w:val="BodyText"/>
      </w:pPr>
      <w:bookmarkStart w:id="552" w:name="_Hlk127877841"/>
      <w:r w:rsidRPr="00CE1D7F">
        <w:rPr>
          <w:i/>
          <w:iCs/>
        </w:rPr>
        <w:t xml:space="preserve">Discovery Projects – Understanding and working with anger in male Indigenous people in prison settings </w:t>
      </w:r>
      <w:r w:rsidRPr="00CE1D7F">
        <w:t>(2004-06)</w:t>
      </w:r>
      <w:bookmarkEnd w:id="552"/>
      <w:r w:rsidRPr="00CE1D7F">
        <w:t xml:space="preserve">. This project explored the nature and consequences of anger in Australian male Indigenous imprisoned offenders to develop an intervention to improve wellbeing, adjustment of Indigenous men in prison and rehabilitation outcomes. </w:t>
      </w:r>
    </w:p>
    <w:p w14:paraId="7CDBC79D" w14:textId="77777777" w:rsidR="002B32A0" w:rsidRPr="00CE1D7F" w:rsidRDefault="002B32A0" w:rsidP="002B32A0">
      <w:pPr>
        <w:pStyle w:val="BodyText"/>
      </w:pPr>
      <w:r w:rsidRPr="00CE1D7F">
        <w:rPr>
          <w:i/>
          <w:iCs/>
        </w:rPr>
        <w:t xml:space="preserve">Linkage Infrastructure, Equipment and Facilities (LIEF) – Australian Social Science Data Archive (ASSDA): Provision of Advanced Research Infrastructure and Collaborative Environment </w:t>
      </w:r>
      <w:r w:rsidRPr="00CE1D7F">
        <w:t>(2009) grant was awarded to a consortia of researchers to advance the social science and humanities knowledge base for use by the general public, media, and government and non-government organisations in developing strong evidence-based policy.</w:t>
      </w:r>
    </w:p>
    <w:p w14:paraId="1685DFBA" w14:textId="77777777" w:rsidR="002B32A0" w:rsidRPr="00CE1D7F" w:rsidRDefault="002B32A0" w:rsidP="002B32A0">
      <w:pPr>
        <w:pStyle w:val="BodyText"/>
      </w:pPr>
      <w:r w:rsidRPr="00CE1D7F">
        <w:rPr>
          <w:i/>
          <w:iCs/>
        </w:rPr>
        <w:t xml:space="preserve">LIEF – Establishment of the Australian data archive: an integrated research facility for the social sciences and humanities </w:t>
      </w:r>
      <w:r w:rsidRPr="00CE1D7F">
        <w:t>(2011-12) grant established an open-access data archive to address social, economic and environmental challenges, and provide greater transparency and data access for government, media and the public.</w:t>
      </w:r>
    </w:p>
    <w:p w14:paraId="28E4A8A1" w14:textId="77777777" w:rsidR="002B32A0" w:rsidRPr="00CE1D7F" w:rsidRDefault="002B32A0" w:rsidP="002B32A0">
      <w:pPr>
        <w:pStyle w:val="BodyText"/>
      </w:pPr>
      <w:r w:rsidRPr="00CE1D7F">
        <w:t xml:space="preserve">In 2006, he again attempted to submit an ARC Indigenous Discovery grant for his educational projects and without success. </w:t>
      </w:r>
    </w:p>
    <w:p w14:paraId="6725FBF5" w14:textId="77777777" w:rsidR="002B32A0" w:rsidRPr="00CE1D7F" w:rsidRDefault="002B32A0" w:rsidP="002B32A0">
      <w:pPr>
        <w:pStyle w:val="BodyText"/>
      </w:pPr>
      <w:r w:rsidRPr="00CE1D7F">
        <w:t xml:space="preserve">In 2011 he was granted funding to pursue his research interest in education and persistence. The </w:t>
      </w:r>
      <w:bookmarkStart w:id="553" w:name="_Hlk126746494"/>
      <w:bookmarkEnd w:id="551"/>
      <w:r w:rsidRPr="00CE1D7F">
        <w:rPr>
          <w:i/>
          <w:iCs/>
        </w:rPr>
        <w:t>Discovery Indigenous</w:t>
      </w:r>
      <w:r w:rsidRPr="00CE1D7F">
        <w:t xml:space="preserve"> – </w:t>
      </w:r>
      <w:r w:rsidRPr="00CE1D7F">
        <w:rPr>
          <w:i/>
          <w:iCs/>
        </w:rPr>
        <w:t>Indigenous persistence in formal learning</w:t>
      </w:r>
      <w:r w:rsidRPr="00CE1D7F">
        <w:t xml:space="preserve"> (2012-17) aimed to understand the learning experiences of Indigenous students as they transition to university, how they persist in academic learning (and what enables or impedes this), how this impacts academic performance and whether persistence varies between Indigenous and non-Indigenous students. The research ultimately aimed to identify ways to better support Indigenous students throughout their studies and ensure they experience higher quality learning experiences and outcomes. </w:t>
      </w:r>
    </w:p>
    <w:p w14:paraId="373FCD2E" w14:textId="77777777" w:rsidR="002B32A0" w:rsidRPr="00CE1D7F" w:rsidRDefault="002B32A0" w:rsidP="002B32A0">
      <w:pPr>
        <w:pStyle w:val="BodyText"/>
      </w:pPr>
      <w:r w:rsidRPr="00CE1D7F">
        <w:t>He, by this time, had a substantial network of colleagues across the disciplines and was actively supporting their projects.</w:t>
      </w:r>
    </w:p>
    <w:p w14:paraId="25AF3C1F" w14:textId="77777777" w:rsidR="002B32A0" w:rsidRPr="00CE1D7F" w:rsidRDefault="002B32A0" w:rsidP="002B32A0">
      <w:pPr>
        <w:pStyle w:val="BodyText"/>
      </w:pPr>
      <w:bookmarkStart w:id="554" w:name="_Hlk126746591"/>
      <w:bookmarkEnd w:id="553"/>
      <w:r w:rsidRPr="00CE1D7F">
        <w:rPr>
          <w:i/>
          <w:iCs/>
        </w:rPr>
        <w:t xml:space="preserve">LIEF – DomeLab: an ultra-high resolution experimental fulldome </w:t>
      </w:r>
      <w:r w:rsidRPr="00CE1D7F">
        <w:t>(2015-16) developed the first ultra-high resolution experimental fulldome in Australia, an immersive video projection environment. It aimed to benefit researchers nationally, as a ‘touring’ system.</w:t>
      </w:r>
    </w:p>
    <w:p w14:paraId="4EA24601" w14:textId="77777777" w:rsidR="002B32A0" w:rsidRPr="00CE1D7F" w:rsidRDefault="002B32A0" w:rsidP="002B32A0">
      <w:pPr>
        <w:pStyle w:val="BodyText"/>
      </w:pPr>
      <w:r w:rsidRPr="00CE1D7F">
        <w:rPr>
          <w:i/>
          <w:iCs/>
        </w:rPr>
        <w:t>ARC</w:t>
      </w:r>
      <w:r w:rsidRPr="00CE1D7F">
        <w:t xml:space="preserve"> </w:t>
      </w:r>
      <w:r w:rsidRPr="00CE1D7F">
        <w:rPr>
          <w:i/>
          <w:iCs/>
        </w:rPr>
        <w:t>Centre of Excellence (CoE) for Australian Biodiversity and Heritage</w:t>
      </w:r>
      <w:r w:rsidRPr="00CE1D7F">
        <w:t xml:space="preserve"> (2017-24) aims to improve our understanding of Australia’s Indigenous heritage and environmental past, the factors that influence change, and the impacts on society. This is investigating the processes that shaped Australia and the story of its inhabitants, future-proofing Australia’s unique biodiversity and cultural heritage, and building researcher capability. The education and engagement strategy for this CoE included a focus on supporting schools to improve the STEM education of Indigenous students, which Prof Nakata led.</w:t>
      </w:r>
    </w:p>
    <w:p w14:paraId="617E17A3" w14:textId="71649334" w:rsidR="000B0AC7" w:rsidRPr="00CE1D7F" w:rsidRDefault="000B0AC7" w:rsidP="000B0AC7">
      <w:pPr>
        <w:pStyle w:val="Caption"/>
        <w:ind w:left="741" w:hanging="1308"/>
        <w:rPr>
          <w:rStyle w:val="CaptionLabel"/>
          <w:b w:val="0"/>
          <w:bCs/>
        </w:rPr>
      </w:pPr>
      <w:bookmarkStart w:id="555" w:name="_Ref129344791"/>
      <w:bookmarkEnd w:id="554"/>
      <w:r w:rsidRPr="00CE1D7F">
        <w:rPr>
          <w:rStyle w:val="CaptionLabel"/>
        </w:rPr>
        <w:t>Figure </w:t>
      </w:r>
      <w:r w:rsidRPr="00CE1D7F">
        <w:rPr>
          <w:rStyle w:val="CaptionLabel"/>
        </w:rPr>
        <w:fldChar w:fldCharType="begin"/>
      </w:r>
      <w:r w:rsidRPr="00CE1D7F">
        <w:rPr>
          <w:rStyle w:val="CaptionLabel"/>
        </w:rPr>
        <w:instrText xml:space="preserve"> STYLEREF 1 \S \* MERGEFORMAT </w:instrText>
      </w:r>
      <w:r w:rsidRPr="00CE1D7F">
        <w:rPr>
          <w:rStyle w:val="CaptionLabel"/>
        </w:rPr>
        <w:fldChar w:fldCharType="separate"/>
      </w:r>
      <w:r>
        <w:rPr>
          <w:rStyle w:val="CaptionLabel"/>
          <w:noProof/>
        </w:rPr>
        <w:t>12</w:t>
      </w:r>
      <w:r w:rsidRPr="00CE1D7F">
        <w:rPr>
          <w:rStyle w:val="CaptionLabel"/>
        </w:rPr>
        <w:fldChar w:fldCharType="end"/>
      </w:r>
      <w:r w:rsidRPr="00CE1D7F">
        <w:rPr>
          <w:rStyle w:val="CaptionLabel"/>
        </w:rPr>
        <w:t>.</w:t>
      </w:r>
      <w:r w:rsidRPr="00CE1D7F">
        <w:rPr>
          <w:rStyle w:val="CaptionLabel"/>
        </w:rPr>
        <w:fldChar w:fldCharType="begin"/>
      </w:r>
      <w:r w:rsidRPr="00CE1D7F">
        <w:rPr>
          <w:rStyle w:val="CaptionLabel"/>
        </w:rPr>
        <w:instrText xml:space="preserve"> SEQ Figure \* ARABIC \S 1 \* MERGEFORMAT </w:instrText>
      </w:r>
      <w:r w:rsidRPr="00CE1D7F">
        <w:rPr>
          <w:rStyle w:val="CaptionLabel"/>
        </w:rPr>
        <w:fldChar w:fldCharType="separate"/>
      </w:r>
      <w:r>
        <w:rPr>
          <w:rStyle w:val="CaptionLabel"/>
          <w:noProof/>
        </w:rPr>
        <w:t>2</w:t>
      </w:r>
      <w:r w:rsidRPr="00CE1D7F">
        <w:rPr>
          <w:rStyle w:val="CaptionLabel"/>
        </w:rPr>
        <w:fldChar w:fldCharType="end"/>
      </w:r>
      <w:bookmarkEnd w:id="555"/>
      <w:r w:rsidRPr="00CE1D7F">
        <w:rPr>
          <w:rStyle w:val="CaptionLabel"/>
          <w:b w:val="0"/>
          <w:bCs/>
        </w:rPr>
        <w:tab/>
        <w:t xml:space="preserve">Overview of the suite of research </w:t>
      </w:r>
    </w:p>
    <w:tbl>
      <w:tblPr>
        <w:tblStyle w:val="aacTableFigure-Wide"/>
        <w:tblW w:w="5447" w:type="pct"/>
        <w:tblInd w:w="-709" w:type="dxa"/>
        <w:tblBorders>
          <w:top w:val="single" w:sz="4" w:space="0" w:color="000000"/>
          <w:bottom w:val="single" w:sz="4" w:space="0" w:color="000000"/>
        </w:tblBorders>
        <w:tblLook w:val="04A0" w:firstRow="1" w:lastRow="0" w:firstColumn="1" w:lastColumn="0" w:noHBand="0" w:noVBand="1"/>
      </w:tblPr>
      <w:tblGrid>
        <w:gridCol w:w="8645"/>
      </w:tblGrid>
      <w:tr w:rsidR="002B32A0" w:rsidRPr="00CE1D7F" w14:paraId="3C91DFD5" w14:textId="77777777" w:rsidTr="00163772">
        <w:tc>
          <w:tcPr>
            <w:tcW w:w="5000" w:type="pct"/>
            <w:shd w:val="clear" w:color="auto" w:fill="auto"/>
          </w:tcPr>
          <w:p w14:paraId="682DB551" w14:textId="77777777" w:rsidR="002B32A0" w:rsidRPr="00CE1D7F" w:rsidRDefault="002B32A0" w:rsidP="006258ED">
            <w:pPr>
              <w:pStyle w:val="Figure"/>
              <w:jc w:val="center"/>
              <w:rPr>
                <w:rStyle w:val="CaptionLabel"/>
                <w:b w:val="0"/>
                <w:bCs/>
              </w:rPr>
            </w:pPr>
            <w:r>
              <w:rPr>
                <w:rStyle w:val="CaptionLabel"/>
                <w:b w:val="0"/>
                <w:bCs/>
                <w:noProof/>
              </w:rPr>
              <w:drawing>
                <wp:inline distT="0" distB="0" distL="0" distR="0" wp14:anchorId="3CEEEE54" wp14:editId="3539F0C5">
                  <wp:extent cx="5296993" cy="5714043"/>
                  <wp:effectExtent l="0" t="0" r="0" b="1270"/>
                  <wp:docPr id="1313901519" name="Picture 1" descr="Overview of the suite of re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901519" name="Picture 1" descr="Overview of the suite of research"/>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5304987" cy="5722666"/>
                          </a:xfrm>
                          <a:prstGeom prst="rect">
                            <a:avLst/>
                          </a:prstGeom>
                          <a:noFill/>
                        </pic:spPr>
                      </pic:pic>
                    </a:graphicData>
                  </a:graphic>
                </wp:inline>
              </w:drawing>
            </w:r>
          </w:p>
        </w:tc>
      </w:tr>
    </w:tbl>
    <w:p w14:paraId="79A57B4C" w14:textId="77777777" w:rsidR="000B0AC7" w:rsidRPr="00CE1D7F" w:rsidRDefault="000B0AC7" w:rsidP="000B0AC7">
      <w:pPr>
        <w:pStyle w:val="Source"/>
        <w:ind w:left="741" w:hanging="1308"/>
        <w:rPr>
          <w:rStyle w:val="CaptionLabel"/>
          <w:b w:val="0"/>
          <w:bCs/>
        </w:rPr>
      </w:pPr>
      <w:r w:rsidRPr="00CE1D7F">
        <w:rPr>
          <w:rStyle w:val="CaptionLabel"/>
          <w:b w:val="0"/>
          <w:bCs/>
        </w:rPr>
        <w:t>Source: ACIL Allen, various sources</w:t>
      </w:r>
    </w:p>
    <w:p w14:paraId="5C781E20" w14:textId="77777777" w:rsidR="000B0AC7" w:rsidRPr="00CE1D7F" w:rsidRDefault="000B0AC7" w:rsidP="006258ED">
      <w:pPr>
        <w:pStyle w:val="spacer"/>
        <w:rPr>
          <w:rStyle w:val="CaptionLabel"/>
          <w:b w:val="0"/>
          <w:bCs/>
        </w:rPr>
      </w:pPr>
    </w:p>
    <w:p w14:paraId="4130200B" w14:textId="77777777" w:rsidR="002B32A0" w:rsidRPr="00CE1D7F" w:rsidRDefault="002B32A0" w:rsidP="002B32A0">
      <w:pPr>
        <w:pStyle w:val="Heading2"/>
      </w:pPr>
      <w:bookmarkStart w:id="556" w:name="_Toc129963987"/>
      <w:bookmarkStart w:id="557" w:name="_Toc131174626"/>
      <w:bookmarkStart w:id="558" w:name="_Toc132970717"/>
      <w:bookmarkStart w:id="559" w:name="_Toc135323756"/>
      <w:r w:rsidRPr="00CE1D7F">
        <w:t>Inputs</w:t>
      </w:r>
      <w:bookmarkEnd w:id="556"/>
      <w:bookmarkEnd w:id="557"/>
      <w:bookmarkEnd w:id="558"/>
      <w:bookmarkEnd w:id="559"/>
    </w:p>
    <w:p w14:paraId="6E4A2215" w14:textId="40E02E0F" w:rsidR="002B32A0" w:rsidRPr="00CE1D7F" w:rsidRDefault="00B70BAE" w:rsidP="002B32A0">
      <w:pPr>
        <w:pStyle w:val="BodyText"/>
      </w:pPr>
      <w:r>
        <w:t xml:space="preserve">The Discovery Indigenous grant was the main support </w:t>
      </w:r>
      <w:r w:rsidRPr="00304F4C">
        <w:t>for the impacts described in this case study</w:t>
      </w:r>
      <w:r>
        <w:t xml:space="preserve"> </w:t>
      </w:r>
      <w:r w:rsidR="002B32A0" w:rsidRPr="00CE1D7F">
        <w:t xml:space="preserve">(see </w:t>
      </w:r>
      <w:r w:rsidR="002B32A0" w:rsidRPr="00F87D0E">
        <w:fldChar w:fldCharType="begin"/>
      </w:r>
      <w:r w:rsidR="002B32A0" w:rsidRPr="00F87D0E">
        <w:instrText xml:space="preserve"> REF _Ref129345102 \h  \* MERGEFORMAT </w:instrText>
      </w:r>
      <w:r w:rsidR="002B32A0" w:rsidRPr="00F87D0E">
        <w:fldChar w:fldCharType="separate"/>
      </w:r>
      <w:r w:rsidR="000B0AC7" w:rsidRPr="000B0AC7">
        <w:t>Table 12.1</w:t>
      </w:r>
      <w:r w:rsidR="002B32A0" w:rsidRPr="00F87D0E">
        <w:fldChar w:fldCharType="end"/>
      </w:r>
      <w:r w:rsidR="002B32A0" w:rsidRPr="00CE1D7F">
        <w:t>).</w:t>
      </w:r>
      <w:r w:rsidRPr="00B70BAE">
        <w:t xml:space="preserve"> </w:t>
      </w:r>
      <w:r>
        <w:t xml:space="preserve">However, description of the </w:t>
      </w:r>
      <w:r w:rsidRPr="00304F4C">
        <w:t xml:space="preserve">other prior and follow-on ARC funding from various schemes </w:t>
      </w:r>
      <w:r>
        <w:t xml:space="preserve">have been included, as these were important for the </w:t>
      </w:r>
      <w:r w:rsidRPr="00304F4C">
        <w:t xml:space="preserve">researcher </w:t>
      </w:r>
      <w:r>
        <w:t xml:space="preserve">in </w:t>
      </w:r>
      <w:r w:rsidRPr="00304F4C">
        <w:t xml:space="preserve">supporting </w:t>
      </w:r>
      <w:r>
        <w:t xml:space="preserve">the </w:t>
      </w:r>
      <w:r w:rsidRPr="00304F4C">
        <w:t>delivery of impact.</w:t>
      </w:r>
    </w:p>
    <w:p w14:paraId="2D0A6289" w14:textId="77777777" w:rsidR="002B32A0" w:rsidRPr="00CE1D7F" w:rsidRDefault="002B32A0" w:rsidP="002B32A0">
      <w:pPr>
        <w:pStyle w:val="BodyText"/>
      </w:pPr>
      <w:r w:rsidRPr="00CE1D7F">
        <w:t xml:space="preserve">The total value of </w:t>
      </w:r>
      <w:r w:rsidRPr="00CE1D7F">
        <w:rPr>
          <w:i/>
          <w:iCs/>
        </w:rPr>
        <w:t>ARC</w:t>
      </w:r>
      <w:r w:rsidRPr="00CE1D7F">
        <w:t xml:space="preserve"> </w:t>
      </w:r>
      <w:r w:rsidRPr="00CE1D7F">
        <w:rPr>
          <w:i/>
          <w:iCs/>
        </w:rPr>
        <w:t>Indigenous Researchers Develop Scheme (IRDS) –</w:t>
      </w:r>
      <w:r w:rsidRPr="00CE1D7F">
        <w:t xml:space="preserve"> </w:t>
      </w:r>
      <w:r w:rsidRPr="00CE1D7F">
        <w:rPr>
          <w:i/>
          <w:iCs/>
        </w:rPr>
        <w:t>Curriculum and Learning Pathways for Indigenous learners: Urban Adelaide</w:t>
      </w:r>
      <w:r w:rsidRPr="00CE1D7F">
        <w:t xml:space="preserve"> was $24,000.</w:t>
      </w:r>
    </w:p>
    <w:p w14:paraId="0272F29F" w14:textId="77777777" w:rsidR="002B32A0" w:rsidRPr="00CE1D7F" w:rsidRDefault="002B32A0" w:rsidP="002B32A0">
      <w:pPr>
        <w:pStyle w:val="BodyText"/>
      </w:pPr>
      <w:r w:rsidRPr="00CE1D7F">
        <w:t xml:space="preserve">The total value of </w:t>
      </w:r>
      <w:r w:rsidRPr="00CE1D7F">
        <w:rPr>
          <w:i/>
          <w:iCs/>
        </w:rPr>
        <w:t xml:space="preserve">Discovery Projects – </w:t>
      </w:r>
      <w:r w:rsidRPr="00CE1D7F">
        <w:rPr>
          <w:i/>
          <w:iCs/>
          <w:lang w:val="en-US"/>
        </w:rPr>
        <w:t>Understanding and working with anger in male Indigenous people in prison settings</w:t>
      </w:r>
      <w:r w:rsidRPr="00CE1D7F">
        <w:t xml:space="preserve"> was $399,214. This included $133,000 in cash from ARC and $266,214 cash from academic partners.</w:t>
      </w:r>
      <w:r w:rsidRPr="00CE1D7F">
        <w:rPr>
          <w:rStyle w:val="FootnoteReference"/>
        </w:rPr>
        <w:footnoteReference w:id="265"/>
      </w:r>
    </w:p>
    <w:p w14:paraId="0ED270DE" w14:textId="77777777" w:rsidR="002B32A0" w:rsidRPr="00CE1D7F" w:rsidRDefault="002B32A0" w:rsidP="002B32A0">
      <w:pPr>
        <w:pStyle w:val="BodyText"/>
      </w:pPr>
      <w:r w:rsidRPr="00CE1D7F">
        <w:t xml:space="preserve">The total value of </w:t>
      </w:r>
      <w:r w:rsidRPr="00CE1D7F">
        <w:rPr>
          <w:i/>
          <w:iCs/>
        </w:rPr>
        <w:t xml:space="preserve">LIEF – ASSDA </w:t>
      </w:r>
      <w:r w:rsidRPr="00CE1D7F">
        <w:t>was $1,564,000. This included $550,000 in cash from ARC, $525,500 cash from academic and $25,000 cash from non-academic partners. In-kind support included $464,000 from academic partners.</w:t>
      </w:r>
      <w:r w:rsidRPr="00CE1D7F">
        <w:rPr>
          <w:rStyle w:val="FootnoteReference"/>
        </w:rPr>
        <w:footnoteReference w:id="266"/>
      </w:r>
    </w:p>
    <w:p w14:paraId="3A40A37B" w14:textId="77777777" w:rsidR="002B32A0" w:rsidRPr="00CE1D7F" w:rsidRDefault="002B32A0" w:rsidP="002B32A0">
      <w:pPr>
        <w:pStyle w:val="BodyText"/>
      </w:pPr>
      <w:r w:rsidRPr="00CE1D7F">
        <w:t xml:space="preserve">The total value of </w:t>
      </w:r>
      <w:r w:rsidRPr="00CE1D7F">
        <w:rPr>
          <w:i/>
          <w:iCs/>
        </w:rPr>
        <w:t xml:space="preserve">LIEF – </w:t>
      </w:r>
      <w:r w:rsidRPr="00CE1D7F">
        <w:rPr>
          <w:i/>
          <w:iCs/>
          <w:lang w:val="en-US"/>
        </w:rPr>
        <w:t>Establishment of the Australian data archive</w:t>
      </w:r>
      <w:r w:rsidRPr="00CE1D7F">
        <w:rPr>
          <w:i/>
          <w:iCs/>
        </w:rPr>
        <w:t xml:space="preserve"> </w:t>
      </w:r>
      <w:r w:rsidRPr="00CE1D7F">
        <w:t>was $1,943,479. This included $600,000 in cash from ARC and $480,000 cash from academic partners. In-kind support included $863,479 from academic partners.</w:t>
      </w:r>
      <w:r w:rsidRPr="00CE1D7F">
        <w:rPr>
          <w:rStyle w:val="FootnoteReference"/>
        </w:rPr>
        <w:footnoteReference w:id="267"/>
      </w:r>
    </w:p>
    <w:p w14:paraId="5CCC8451" w14:textId="77777777" w:rsidR="002B32A0" w:rsidRPr="00CE1D7F" w:rsidRDefault="002B32A0" w:rsidP="002B32A0">
      <w:pPr>
        <w:pStyle w:val="BodyText"/>
      </w:pPr>
      <w:r w:rsidRPr="00CE1D7F">
        <w:t xml:space="preserve">The total value of </w:t>
      </w:r>
      <w:r w:rsidRPr="00CE1D7F">
        <w:rPr>
          <w:i/>
          <w:iCs/>
        </w:rPr>
        <w:t>Discovery Indigenous</w:t>
      </w:r>
      <w:r w:rsidRPr="00CE1D7F">
        <w:t xml:space="preserve"> – </w:t>
      </w:r>
      <w:r w:rsidRPr="00CE1D7F">
        <w:rPr>
          <w:i/>
          <w:iCs/>
        </w:rPr>
        <w:t>Indigenous persistence in formal learning</w:t>
      </w:r>
      <w:r w:rsidRPr="00CE1D7F">
        <w:t xml:space="preserve"> was $693,000, provided in cash by ARC. This grant was only part funded, as proposed funding for teaching relief and PhD stipends was unfunded by ARC. The grant provided a stipend for Prof Nakata and field costs.</w:t>
      </w:r>
    </w:p>
    <w:p w14:paraId="2CFD0113" w14:textId="77777777" w:rsidR="002B32A0" w:rsidRPr="00CE1D7F" w:rsidRDefault="002B32A0" w:rsidP="002B32A0">
      <w:pPr>
        <w:pStyle w:val="BodyText"/>
      </w:pPr>
      <w:r w:rsidRPr="00CE1D7F">
        <w:t xml:space="preserve">The total value of </w:t>
      </w:r>
      <w:r w:rsidRPr="00CE1D7F">
        <w:rPr>
          <w:i/>
          <w:iCs/>
        </w:rPr>
        <w:t>LIEF – DomeLab</w:t>
      </w:r>
      <w:r w:rsidRPr="00CE1D7F">
        <w:t xml:space="preserve"> was $1,687,492. This included $220,000 in cash from ARC, $299,804 cash from academic and $26,938 cash from non-academic partners. In-kind support included $854,570 from academic and $286,180 from non-academic partners.</w:t>
      </w:r>
      <w:r w:rsidRPr="00CE1D7F">
        <w:rPr>
          <w:rStyle w:val="FootnoteReference"/>
        </w:rPr>
        <w:footnoteReference w:id="268"/>
      </w:r>
    </w:p>
    <w:p w14:paraId="011F1417" w14:textId="77777777" w:rsidR="002B32A0" w:rsidRPr="00CE1D7F" w:rsidRDefault="002B32A0" w:rsidP="002B32A0">
      <w:pPr>
        <w:pStyle w:val="BodyText"/>
      </w:pPr>
      <w:r w:rsidRPr="00CE1D7F">
        <w:t xml:space="preserve">The total value of </w:t>
      </w:r>
      <w:r w:rsidRPr="00CE1D7F">
        <w:rPr>
          <w:i/>
          <w:iCs/>
        </w:rPr>
        <w:t>ARC</w:t>
      </w:r>
      <w:r w:rsidRPr="00CE1D7F">
        <w:t xml:space="preserve"> </w:t>
      </w:r>
      <w:r w:rsidRPr="00CE1D7F">
        <w:rPr>
          <w:i/>
          <w:iCs/>
        </w:rPr>
        <w:t xml:space="preserve">Centre of Excellence for Australian Biodiversity and Heritage </w:t>
      </w:r>
      <w:r w:rsidRPr="00CE1D7F">
        <w:t>was $62,124,922. This included $33,750,000 in cash from ARC, $10,742,500 cash from academic and $340,000 cash from non-academic partners. In-kind support included $12,787,873 from academic and $4,504,549 from non-academic partners.</w:t>
      </w:r>
      <w:r w:rsidRPr="00CE1D7F">
        <w:rPr>
          <w:rStyle w:val="FootnoteReference"/>
        </w:rPr>
        <w:footnoteReference w:id="269"/>
      </w:r>
    </w:p>
    <w:p w14:paraId="20527632" w14:textId="4525C183" w:rsidR="002B32A0" w:rsidRPr="00CE1D7F" w:rsidRDefault="002B32A0" w:rsidP="000B0AC7">
      <w:pPr>
        <w:pStyle w:val="Caption"/>
        <w:ind w:left="-160" w:hanging="1308"/>
        <w:rPr>
          <w:rStyle w:val="CaptionLabel"/>
          <w:b w:val="0"/>
          <w:bCs/>
        </w:rPr>
      </w:pPr>
      <w:bookmarkStart w:id="560" w:name="_Ref129345102"/>
      <w:r w:rsidRPr="00CE1D7F">
        <w:rPr>
          <w:rStyle w:val="CaptionLabel"/>
        </w:rPr>
        <w:t>Table </w:t>
      </w:r>
      <w:r w:rsidRPr="00CE1D7F">
        <w:rPr>
          <w:rStyle w:val="CaptionLabel"/>
        </w:rPr>
        <w:fldChar w:fldCharType="begin"/>
      </w:r>
      <w:r w:rsidRPr="00CE1D7F">
        <w:rPr>
          <w:rStyle w:val="CaptionLabel"/>
        </w:rPr>
        <w:instrText xml:space="preserve"> STYLEREF 1 \S \* MERGEFORMAT </w:instrText>
      </w:r>
      <w:r w:rsidRPr="00CE1D7F">
        <w:rPr>
          <w:rStyle w:val="CaptionLabel"/>
        </w:rPr>
        <w:fldChar w:fldCharType="separate"/>
      </w:r>
      <w:r w:rsidR="000B0AC7">
        <w:rPr>
          <w:rStyle w:val="CaptionLabel"/>
          <w:noProof/>
        </w:rPr>
        <w:t>12</w:t>
      </w:r>
      <w:r w:rsidRPr="00CE1D7F">
        <w:rPr>
          <w:rStyle w:val="CaptionLabel"/>
        </w:rPr>
        <w:fldChar w:fldCharType="end"/>
      </w:r>
      <w:r w:rsidRPr="00CE1D7F">
        <w:rPr>
          <w:rStyle w:val="CaptionLabel"/>
        </w:rPr>
        <w:t>.</w:t>
      </w:r>
      <w:r w:rsidRPr="00CE1D7F">
        <w:rPr>
          <w:rStyle w:val="CaptionLabel"/>
        </w:rPr>
        <w:fldChar w:fldCharType="begin"/>
      </w:r>
      <w:r w:rsidRPr="00CE1D7F">
        <w:rPr>
          <w:rStyle w:val="CaptionLabel"/>
        </w:rPr>
        <w:instrText xml:space="preserve"> SEQ Table \* ARABIC \S 1 \* MERGEFORMAT </w:instrText>
      </w:r>
      <w:r w:rsidRPr="00CE1D7F">
        <w:rPr>
          <w:rStyle w:val="CaptionLabel"/>
        </w:rPr>
        <w:fldChar w:fldCharType="separate"/>
      </w:r>
      <w:r w:rsidR="000B0AC7">
        <w:rPr>
          <w:rStyle w:val="CaptionLabel"/>
          <w:noProof/>
        </w:rPr>
        <w:t>1</w:t>
      </w:r>
      <w:r w:rsidRPr="00CE1D7F">
        <w:rPr>
          <w:rStyle w:val="CaptionLabel"/>
        </w:rPr>
        <w:fldChar w:fldCharType="end"/>
      </w:r>
      <w:bookmarkEnd w:id="560"/>
      <w:r w:rsidRPr="00CE1D7F">
        <w:rPr>
          <w:rStyle w:val="CaptionLabel"/>
          <w:b w:val="0"/>
          <w:bCs/>
        </w:rPr>
        <w:tab/>
        <w:t>Cash and in-kind contributions for the project</w:t>
      </w:r>
    </w:p>
    <w:tbl>
      <w:tblPr>
        <w:tblStyle w:val="aacTableBasic"/>
        <w:tblW w:w="5936" w:type="pct"/>
        <w:tblInd w:w="-1468" w:type="dxa"/>
        <w:tblLayout w:type="fixed"/>
        <w:tblLook w:val="04A0" w:firstRow="1" w:lastRow="0" w:firstColumn="1" w:lastColumn="0" w:noHBand="0" w:noVBand="1"/>
        <w:tblCaption w:val="Table 12.1"/>
        <w:tblDescription w:val="Cash and in-kind contributions for the project"/>
      </w:tblPr>
      <w:tblGrid>
        <w:gridCol w:w="2551"/>
        <w:gridCol w:w="1112"/>
        <w:gridCol w:w="1108"/>
        <w:gridCol w:w="1108"/>
        <w:gridCol w:w="1108"/>
        <w:gridCol w:w="1108"/>
        <w:gridCol w:w="1327"/>
      </w:tblGrid>
      <w:tr w:rsidR="000B0AC7" w:rsidRPr="00CE1D7F" w14:paraId="6559CB6A" w14:textId="77777777" w:rsidTr="000B0AC7">
        <w:trPr>
          <w:cnfStyle w:val="100000000000" w:firstRow="1" w:lastRow="0" w:firstColumn="0" w:lastColumn="0" w:oddVBand="0" w:evenVBand="0" w:oddHBand="0" w:evenHBand="0" w:firstRowFirstColumn="0" w:firstRowLastColumn="0" w:lastRowFirstColumn="0" w:lastRowLastColumn="0"/>
        </w:trPr>
        <w:tc>
          <w:tcPr>
            <w:tcW w:w="1354" w:type="pct"/>
            <w:tcBorders>
              <w:top w:val="nil"/>
            </w:tcBorders>
            <w:shd w:val="solid" w:color="140034" w:fill="140034"/>
            <w:tcMar>
              <w:left w:w="80" w:type="dxa"/>
            </w:tcMar>
          </w:tcPr>
          <w:p w14:paraId="168D2CB7" w14:textId="77777777" w:rsidR="002B32A0" w:rsidRPr="00CE1D7F" w:rsidRDefault="002B32A0" w:rsidP="006258ED">
            <w:pPr>
              <w:pStyle w:val="Tablecolumnheadings"/>
              <w:keepLines/>
              <w:rPr>
                <w:rStyle w:val="CaptionLabel"/>
                <w:b/>
                <w:bCs/>
              </w:rPr>
            </w:pPr>
            <w:r w:rsidRPr="00CE1D7F">
              <w:t>Contributor / Type of support</w:t>
            </w:r>
          </w:p>
        </w:tc>
        <w:tc>
          <w:tcPr>
            <w:tcW w:w="590" w:type="pct"/>
            <w:tcBorders>
              <w:top w:val="nil"/>
            </w:tcBorders>
            <w:shd w:val="solid" w:color="140034" w:fill="140034"/>
          </w:tcPr>
          <w:p w14:paraId="40F93193" w14:textId="77777777" w:rsidR="002B32A0" w:rsidRPr="00CE1D7F" w:rsidRDefault="002B32A0" w:rsidP="006258ED">
            <w:pPr>
              <w:pStyle w:val="Tablecolumnheadings"/>
              <w:keepLines/>
              <w:rPr>
                <w:rStyle w:val="CaptionLabel"/>
                <w:b/>
                <w:bCs/>
              </w:rPr>
            </w:pPr>
            <w:r w:rsidRPr="00CE1D7F">
              <w:t>2004-06</w:t>
            </w:r>
          </w:p>
        </w:tc>
        <w:tc>
          <w:tcPr>
            <w:tcW w:w="588" w:type="pct"/>
            <w:tcBorders>
              <w:top w:val="nil"/>
            </w:tcBorders>
            <w:shd w:val="solid" w:color="140034" w:fill="140034"/>
          </w:tcPr>
          <w:p w14:paraId="32EFA25E" w14:textId="77777777" w:rsidR="002B32A0" w:rsidRPr="00CE1D7F" w:rsidRDefault="002B32A0" w:rsidP="006258ED">
            <w:pPr>
              <w:pStyle w:val="Tablecolumnheadings"/>
              <w:keepLines/>
              <w:rPr>
                <w:rStyle w:val="CaptionLabel"/>
                <w:b/>
                <w:bCs/>
              </w:rPr>
            </w:pPr>
            <w:r w:rsidRPr="00CE1D7F">
              <w:t>2009-11</w:t>
            </w:r>
          </w:p>
        </w:tc>
        <w:tc>
          <w:tcPr>
            <w:tcW w:w="588" w:type="pct"/>
            <w:tcBorders>
              <w:top w:val="nil"/>
            </w:tcBorders>
            <w:shd w:val="solid" w:color="140034" w:fill="140034"/>
          </w:tcPr>
          <w:p w14:paraId="2E34B6BB" w14:textId="77777777" w:rsidR="002B32A0" w:rsidRPr="00CE1D7F" w:rsidRDefault="002B32A0" w:rsidP="006258ED">
            <w:pPr>
              <w:pStyle w:val="Tablecolumnheadings"/>
              <w:keepLines/>
              <w:rPr>
                <w:rStyle w:val="CaptionLabel"/>
                <w:b/>
                <w:bCs/>
              </w:rPr>
            </w:pPr>
            <w:r w:rsidRPr="00CE1D7F">
              <w:t>2012-14</w:t>
            </w:r>
          </w:p>
        </w:tc>
        <w:tc>
          <w:tcPr>
            <w:tcW w:w="588" w:type="pct"/>
            <w:tcBorders>
              <w:top w:val="nil"/>
            </w:tcBorders>
            <w:shd w:val="solid" w:color="140034" w:fill="140034"/>
          </w:tcPr>
          <w:p w14:paraId="375301D2" w14:textId="77777777" w:rsidR="002B32A0" w:rsidRPr="00CE1D7F" w:rsidRDefault="002B32A0" w:rsidP="006258ED">
            <w:pPr>
              <w:pStyle w:val="Tablecolumnheadings"/>
              <w:keepLines/>
              <w:rPr>
                <w:rStyle w:val="CaptionLabel"/>
                <w:b/>
                <w:bCs/>
              </w:rPr>
            </w:pPr>
            <w:r w:rsidRPr="00CE1D7F">
              <w:t>2015-16</w:t>
            </w:r>
          </w:p>
        </w:tc>
        <w:tc>
          <w:tcPr>
            <w:tcW w:w="588" w:type="pct"/>
            <w:tcBorders>
              <w:top w:val="nil"/>
            </w:tcBorders>
            <w:shd w:val="solid" w:color="140034" w:fill="140034"/>
          </w:tcPr>
          <w:p w14:paraId="06799F9F" w14:textId="77777777" w:rsidR="002B32A0" w:rsidRPr="00CE1D7F" w:rsidRDefault="002B32A0" w:rsidP="006258ED">
            <w:pPr>
              <w:pStyle w:val="Tablecolumnheadings"/>
              <w:keepLines/>
              <w:rPr>
                <w:rStyle w:val="CaptionLabel"/>
                <w:b/>
                <w:bCs/>
              </w:rPr>
            </w:pPr>
            <w:r w:rsidRPr="00CE1D7F">
              <w:t>2017-24</w:t>
            </w:r>
          </w:p>
        </w:tc>
        <w:tc>
          <w:tcPr>
            <w:tcW w:w="704" w:type="pct"/>
            <w:tcBorders>
              <w:top w:val="nil"/>
            </w:tcBorders>
            <w:shd w:val="solid" w:color="140034" w:fill="140034"/>
          </w:tcPr>
          <w:p w14:paraId="02ED516F" w14:textId="77777777" w:rsidR="002B32A0" w:rsidRPr="00CE1D7F" w:rsidRDefault="002B32A0" w:rsidP="006258ED">
            <w:pPr>
              <w:pStyle w:val="Tablecolumnheadings"/>
              <w:keepLines/>
              <w:rPr>
                <w:rStyle w:val="CaptionLabel"/>
                <w:b/>
                <w:bCs/>
              </w:rPr>
            </w:pPr>
            <w:r w:rsidRPr="00CE1D7F">
              <w:t>Total Contributions</w:t>
            </w:r>
          </w:p>
        </w:tc>
      </w:tr>
      <w:tr w:rsidR="002B32A0" w:rsidRPr="00CE1D7F" w14:paraId="0FB48143" w14:textId="77777777" w:rsidTr="000B0AC7">
        <w:tc>
          <w:tcPr>
            <w:tcW w:w="5000" w:type="pct"/>
            <w:gridSpan w:val="7"/>
            <w:tcMar>
              <w:left w:w="80" w:type="dxa"/>
            </w:tcMar>
          </w:tcPr>
          <w:p w14:paraId="40DD9546" w14:textId="77777777" w:rsidR="002B32A0" w:rsidRPr="00CE1D7F" w:rsidRDefault="002B32A0" w:rsidP="006258ED">
            <w:pPr>
              <w:pStyle w:val="Tabletext"/>
              <w:keepNext/>
              <w:keepLines/>
              <w:rPr>
                <w:rStyle w:val="CaptionLabel"/>
              </w:rPr>
            </w:pPr>
            <w:r w:rsidRPr="00CE1D7F">
              <w:rPr>
                <w:rStyle w:val="CaptionLabel"/>
              </w:rPr>
              <w:t>Cash</w:t>
            </w:r>
          </w:p>
        </w:tc>
      </w:tr>
      <w:tr w:rsidR="002B32A0" w:rsidRPr="00CE1D7F" w14:paraId="2CCE8EEE" w14:textId="77777777" w:rsidTr="000B0AC7">
        <w:tc>
          <w:tcPr>
            <w:tcW w:w="5000" w:type="pct"/>
            <w:gridSpan w:val="7"/>
            <w:tcMar>
              <w:left w:w="80" w:type="dxa"/>
            </w:tcMar>
          </w:tcPr>
          <w:p w14:paraId="1ACFB139" w14:textId="77777777" w:rsidR="002B32A0" w:rsidRPr="00CE1D7F" w:rsidRDefault="002B32A0" w:rsidP="006258ED">
            <w:pPr>
              <w:pStyle w:val="Tabletext"/>
              <w:keepNext/>
              <w:keepLines/>
              <w:rPr>
                <w:rStyle w:val="CaptionLabel"/>
                <w:b w:val="0"/>
              </w:rPr>
            </w:pPr>
            <w:r w:rsidRPr="00CE1D7F">
              <w:rPr>
                <w:b/>
                <w:lang w:eastAsia="en-AU"/>
              </w:rPr>
              <w:t>IN120100021 - Indigenous persistence in formal learning</w:t>
            </w:r>
          </w:p>
        </w:tc>
      </w:tr>
      <w:tr w:rsidR="002B32A0" w:rsidRPr="00CE1D7F" w14:paraId="37DBD6E0" w14:textId="77777777" w:rsidTr="000B0AC7">
        <w:tc>
          <w:tcPr>
            <w:tcW w:w="1354" w:type="pct"/>
            <w:tcMar>
              <w:left w:w="80" w:type="dxa"/>
            </w:tcMar>
          </w:tcPr>
          <w:p w14:paraId="0B4E1549" w14:textId="77777777" w:rsidR="002B32A0" w:rsidRPr="00CE1D7F" w:rsidRDefault="002B32A0" w:rsidP="006258ED">
            <w:pPr>
              <w:pStyle w:val="Tabletext"/>
              <w:keepNext/>
              <w:keepLines/>
              <w:rPr>
                <w:rStyle w:val="CaptionLabel"/>
                <w:b w:val="0"/>
                <w:bCs/>
              </w:rPr>
            </w:pPr>
            <w:r w:rsidRPr="00CE1D7F">
              <w:rPr>
                <w:rFonts w:eastAsia="Times New Roman" w:cs="Calibri"/>
                <w:szCs w:val="20"/>
                <w:lang w:eastAsia="en-AU"/>
              </w:rPr>
              <w:t>ARC</w:t>
            </w:r>
          </w:p>
        </w:tc>
        <w:tc>
          <w:tcPr>
            <w:tcW w:w="590" w:type="pct"/>
          </w:tcPr>
          <w:p w14:paraId="4D93364F" w14:textId="77777777" w:rsidR="002B32A0" w:rsidRPr="00CE1D7F" w:rsidRDefault="002B32A0" w:rsidP="006258ED">
            <w:pPr>
              <w:pStyle w:val="Tabletext"/>
              <w:keepNext/>
              <w:keepLines/>
              <w:rPr>
                <w:rStyle w:val="CaptionLabel"/>
                <w:b w:val="0"/>
                <w:bCs/>
              </w:rPr>
            </w:pPr>
          </w:p>
        </w:tc>
        <w:tc>
          <w:tcPr>
            <w:tcW w:w="588" w:type="pct"/>
          </w:tcPr>
          <w:p w14:paraId="239755A9" w14:textId="77777777" w:rsidR="002B32A0" w:rsidRPr="00CE1D7F" w:rsidRDefault="002B32A0" w:rsidP="006258ED">
            <w:pPr>
              <w:pStyle w:val="Tabletext"/>
              <w:keepNext/>
              <w:keepLines/>
              <w:rPr>
                <w:rStyle w:val="CaptionLabel"/>
                <w:b w:val="0"/>
                <w:bCs/>
              </w:rPr>
            </w:pPr>
          </w:p>
        </w:tc>
        <w:tc>
          <w:tcPr>
            <w:tcW w:w="588" w:type="pct"/>
          </w:tcPr>
          <w:p w14:paraId="7FBDE984" w14:textId="77777777" w:rsidR="002B32A0" w:rsidRPr="00CE1D7F" w:rsidRDefault="002B32A0" w:rsidP="006258ED">
            <w:pPr>
              <w:pStyle w:val="Tabletext"/>
              <w:keepNext/>
              <w:keepLines/>
              <w:rPr>
                <w:rStyle w:val="CaptionLabel"/>
                <w:b w:val="0"/>
                <w:bCs/>
              </w:rPr>
            </w:pPr>
            <w:r w:rsidRPr="00CE1D7F">
              <w:rPr>
                <w:lang w:eastAsia="en-AU"/>
              </w:rPr>
              <w:t>$693,000</w:t>
            </w:r>
          </w:p>
        </w:tc>
        <w:tc>
          <w:tcPr>
            <w:tcW w:w="588" w:type="pct"/>
          </w:tcPr>
          <w:p w14:paraId="33B464D7" w14:textId="77777777" w:rsidR="002B32A0" w:rsidRPr="00CE1D7F" w:rsidRDefault="002B32A0" w:rsidP="006258ED">
            <w:pPr>
              <w:pStyle w:val="Tabletext"/>
              <w:keepNext/>
              <w:keepLines/>
              <w:rPr>
                <w:rStyle w:val="CaptionLabel"/>
                <w:b w:val="0"/>
                <w:bCs/>
              </w:rPr>
            </w:pPr>
          </w:p>
        </w:tc>
        <w:tc>
          <w:tcPr>
            <w:tcW w:w="588" w:type="pct"/>
          </w:tcPr>
          <w:p w14:paraId="2A8D578F" w14:textId="77777777" w:rsidR="002B32A0" w:rsidRPr="00CE1D7F" w:rsidRDefault="002B32A0" w:rsidP="006258ED">
            <w:pPr>
              <w:pStyle w:val="Tabletext"/>
              <w:keepNext/>
              <w:keepLines/>
              <w:rPr>
                <w:rStyle w:val="CaptionLabel"/>
                <w:b w:val="0"/>
                <w:bCs/>
              </w:rPr>
            </w:pPr>
          </w:p>
        </w:tc>
        <w:tc>
          <w:tcPr>
            <w:tcW w:w="704" w:type="pct"/>
          </w:tcPr>
          <w:p w14:paraId="0B64DF6C" w14:textId="77777777" w:rsidR="002B32A0" w:rsidRPr="00CE1D7F" w:rsidRDefault="002B32A0" w:rsidP="006258ED">
            <w:pPr>
              <w:pStyle w:val="Tabletext"/>
              <w:keepNext/>
              <w:keepLines/>
              <w:rPr>
                <w:rStyle w:val="CaptionLabel"/>
                <w:b w:val="0"/>
                <w:bCs/>
              </w:rPr>
            </w:pPr>
            <w:r w:rsidRPr="00CE1D7F">
              <w:rPr>
                <w:lang w:eastAsia="en-AU"/>
              </w:rPr>
              <w:t>$693,000</w:t>
            </w:r>
          </w:p>
        </w:tc>
      </w:tr>
      <w:tr w:rsidR="002B32A0" w:rsidRPr="00CE1D7F" w14:paraId="27941011" w14:textId="77777777" w:rsidTr="000B0AC7">
        <w:tc>
          <w:tcPr>
            <w:tcW w:w="1354" w:type="pct"/>
            <w:tcMar>
              <w:left w:w="80" w:type="dxa"/>
            </w:tcMar>
          </w:tcPr>
          <w:p w14:paraId="07CF2266" w14:textId="77777777" w:rsidR="002B32A0" w:rsidRPr="00CE1D7F" w:rsidRDefault="002B32A0" w:rsidP="006258ED">
            <w:pPr>
              <w:pStyle w:val="Tabletext"/>
              <w:keepNext/>
              <w:keepLines/>
              <w:rPr>
                <w:rStyle w:val="CaptionLabel"/>
              </w:rPr>
            </w:pPr>
            <w:r w:rsidRPr="00CE1D7F">
              <w:rPr>
                <w:rStyle w:val="CaptionLabel"/>
              </w:rPr>
              <w:t>Total</w:t>
            </w:r>
          </w:p>
        </w:tc>
        <w:tc>
          <w:tcPr>
            <w:tcW w:w="590" w:type="pct"/>
          </w:tcPr>
          <w:p w14:paraId="3067606C" w14:textId="77777777" w:rsidR="002B32A0" w:rsidRPr="003335BF" w:rsidRDefault="002B32A0" w:rsidP="006258ED">
            <w:pPr>
              <w:pStyle w:val="Tabletext"/>
              <w:keepNext/>
              <w:keepLines/>
              <w:rPr>
                <w:rStyle w:val="CaptionLabel"/>
              </w:rPr>
            </w:pPr>
          </w:p>
        </w:tc>
        <w:tc>
          <w:tcPr>
            <w:tcW w:w="588" w:type="pct"/>
          </w:tcPr>
          <w:p w14:paraId="08EAE003" w14:textId="77777777" w:rsidR="002B32A0" w:rsidRPr="003335BF" w:rsidRDefault="002B32A0" w:rsidP="006258ED">
            <w:pPr>
              <w:pStyle w:val="Tabletext"/>
              <w:keepNext/>
              <w:keepLines/>
              <w:rPr>
                <w:rStyle w:val="CaptionLabel"/>
              </w:rPr>
            </w:pPr>
          </w:p>
        </w:tc>
        <w:tc>
          <w:tcPr>
            <w:tcW w:w="588" w:type="pct"/>
          </w:tcPr>
          <w:p w14:paraId="35A07F39" w14:textId="77777777" w:rsidR="002B32A0" w:rsidRPr="003335BF" w:rsidRDefault="002B32A0" w:rsidP="006258ED">
            <w:pPr>
              <w:pStyle w:val="Tabletext"/>
              <w:keepNext/>
              <w:keepLines/>
              <w:rPr>
                <w:rStyle w:val="CaptionLabel"/>
              </w:rPr>
            </w:pPr>
            <w:r w:rsidRPr="009B6DB9">
              <w:rPr>
                <w:b/>
                <w:lang w:eastAsia="en-AU"/>
              </w:rPr>
              <w:t>$693,000</w:t>
            </w:r>
          </w:p>
        </w:tc>
        <w:tc>
          <w:tcPr>
            <w:tcW w:w="588" w:type="pct"/>
          </w:tcPr>
          <w:p w14:paraId="693D8705" w14:textId="77777777" w:rsidR="002B32A0" w:rsidRPr="003335BF" w:rsidRDefault="002B32A0" w:rsidP="006258ED">
            <w:pPr>
              <w:pStyle w:val="Tabletext"/>
              <w:keepNext/>
              <w:keepLines/>
              <w:rPr>
                <w:rStyle w:val="CaptionLabel"/>
              </w:rPr>
            </w:pPr>
          </w:p>
        </w:tc>
        <w:tc>
          <w:tcPr>
            <w:tcW w:w="588" w:type="pct"/>
          </w:tcPr>
          <w:p w14:paraId="7871B86F" w14:textId="77777777" w:rsidR="002B32A0" w:rsidRPr="003335BF" w:rsidRDefault="002B32A0" w:rsidP="006258ED">
            <w:pPr>
              <w:pStyle w:val="Tabletext"/>
              <w:keepNext/>
              <w:keepLines/>
              <w:rPr>
                <w:rStyle w:val="CaptionLabel"/>
              </w:rPr>
            </w:pPr>
          </w:p>
        </w:tc>
        <w:tc>
          <w:tcPr>
            <w:tcW w:w="704" w:type="pct"/>
          </w:tcPr>
          <w:p w14:paraId="3DBD7090" w14:textId="77777777" w:rsidR="002B32A0" w:rsidRPr="003335BF" w:rsidRDefault="002B32A0" w:rsidP="006258ED">
            <w:pPr>
              <w:pStyle w:val="Tabletext"/>
              <w:keepNext/>
              <w:keepLines/>
              <w:rPr>
                <w:rStyle w:val="CaptionLabel"/>
              </w:rPr>
            </w:pPr>
            <w:r w:rsidRPr="009B6DB9">
              <w:rPr>
                <w:b/>
                <w:lang w:eastAsia="en-AU"/>
              </w:rPr>
              <w:t>$693,000</w:t>
            </w:r>
          </w:p>
        </w:tc>
      </w:tr>
    </w:tbl>
    <w:p w14:paraId="7A801385" w14:textId="77777777" w:rsidR="000B0AC7" w:rsidRPr="00CE1D7F" w:rsidRDefault="000B0AC7" w:rsidP="000B0AC7">
      <w:pPr>
        <w:pStyle w:val="Source"/>
        <w:keepLines/>
        <w:ind w:left="-1561"/>
        <w:rPr>
          <w:rStyle w:val="CaptionLabel"/>
          <w:b w:val="0"/>
          <w:bCs/>
        </w:rPr>
      </w:pPr>
      <w:r w:rsidRPr="00CE1D7F">
        <w:rPr>
          <w:rStyle w:val="CaptionLabel"/>
          <w:b w:val="0"/>
          <w:bCs/>
        </w:rPr>
        <w:t xml:space="preserve">Source: ACIL Allen, research project applications and personal communications with Prof </w:t>
      </w:r>
      <w:r>
        <w:rPr>
          <w:rStyle w:val="CaptionLabel"/>
          <w:b w:val="0"/>
          <w:bCs/>
        </w:rPr>
        <w:t>N</w:t>
      </w:r>
      <w:r>
        <w:rPr>
          <w:rStyle w:val="CaptionLabel"/>
        </w:rPr>
        <w:t>akata</w:t>
      </w:r>
    </w:p>
    <w:p w14:paraId="1E79DEBD" w14:textId="77777777" w:rsidR="000B0AC7" w:rsidRPr="00CE1D7F" w:rsidRDefault="000B0AC7" w:rsidP="000B0AC7">
      <w:pPr>
        <w:pStyle w:val="spacer"/>
        <w:ind w:left="-1561"/>
        <w:rPr>
          <w:rStyle w:val="CaptionLabel"/>
          <w:b w:val="0"/>
          <w:bCs/>
        </w:rPr>
      </w:pPr>
    </w:p>
    <w:p w14:paraId="704FCA96" w14:textId="77777777" w:rsidR="002B32A0" w:rsidRPr="00CE1D7F" w:rsidRDefault="002B32A0" w:rsidP="00542BF3">
      <w:pPr>
        <w:pStyle w:val="Heading2"/>
      </w:pPr>
      <w:bookmarkStart w:id="561" w:name="_Toc129963988"/>
      <w:bookmarkStart w:id="562" w:name="_Toc131174627"/>
      <w:bookmarkStart w:id="563" w:name="_Toc132970718"/>
      <w:bookmarkStart w:id="564" w:name="_Toc135323757"/>
      <w:r w:rsidRPr="00CE1D7F">
        <w:t>Activities</w:t>
      </w:r>
      <w:bookmarkEnd w:id="561"/>
      <w:bookmarkEnd w:id="562"/>
      <w:bookmarkEnd w:id="563"/>
      <w:bookmarkEnd w:id="564"/>
    </w:p>
    <w:p w14:paraId="401BDD38" w14:textId="77777777" w:rsidR="002B32A0" w:rsidRPr="00CE1D7F" w:rsidRDefault="002B32A0" w:rsidP="00542BF3">
      <w:pPr>
        <w:pStyle w:val="BodyText"/>
        <w:keepNext/>
        <w:keepLines/>
      </w:pPr>
      <w:bookmarkStart w:id="565" w:name="_Hlk126745648"/>
      <w:bookmarkStart w:id="566" w:name="_Hlk127194373"/>
      <w:r w:rsidRPr="00CE1D7F">
        <w:t xml:space="preserve">The activities associated with the </w:t>
      </w:r>
      <w:r w:rsidRPr="00CE1D7F">
        <w:rPr>
          <w:i/>
          <w:iCs/>
        </w:rPr>
        <w:t>Discovery Indigenous</w:t>
      </w:r>
      <w:r w:rsidRPr="00CE1D7F">
        <w:t xml:space="preserve"> – </w:t>
      </w:r>
      <w:r w:rsidRPr="00CE1D7F">
        <w:rPr>
          <w:i/>
          <w:iCs/>
        </w:rPr>
        <w:t>Indigenous persistence in formal learning</w:t>
      </w:r>
      <w:r w:rsidRPr="00CE1D7F">
        <w:t xml:space="preserve"> include:</w:t>
      </w:r>
    </w:p>
    <w:p w14:paraId="08028996" w14:textId="77777777" w:rsidR="002B32A0" w:rsidRPr="00CE1D7F" w:rsidRDefault="002B32A0" w:rsidP="00F511C5">
      <w:pPr>
        <w:pStyle w:val="ListBullet"/>
      </w:pPr>
      <w:r>
        <w:t>S</w:t>
      </w:r>
      <w:r w:rsidRPr="00CE1D7F">
        <w:t>tudying Indigenous academic persistence in higher education courses</w:t>
      </w:r>
      <w:r>
        <w:t>.</w:t>
      </w:r>
    </w:p>
    <w:p w14:paraId="6464E39B" w14:textId="77777777" w:rsidR="002B32A0" w:rsidRPr="00CE1D7F" w:rsidRDefault="002B32A0" w:rsidP="00F511C5">
      <w:pPr>
        <w:pStyle w:val="ListBullet"/>
      </w:pPr>
      <w:r w:rsidRPr="00CE1D7F">
        <w:t>Developing 2 case studies on services to improve Indigenous persistence in learning, including student interviews</w:t>
      </w:r>
      <w:r>
        <w:t>.</w:t>
      </w:r>
      <w:r w:rsidRPr="00CE1D7F">
        <w:t xml:space="preserve"> </w:t>
      </w:r>
    </w:p>
    <w:p w14:paraId="0D7CA048" w14:textId="77777777" w:rsidR="002B32A0" w:rsidRDefault="002B32A0" w:rsidP="00F511C5">
      <w:pPr>
        <w:pStyle w:val="ListBullet"/>
      </w:pPr>
      <w:r w:rsidRPr="00CE1D7F">
        <w:t>Dissemination of results, and collaboration and partnerships.</w:t>
      </w:r>
    </w:p>
    <w:p w14:paraId="011D9E03" w14:textId="77777777" w:rsidR="002B32A0" w:rsidRPr="00CE1D7F" w:rsidRDefault="002B32A0" w:rsidP="002B32A0">
      <w:pPr>
        <w:pStyle w:val="BodyText"/>
      </w:pPr>
      <w:r>
        <w:t xml:space="preserve">Additional activities associated with </w:t>
      </w:r>
      <w:r w:rsidRPr="003335BF">
        <w:t>research projects funded by the ARC since 1998</w:t>
      </w:r>
      <w:r>
        <w:t xml:space="preserve"> include:</w:t>
      </w:r>
    </w:p>
    <w:p w14:paraId="684380E0" w14:textId="77777777" w:rsidR="002B32A0" w:rsidRPr="00CE1D7F" w:rsidRDefault="002B32A0" w:rsidP="00F511C5">
      <w:pPr>
        <w:pStyle w:val="ListBullet"/>
      </w:pPr>
      <w:r>
        <w:t>E</w:t>
      </w:r>
      <w:r w:rsidRPr="00CE1D7F">
        <w:t>xploration of curriculum pathways for Indigenous learners in the South Australian school curriculum</w:t>
      </w:r>
      <w:r>
        <w:t>.</w:t>
      </w:r>
    </w:p>
    <w:p w14:paraId="00B3FC87" w14:textId="77777777" w:rsidR="002B32A0" w:rsidRPr="00CE1D7F" w:rsidRDefault="002B32A0" w:rsidP="00F511C5">
      <w:pPr>
        <w:pStyle w:val="ListBullet"/>
      </w:pPr>
      <w:r>
        <w:t>S</w:t>
      </w:r>
      <w:r w:rsidRPr="00CE1D7F">
        <w:t>tudying understanding and expressions of anger with Indigenous men</w:t>
      </w:r>
      <w:r>
        <w:t>.</w:t>
      </w:r>
    </w:p>
    <w:p w14:paraId="13EB7C3F" w14:textId="77777777" w:rsidR="002B32A0" w:rsidRPr="00CE1D7F" w:rsidRDefault="002B32A0" w:rsidP="00F511C5">
      <w:pPr>
        <w:pStyle w:val="ListBullet"/>
      </w:pPr>
      <w:r w:rsidRPr="00CE1D7F">
        <w:t>Developing research infrastructure and creating collaborative platforms for the ARC Centre of Excellence for Australian Biodiversity and Heritage (CABAH).</w:t>
      </w:r>
    </w:p>
    <w:p w14:paraId="4C0A2F04" w14:textId="77777777" w:rsidR="002B32A0" w:rsidRPr="00CE1D7F" w:rsidRDefault="002B32A0" w:rsidP="00F511C5">
      <w:pPr>
        <w:pStyle w:val="ListBullet"/>
      </w:pPr>
      <w:r w:rsidRPr="00CE1D7F">
        <w:t>Reviewing literature, and developing data collections and computational models that address gaps in existing datasets for CABAH</w:t>
      </w:r>
      <w:r>
        <w:t>.</w:t>
      </w:r>
    </w:p>
    <w:p w14:paraId="3DBA7F49" w14:textId="77777777" w:rsidR="002B32A0" w:rsidRPr="00CE1D7F" w:rsidRDefault="002B32A0" w:rsidP="00F511C5">
      <w:pPr>
        <w:pStyle w:val="ListBullet"/>
      </w:pPr>
      <w:r w:rsidRPr="00CE1D7F">
        <w:t>Conducting scenario testing, forecasting and sensitivity analysis on Australian Biodiversity and Heritage (CABAH)</w:t>
      </w:r>
      <w:r>
        <w:t>.</w:t>
      </w:r>
    </w:p>
    <w:p w14:paraId="36B1F8F9" w14:textId="77777777" w:rsidR="002B32A0" w:rsidRPr="00CE1D7F" w:rsidRDefault="002B32A0" w:rsidP="00F511C5">
      <w:pPr>
        <w:pStyle w:val="ListBullet"/>
      </w:pPr>
      <w:r w:rsidRPr="00CE1D7F">
        <w:t>Developing Indigenous students and researchers, leadership training and community engagement (CABAH)</w:t>
      </w:r>
      <w:r>
        <w:t>.</w:t>
      </w:r>
    </w:p>
    <w:p w14:paraId="64A9400C" w14:textId="77777777" w:rsidR="002B32A0" w:rsidRPr="00CE1D7F" w:rsidRDefault="002B32A0" w:rsidP="00F511C5">
      <w:pPr>
        <w:pStyle w:val="ListBullet"/>
      </w:pPr>
      <w:r w:rsidRPr="00CE1D7F">
        <w:t>Conducting longitudinal studies of a partnership with remote and regional schools to improve the Indigenous students’ performance in math and science (CABAH)</w:t>
      </w:r>
      <w:r>
        <w:t>.</w:t>
      </w:r>
    </w:p>
    <w:p w14:paraId="4C0AF329" w14:textId="77777777" w:rsidR="002B32A0" w:rsidRPr="00CE1D7F" w:rsidRDefault="002B32A0" w:rsidP="00F511C5">
      <w:pPr>
        <w:pStyle w:val="ListBullet"/>
      </w:pPr>
      <w:r w:rsidRPr="00CE1D7F">
        <w:t>Integrating Indigenous knowledges into national data bases</w:t>
      </w:r>
      <w:r>
        <w:t>.</w:t>
      </w:r>
      <w:r w:rsidRPr="00CE1D7F">
        <w:t xml:space="preserve"> </w:t>
      </w:r>
    </w:p>
    <w:p w14:paraId="5B1F4DD3" w14:textId="77777777" w:rsidR="002B32A0" w:rsidRPr="00CE1D7F" w:rsidRDefault="002B32A0" w:rsidP="00B21061">
      <w:pPr>
        <w:pStyle w:val="Heading3"/>
        <w:ind w:left="709" w:hanging="745"/>
      </w:pPr>
      <w:r w:rsidRPr="00CE1D7F">
        <w:t>Indigenous Researchers Development Scheme - Curriculum and Learning Pathways for Indigenous learners: Urban Adelaide</w:t>
      </w:r>
    </w:p>
    <w:p w14:paraId="5AF98100" w14:textId="77777777" w:rsidR="002B32A0" w:rsidRPr="00CE1D7F" w:rsidRDefault="002B32A0" w:rsidP="002B32A0">
      <w:pPr>
        <w:pStyle w:val="BodyText"/>
      </w:pPr>
      <w:r w:rsidRPr="00CE1D7F">
        <w:t>This project used qualitative methods to study the South Australian school curriculum and the learning pathways for Indigenous students.</w:t>
      </w:r>
    </w:p>
    <w:p w14:paraId="30D6C5AD" w14:textId="77777777" w:rsidR="002B32A0" w:rsidRPr="00CE1D7F" w:rsidRDefault="002B32A0" w:rsidP="00B21061">
      <w:pPr>
        <w:pStyle w:val="Heading3"/>
        <w:ind w:left="709" w:hanging="709"/>
      </w:pPr>
      <w:r w:rsidRPr="00CE1D7F">
        <w:t>Discovery Projects – Understanding and working with anger in male Indigenous people in prison settings</w:t>
      </w:r>
    </w:p>
    <w:p w14:paraId="3A6A4E2C" w14:textId="77777777" w:rsidR="002B32A0" w:rsidRPr="00CE1D7F" w:rsidRDefault="002B32A0" w:rsidP="002B32A0">
      <w:pPr>
        <w:pStyle w:val="BodyText"/>
      </w:pPr>
      <w:r w:rsidRPr="00CE1D7F">
        <w:t>This project used qualitative and quantitative methodologies to explored the nature and consequences of anger in male Indigenous imprisoned offenders, focusing on the constitutive, regulatory, procedural and other aspects of anger.</w:t>
      </w:r>
    </w:p>
    <w:p w14:paraId="1B45BD09" w14:textId="77777777" w:rsidR="002B32A0" w:rsidRPr="00CE1D7F" w:rsidRDefault="002B32A0" w:rsidP="002B32A0">
      <w:pPr>
        <w:pStyle w:val="Heading3"/>
      </w:pPr>
      <w:r w:rsidRPr="00CE1D7F">
        <w:t>LIEF – ASSDA</w:t>
      </w:r>
    </w:p>
    <w:p w14:paraId="5D71CDF2" w14:textId="77777777" w:rsidR="002B32A0" w:rsidRPr="00CE1D7F" w:rsidRDefault="002B32A0" w:rsidP="002B32A0">
      <w:pPr>
        <w:pStyle w:val="BodyText"/>
      </w:pPr>
      <w:r w:rsidRPr="00CE1D7F">
        <w:t xml:space="preserve">Researchers developed the infrastructure to house a collection of data sources in an open access platform. The integrated knowledge data base stores data across a wide range of economic, social, political and cultural areas. </w:t>
      </w:r>
    </w:p>
    <w:p w14:paraId="71F6A849" w14:textId="77777777" w:rsidR="002B32A0" w:rsidRPr="00CE1D7F" w:rsidRDefault="002B32A0" w:rsidP="002B32A0">
      <w:pPr>
        <w:pStyle w:val="Heading3"/>
      </w:pPr>
      <w:r w:rsidRPr="00CE1D7F">
        <w:t>LIEF – DomeLab</w:t>
      </w:r>
    </w:p>
    <w:p w14:paraId="1EA2DD86" w14:textId="77777777" w:rsidR="002B32A0" w:rsidRPr="00CE1D7F" w:rsidRDefault="002B32A0" w:rsidP="002B32A0">
      <w:pPr>
        <w:pStyle w:val="BodyText"/>
      </w:pPr>
      <w:r w:rsidRPr="00CE1D7F">
        <w:t>Researchers developed first ultra-high resolution (4000 x 4000 pixels) experimental fulldome. This involved collaboration with national research services AARNet and Intersect to access research data storage infrastructure and extend Australia’s pioneering research in aesthetic frameworks and frontier technologies. DomeLab is designed as a touring system and was installed throughout the country at leading institutions.</w:t>
      </w:r>
    </w:p>
    <w:p w14:paraId="691931D2" w14:textId="77777777" w:rsidR="002B32A0" w:rsidRPr="00CE1D7F" w:rsidRDefault="002B32A0" w:rsidP="002B32A0">
      <w:pPr>
        <w:pStyle w:val="Heading3"/>
      </w:pPr>
      <w:r w:rsidRPr="00CE1D7F">
        <w:t>LIEF – Establishment of the Australian data archive</w:t>
      </w:r>
    </w:p>
    <w:p w14:paraId="069944D2" w14:textId="77777777" w:rsidR="002B32A0" w:rsidRPr="00CE1D7F" w:rsidRDefault="002B32A0" w:rsidP="002B32A0">
      <w:pPr>
        <w:pStyle w:val="BodyText"/>
      </w:pPr>
      <w:bookmarkStart w:id="567" w:name="_Hlk126746473"/>
      <w:bookmarkEnd w:id="565"/>
      <w:r w:rsidRPr="00CE1D7F">
        <w:t>This project focused on enhancing HASS research capabilities by creating new research infrastructure that supports modelling, computation and data analysis functions. This project upgraded and acquired data storage hardware to develop a high-end research, analysis and visualisation platform; and created collaborative platforms and established sub-archives.</w:t>
      </w:r>
    </w:p>
    <w:p w14:paraId="40F1E59C" w14:textId="77777777" w:rsidR="002B32A0" w:rsidRPr="00CE1D7F" w:rsidRDefault="002B32A0" w:rsidP="002B32A0">
      <w:pPr>
        <w:pStyle w:val="Heading3"/>
      </w:pPr>
      <w:r w:rsidRPr="00CE1D7F">
        <w:t>Discovery Indigenous – Indigenous persistence in formal learning</w:t>
      </w:r>
    </w:p>
    <w:p w14:paraId="1B0269CA" w14:textId="77777777" w:rsidR="002B32A0" w:rsidRPr="00CE1D7F" w:rsidRDefault="002B32A0" w:rsidP="002B32A0">
      <w:pPr>
        <w:pStyle w:val="BodyText"/>
        <w:rPr>
          <w:b/>
          <w:bCs/>
        </w:rPr>
      </w:pPr>
      <w:r w:rsidRPr="00CE1D7F">
        <w:rPr>
          <w:b/>
          <w:bCs/>
        </w:rPr>
        <w:t>This project is the focus of this case study.</w:t>
      </w:r>
    </w:p>
    <w:p w14:paraId="46A1353C" w14:textId="77777777" w:rsidR="002B32A0" w:rsidRPr="00CE1D7F" w:rsidRDefault="002B32A0" w:rsidP="002B32A0">
      <w:pPr>
        <w:pStyle w:val="BodyText"/>
      </w:pPr>
      <w:r w:rsidRPr="00CE1D7F">
        <w:t xml:space="preserve">The Indigenous academic persistence project sought to improve research knowledge of the learning experiences of Indigenous students transitioning from schools and TAFEs to university studies in order to improve support for Indigenous students and their learning experiences and outcomes. It was conducted across 5 universities (UNSW, James Cook University (JCU), Murdoch University, Edith Cowan University (ECU) and Deakin University) by Prof Nakata and 2 Cis, Prof Andrew Day and Dr Gregory Martin, and involved interviews with both Indigenous and non-Indigenous students. The research highlighted focal points for intervention and provided an evidence-based approach to support services that can deliver lasting impact to Indigenous student higher education completion rates. </w:t>
      </w:r>
    </w:p>
    <w:p w14:paraId="31842A3F" w14:textId="77777777" w:rsidR="002B32A0" w:rsidRPr="00CE1D7F" w:rsidRDefault="002B32A0" w:rsidP="002B32A0">
      <w:pPr>
        <w:pStyle w:val="BodyText"/>
      </w:pPr>
      <w:r w:rsidRPr="00CE1D7F">
        <w:t>Two case studies were also undertaken to test strategies of persistence and their effects on progression and completion rates. The first case study (2012-15) drew on a sample of 400+ Indigenous students at a G</w:t>
      </w:r>
      <w:r>
        <w:t>o</w:t>
      </w:r>
      <w:r w:rsidRPr="00CE1D7F">
        <w:t>8 university. The results showed major improvements in progression and completion rates.</w:t>
      </w:r>
    </w:p>
    <w:p w14:paraId="3655787F" w14:textId="77777777" w:rsidR="002B32A0" w:rsidRPr="00CE1D7F" w:rsidRDefault="002B32A0" w:rsidP="002B32A0">
      <w:pPr>
        <w:pStyle w:val="BodyText"/>
      </w:pPr>
      <w:r w:rsidRPr="00CE1D7F">
        <w:t>The second case study (2016-21) focused on strategies to raise the levels of persistence, self-regulation and self-efficacy of 800 Indigenous students at a regional university. The results saw a halving of the attrition rate, higher progression rates and a doubling of the graduation rate over a 5</w:t>
      </w:r>
      <w:r>
        <w:noBreakHyphen/>
      </w:r>
      <w:r w:rsidRPr="00CE1D7F">
        <w:t>year period.</w:t>
      </w:r>
    </w:p>
    <w:p w14:paraId="07FC702A" w14:textId="77777777" w:rsidR="002B32A0" w:rsidRPr="00CE1D7F" w:rsidRDefault="002B32A0" w:rsidP="002B32A0">
      <w:pPr>
        <w:pStyle w:val="BodyText"/>
      </w:pPr>
      <w:r w:rsidRPr="00CE1D7F">
        <w:t>An industry partner with data engineering expertise, WillowSoft, was recruited to the second case study to help refine the measures and data sets, and to gain predictive capabilities to help the support team to mount early intervention campaigns.</w:t>
      </w:r>
    </w:p>
    <w:p w14:paraId="7A67AE6E" w14:textId="77777777" w:rsidR="002B32A0" w:rsidRPr="00CE1D7F" w:rsidRDefault="002B32A0" w:rsidP="002B32A0">
      <w:pPr>
        <w:pStyle w:val="Heading3"/>
      </w:pPr>
      <w:bookmarkStart w:id="568" w:name="_Hlk126746617"/>
      <w:bookmarkEnd w:id="567"/>
      <w:r w:rsidRPr="00CE1D7F">
        <w:t>ARC Centre of Excellence – Australian Biodiversity and Heritage (CABAH)</w:t>
      </w:r>
    </w:p>
    <w:p w14:paraId="769BB47C" w14:textId="77777777" w:rsidR="002B32A0" w:rsidRPr="00CE1D7F" w:rsidRDefault="002B32A0" w:rsidP="002B32A0">
      <w:pPr>
        <w:pStyle w:val="BodyText"/>
      </w:pPr>
      <w:bookmarkStart w:id="569" w:name="_Hlk126746606"/>
      <w:bookmarkEnd w:id="568"/>
      <w:r w:rsidRPr="00CE1D7F">
        <w:t>This project is generating knowledge and records of past environmental and archaeological patterns of change, drivers of change and their impacts on society. It will build transdisciplinary research capabilities in Indigenous heritage. It is:</w:t>
      </w:r>
    </w:p>
    <w:p w14:paraId="4E67E312" w14:textId="77777777" w:rsidR="002B32A0" w:rsidRPr="00CE1D7F" w:rsidRDefault="002B32A0" w:rsidP="00B21061">
      <w:pPr>
        <w:pStyle w:val="ListBullet"/>
      </w:pPr>
      <w:r w:rsidRPr="00CE1D7F">
        <w:t xml:space="preserve">Generating computational models that identify and fill gaps in existing datasets </w:t>
      </w:r>
    </w:p>
    <w:p w14:paraId="027F0448" w14:textId="77777777" w:rsidR="002B32A0" w:rsidRPr="00CE1D7F" w:rsidRDefault="002B32A0" w:rsidP="00B21061">
      <w:pPr>
        <w:pStyle w:val="ListBullet"/>
      </w:pPr>
      <w:r w:rsidRPr="00CE1D7F">
        <w:t>Explaining data patterns using scenario and sensitivity analysis, modelling, and climate hindcasting</w:t>
      </w:r>
    </w:p>
    <w:p w14:paraId="5DD3F05B" w14:textId="77777777" w:rsidR="002B32A0" w:rsidRPr="00CE1D7F" w:rsidRDefault="002B32A0" w:rsidP="00B21061">
      <w:pPr>
        <w:pStyle w:val="ListBullet"/>
      </w:pPr>
      <w:r w:rsidRPr="00CE1D7F">
        <w:t xml:space="preserve">Conducting leadership training, cross-institutional collaborations and community engagement to build researcher capacity and improve Indigenous and female representation in research leadership </w:t>
      </w:r>
    </w:p>
    <w:p w14:paraId="26B8C7BA" w14:textId="77777777" w:rsidR="002B32A0" w:rsidRPr="00CE1D7F" w:rsidRDefault="002B32A0" w:rsidP="00B21061">
      <w:pPr>
        <w:pStyle w:val="ListBullet"/>
      </w:pPr>
      <w:r w:rsidRPr="00CE1D7F">
        <w:t>Creating a communication, education and engagement strategy at local, regional, national and international levels.</w:t>
      </w:r>
    </w:p>
    <w:p w14:paraId="19D2EDEF" w14:textId="77777777" w:rsidR="002B32A0" w:rsidRPr="00CE1D7F" w:rsidRDefault="002B32A0" w:rsidP="00DE6A32">
      <w:pPr>
        <w:pStyle w:val="ListBullet"/>
        <w:numPr>
          <w:ilvl w:val="0"/>
          <w:numId w:val="0"/>
        </w:numPr>
      </w:pPr>
      <w:r w:rsidRPr="00CE1D7F">
        <w:t>The project is being conducted by Prof Richard Roberts. It involves Prof Nakata and 17 other CIs and 9 PIs, as well as collaboration with partners in Denmark, England, France, Germany, Indonesia, Papua New Guinea and the United States.</w:t>
      </w:r>
    </w:p>
    <w:p w14:paraId="4BFEA89D" w14:textId="0F0F1EB5" w:rsidR="002B32A0" w:rsidRPr="00CE1D7F" w:rsidRDefault="002B32A0" w:rsidP="00DE6A32">
      <w:pPr>
        <w:pStyle w:val="ListBullet"/>
        <w:numPr>
          <w:ilvl w:val="0"/>
          <w:numId w:val="0"/>
        </w:numPr>
      </w:pPr>
      <w:r w:rsidRPr="00CE1D7F">
        <w:t xml:space="preserve">CABAH’s education and </w:t>
      </w:r>
      <w:r w:rsidR="00054253" w:rsidRPr="00CE1D7F">
        <w:t>schools’</w:t>
      </w:r>
      <w:r w:rsidRPr="00CE1D7F">
        <w:t xml:space="preserve"> engagement plans were led by Prof Nakata and his small team to improve the math and science performance of students in regional and remote areas. 42 presentations on the math and science work undertaken by the Centre have been delivered. These include keynote addresses, plenaries, symposia, workshops, and seminars to professional associations in education, Principal’s conferences, Teacher conferences, Qld Education Departments forums, Federal and State Ministers and Senators, ACARA, and a range regional and remote communities.</w:t>
      </w:r>
    </w:p>
    <w:bookmarkEnd w:id="569"/>
    <w:p w14:paraId="0397711F" w14:textId="77777777" w:rsidR="002B32A0" w:rsidRPr="00CE1D7F" w:rsidRDefault="002B32A0" w:rsidP="002B32A0">
      <w:pPr>
        <w:pStyle w:val="Heading3"/>
      </w:pPr>
      <w:r w:rsidRPr="00CE1D7F">
        <w:t>ARC Centre of Excellence – Indigenous and environmental histories and futures</w:t>
      </w:r>
    </w:p>
    <w:p w14:paraId="63DB5CD2" w14:textId="77777777" w:rsidR="002B32A0" w:rsidRPr="00CE1D7F" w:rsidRDefault="002B32A0" w:rsidP="002B32A0">
      <w:pPr>
        <w:pStyle w:val="BodyText"/>
      </w:pPr>
      <w:r w:rsidRPr="00CE1D7F">
        <w:t>This project is developing an Indigenous and Western knowledge framework for modelling environmental, social, cultural and historical change over the last 1,000 years. The research will:</w:t>
      </w:r>
    </w:p>
    <w:p w14:paraId="7184C4B8" w14:textId="77777777" w:rsidR="002B32A0" w:rsidRPr="00CE1D7F" w:rsidRDefault="002B32A0" w:rsidP="00B21061">
      <w:pPr>
        <w:pStyle w:val="ListBullet"/>
      </w:pPr>
      <w:r w:rsidRPr="00CE1D7F">
        <w:t>Develop and communicate an integrated history of Australian change, framed by Indigenous knowledges and science</w:t>
      </w:r>
      <w:r>
        <w:t>.</w:t>
      </w:r>
    </w:p>
    <w:p w14:paraId="0D7BBE48" w14:textId="77777777" w:rsidR="002B32A0" w:rsidRPr="00CE1D7F" w:rsidRDefault="002B32A0" w:rsidP="00B21061">
      <w:pPr>
        <w:pStyle w:val="ListBullet"/>
      </w:pPr>
      <w:r w:rsidRPr="00CE1D7F">
        <w:t>Integrate Indigenous knowledges into regional land and sea Caring for Country activities, strategies, and policies</w:t>
      </w:r>
      <w:r>
        <w:t>.</w:t>
      </w:r>
      <w:r w:rsidRPr="00CE1D7F">
        <w:t xml:space="preserve"> </w:t>
      </w:r>
    </w:p>
    <w:p w14:paraId="5F3F9850" w14:textId="77777777" w:rsidR="002B32A0" w:rsidRPr="00CE1D7F" w:rsidRDefault="002B32A0" w:rsidP="00B21061">
      <w:pPr>
        <w:pStyle w:val="ListBullet"/>
      </w:pPr>
      <w:r w:rsidRPr="00CE1D7F">
        <w:t>Forecast the 100 trajectory of socio-ecological change under land-use, management, and climate change scenarios</w:t>
      </w:r>
      <w:r>
        <w:t>.</w:t>
      </w:r>
      <w:r w:rsidRPr="00CE1D7F">
        <w:t xml:space="preserve"> </w:t>
      </w:r>
    </w:p>
    <w:p w14:paraId="25C30BD5" w14:textId="77777777" w:rsidR="002B32A0" w:rsidRPr="00CE1D7F" w:rsidRDefault="002B32A0" w:rsidP="00B21061">
      <w:pPr>
        <w:pStyle w:val="ListBullet"/>
      </w:pPr>
      <w:r w:rsidRPr="00CE1D7F">
        <w:t>Recruit, empower, inspire and train the next generation of Indigenous researchers and students to close the gap in higher education and research, and train research leaders in culturally appropriate methods and protocols</w:t>
      </w:r>
      <w:r>
        <w:t>.</w:t>
      </w:r>
    </w:p>
    <w:p w14:paraId="46A9AAE4" w14:textId="77777777" w:rsidR="002B32A0" w:rsidRPr="00CE1D7F" w:rsidRDefault="002B32A0" w:rsidP="00B21061">
      <w:pPr>
        <w:pStyle w:val="ListBullet"/>
      </w:pPr>
      <w:r w:rsidRPr="00CE1D7F">
        <w:t>Catalyse recognition and uptake of Indigenous-led understandings of and approaches to managing Country, to influence public perceptions and evidence-based policy-making.</w:t>
      </w:r>
    </w:p>
    <w:p w14:paraId="760DD5BA" w14:textId="77777777" w:rsidR="002B32A0" w:rsidRPr="00CE1D7F" w:rsidRDefault="002B32A0" w:rsidP="00054253">
      <w:pPr>
        <w:pStyle w:val="ListBullet"/>
        <w:numPr>
          <w:ilvl w:val="0"/>
          <w:numId w:val="0"/>
        </w:numPr>
      </w:pPr>
      <w:r w:rsidRPr="00CE1D7F">
        <w:t>The Centre is led by Prof Sean Ulm, along with Prof Nakata and 18 other CIs and 14 PIs. The research includes international partners in the United States, Canada and Papua New Guinea.</w:t>
      </w:r>
    </w:p>
    <w:p w14:paraId="0BCD25CD" w14:textId="77777777" w:rsidR="002B32A0" w:rsidRPr="00CE1D7F" w:rsidRDefault="002B32A0" w:rsidP="00054253">
      <w:pPr>
        <w:pStyle w:val="ListBullet"/>
        <w:numPr>
          <w:ilvl w:val="0"/>
          <w:numId w:val="0"/>
        </w:numPr>
      </w:pPr>
      <w:r w:rsidRPr="00CE1D7F">
        <w:t>Prof Nakata will again lead the education and engagement plans of the Centre to extend the empirical work with math and science to a greater number of schools in regional and remote areas for both Indigenous and non-Indigenous students.</w:t>
      </w:r>
    </w:p>
    <w:p w14:paraId="582FEC3C" w14:textId="77777777" w:rsidR="002B32A0" w:rsidRPr="00CE1D7F" w:rsidRDefault="002B32A0" w:rsidP="002B32A0">
      <w:pPr>
        <w:pStyle w:val="Heading2"/>
      </w:pPr>
      <w:bookmarkStart w:id="570" w:name="_Toc129963989"/>
      <w:bookmarkStart w:id="571" w:name="_Toc131174628"/>
      <w:bookmarkStart w:id="572" w:name="_Toc132970719"/>
      <w:bookmarkStart w:id="573" w:name="_Toc135323758"/>
      <w:bookmarkEnd w:id="566"/>
      <w:r w:rsidRPr="00CE1D7F">
        <w:t>Outputs</w:t>
      </w:r>
      <w:bookmarkEnd w:id="570"/>
      <w:bookmarkEnd w:id="571"/>
      <w:bookmarkEnd w:id="572"/>
      <w:bookmarkEnd w:id="573"/>
    </w:p>
    <w:p w14:paraId="41868D91" w14:textId="77777777" w:rsidR="002B32A0" w:rsidRPr="00CE1D7F" w:rsidRDefault="002B32A0" w:rsidP="002B32A0">
      <w:r w:rsidRPr="00CE1D7F">
        <w:t xml:space="preserve">This </w:t>
      </w:r>
      <w:r>
        <w:t>section </w:t>
      </w:r>
      <w:r w:rsidRPr="00CE1D7F">
        <w:t xml:space="preserve">describes outputs for the </w:t>
      </w:r>
      <w:r w:rsidRPr="00CE1D7F">
        <w:rPr>
          <w:i/>
          <w:iCs/>
        </w:rPr>
        <w:t xml:space="preserve">Discovery Indigenous </w:t>
      </w:r>
      <w:r w:rsidRPr="00CE1D7F">
        <w:t xml:space="preserve">and </w:t>
      </w:r>
      <w:r w:rsidRPr="00CE1D7F">
        <w:rPr>
          <w:i/>
          <w:iCs/>
        </w:rPr>
        <w:t xml:space="preserve">LIEF </w:t>
      </w:r>
      <w:r w:rsidRPr="00CE1D7F">
        <w:t>grant as these have both concluded. The 2 Centres of Excellence are ongoing.</w:t>
      </w:r>
    </w:p>
    <w:p w14:paraId="61F1D05C" w14:textId="77777777" w:rsidR="002B32A0" w:rsidRPr="00CE1D7F" w:rsidRDefault="002B32A0" w:rsidP="002B32A0">
      <w:pPr>
        <w:pStyle w:val="Heading3"/>
      </w:pPr>
      <w:r w:rsidRPr="00CE1D7F">
        <w:t>Publications</w:t>
      </w:r>
    </w:p>
    <w:p w14:paraId="14D34DB7" w14:textId="77777777" w:rsidR="002B32A0" w:rsidRDefault="002B32A0" w:rsidP="002B32A0">
      <w:pPr>
        <w:pStyle w:val="BodyText"/>
      </w:pPr>
      <w:r w:rsidRPr="00CE1D7F">
        <w:t>Several publications were produced from the above research, including the following outputs from the Discovery Indigenous grant:</w:t>
      </w:r>
    </w:p>
    <w:p w14:paraId="16F4E8A7" w14:textId="0E7282EF" w:rsidR="00C22FE5" w:rsidRDefault="00C22FE5" w:rsidP="00C22FE5">
      <w:pPr>
        <w:pStyle w:val="ListBullet"/>
      </w:pPr>
      <w:r w:rsidRPr="00CE1D7F">
        <w:t>Notable journal articles on Indigenous students’ persistence in higher education, teaching at the cultural interface, and closing gaps in Indigenous undergraduate higher education outcomes</w:t>
      </w:r>
    </w:p>
    <w:p w14:paraId="3F2ADBF7" w14:textId="05047479" w:rsidR="00C22FE5" w:rsidRPr="00CE1D7F" w:rsidRDefault="00C22FE5" w:rsidP="00C22FE5">
      <w:pPr>
        <w:pStyle w:val="ListBullet"/>
      </w:pPr>
      <w:r w:rsidRPr="00CE1D7F">
        <w:t>1 study of Indigenous and non-Indigenous students across 5 universities (2012-15), and 2 case study of renewed learning support services at a G</w:t>
      </w:r>
      <w:r>
        <w:t>o</w:t>
      </w:r>
      <w:r w:rsidRPr="00CE1D7F">
        <w:t>8 university (2010-2015) and a regional university (2016-2022).</w:t>
      </w:r>
    </w:p>
    <w:p w14:paraId="6A45575D" w14:textId="706F651F" w:rsidR="00C22FE5" w:rsidRPr="00CE1D7F" w:rsidRDefault="00C22FE5" w:rsidP="00C22FE5">
      <w:pPr>
        <w:pStyle w:val="ListBullet"/>
      </w:pPr>
      <w:r w:rsidRPr="00CE1D7F">
        <w:t xml:space="preserve">1 book entitled, </w:t>
      </w:r>
      <w:hyperlink r:id="rId219" w:history="1">
        <w:r w:rsidRPr="00CE1D7F">
          <w:rPr>
            <w:rStyle w:val="Hyperlink"/>
            <w:i/>
            <w:iCs/>
          </w:rPr>
          <w:t>Supporting Indigenous Students to Succeed at University</w:t>
        </w:r>
      </w:hyperlink>
      <w:r w:rsidRPr="00CE1D7F">
        <w:rPr>
          <w:i/>
          <w:iCs/>
        </w:rPr>
        <w:t>,</w:t>
      </w:r>
      <w:r w:rsidRPr="00CE1D7F">
        <w:t xml:space="preserve"> on Indigenous persistence in education published by Routledge in 2022.</w:t>
      </w:r>
    </w:p>
    <w:p w14:paraId="01357350" w14:textId="77777777" w:rsidR="00C22FE5" w:rsidRPr="00CE1D7F" w:rsidRDefault="00C22FE5" w:rsidP="00C22FE5">
      <w:pPr>
        <w:pStyle w:val="ListBullet"/>
      </w:pPr>
      <w:r w:rsidRPr="00CE1D7F">
        <w:t>3 Queensland universities are currently contemplating adoption of the improved learning support services.</w:t>
      </w:r>
    </w:p>
    <w:p w14:paraId="7A958672" w14:textId="77777777" w:rsidR="00C22FE5" w:rsidRPr="00CE1D7F" w:rsidRDefault="00C22FE5" w:rsidP="00C22FE5">
      <w:pPr>
        <w:pStyle w:val="ListBullet"/>
      </w:pPr>
      <w:r w:rsidRPr="00CE1D7F">
        <w:t>Regional offices of the Queensland Education Department in Cairns and the Catholic Education in Townsville are also considering how Prof Nakata’s approach to building learner capabilities could be adapted for use in their schools.</w:t>
      </w:r>
    </w:p>
    <w:p w14:paraId="5DB8C113" w14:textId="5048C0CD" w:rsidR="00C22FE5" w:rsidRPr="00CE1D7F" w:rsidRDefault="00EB261D" w:rsidP="002B32A0">
      <w:pPr>
        <w:pStyle w:val="BodyText"/>
      </w:pPr>
      <w:r>
        <w:t xml:space="preserve">Additional publications associated with </w:t>
      </w:r>
      <w:r w:rsidRPr="003335BF">
        <w:t>research projects funded by the ARC since 1998</w:t>
      </w:r>
      <w:r>
        <w:t xml:space="preserve"> include:</w:t>
      </w:r>
    </w:p>
    <w:p w14:paraId="0959155D" w14:textId="5CF3757D" w:rsidR="002B32A0" w:rsidRPr="00CE1D7F" w:rsidRDefault="002B32A0" w:rsidP="00466245">
      <w:pPr>
        <w:pStyle w:val="ListBullet"/>
      </w:pPr>
      <w:r w:rsidRPr="00CE1D7F">
        <w:t>More than 70 publications.</w:t>
      </w:r>
    </w:p>
    <w:p w14:paraId="399546E2" w14:textId="77777777" w:rsidR="002B32A0" w:rsidRPr="00CE1D7F" w:rsidRDefault="002B32A0" w:rsidP="00466245">
      <w:pPr>
        <w:pStyle w:val="ListBullet"/>
      </w:pPr>
      <w:r w:rsidRPr="00CE1D7F">
        <w:t>More than 60 keynotes and plenary sessions in over 20 countries.</w:t>
      </w:r>
    </w:p>
    <w:p w14:paraId="2ECD2B7D" w14:textId="77777777" w:rsidR="002B32A0" w:rsidRPr="00CE1D7F" w:rsidRDefault="002B32A0" w:rsidP="00466245">
      <w:pPr>
        <w:pStyle w:val="ListBullet"/>
      </w:pPr>
      <w:r w:rsidRPr="00CE1D7F">
        <w:t>4 edited volumes of works entitled, Indigenous peoples, racism, and the UN (2001), Australian Indigenous Knowledge and Libraries (2005), Indigenous men and anger (2008), and Politics of identity (2013).</w:t>
      </w:r>
    </w:p>
    <w:p w14:paraId="100A16A8" w14:textId="77777777" w:rsidR="002B32A0" w:rsidRPr="00CE1D7F" w:rsidRDefault="002B32A0" w:rsidP="00466245">
      <w:pPr>
        <w:pStyle w:val="ListBullet"/>
      </w:pPr>
      <w:r w:rsidRPr="00CE1D7F">
        <w:t xml:space="preserve">1 edited volume, Special Issue of the Australian Journal of Indigenous Education, </w:t>
      </w:r>
      <w:r w:rsidRPr="00CE1D7F">
        <w:rPr>
          <w:i/>
          <w:iCs/>
        </w:rPr>
        <w:t>Indigenous Studies (2009).</w:t>
      </w:r>
    </w:p>
    <w:p w14:paraId="6E13E001" w14:textId="77777777" w:rsidR="002B32A0" w:rsidRPr="00CE1D7F" w:rsidRDefault="002B32A0" w:rsidP="00466245">
      <w:pPr>
        <w:pStyle w:val="ListBullet"/>
      </w:pPr>
      <w:r w:rsidRPr="00CE1D7F">
        <w:t>1 co-authored treatise on the teaching of English to diverse global communities</w:t>
      </w:r>
      <w:r w:rsidRPr="00CE1D7F">
        <w:rPr>
          <w:i/>
          <w:iCs/>
        </w:rPr>
        <w:t>, A pedagogy of Multiliteracies</w:t>
      </w:r>
      <w:r w:rsidRPr="00CE1D7F">
        <w:t>, published by Harvard Educational Review in 1996 has 3,500 citations.</w:t>
      </w:r>
    </w:p>
    <w:p w14:paraId="4A1A45E4" w14:textId="77777777" w:rsidR="002B32A0" w:rsidRPr="00CE1D7F" w:rsidRDefault="002B32A0" w:rsidP="002B32A0">
      <w:pPr>
        <w:pStyle w:val="Heading3"/>
      </w:pPr>
      <w:r w:rsidRPr="00CE1D7F">
        <w:t>Models or tools</w:t>
      </w:r>
    </w:p>
    <w:p w14:paraId="6CF814C4" w14:textId="77777777" w:rsidR="002B32A0" w:rsidRPr="00CE1D7F" w:rsidRDefault="002B32A0" w:rsidP="002B32A0">
      <w:pPr>
        <w:pStyle w:val="BodyText"/>
      </w:pPr>
      <w:r w:rsidRPr="00CE1D7F">
        <w:t>The most significant output is the Indigenous learning model. This learner identity model is based on established research knowledge of the high correlation between self-efficacy in learners and academic performance, and the detailed knowledge of the forms and types of persistence in learning that leads to levels of self-regulation and self-efficacy from Prof Nakata’s ARC-supported study of Indigenous academic persistence.</w:t>
      </w:r>
    </w:p>
    <w:p w14:paraId="04419459" w14:textId="77777777" w:rsidR="002B32A0" w:rsidRDefault="002B32A0" w:rsidP="002B32A0">
      <w:pPr>
        <w:pStyle w:val="BodyText"/>
      </w:pPr>
      <w:r w:rsidRPr="00CE1D7F">
        <w:t>Stakeholders consulted for this case study suggest that the TAPS strategy (Transitional, Academic, Pastoral, Support) Prof Nakata built to develop the learner identity is transformational because it demonstrates that there is no need to wait for universities to change the teaching and learning space or curriculum, rather that staff at the Indigenous Centres can do a lot now to support and engage students to improve their capabilities as learners. TAPS focuses on building the capabilities needed for success, including academic persistence, self-efficacy and performance.</w:t>
      </w:r>
    </w:p>
    <w:p w14:paraId="62E4D898" w14:textId="49126B88" w:rsidR="002B32A0" w:rsidRPr="00CE1D7F" w:rsidRDefault="002B32A0" w:rsidP="002B32A0">
      <w:pPr>
        <w:pStyle w:val="BodyText"/>
      </w:pPr>
      <w:r w:rsidRPr="00F87D0E">
        <w:fldChar w:fldCharType="begin"/>
      </w:r>
      <w:r w:rsidRPr="00F87D0E">
        <w:instrText xml:space="preserve"> REF _Ref131148852 \h  \* MERGEFORMAT </w:instrText>
      </w:r>
      <w:r w:rsidRPr="00F87D0E">
        <w:fldChar w:fldCharType="separate"/>
      </w:r>
      <w:r w:rsidR="000B0AC7" w:rsidRPr="000B0AC7">
        <w:t>Figure 12.3</w:t>
      </w:r>
      <w:r w:rsidRPr="00F87D0E">
        <w:fldChar w:fldCharType="end"/>
      </w:r>
      <w:r>
        <w:t xml:space="preserve"> shows the key metrics assessed through TAPS, along with the goal rating (on a scale from 1 (poor) to 5 (good)), the actual rating and the gap. Larger gaps between goal and actual ratings identify areas of focus for university support staff.</w:t>
      </w:r>
    </w:p>
    <w:p w14:paraId="35ECC29C" w14:textId="72847464" w:rsidR="000B0AC7" w:rsidRPr="00CE1D7F" w:rsidRDefault="000B0AC7" w:rsidP="000B0AC7">
      <w:pPr>
        <w:pStyle w:val="Caption"/>
        <w:ind w:left="1308" w:hanging="1308"/>
      </w:pPr>
      <w:bookmarkStart w:id="574" w:name="_Ref131148852"/>
      <w:r w:rsidRPr="00CE1D7F">
        <w:rPr>
          <w:rStyle w:val="CaptionLabel"/>
        </w:rPr>
        <w:t>Figure </w:t>
      </w:r>
      <w:r w:rsidRPr="00CE1D7F">
        <w:rPr>
          <w:rStyle w:val="CaptionLabel"/>
        </w:rPr>
        <w:fldChar w:fldCharType="begin"/>
      </w:r>
      <w:r w:rsidRPr="00CE1D7F">
        <w:rPr>
          <w:rStyle w:val="CaptionLabel"/>
        </w:rPr>
        <w:instrText xml:space="preserve"> STYLEREF 1 \S \* MERGEFORMAT </w:instrText>
      </w:r>
      <w:r w:rsidRPr="00CE1D7F">
        <w:rPr>
          <w:rStyle w:val="CaptionLabel"/>
        </w:rPr>
        <w:fldChar w:fldCharType="separate"/>
      </w:r>
      <w:r>
        <w:rPr>
          <w:rStyle w:val="CaptionLabel"/>
          <w:noProof/>
        </w:rPr>
        <w:t>12</w:t>
      </w:r>
      <w:r w:rsidRPr="00CE1D7F">
        <w:rPr>
          <w:rStyle w:val="CaptionLabel"/>
        </w:rPr>
        <w:fldChar w:fldCharType="end"/>
      </w:r>
      <w:r w:rsidRPr="00CE1D7F">
        <w:rPr>
          <w:rStyle w:val="CaptionLabel"/>
        </w:rPr>
        <w:t>.</w:t>
      </w:r>
      <w:r w:rsidRPr="00CE1D7F">
        <w:rPr>
          <w:rStyle w:val="CaptionLabel"/>
        </w:rPr>
        <w:fldChar w:fldCharType="begin"/>
      </w:r>
      <w:r w:rsidRPr="00CE1D7F">
        <w:rPr>
          <w:rStyle w:val="CaptionLabel"/>
        </w:rPr>
        <w:instrText xml:space="preserve"> SEQ Figure \* ARABIC \S 1 \* MERGEFORMAT </w:instrText>
      </w:r>
      <w:r w:rsidRPr="00CE1D7F">
        <w:rPr>
          <w:rStyle w:val="CaptionLabel"/>
        </w:rPr>
        <w:fldChar w:fldCharType="separate"/>
      </w:r>
      <w:r>
        <w:rPr>
          <w:rStyle w:val="CaptionLabel"/>
          <w:noProof/>
        </w:rPr>
        <w:t>3</w:t>
      </w:r>
      <w:r w:rsidRPr="00CE1D7F">
        <w:rPr>
          <w:rStyle w:val="CaptionLabel"/>
        </w:rPr>
        <w:fldChar w:fldCharType="end"/>
      </w:r>
      <w:bookmarkEnd w:id="574"/>
      <w:r w:rsidRPr="00CE1D7F">
        <w:tab/>
        <w:t>Example of tracking trends and outcomes through TAPS</w:t>
      </w:r>
    </w:p>
    <w:tbl>
      <w:tblPr>
        <w:tblStyle w:val="aacTableFigure"/>
        <w:tblW w:w="5000" w:type="pct"/>
        <w:tblBorders>
          <w:top w:val="single" w:sz="4" w:space="0" w:color="000000"/>
          <w:bottom w:val="single" w:sz="4" w:space="0" w:color="000000"/>
        </w:tblBorders>
        <w:tblLook w:val="04A0" w:firstRow="1" w:lastRow="0" w:firstColumn="1" w:lastColumn="0" w:noHBand="0" w:noVBand="1"/>
      </w:tblPr>
      <w:tblGrid>
        <w:gridCol w:w="7936"/>
      </w:tblGrid>
      <w:tr w:rsidR="002B32A0" w:rsidRPr="00CE1D7F" w14:paraId="2FC7D135" w14:textId="77777777" w:rsidTr="000B0AC7">
        <w:tc>
          <w:tcPr>
            <w:tcW w:w="5000" w:type="pct"/>
            <w:shd w:val="clear" w:color="auto" w:fill="auto"/>
          </w:tcPr>
          <w:p w14:paraId="35F915D8" w14:textId="77777777" w:rsidR="002B32A0" w:rsidRPr="00CE1D7F" w:rsidRDefault="002B32A0" w:rsidP="00466245">
            <w:pPr>
              <w:pStyle w:val="Figure"/>
              <w:spacing w:before="120"/>
              <w:jc w:val="center"/>
            </w:pPr>
            <w:r w:rsidRPr="00CE1D7F">
              <w:rPr>
                <w:noProof/>
              </w:rPr>
              <w:drawing>
                <wp:inline distT="0" distB="0" distL="0" distR="0" wp14:anchorId="0AD690C2" wp14:editId="647C1820">
                  <wp:extent cx="3676650" cy="4170058"/>
                  <wp:effectExtent l="0" t="0" r="0" b="1905"/>
                  <wp:docPr id="683" name="Picture 683" descr="Example of tracking trends and outcomes through TA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 name="Picture 683" descr="Example of tracking trends and outcomes through TAPS"/>
                          <pic:cNvPicPr/>
                        </pic:nvPicPr>
                        <pic:blipFill rotWithShape="1">
                          <a:blip r:embed="rId220">
                            <a:extLst>
                              <a:ext uri="{BEBA8EAE-BF5A-486C-A8C5-ECC9F3942E4B}">
                                <a14:imgProps xmlns:a14="http://schemas.microsoft.com/office/drawing/2010/main">
                                  <a14:imgLayer r:embed="rId221">
                                    <a14:imgEffect>
                                      <a14:sharpenSoften amount="50000"/>
                                    </a14:imgEffect>
                                  </a14:imgLayer>
                                </a14:imgProps>
                              </a:ext>
                            </a:extLst>
                          </a:blip>
                          <a:srcRect l="24458" t="4673" b="1202"/>
                          <a:stretch/>
                        </pic:blipFill>
                        <pic:spPr bwMode="auto">
                          <a:xfrm>
                            <a:off x="0" y="0"/>
                            <a:ext cx="3678348" cy="4171984"/>
                          </a:xfrm>
                          <a:prstGeom prst="rect">
                            <a:avLst/>
                          </a:prstGeom>
                          <a:ln>
                            <a:noFill/>
                          </a:ln>
                          <a:extLst>
                            <a:ext uri="{53640926-AAD7-44D8-BBD7-CCE9431645EC}">
                              <a14:shadowObscured xmlns:a14="http://schemas.microsoft.com/office/drawing/2010/main"/>
                            </a:ext>
                          </a:extLst>
                        </pic:spPr>
                      </pic:pic>
                    </a:graphicData>
                  </a:graphic>
                </wp:inline>
              </w:drawing>
            </w:r>
          </w:p>
        </w:tc>
      </w:tr>
    </w:tbl>
    <w:p w14:paraId="681249CF" w14:textId="77777777" w:rsidR="000B0AC7" w:rsidRPr="00CE1D7F" w:rsidRDefault="000B0AC7" w:rsidP="000B0AC7">
      <w:pPr>
        <w:pStyle w:val="Source"/>
        <w:ind w:left="1308" w:hanging="1308"/>
      </w:pPr>
      <w:r w:rsidRPr="00CE1D7F">
        <w:t>Source: Prof Nakata, personal communication.</w:t>
      </w:r>
    </w:p>
    <w:p w14:paraId="20A67726" w14:textId="77777777" w:rsidR="000B0AC7" w:rsidRPr="00CE1D7F" w:rsidRDefault="000B0AC7" w:rsidP="006258ED">
      <w:pPr>
        <w:pStyle w:val="spacer"/>
      </w:pPr>
    </w:p>
    <w:p w14:paraId="48FAD41E" w14:textId="77777777" w:rsidR="002B32A0" w:rsidRPr="00CE1D7F" w:rsidRDefault="002B32A0" w:rsidP="00466245">
      <w:pPr>
        <w:pStyle w:val="BodyText"/>
        <w:keepNext/>
        <w:keepLines/>
      </w:pPr>
      <w:r w:rsidRPr="00CE1D7F">
        <w:rPr>
          <w:i/>
          <w:iCs/>
        </w:rPr>
        <w:t>LIEF – Establishment of the Australian data archive</w:t>
      </w:r>
      <w:r w:rsidRPr="00CE1D7F">
        <w:t xml:space="preserve"> generated 4 sub-archives of curated data for research-intensive networks: Centre of Excellence for Policing and Security, the National Criminal Justice Research Data, the Australian Housing and Urban Research Institute, and the Ageing Well Research Network. This has supported more than 1,000 researchers to develop publications. </w:t>
      </w:r>
      <w:bookmarkStart w:id="575" w:name="_Hlk127879318"/>
      <w:r w:rsidRPr="00CE1D7F">
        <w:rPr>
          <w:i/>
          <w:iCs/>
        </w:rPr>
        <w:t>LIEF –</w:t>
      </w:r>
      <w:bookmarkEnd w:id="575"/>
      <w:r w:rsidRPr="00CE1D7F">
        <w:rPr>
          <w:i/>
          <w:iCs/>
        </w:rPr>
        <w:t xml:space="preserve"> ASSDA</w:t>
      </w:r>
      <w:r w:rsidRPr="00CE1D7F">
        <w:t xml:space="preserve"> developed an open access platform to house a collection of social sciences and humanities data sources and </w:t>
      </w:r>
      <w:r w:rsidRPr="00CE1D7F">
        <w:rPr>
          <w:i/>
          <w:iCs/>
        </w:rPr>
        <w:t xml:space="preserve">LIEF </w:t>
      </w:r>
      <w:r w:rsidRPr="00CE1D7F">
        <w:t xml:space="preserve">– </w:t>
      </w:r>
      <w:r w:rsidRPr="00CE1D7F">
        <w:rPr>
          <w:i/>
          <w:iCs/>
        </w:rPr>
        <w:t>DomeLab</w:t>
      </w:r>
      <w:r w:rsidRPr="00CE1D7F">
        <w:t xml:space="preserve"> developed a mobile ultra-high resolution experimental fulldome. Prof Nakata’s contribution to these grants focused on how to recognise, document and store Indigenous knowledge and how to use Indigenous guides and protocols in the management of, as well as access to, data.</w:t>
      </w:r>
    </w:p>
    <w:p w14:paraId="59A86F2B" w14:textId="77777777" w:rsidR="002B32A0" w:rsidRPr="00CE1D7F" w:rsidRDefault="002B32A0" w:rsidP="002B32A0">
      <w:pPr>
        <w:pStyle w:val="BodyText"/>
      </w:pPr>
      <w:r w:rsidRPr="00CE1D7F">
        <w:t xml:space="preserve">During the </w:t>
      </w:r>
      <w:r w:rsidRPr="00CE1D7F">
        <w:rPr>
          <w:i/>
          <w:iCs/>
        </w:rPr>
        <w:t xml:space="preserve">Discovery Projects </w:t>
      </w:r>
      <w:r w:rsidRPr="00CE1D7F">
        <w:t xml:space="preserve">grant, Prof Nakata laid out a </w:t>
      </w:r>
      <w:r w:rsidRPr="00CE1D7F">
        <w:rPr>
          <w:i/>
          <w:iCs/>
        </w:rPr>
        <w:t>Cultural Interface</w:t>
      </w:r>
      <w:r w:rsidRPr="00CE1D7F">
        <w:t xml:space="preserve"> theory,</w:t>
      </w:r>
      <w:r w:rsidRPr="00CE1D7F">
        <w:rPr>
          <w:rStyle w:val="FootnoteReference"/>
        </w:rPr>
        <w:footnoteReference w:id="270"/>
      </w:r>
      <w:r w:rsidRPr="00CE1D7F">
        <w:t xml:space="preserve"> developed during his PhD studies, and published in his book, </w:t>
      </w:r>
      <w:r w:rsidRPr="00CE1D7F">
        <w:rPr>
          <w:i/>
          <w:iCs/>
        </w:rPr>
        <w:t>Disciplining the savages: Savaging the disciplines</w:t>
      </w:r>
      <w:r w:rsidRPr="00CE1D7F">
        <w:t xml:space="preserve">. This work fundamentally shifted the thinking on Indigenous contemporary situations. This theory was used in another </w:t>
      </w:r>
      <w:r w:rsidRPr="00CE1D7F">
        <w:rPr>
          <w:i/>
          <w:iCs/>
        </w:rPr>
        <w:t>Discovery Project</w:t>
      </w:r>
      <w:r w:rsidRPr="00CE1D7F">
        <w:t xml:space="preserve"> to disrupt the psychological basis of anger issues. It required researchers to look at anger not just as something ‘in the head’ but also where it forms viz., in a given social environment. This led researchers to seek deeper understandings of the ways men were not able to engage the dynamics of the social environment, and to then find that men had poor language abilities for expressing their emotions and feelings in that context; made more difficult when confronted by an angry situation. A situation whereupon hitting back becomes the only option. The rehabilitation framework was reconfigured to help men build facility with language to better manage encounters that may lead to angry behaviour.</w:t>
      </w:r>
    </w:p>
    <w:p w14:paraId="2DBDB085" w14:textId="77777777" w:rsidR="002B32A0" w:rsidRPr="00CE1D7F" w:rsidRDefault="002B32A0" w:rsidP="002B32A0">
      <w:pPr>
        <w:pStyle w:val="Heading3"/>
      </w:pPr>
      <w:r w:rsidRPr="00CE1D7F">
        <w:t>Innovation / commercialisation</w:t>
      </w:r>
    </w:p>
    <w:p w14:paraId="6129A75F" w14:textId="32C72FE7" w:rsidR="002B32A0" w:rsidRPr="00CE1D7F" w:rsidRDefault="002B32A0" w:rsidP="002B32A0">
      <w:pPr>
        <w:pStyle w:val="BodyText"/>
      </w:pPr>
      <w:r w:rsidRPr="00CE1D7F">
        <w:t xml:space="preserve">The research has been highly innovative. At the time the Discovery Indigenous grant commenced, research funding was spent on curriculum issues and curriculum reform, and policy and institutional approaches focused on changing pedagogical practice, incorporating Indigenous topics, insights and culture into education (see </w:t>
      </w:r>
      <w:r>
        <w:t>section </w:t>
      </w:r>
      <w:r w:rsidRPr="00F87D0E">
        <w:fldChar w:fldCharType="begin"/>
      </w:r>
      <w:r w:rsidRPr="00F87D0E">
        <w:instrText xml:space="preserve"> REF _Ref127278525 \r \h  \* MERGEFORMAT </w:instrText>
      </w:r>
      <w:r w:rsidRPr="00F87D0E">
        <w:fldChar w:fldCharType="separate"/>
      </w:r>
      <w:r w:rsidR="000B0AC7">
        <w:t>12.3.2</w:t>
      </w:r>
      <w:r w:rsidRPr="00F87D0E">
        <w:fldChar w:fldCharType="end"/>
      </w:r>
      <w:r w:rsidRPr="00CE1D7F">
        <w:t xml:space="preserve">). As such, the research took a novel approach to understanding how to build Indigenous persistence in learning and to the study of Indigenous learning outcomes. Additionally, this project leveraged student information systems and analytics to identify bespoke platforms for managing student learning. </w:t>
      </w:r>
    </w:p>
    <w:p w14:paraId="1606C52D" w14:textId="77777777" w:rsidR="002B32A0" w:rsidRPr="00CE1D7F" w:rsidRDefault="002B32A0" w:rsidP="002B32A0">
      <w:pPr>
        <w:pStyle w:val="BodyText"/>
      </w:pPr>
      <w:r w:rsidRPr="00CE1D7F">
        <w:t xml:space="preserve">Prof Nakata helped develop WillowSoft Student Success platform </w:t>
      </w:r>
      <w:r w:rsidRPr="00CE1D7F">
        <w:rPr>
          <w:rStyle w:val="FootnoteReference"/>
        </w:rPr>
        <w:footnoteReference w:id="271"/>
      </w:r>
      <w:r w:rsidRPr="00CE1D7F">
        <w:t xml:space="preserve"> in 2018 with industry partner WillowSoft Pty Ltd. This commercial application now supports his university to apply the TAPS strategy. A subscription license can be purchased for just over $120,000 per year. As noted on the WillowSoft website:</w:t>
      </w:r>
    </w:p>
    <w:p w14:paraId="1CC704C6" w14:textId="77777777" w:rsidR="002B32A0" w:rsidRPr="00CE1D7F" w:rsidRDefault="002B32A0" w:rsidP="002B32A0">
      <w:pPr>
        <w:pStyle w:val="Quote"/>
      </w:pPr>
      <w:r w:rsidRPr="00CE1D7F">
        <w:t>WillowSoft is the only software platform in the world to incorporate over 20 years of Australian academic research in identifying and managing the levers for Indigenous student success. This knowledge is encapsulated in the design of the assessment tools and prescriptive case plan activities.</w:t>
      </w:r>
    </w:p>
    <w:p w14:paraId="1A0EE6F7" w14:textId="77777777" w:rsidR="002B32A0" w:rsidRPr="00CE1D7F" w:rsidRDefault="002B32A0" w:rsidP="002B32A0">
      <w:pPr>
        <w:pStyle w:val="BodyText"/>
      </w:pPr>
      <w:r w:rsidRPr="00CE1D7F">
        <w:t>WillowSoft provides 4 components:</w:t>
      </w:r>
    </w:p>
    <w:p w14:paraId="48BF4CB3" w14:textId="77777777" w:rsidR="002B32A0" w:rsidRPr="00CE1D7F" w:rsidRDefault="002B32A0" w:rsidP="00466245">
      <w:pPr>
        <w:pStyle w:val="ListBullet"/>
      </w:pPr>
      <w:r w:rsidRPr="00CE1D7F">
        <w:t xml:space="preserve">Case Management methodology, which incorporates programs, case plans and tasks to support universities to assess and allocate student cohorts to staff </w:t>
      </w:r>
    </w:p>
    <w:p w14:paraId="6DEE46FE" w14:textId="77777777" w:rsidR="002B32A0" w:rsidRPr="00CE1D7F" w:rsidRDefault="002B32A0" w:rsidP="00466245">
      <w:pPr>
        <w:pStyle w:val="ListBullet"/>
      </w:pPr>
      <w:r w:rsidRPr="00CE1D7F">
        <w:t>Discovery, for assessment tools and prescriptive case plan activities</w:t>
      </w:r>
    </w:p>
    <w:p w14:paraId="6926618D" w14:textId="77777777" w:rsidR="002B32A0" w:rsidRPr="00CE1D7F" w:rsidRDefault="002B32A0" w:rsidP="00466245">
      <w:pPr>
        <w:pStyle w:val="ListBullet"/>
      </w:pPr>
      <w:r w:rsidRPr="00CE1D7F">
        <w:t>Insights, for live dashboards of metrics of student cohort performance, and machine learning to identify problem areas and patterns of contributing factors for success or failure</w:t>
      </w:r>
    </w:p>
    <w:p w14:paraId="007951FE" w14:textId="77777777" w:rsidR="002B32A0" w:rsidRPr="00CE1D7F" w:rsidRDefault="002B32A0" w:rsidP="00466245">
      <w:pPr>
        <w:pStyle w:val="ListBullet"/>
      </w:pPr>
      <w:r w:rsidRPr="00CE1D7F">
        <w:t>Engagement support, which equips Indigenous education support staff with a holistic view of the student.</w:t>
      </w:r>
    </w:p>
    <w:p w14:paraId="494B22BD" w14:textId="77777777" w:rsidR="002B32A0" w:rsidRPr="00CE1D7F" w:rsidRDefault="002B32A0" w:rsidP="002B32A0">
      <w:pPr>
        <w:pStyle w:val="BodyText"/>
      </w:pPr>
      <w:r w:rsidRPr="00CE1D7F">
        <w:t xml:space="preserve">WillowSoft enables cross-campus student monitoring and engagement, particularly helpful for large or dispersed campuses. </w:t>
      </w:r>
    </w:p>
    <w:p w14:paraId="62807F9B" w14:textId="04DB3E22" w:rsidR="002B32A0" w:rsidRPr="00CE1D7F" w:rsidRDefault="002B32A0" w:rsidP="002B32A0">
      <w:pPr>
        <w:pStyle w:val="BodyText"/>
      </w:pPr>
      <w:r w:rsidRPr="00CE1D7F">
        <w:t xml:space="preserve">Universities can implement TAPS without WillowSoft but will require a much more robust Customer relationship management (CRM) system to support the engagement with students. Prof Nakata has worked with this same industry partner to also develop a version for the school sector to support Indigenous students to arrive at university better prepared for study (see </w:t>
      </w:r>
      <w:r>
        <w:t>section </w:t>
      </w:r>
      <w:r w:rsidRPr="00F87D0E">
        <w:fldChar w:fldCharType="begin"/>
      </w:r>
      <w:r w:rsidRPr="00F87D0E">
        <w:instrText xml:space="preserve"> REF _Ref127979070 \r \h  \* MERGEFORMAT </w:instrText>
      </w:r>
      <w:r w:rsidRPr="00F87D0E">
        <w:fldChar w:fldCharType="separate"/>
      </w:r>
      <w:r w:rsidR="000B0AC7">
        <w:t>12.9</w:t>
      </w:r>
      <w:r w:rsidRPr="00F87D0E">
        <w:fldChar w:fldCharType="end"/>
      </w:r>
      <w:r w:rsidRPr="00CE1D7F">
        <w:t>).</w:t>
      </w:r>
    </w:p>
    <w:p w14:paraId="76AC4588" w14:textId="77777777" w:rsidR="002B32A0" w:rsidRPr="00CE1D7F" w:rsidRDefault="002B32A0" w:rsidP="002B32A0">
      <w:pPr>
        <w:pStyle w:val="Heading2"/>
      </w:pPr>
      <w:bookmarkStart w:id="576" w:name="_Toc129963990"/>
      <w:bookmarkStart w:id="577" w:name="_Toc131174629"/>
      <w:bookmarkStart w:id="578" w:name="_Toc132970720"/>
      <w:bookmarkStart w:id="579" w:name="_Toc135323759"/>
      <w:r w:rsidRPr="00CE1D7F">
        <w:t>Outcomes</w:t>
      </w:r>
      <w:bookmarkEnd w:id="576"/>
      <w:bookmarkEnd w:id="577"/>
      <w:bookmarkEnd w:id="578"/>
      <w:bookmarkEnd w:id="579"/>
      <w:r w:rsidRPr="00CE1D7F">
        <w:t xml:space="preserve"> </w:t>
      </w:r>
    </w:p>
    <w:p w14:paraId="49F465A5" w14:textId="77777777" w:rsidR="002B32A0" w:rsidRPr="00CE1D7F" w:rsidRDefault="002B32A0" w:rsidP="002B32A0">
      <w:pPr>
        <w:pStyle w:val="Heading3"/>
      </w:pPr>
      <w:r w:rsidRPr="00CE1D7F">
        <w:t>Adoption</w:t>
      </w:r>
    </w:p>
    <w:p w14:paraId="3FEC52DE" w14:textId="77777777" w:rsidR="002B32A0" w:rsidRPr="00CE1D7F" w:rsidRDefault="002B32A0" w:rsidP="002B32A0">
      <w:pPr>
        <w:pStyle w:val="Heading4"/>
      </w:pPr>
      <w:r w:rsidRPr="00CE1D7F">
        <w:t>Adopting the Indigenous learning model TAPS</w:t>
      </w:r>
    </w:p>
    <w:p w14:paraId="6833E603" w14:textId="77777777" w:rsidR="002B32A0" w:rsidRPr="00CE1D7F" w:rsidRDefault="002B32A0" w:rsidP="002B32A0">
      <w:pPr>
        <w:pStyle w:val="BodyText"/>
      </w:pPr>
      <w:r w:rsidRPr="00CE1D7F">
        <w:t>TAPS fills a gap in available models of support services and provides an evidence base for many stakeholders on how to support Indigenous students. It has been adopted variously by UNSW, ECU and JCU. There are discussions amongst practitioners in other universities (UQ, Griffith, Murdoch, and Sunshine Coast universities) about the potential for a broader rollout of TAPS. A national conference in July 2023 will likely see other interest as knowledge of the case studies are shared with all universities for the first time.</w:t>
      </w:r>
    </w:p>
    <w:p w14:paraId="2A0BF95A" w14:textId="77777777" w:rsidR="002B32A0" w:rsidRPr="00CE1D7F" w:rsidRDefault="002B32A0" w:rsidP="002B32A0">
      <w:pPr>
        <w:pStyle w:val="BodyText"/>
      </w:pPr>
      <w:r w:rsidRPr="00CE1D7F">
        <w:t>ECU adopted TAPS in 2017. ECU employs non-academic and academic (aligned with student’s study fields) support staff to implement TAPS. Indigenous students now receive a pre-orientation survey before they enrol to provide the university with an understanding of their caring responsibilities, living location, hours worked per week, whether they are the first in their family to attend university, and whether they have studied and completed elsewhere. The university identifies matters that may impact student engagement and completion, and tailors the support provided. This includes a specific introduction to the available Indigenous services, an individual success plan, a 4-weekly phone check-in and an annual student experience/satisfaction survey. Prof Nakata meets with ECU every 6 months to contribute emerging insights on TAPS.</w:t>
      </w:r>
    </w:p>
    <w:p w14:paraId="2869B9A1" w14:textId="77777777" w:rsidR="002B32A0" w:rsidRPr="00CE1D7F" w:rsidRDefault="002B32A0" w:rsidP="002B32A0">
      <w:pPr>
        <w:pStyle w:val="BodyText"/>
      </w:pPr>
      <w:r w:rsidRPr="00CE1D7F">
        <w:t xml:space="preserve">JCU adopted TAPS in 2016 and purchased a WillowSoft subscription in 2019. 50% of JCU’s Indigenous student population is from low socio-economic backgrounds, and 75% are first in family to undertake higher education. Since adopting TAPS, JCU implemented an improved learning support service and brought in an industry partner, WillowSoft Pty Ltd, to help measure student progress and outcomes. JCU has 12 academic and pastoral support staff, that engage with Indigenous students every 3 weeks to check-in and identify emerging issues. JCU also uses WillowSoft’s predictive capacity across the student cohort and their study schedules to guide where support is needed, and support staff are alerted to this need much earlier through this process. </w:t>
      </w:r>
    </w:p>
    <w:p w14:paraId="7B031759" w14:textId="77777777" w:rsidR="002B32A0" w:rsidRPr="00CE1D7F" w:rsidRDefault="002B32A0" w:rsidP="002B32A0">
      <w:pPr>
        <w:pStyle w:val="BodyText"/>
      </w:pPr>
      <w:r w:rsidRPr="00CE1D7F">
        <w:t>The success of students completing degrees at JCU has provided confidence with donors such that more funds are now available to support more Indigenous students in their university studies.</w:t>
      </w:r>
    </w:p>
    <w:p w14:paraId="40A3A492" w14:textId="77777777" w:rsidR="002B32A0" w:rsidRPr="00CE1D7F" w:rsidRDefault="002B32A0" w:rsidP="002B32A0">
      <w:pPr>
        <w:pStyle w:val="BodyText"/>
      </w:pPr>
      <w:r w:rsidRPr="00CE1D7F">
        <w:t>Adopting TAPS has created a shift in the way these universities approach Indigenous student learning engagements. This has largely been a move from a reactionary approach (waiting for students to experience problems) to a proactive response and thus opportunities for much earlier intervention (staff regularly engage with students and understand where issues are likely to emerge).</w:t>
      </w:r>
    </w:p>
    <w:p w14:paraId="60ED5CF7" w14:textId="77777777" w:rsidR="002B32A0" w:rsidRPr="00CE1D7F" w:rsidRDefault="002B32A0" w:rsidP="002B32A0">
      <w:pPr>
        <w:pStyle w:val="Heading4"/>
      </w:pPr>
      <w:r w:rsidRPr="00CE1D7F">
        <w:t xml:space="preserve">Adopting other research outputs </w:t>
      </w:r>
    </w:p>
    <w:p w14:paraId="0D14471A" w14:textId="77777777" w:rsidR="002B32A0" w:rsidRPr="00CE1D7F" w:rsidRDefault="002B32A0" w:rsidP="002B32A0">
      <w:pPr>
        <w:pStyle w:val="BodyText"/>
      </w:pPr>
      <w:r w:rsidRPr="00CE1D7F">
        <w:t xml:space="preserve">The book, </w:t>
      </w:r>
      <w:r w:rsidRPr="00CE1D7F">
        <w:rPr>
          <w:i/>
          <w:iCs/>
        </w:rPr>
        <w:t>Supporting Indigenous students to success at university,</w:t>
      </w:r>
      <w:r w:rsidRPr="00CE1D7F">
        <w:t xml:space="preserve"> was written as a guide for all universities on how to manage and support under-prepared students.</w:t>
      </w:r>
    </w:p>
    <w:p w14:paraId="5DF85BFA" w14:textId="77777777" w:rsidR="002B32A0" w:rsidRPr="00CE1D7F" w:rsidRDefault="002B32A0" w:rsidP="002B32A0">
      <w:pPr>
        <w:pStyle w:val="BodyText"/>
      </w:pPr>
      <w:r w:rsidRPr="00CE1D7F">
        <w:t>The Australian New Zealand School of Governance (ANZOG) requested details of the Discovery Indigenous research for use as a case study to exemplify progressive empirically driven public policy in Australia.</w:t>
      </w:r>
    </w:p>
    <w:p w14:paraId="1BED741E" w14:textId="77777777" w:rsidR="002B32A0" w:rsidRPr="00CE1D7F" w:rsidRDefault="002B32A0" w:rsidP="002B32A0">
      <w:r w:rsidRPr="00CE1D7F">
        <w:rPr>
          <w:i/>
          <w:iCs/>
        </w:rPr>
        <w:t>LIEF – Establishment of the Australian data archive</w:t>
      </w:r>
      <w:r w:rsidRPr="00CE1D7F">
        <w:t xml:space="preserve"> and </w:t>
      </w:r>
      <w:r w:rsidRPr="00CE1D7F">
        <w:rPr>
          <w:i/>
          <w:iCs/>
        </w:rPr>
        <w:t xml:space="preserve">LIEF –ASSDA </w:t>
      </w:r>
      <w:r w:rsidRPr="00CE1D7F">
        <w:t>resulted in the development of new data protocols for the major social science databases. This revolutionised the way that data is stored and curated. The NSW State Library and World Library and Information Congress adopted this research. Changes were also made to Australian and international policies on managing Indigenous knowledge and data. Prof Nakata also worked with indigenous library associations.</w:t>
      </w:r>
    </w:p>
    <w:p w14:paraId="7F8C64C2" w14:textId="77777777" w:rsidR="002B32A0" w:rsidRPr="00CE1D7F" w:rsidRDefault="002B32A0" w:rsidP="002B32A0">
      <w:pPr>
        <w:pStyle w:val="BodyText"/>
      </w:pPr>
      <w:r w:rsidRPr="00CE1D7F">
        <w:t>The</w:t>
      </w:r>
      <w:r w:rsidRPr="00CE1D7F">
        <w:rPr>
          <w:i/>
          <w:iCs/>
        </w:rPr>
        <w:t xml:space="preserve"> LIEF – Establishment of the Australian data archive</w:t>
      </w:r>
      <w:r w:rsidRPr="00CE1D7F">
        <w:t xml:space="preserve"> grant supported evidence-based policy, developed new data-sharing partnerships with government and researchers, and supported collaboration between research-intensive networks. New data curation since 2012 has led to the development of new content in each sub-archive, resulted in more than 1,000 datasets in the collection. The archive has been used by notable studies such as the Australian Election Study, with the supporting data cited more than 200 times. </w:t>
      </w:r>
    </w:p>
    <w:p w14:paraId="480259B7" w14:textId="77777777" w:rsidR="002B32A0" w:rsidRPr="00CE1D7F" w:rsidRDefault="002B32A0" w:rsidP="002B32A0">
      <w:pPr>
        <w:pStyle w:val="Heading3"/>
      </w:pPr>
      <w:r w:rsidRPr="00CE1D7F">
        <w:t>Alignment with government strategic priorities</w:t>
      </w:r>
    </w:p>
    <w:p w14:paraId="1D38A969" w14:textId="0591EDF7" w:rsidR="002B32A0" w:rsidRPr="00CE1D7F" w:rsidRDefault="002B32A0" w:rsidP="002B32A0">
      <w:pPr>
        <w:pStyle w:val="BodyText"/>
      </w:pPr>
      <w:r w:rsidRPr="00CE1D7F">
        <w:t xml:space="preserve">The research aligns with the strategic objectives of the National Agreement on Closing the Gap (see </w:t>
      </w:r>
      <w:r>
        <w:t>section </w:t>
      </w:r>
      <w:r w:rsidRPr="00F87D0E">
        <w:fldChar w:fldCharType="begin"/>
      </w:r>
      <w:r w:rsidRPr="00F87D0E">
        <w:instrText xml:space="preserve"> REF _Ref127196116 \r \h  \* MERGEFORMAT </w:instrText>
      </w:r>
      <w:r w:rsidRPr="00F87D0E">
        <w:fldChar w:fldCharType="separate"/>
      </w:r>
      <w:r w:rsidR="000B0AC7">
        <w:t>0</w:t>
      </w:r>
      <w:r w:rsidRPr="00F87D0E">
        <w:fldChar w:fldCharType="end"/>
      </w:r>
      <w:r w:rsidRPr="00CE1D7F">
        <w:t>),</w:t>
      </w:r>
      <w:r w:rsidRPr="00CE1D7F">
        <w:rPr>
          <w:rStyle w:val="FootnoteReference"/>
        </w:rPr>
        <w:footnoteReference w:id="272"/>
      </w:r>
      <w:r w:rsidRPr="00CE1D7F">
        <w:t xml:space="preserve"> in particular Goals 6 and 7. Outcome 6 is focused on higher education completion rates, and its 2031 target is to increase the proportion of Indigenous people aged 25-34 with a completed tertiary qualification to 70%.</w:t>
      </w:r>
      <w:r w:rsidRPr="00CE1D7F">
        <w:rPr>
          <w:rStyle w:val="FootnoteReference"/>
        </w:rPr>
        <w:footnoteReference w:id="273"/>
      </w:r>
      <w:r w:rsidRPr="00CE1D7F">
        <w:t xml:space="preserve"> Outcome 7 focuses on the proportion of Indigenous people aged 15-24 engaged in employment, education or training. Its 2031 goal is to increase this proportion to 67%.</w:t>
      </w:r>
      <w:r w:rsidRPr="00CE1D7F">
        <w:rPr>
          <w:rStyle w:val="FootnoteReference"/>
        </w:rPr>
        <w:footnoteReference w:id="274"/>
      </w:r>
      <w:r w:rsidRPr="00CE1D7F">
        <w:t xml:space="preserve"> This suite of research focuses on improving Indigenous learning outcomes, and key measures of the research (enrolment, retention and completion) align with government priorities. </w:t>
      </w:r>
    </w:p>
    <w:p w14:paraId="21C7D226" w14:textId="77777777" w:rsidR="002B32A0" w:rsidRPr="00CE1D7F" w:rsidRDefault="002B32A0" w:rsidP="002B32A0">
      <w:pPr>
        <w:pStyle w:val="BodyText"/>
      </w:pPr>
      <w:r w:rsidRPr="00CE1D7F">
        <w:t>The research also relates to the strategic goals of Australia’s peak university body, Universities Australia, which in 2022 launched a 5-year sectoral strategy for closing the gap in higher education.</w:t>
      </w:r>
      <w:r w:rsidRPr="00CE1D7F">
        <w:rPr>
          <w:rStyle w:val="FootnoteReference"/>
        </w:rPr>
        <w:footnoteReference w:id="275"/>
      </w:r>
      <w:r w:rsidRPr="00CE1D7F">
        <w:t xml:space="preserve"> This includes priorities to improve enrolment and completion rates. </w:t>
      </w:r>
    </w:p>
    <w:p w14:paraId="09D5CDB4" w14:textId="77777777" w:rsidR="002B32A0" w:rsidRPr="00CE1D7F" w:rsidRDefault="002B32A0" w:rsidP="002B32A0">
      <w:pPr>
        <w:pStyle w:val="Heading3"/>
      </w:pPr>
      <w:r w:rsidRPr="00CE1D7F">
        <w:t>Research capability building</w:t>
      </w:r>
    </w:p>
    <w:p w14:paraId="6A413A52" w14:textId="4B8416CE" w:rsidR="002B32A0" w:rsidRPr="00CE1D7F" w:rsidRDefault="002B32A0" w:rsidP="002B32A0">
      <w:pPr>
        <w:pStyle w:val="BodyText"/>
      </w:pPr>
      <w:r w:rsidRPr="00CE1D7F">
        <w:t xml:space="preserve">The 2 ARC Centres of Excellence (see </w:t>
      </w:r>
      <w:r>
        <w:t>section </w:t>
      </w:r>
      <w:r w:rsidRPr="00F87D0E">
        <w:fldChar w:fldCharType="begin"/>
      </w:r>
      <w:r w:rsidRPr="00F87D0E">
        <w:instrText xml:space="preserve"> REF _Ref127979070 \r \h  \* MERGEFORMAT </w:instrText>
      </w:r>
      <w:r w:rsidRPr="00F87D0E">
        <w:fldChar w:fldCharType="separate"/>
      </w:r>
      <w:r w:rsidR="000B0AC7">
        <w:t>12.9</w:t>
      </w:r>
      <w:r w:rsidRPr="00F87D0E">
        <w:fldChar w:fldCharType="end"/>
      </w:r>
      <w:r w:rsidRPr="00CE1D7F">
        <w:t xml:space="preserve">) will support Higher Degree research students, with the </w:t>
      </w:r>
      <w:r w:rsidRPr="00CE1D7F">
        <w:rPr>
          <w:i/>
          <w:iCs/>
        </w:rPr>
        <w:t xml:space="preserve">Indigenous Environmental Histories </w:t>
      </w:r>
      <w:r w:rsidRPr="00CE1D7F">
        <w:t>supporting up to 90 fully funded PhD and MPhil candidates and up to 42 postdoctoral fellows over its life. Centres of Excellence also provide a means for capacity building across a researcher’s career, with training for post-doctoral, early-, mid- and late-career researchers through the opportunity to work on large-scale problems over longer timeframes.</w:t>
      </w:r>
    </w:p>
    <w:p w14:paraId="63674403" w14:textId="77777777" w:rsidR="002B32A0" w:rsidRPr="00CE1D7F" w:rsidRDefault="002B32A0" w:rsidP="002B32A0">
      <w:pPr>
        <w:pStyle w:val="Heading2"/>
      </w:pPr>
      <w:bookmarkStart w:id="580" w:name="_Toc129963991"/>
      <w:bookmarkStart w:id="581" w:name="_Toc131174630"/>
      <w:bookmarkStart w:id="582" w:name="_Toc132970721"/>
      <w:bookmarkStart w:id="583" w:name="_Toc135323760"/>
      <w:r w:rsidRPr="00CE1D7F">
        <w:t>Impacts</w:t>
      </w:r>
      <w:bookmarkEnd w:id="580"/>
      <w:bookmarkEnd w:id="581"/>
      <w:bookmarkEnd w:id="582"/>
      <w:bookmarkEnd w:id="583"/>
    </w:p>
    <w:p w14:paraId="0BA91A55" w14:textId="77777777" w:rsidR="002B32A0" w:rsidRPr="00CE1D7F" w:rsidRDefault="002B32A0" w:rsidP="002B32A0">
      <w:pPr>
        <w:pStyle w:val="Heading3"/>
      </w:pPr>
      <w:r w:rsidRPr="00CE1D7F">
        <w:t xml:space="preserve">Economic impacts </w:t>
      </w:r>
    </w:p>
    <w:p w14:paraId="7163F04A" w14:textId="77777777" w:rsidR="002B32A0" w:rsidRPr="00CE1D7F" w:rsidRDefault="002B32A0" w:rsidP="002B32A0">
      <w:pPr>
        <w:pStyle w:val="Heading4"/>
      </w:pPr>
      <w:r w:rsidRPr="00CE1D7F">
        <w:t>Counterfactual</w:t>
      </w:r>
    </w:p>
    <w:p w14:paraId="220636AE" w14:textId="77777777" w:rsidR="002B32A0" w:rsidRPr="00CE1D7F" w:rsidRDefault="002B32A0" w:rsidP="002B32A0">
      <w:pPr>
        <w:pStyle w:val="BodyText"/>
        <w:rPr>
          <w:i/>
          <w:iCs/>
        </w:rPr>
      </w:pPr>
      <w:r w:rsidRPr="00CE1D7F">
        <w:t>This research could not have been conducted without the ARC. No large research grants were available from other sources for research of this nature. The funding also provided the legitimacy for this research and for Prof Nakata to allocate time amongst teaching and other university responsibilities.</w:t>
      </w:r>
    </w:p>
    <w:p w14:paraId="636C64FC" w14:textId="77777777" w:rsidR="002B32A0" w:rsidRPr="00CE1D7F" w:rsidRDefault="002B32A0" w:rsidP="002B32A0">
      <w:pPr>
        <w:pStyle w:val="Heading4"/>
      </w:pPr>
      <w:r w:rsidRPr="00CE1D7F">
        <w:t>Attribution</w:t>
      </w:r>
    </w:p>
    <w:p w14:paraId="506B0517" w14:textId="77777777" w:rsidR="002B32A0" w:rsidRPr="00CE1D7F" w:rsidRDefault="002B32A0" w:rsidP="002B32A0">
      <w:pPr>
        <w:pStyle w:val="BodyText"/>
      </w:pPr>
      <w:r w:rsidRPr="00CE1D7F">
        <w:t>Noting the counterfactual above, there is a clear role for other funding sources in translating the research. This includes universities, industry and other government funding sources. Without this funding, there would be less uptake and awareness of TAPS.</w:t>
      </w:r>
    </w:p>
    <w:p w14:paraId="34AF32A0" w14:textId="77777777" w:rsidR="002B32A0" w:rsidRPr="00CE1D7F" w:rsidRDefault="002B32A0" w:rsidP="002B32A0">
      <w:pPr>
        <w:pStyle w:val="BodyText"/>
      </w:pPr>
      <w:bookmarkStart w:id="584" w:name="_Hlk128727404"/>
      <w:r w:rsidRPr="00CE1D7F">
        <w:t xml:space="preserve">Given the important role of this funding in conducting this research, ECU and Murdoch university have noted that 75% of the benefits are attributable to the ARC, while JCU has stated that 100% of the benefits can be attributed to the ARC. A central attribution rate of 75% was selected. This parameter is tested in the sensitivity testing </w:t>
      </w:r>
      <w:r>
        <w:t>section </w:t>
      </w:r>
      <w:r w:rsidRPr="00CE1D7F">
        <w:t>below.</w:t>
      </w:r>
    </w:p>
    <w:p w14:paraId="4035F3D9" w14:textId="77777777" w:rsidR="002B32A0" w:rsidRPr="00CE1D7F" w:rsidRDefault="002B32A0" w:rsidP="002B32A0">
      <w:pPr>
        <w:pStyle w:val="Heading4"/>
      </w:pPr>
      <w:r w:rsidRPr="00CE1D7F">
        <w:t>Methodology and key assumptions</w:t>
      </w:r>
    </w:p>
    <w:p w14:paraId="70D8AFDC" w14:textId="31824E8E" w:rsidR="002B32A0" w:rsidRPr="00CE1D7F" w:rsidRDefault="002B32A0" w:rsidP="002B32A0">
      <w:pPr>
        <w:pStyle w:val="BodyText"/>
      </w:pPr>
      <w:r w:rsidRPr="00CE1D7F">
        <w:t xml:space="preserve">The cost-benefit analysis (CBA) estimates the identified costs and benefits relating to the retention of indigenous students in tertiary education. The CBA compares the total costs of the Discovery Indigenous – Indigenous persistence in formal learning grant (see </w:t>
      </w:r>
      <w:r>
        <w:t>Section </w:t>
      </w:r>
      <w:r w:rsidRPr="00F87D0E">
        <w:fldChar w:fldCharType="begin"/>
      </w:r>
      <w:r w:rsidRPr="00F87D0E">
        <w:instrText xml:space="preserve"> REF _Ref127971740 \n \h  \* MERGEFORMAT </w:instrText>
      </w:r>
      <w:r w:rsidRPr="00F87D0E">
        <w:fldChar w:fldCharType="separate"/>
      </w:r>
      <w:r w:rsidR="000B0AC7">
        <w:t>8.4</w:t>
      </w:r>
      <w:r w:rsidRPr="00F87D0E">
        <w:fldChar w:fldCharType="end"/>
      </w:r>
      <w:r w:rsidRPr="00CE1D7F">
        <w:t>) to the estimated benefits of the additional income accrued by the indigenous learners post-graduation. This model also assumes that university fees are minimised by assuming that students who receive support and are retained graduate after 4 years of university rather than prolonging their studies and increasing costs due to retaking subjects.</w:t>
      </w:r>
      <w:r w:rsidRPr="00CE1D7F">
        <w:rPr>
          <w:rStyle w:val="FootnoteReference"/>
        </w:rPr>
        <w:footnoteReference w:id="276"/>
      </w:r>
    </w:p>
    <w:p w14:paraId="43DF7791" w14:textId="77777777" w:rsidR="002B32A0" w:rsidRPr="00CE1D7F" w:rsidRDefault="002B32A0" w:rsidP="002B32A0">
      <w:pPr>
        <w:pStyle w:val="BodyText"/>
      </w:pPr>
      <w:r w:rsidRPr="00CE1D7F">
        <w:t xml:space="preserve">It should be noted that even with the consideration of these 2 areas of benefit, the analysis is still likely to be conservative as it does not quantify broader benefits that may come with increased education levels, such as improving health outcomes. </w:t>
      </w:r>
    </w:p>
    <w:p w14:paraId="6EFADE33" w14:textId="77777777" w:rsidR="002B32A0" w:rsidRPr="00CE1D7F" w:rsidRDefault="002B32A0" w:rsidP="002B32A0">
      <w:pPr>
        <w:pStyle w:val="BodyText"/>
      </w:pPr>
      <w:r w:rsidRPr="00CE1D7F">
        <w:t>The following assumptions underpin the CBA:</w:t>
      </w:r>
    </w:p>
    <w:p w14:paraId="292B3347" w14:textId="77777777" w:rsidR="002B32A0" w:rsidRPr="00CE1D7F" w:rsidRDefault="002B32A0" w:rsidP="002B32A0">
      <w:pPr>
        <w:pStyle w:val="ListBullet"/>
        <w:numPr>
          <w:ilvl w:val="0"/>
          <w:numId w:val="43"/>
        </w:numPr>
      </w:pPr>
      <w:r w:rsidRPr="00CE1D7F">
        <w:t>Discount rate of 7% was used in the central case. A discount rate of 3% was used as a lower-bound sensitivity and a discount rate of 10% was used as an upper-bound sensitivity.</w:t>
      </w:r>
    </w:p>
    <w:p w14:paraId="795B023B" w14:textId="77777777" w:rsidR="002B32A0" w:rsidRPr="00CE1D7F" w:rsidRDefault="002B32A0" w:rsidP="002B32A0">
      <w:pPr>
        <w:pStyle w:val="ListBullet"/>
        <w:numPr>
          <w:ilvl w:val="0"/>
          <w:numId w:val="43"/>
        </w:numPr>
      </w:pPr>
      <w:r w:rsidRPr="00CE1D7F">
        <w:t>The difference in retention rate between indigenous students in the support program and those not in the support program is based on the increase in retention of indigenous students at ECU, based on trial data from 2017 to 2022.</w:t>
      </w:r>
    </w:p>
    <w:p w14:paraId="337190AA" w14:textId="77777777" w:rsidR="002B32A0" w:rsidRPr="00CE1D7F" w:rsidRDefault="002B32A0" w:rsidP="002B32A0">
      <w:pPr>
        <w:pStyle w:val="ListBullet"/>
        <w:numPr>
          <w:ilvl w:val="0"/>
          <w:numId w:val="43"/>
        </w:numPr>
      </w:pPr>
      <w:r w:rsidRPr="00CE1D7F">
        <w:t>The number of indigenous students in the model is 1086, which is based on the number of indigenous students who have been part of the program at ECU (286) and JCU (800). This number has been sensitivity tested with a lower bound of 286 (just ECU students) and 2000 (approximately double the central case).</w:t>
      </w:r>
    </w:p>
    <w:p w14:paraId="26C78DB8" w14:textId="77777777" w:rsidR="002B32A0" w:rsidRPr="00CE1D7F" w:rsidRDefault="002B32A0" w:rsidP="002B32A0">
      <w:pPr>
        <w:pStyle w:val="ListBullet"/>
        <w:numPr>
          <w:ilvl w:val="0"/>
          <w:numId w:val="43"/>
        </w:numPr>
      </w:pPr>
      <w:r w:rsidRPr="00CE1D7F">
        <w:t>Indigenous Bachelor and sub-bachelor graduate income assumptions are based on analysis conducted by the Department of Education, Skills and Employment.</w:t>
      </w:r>
      <w:r w:rsidRPr="00CE1D7F">
        <w:rPr>
          <w:rStyle w:val="FootnoteReference"/>
        </w:rPr>
        <w:footnoteReference w:id="277"/>
      </w:r>
      <w:r w:rsidRPr="00CE1D7F">
        <w:t xml:space="preserve"> The dataset underpinning their analysis uses graduates’ taxation returns based on records collected to administer the Higher Education Loan Program</w:t>
      </w:r>
    </w:p>
    <w:p w14:paraId="50949C04" w14:textId="77777777" w:rsidR="002B32A0" w:rsidRPr="00CE1D7F" w:rsidRDefault="002B32A0" w:rsidP="002B32A0">
      <w:pPr>
        <w:pStyle w:val="ListBullet"/>
        <w:numPr>
          <w:ilvl w:val="0"/>
          <w:numId w:val="43"/>
        </w:numPr>
      </w:pPr>
      <w:r w:rsidRPr="00CE1D7F">
        <w:t>Income growth estimation based on the Department of Education, Skills and Employment analysis and other sources.</w:t>
      </w:r>
      <w:r w:rsidRPr="00CE1D7F">
        <w:rPr>
          <w:rStyle w:val="FootnoteReference"/>
        </w:rPr>
        <w:footnoteReference w:id="278"/>
      </w:r>
    </w:p>
    <w:p w14:paraId="70322CED" w14:textId="77777777" w:rsidR="002B32A0" w:rsidRPr="00CE1D7F" w:rsidRDefault="002B32A0" w:rsidP="002B32A0">
      <w:pPr>
        <w:pStyle w:val="ListBullet"/>
        <w:numPr>
          <w:ilvl w:val="0"/>
          <w:numId w:val="43"/>
        </w:numPr>
      </w:pPr>
      <w:r w:rsidRPr="00CE1D7F">
        <w:t>Cost of university is $24,000 per annum. This cost was selected as it is the average of the lower and upper bound costs of a bachelors degree in Australia (AUD $15,000 - $33,000 per annum).</w:t>
      </w:r>
    </w:p>
    <w:p w14:paraId="4FF27A61" w14:textId="77777777" w:rsidR="002B32A0" w:rsidRPr="00CE1D7F" w:rsidRDefault="002B32A0" w:rsidP="002B32A0">
      <w:pPr>
        <w:pStyle w:val="ListBullet"/>
        <w:numPr>
          <w:ilvl w:val="0"/>
          <w:numId w:val="43"/>
        </w:numPr>
      </w:pPr>
      <w:r w:rsidRPr="00CE1D7F">
        <w:t xml:space="preserve">Length of a bachelor degree is </w:t>
      </w:r>
      <w:r>
        <w:t>3</w:t>
      </w:r>
      <w:r w:rsidRPr="00CE1D7F">
        <w:t xml:space="preserve"> years</w:t>
      </w:r>
    </w:p>
    <w:p w14:paraId="244DC5DD" w14:textId="77777777" w:rsidR="002B32A0" w:rsidRPr="00CE1D7F" w:rsidRDefault="002B32A0" w:rsidP="002B32A0">
      <w:pPr>
        <w:pStyle w:val="ListBullet"/>
        <w:numPr>
          <w:ilvl w:val="0"/>
          <w:numId w:val="43"/>
        </w:numPr>
      </w:pPr>
      <w:r w:rsidRPr="00CE1D7F">
        <w:t>Students who drop out of university do so in their first year of study (based on stakeholder consultation)</w:t>
      </w:r>
    </w:p>
    <w:p w14:paraId="56AC74F8" w14:textId="77777777" w:rsidR="002B32A0" w:rsidRPr="00CE1D7F" w:rsidRDefault="002B32A0" w:rsidP="002B32A0">
      <w:pPr>
        <w:pStyle w:val="ListBullet"/>
        <w:numPr>
          <w:ilvl w:val="0"/>
          <w:numId w:val="43"/>
        </w:numPr>
      </w:pPr>
      <w:r w:rsidRPr="00CE1D7F">
        <w:t>The analysis period is from 2010 (from the start of ARC funding) to 2044 (35-year analysis period, inclusive of starting year). This is consistent across CBAs.</w:t>
      </w:r>
    </w:p>
    <w:p w14:paraId="31102516" w14:textId="77777777" w:rsidR="002B32A0" w:rsidRPr="00CE1D7F" w:rsidRDefault="002B32A0" w:rsidP="002B32A0">
      <w:pPr>
        <w:pStyle w:val="Heading4"/>
      </w:pPr>
      <w:r w:rsidRPr="00CE1D7F">
        <w:t>Costs</w:t>
      </w:r>
    </w:p>
    <w:p w14:paraId="536B9269" w14:textId="77777777" w:rsidR="002B32A0" w:rsidRPr="00CE1D7F" w:rsidRDefault="002B32A0" w:rsidP="002B32A0">
      <w:pPr>
        <w:pStyle w:val="BodyText"/>
      </w:pPr>
      <w:bookmarkStart w:id="585" w:name="_Hlk128125518"/>
      <w:r w:rsidRPr="00CE1D7F">
        <w:t>The nominal costs included in the CBA are:</w:t>
      </w:r>
    </w:p>
    <w:p w14:paraId="60DCA2AE" w14:textId="48C7CAE1" w:rsidR="002B32A0" w:rsidRPr="00CE1D7F" w:rsidRDefault="002B32A0" w:rsidP="000416AD">
      <w:pPr>
        <w:pStyle w:val="ListBullet"/>
      </w:pPr>
      <w:r w:rsidRPr="00CE1D7F">
        <w:t xml:space="preserve">The cash contribution of the ARC Discovery Indigenous – Indigenous persistence in formal learning grant (see </w:t>
      </w:r>
      <w:r>
        <w:t>Section </w:t>
      </w:r>
      <w:r w:rsidRPr="00F87D0E">
        <w:fldChar w:fldCharType="begin"/>
      </w:r>
      <w:r w:rsidRPr="00F87D0E">
        <w:instrText xml:space="preserve"> REF _Ref127971740 \n \h  \* MERGEFORMAT </w:instrText>
      </w:r>
      <w:r w:rsidRPr="00F87D0E">
        <w:fldChar w:fldCharType="separate"/>
      </w:r>
      <w:r w:rsidR="000B0AC7">
        <w:t>8.4</w:t>
      </w:r>
      <w:r w:rsidRPr="00F87D0E">
        <w:fldChar w:fldCharType="end"/>
      </w:r>
      <w:r w:rsidRPr="00CE1D7F">
        <w:t>). Only this grant has been included because it is the key grant that supported the research behind the tertiary education support program.</w:t>
      </w:r>
    </w:p>
    <w:p w14:paraId="0B59D391" w14:textId="77777777" w:rsidR="002B32A0" w:rsidRPr="00CE1D7F" w:rsidRDefault="002B32A0" w:rsidP="000416AD">
      <w:pPr>
        <w:pStyle w:val="ListBullet"/>
      </w:pPr>
      <w:r w:rsidRPr="00CE1D7F">
        <w:t>Cost of a bachelor degree per retained student. Note that the difference between retained and non-retained students is 2 years of fees. For example, the costs counted for a student who graduates at the end of 2019 would be their annual fees in 2018 and 2019, hence $48,000.</w:t>
      </w:r>
      <w:r w:rsidRPr="00CE1D7F">
        <w:rPr>
          <w:rStyle w:val="FootnoteReference"/>
        </w:rPr>
        <w:footnoteReference w:id="279"/>
      </w:r>
    </w:p>
    <w:p w14:paraId="101619CD" w14:textId="77777777" w:rsidR="002B32A0" w:rsidRPr="00CE1D7F" w:rsidRDefault="002B32A0" w:rsidP="00DE6A32">
      <w:pPr>
        <w:pStyle w:val="ListBullet"/>
        <w:numPr>
          <w:ilvl w:val="0"/>
          <w:numId w:val="0"/>
        </w:numPr>
      </w:pPr>
      <w:r w:rsidRPr="00CE1D7F">
        <w:t xml:space="preserve">These nominal costs are adjusted for inflation using the CPI by year, which produces the real costs (2022 dollars). </w:t>
      </w:r>
      <w:bookmarkEnd w:id="585"/>
    </w:p>
    <w:p w14:paraId="3AE882D2" w14:textId="77777777" w:rsidR="002B32A0" w:rsidRPr="00CE1D7F" w:rsidRDefault="002B32A0" w:rsidP="002B32A0">
      <w:pPr>
        <w:pStyle w:val="Heading4"/>
      </w:pPr>
      <w:r w:rsidRPr="00CE1D7F">
        <w:t>Benefits</w:t>
      </w:r>
    </w:p>
    <w:p w14:paraId="04EF98B8" w14:textId="77777777" w:rsidR="002B32A0" w:rsidRPr="00CE1D7F" w:rsidRDefault="002B32A0" w:rsidP="002B32A0">
      <w:pPr>
        <w:pStyle w:val="BodyText"/>
      </w:pPr>
      <w:r w:rsidRPr="00CE1D7F">
        <w:t>The benefit is the additional income generated by the indigenous graduates that were retained through the support program. The additional income is counted to the end of the analysis period.</w:t>
      </w:r>
    </w:p>
    <w:p w14:paraId="76C289EE" w14:textId="77777777" w:rsidR="002B32A0" w:rsidRPr="00CE1D7F" w:rsidRDefault="002B32A0" w:rsidP="002B32A0">
      <w:pPr>
        <w:pStyle w:val="BodyText"/>
      </w:pPr>
      <w:r w:rsidRPr="00CE1D7F">
        <w:t>The nominal benefits by year are calculated by estimating the number of retained students by graduation cohort and then counting the additional income by year that they would generate compared to if they had dropped out and were on a sub-bachelor education. This is done by taking the number of Indigenous students (the assumed number is based on the number of students supported by ECU and JCU), multiplied by the difference in retention due to the support program, multiplied by the difference in income between bachelor and sub-bachelor graduates. Note that in the model, each cohort experiences income growth rates (over the analysis period) that are aligned with Commonwealth Department of Education and publicly available estimates. This figure is adjusted for attribution to the ARC to identify the nominal benefit in that year.</w:t>
      </w:r>
    </w:p>
    <w:p w14:paraId="20326D6B" w14:textId="77777777" w:rsidR="002B32A0" w:rsidRPr="00CE1D7F" w:rsidRDefault="002B32A0" w:rsidP="002B32A0">
      <w:pPr>
        <w:pStyle w:val="BodyText"/>
        <w:rPr>
          <w:rFonts w:eastAsiaTheme="minorEastAsia"/>
        </w:rPr>
      </w:pPr>
      <m:oMathPara>
        <m:oMath>
          <m:r>
            <w:rPr>
              <w:rFonts w:ascii="Cambria Math" w:hAnsi="Cambria Math"/>
            </w:rPr>
            <m:t xml:space="preserve">Difference in income between </m:t>
          </m:r>
          <m:sSup>
            <m:sSupPr>
              <m:ctrlPr>
                <w:rPr>
                  <w:rFonts w:ascii="Cambria Math" w:hAnsi="Cambria Math"/>
                </w:rPr>
              </m:ctrlPr>
            </m:sSupPr>
            <m:e>
              <m:r>
                <m:rPr>
                  <m:sty m:val="p"/>
                </m:rPr>
                <w:rPr>
                  <w:rFonts w:ascii="Cambria Math" w:hAnsi="Cambria Math"/>
                </w:rPr>
                <m:t>bachelor</m:t>
              </m:r>
              <m:ctrlPr>
                <w:rPr>
                  <w:rFonts w:ascii="Cambria Math" w:hAnsi="Cambria Math"/>
                  <w:i/>
                </w:rPr>
              </m:ctrlPr>
            </m:e>
            <m:sup>
              <m:r>
                <m:rPr>
                  <m:sty m:val="p"/>
                </m:rPr>
                <w:rPr>
                  <w:rFonts w:ascii="Cambria Math" w:hAnsi="Cambria Math"/>
                </w:rPr>
                <m:t>'</m:t>
              </m:r>
            </m:sup>
          </m:sSup>
          <m:r>
            <m:rPr>
              <m:sty m:val="p"/>
            </m:rPr>
            <w:rPr>
              <w:rFonts w:ascii="Cambria Math" w:hAnsi="Cambria Math"/>
            </w:rPr>
            <m:t xml:space="preserve">s and </m:t>
          </m:r>
          <m:sSup>
            <m:sSupPr>
              <m:ctrlPr>
                <w:rPr>
                  <w:rFonts w:ascii="Cambria Math" w:hAnsi="Cambria Math"/>
                </w:rPr>
              </m:ctrlPr>
            </m:sSupPr>
            <m:e>
              <m:r>
                <m:rPr>
                  <m:sty m:val="p"/>
                </m:rPr>
                <w:rPr>
                  <w:rFonts w:ascii="Cambria Math" w:hAnsi="Cambria Math"/>
                </w:rPr>
                <m:t>sub-bachelor</m:t>
              </m:r>
            </m:e>
            <m:sup>
              <m:r>
                <m:rPr>
                  <m:sty m:val="p"/>
                </m:rPr>
                <w:rPr>
                  <w:rFonts w:ascii="Cambria Math" w:hAnsi="Cambria Math"/>
                </w:rPr>
                <m:t>'</m:t>
              </m:r>
            </m:sup>
          </m:sSup>
          <m:r>
            <m:rPr>
              <m:sty m:val="p"/>
            </m:rPr>
            <w:rPr>
              <w:rFonts w:ascii="Cambria Math" w:hAnsi="Cambria Math"/>
            </w:rPr>
            <m:t>s graduates</m:t>
          </m:r>
          <m:d>
            <m:dPr>
              <m:ctrlPr>
                <w:rPr>
                  <w:rFonts w:ascii="Cambria Math" w:hAnsi="Cambria Math"/>
                </w:rPr>
              </m:ctrlPr>
            </m:dPr>
            <m:e>
              <m:r>
                <m:rPr>
                  <m:sty m:val="p"/>
                </m:rPr>
                <w:rPr>
                  <w:rFonts w:ascii="Cambria Math" w:hAnsi="Cambria Math"/>
                </w:rPr>
                <m:t>$</m:t>
              </m:r>
            </m:e>
          </m:d>
          <m:r>
            <w:rPr>
              <w:rFonts w:ascii="Cambria Math" w:hAnsi="Cambria Math"/>
            </w:rPr>
            <m:t>×</m:t>
          </m:r>
          <m:d>
            <m:dPr>
              <m:ctrlPr>
                <w:rPr>
                  <w:rFonts w:ascii="Cambria Math" w:hAnsi="Cambria Math"/>
                  <w:i/>
                </w:rPr>
              </m:ctrlPr>
            </m:dPr>
            <m:e>
              <m:r>
                <w:rPr>
                  <w:rFonts w:ascii="Cambria Math" w:hAnsi="Cambria Math"/>
                </w:rPr>
                <m:t xml:space="preserve">difference in retention rate due to program </m:t>
              </m:r>
              <m:d>
                <m:dPr>
                  <m:ctrlPr>
                    <w:rPr>
                      <w:rFonts w:ascii="Cambria Math" w:hAnsi="Cambria Math"/>
                      <w:i/>
                    </w:rPr>
                  </m:ctrlPr>
                </m:dPr>
                <m:e>
                  <m:r>
                    <w:rPr>
                      <w:rFonts w:ascii="Cambria Math" w:hAnsi="Cambria Math"/>
                    </w:rPr>
                    <m:t>%</m:t>
                  </m:r>
                </m:e>
              </m:d>
              <m:r>
                <w:rPr>
                  <w:rFonts w:ascii="Cambria Math" w:hAnsi="Cambria Math"/>
                </w:rPr>
                <m:t>×number of indigenous students in cohort</m:t>
              </m:r>
            </m:e>
          </m:d>
          <m:r>
            <w:rPr>
              <w:rFonts w:ascii="Cambria Math" w:hAnsi="Cambria Math"/>
            </w:rPr>
            <m:t>× attribution to ARC (%)=Nominal benefit ($)</m:t>
          </m:r>
          <m:r>
            <w:rPr>
              <w:rStyle w:val="FootnoteReference"/>
              <w:rFonts w:ascii="Cambria Math" w:hAnsi="Cambria Math"/>
              <w:i/>
            </w:rPr>
            <w:footnoteReference w:id="280"/>
          </m:r>
        </m:oMath>
      </m:oMathPara>
    </w:p>
    <w:p w14:paraId="499C6262" w14:textId="77777777" w:rsidR="002B32A0" w:rsidRPr="00CE1D7F" w:rsidRDefault="002B32A0" w:rsidP="002B32A0">
      <w:pPr>
        <w:pStyle w:val="BodyText"/>
      </w:pPr>
      <w:r w:rsidRPr="00CE1D7F">
        <w:t>These nominal benefits are adjusted for inflation using the Consumer Price Index by year, which produces the real benefits (benefits in 2022 dollars).</w:t>
      </w:r>
      <w:r>
        <w:t xml:space="preserve"> </w:t>
      </w:r>
    </w:p>
    <w:p w14:paraId="0F773281" w14:textId="77777777" w:rsidR="002B32A0" w:rsidRPr="00CE1D7F" w:rsidRDefault="002B32A0" w:rsidP="002B32A0">
      <w:pPr>
        <w:pStyle w:val="Heading4"/>
      </w:pPr>
      <w:r w:rsidRPr="00CE1D7F">
        <w:t>Calculation of NPV and CBR</w:t>
      </w:r>
    </w:p>
    <w:p w14:paraId="6AD93DBA" w14:textId="7E2716B0" w:rsidR="002B32A0" w:rsidRPr="00CE1D7F" w:rsidRDefault="002B32A0" w:rsidP="002B32A0">
      <w:pPr>
        <w:pStyle w:val="BodyText"/>
      </w:pPr>
      <w:r w:rsidRPr="00CE1D7F">
        <w:t xml:space="preserve">The estimated the benefits and costs are provided in </w:t>
      </w:r>
      <w:r w:rsidRPr="00F87D0E">
        <w:fldChar w:fldCharType="begin"/>
      </w:r>
      <w:r w:rsidRPr="00F87D0E">
        <w:instrText xml:space="preserve"> REF _Ref129346141 \h  \* MERGEFORMAT </w:instrText>
      </w:r>
      <w:r w:rsidRPr="00F87D0E">
        <w:fldChar w:fldCharType="separate"/>
      </w:r>
      <w:r w:rsidR="000B0AC7" w:rsidRPr="000B0AC7">
        <w:t>Table 12.2</w:t>
      </w:r>
      <w:r w:rsidRPr="00F87D0E">
        <w:fldChar w:fldCharType="end"/>
      </w:r>
      <w:r w:rsidRPr="00CE1D7F">
        <w:t xml:space="preserve"> for discount rates of 3%, 7% and 10%. </w:t>
      </w:r>
    </w:p>
    <w:p w14:paraId="2B21F19F" w14:textId="77777777" w:rsidR="002B32A0" w:rsidRPr="00CE1D7F" w:rsidRDefault="002B32A0" w:rsidP="002B32A0">
      <w:pPr>
        <w:pStyle w:val="BodyText"/>
      </w:pPr>
      <w:r w:rsidRPr="00CE1D7F">
        <w:t>The benefit-cost ratio (BCR), obtained by dividing the present value of benefits by the present value of costs using a 7% discount rate, is positive at a value of 2.48. The present value of costs is $71.3</w:t>
      </w:r>
      <w:r>
        <w:t> million</w:t>
      </w:r>
      <w:r w:rsidRPr="00CE1D7F">
        <w:t>. The benefits are estimated at $176.5 m, resulting in a NPV of $105.3 m.</w:t>
      </w:r>
    </w:p>
    <w:p w14:paraId="503F2DB6" w14:textId="0F2F0A57" w:rsidR="002B32A0" w:rsidRPr="00CE1D7F" w:rsidRDefault="002B32A0" w:rsidP="000B0AC7">
      <w:pPr>
        <w:pStyle w:val="Caption"/>
        <w:ind w:left="1242" w:hanging="1308"/>
      </w:pPr>
      <w:bookmarkStart w:id="586" w:name="_Ref129346141"/>
      <w:r w:rsidRPr="00CE1D7F">
        <w:rPr>
          <w:rStyle w:val="CaptionLabel"/>
        </w:rPr>
        <w:t>Table </w:t>
      </w:r>
      <w:r w:rsidRPr="00CE1D7F">
        <w:rPr>
          <w:rStyle w:val="CaptionLabel"/>
        </w:rPr>
        <w:fldChar w:fldCharType="begin"/>
      </w:r>
      <w:r w:rsidRPr="00CE1D7F">
        <w:rPr>
          <w:rStyle w:val="CaptionLabel"/>
        </w:rPr>
        <w:instrText xml:space="preserve"> STYLEREF 1 \S \* MERGEFORMAT </w:instrText>
      </w:r>
      <w:r w:rsidRPr="00CE1D7F">
        <w:rPr>
          <w:rStyle w:val="CaptionLabel"/>
        </w:rPr>
        <w:fldChar w:fldCharType="separate"/>
      </w:r>
      <w:r w:rsidR="000B0AC7">
        <w:rPr>
          <w:rStyle w:val="CaptionLabel"/>
          <w:noProof/>
        </w:rPr>
        <w:t>12</w:t>
      </w:r>
      <w:r w:rsidRPr="00CE1D7F">
        <w:rPr>
          <w:rStyle w:val="CaptionLabel"/>
        </w:rPr>
        <w:fldChar w:fldCharType="end"/>
      </w:r>
      <w:r w:rsidRPr="00CE1D7F">
        <w:rPr>
          <w:rStyle w:val="CaptionLabel"/>
        </w:rPr>
        <w:t>.</w:t>
      </w:r>
      <w:r w:rsidRPr="00CE1D7F">
        <w:rPr>
          <w:rStyle w:val="CaptionLabel"/>
        </w:rPr>
        <w:fldChar w:fldCharType="begin"/>
      </w:r>
      <w:r w:rsidRPr="00CE1D7F">
        <w:rPr>
          <w:rStyle w:val="CaptionLabel"/>
        </w:rPr>
        <w:instrText xml:space="preserve"> SEQ Table \* ARABIC \S 1 \* MERGEFORMAT </w:instrText>
      </w:r>
      <w:r w:rsidRPr="00CE1D7F">
        <w:rPr>
          <w:rStyle w:val="CaptionLabel"/>
        </w:rPr>
        <w:fldChar w:fldCharType="separate"/>
      </w:r>
      <w:r w:rsidR="000B0AC7">
        <w:rPr>
          <w:rStyle w:val="CaptionLabel"/>
          <w:noProof/>
        </w:rPr>
        <w:t>2</w:t>
      </w:r>
      <w:r w:rsidRPr="00CE1D7F">
        <w:rPr>
          <w:rStyle w:val="CaptionLabel"/>
        </w:rPr>
        <w:fldChar w:fldCharType="end"/>
      </w:r>
      <w:bookmarkEnd w:id="586"/>
      <w:r w:rsidRPr="00CE1D7F">
        <w:tab/>
        <w:t>Summary of benefits and costs (2022$)</w:t>
      </w:r>
    </w:p>
    <w:tbl>
      <w:tblPr>
        <w:tblStyle w:val="aacTableBasic"/>
        <w:tblW w:w="8002" w:type="dxa"/>
        <w:tblInd w:w="-66" w:type="dxa"/>
        <w:tblLayout w:type="fixed"/>
        <w:tblLook w:val="04A0" w:firstRow="1" w:lastRow="0" w:firstColumn="1" w:lastColumn="0" w:noHBand="0" w:noVBand="1"/>
        <w:tblCaption w:val="Table 12.2"/>
        <w:tblDescription w:val="Summary of benefits and costs (2022$)"/>
      </w:tblPr>
      <w:tblGrid>
        <w:gridCol w:w="2923"/>
        <w:gridCol w:w="1572"/>
        <w:gridCol w:w="1752"/>
        <w:gridCol w:w="1755"/>
      </w:tblGrid>
      <w:tr w:rsidR="002B32A0" w:rsidRPr="00CE1D7F" w14:paraId="60E559AA" w14:textId="77777777" w:rsidTr="000B0AC7">
        <w:trPr>
          <w:cnfStyle w:val="100000000000" w:firstRow="1" w:lastRow="0" w:firstColumn="0" w:lastColumn="0" w:oddVBand="0" w:evenVBand="0" w:oddHBand="0" w:evenHBand="0" w:firstRowFirstColumn="0" w:firstRowLastColumn="0" w:lastRowFirstColumn="0" w:lastRowLastColumn="0"/>
          <w:trHeight w:val="329"/>
        </w:trPr>
        <w:tc>
          <w:tcPr>
            <w:tcW w:w="2923" w:type="dxa"/>
            <w:tcBorders>
              <w:top w:val="nil"/>
            </w:tcBorders>
            <w:shd w:val="solid" w:color="140034" w:fill="140034"/>
            <w:tcMar>
              <w:left w:w="80" w:type="dxa"/>
            </w:tcMar>
          </w:tcPr>
          <w:p w14:paraId="22C98DDD" w14:textId="77777777" w:rsidR="002B32A0" w:rsidRPr="00CE1D7F" w:rsidRDefault="002B32A0" w:rsidP="006258ED">
            <w:pPr>
              <w:pStyle w:val="Tablecolumnheadings"/>
            </w:pPr>
          </w:p>
        </w:tc>
        <w:tc>
          <w:tcPr>
            <w:tcW w:w="1572" w:type="dxa"/>
            <w:tcBorders>
              <w:top w:val="nil"/>
            </w:tcBorders>
            <w:shd w:val="solid" w:color="140034" w:fill="140034"/>
            <w:hideMark/>
          </w:tcPr>
          <w:p w14:paraId="29541C98" w14:textId="77777777" w:rsidR="002B32A0" w:rsidRPr="00CE1D7F" w:rsidRDefault="002B32A0" w:rsidP="006258ED">
            <w:pPr>
              <w:pStyle w:val="Tablecolumnheadings"/>
              <w:jc w:val="center"/>
            </w:pPr>
            <w:r w:rsidRPr="00CE1D7F">
              <w:t>Discount rate 3%</w:t>
            </w:r>
          </w:p>
        </w:tc>
        <w:tc>
          <w:tcPr>
            <w:tcW w:w="1752" w:type="dxa"/>
            <w:tcBorders>
              <w:top w:val="nil"/>
            </w:tcBorders>
            <w:shd w:val="solid" w:color="140034" w:fill="140034"/>
            <w:hideMark/>
          </w:tcPr>
          <w:p w14:paraId="1AD9CDBC" w14:textId="77777777" w:rsidR="002B32A0" w:rsidRPr="00CE1D7F" w:rsidRDefault="002B32A0" w:rsidP="006258ED">
            <w:pPr>
              <w:pStyle w:val="Tablecolumnheadings"/>
              <w:jc w:val="center"/>
            </w:pPr>
            <w:r w:rsidRPr="00CE1D7F">
              <w:t>Discount rate 7%</w:t>
            </w:r>
          </w:p>
        </w:tc>
        <w:tc>
          <w:tcPr>
            <w:tcW w:w="1755" w:type="dxa"/>
            <w:tcBorders>
              <w:top w:val="nil"/>
            </w:tcBorders>
            <w:shd w:val="solid" w:color="140034" w:fill="140034"/>
            <w:hideMark/>
          </w:tcPr>
          <w:p w14:paraId="30B668F5" w14:textId="77777777" w:rsidR="002B32A0" w:rsidRPr="00CE1D7F" w:rsidRDefault="002B32A0" w:rsidP="006258ED">
            <w:pPr>
              <w:pStyle w:val="Tablecolumnheadings"/>
              <w:jc w:val="center"/>
            </w:pPr>
            <w:r w:rsidRPr="00CE1D7F">
              <w:t>Discount rate 10%</w:t>
            </w:r>
          </w:p>
        </w:tc>
      </w:tr>
      <w:tr w:rsidR="002B32A0" w:rsidRPr="00CE1D7F" w14:paraId="562594D0" w14:textId="77777777" w:rsidTr="000B0AC7">
        <w:trPr>
          <w:trHeight w:val="296"/>
        </w:trPr>
        <w:tc>
          <w:tcPr>
            <w:tcW w:w="2923" w:type="dxa"/>
            <w:tcMar>
              <w:left w:w="80" w:type="dxa"/>
            </w:tcMar>
            <w:hideMark/>
          </w:tcPr>
          <w:p w14:paraId="59ADC6B7" w14:textId="77777777" w:rsidR="002B32A0" w:rsidRPr="00CE1D7F" w:rsidRDefault="002B32A0" w:rsidP="006258ED">
            <w:pPr>
              <w:pStyle w:val="Tableunitsrow"/>
              <w:rPr>
                <w:b/>
                <w:bCs/>
              </w:rPr>
            </w:pPr>
            <w:r w:rsidRPr="00CE1D7F">
              <w:rPr>
                <w:b/>
                <w:bCs/>
              </w:rPr>
              <w:t>Present value costs</w:t>
            </w:r>
          </w:p>
        </w:tc>
        <w:tc>
          <w:tcPr>
            <w:tcW w:w="1572" w:type="dxa"/>
          </w:tcPr>
          <w:p w14:paraId="7AAD5343" w14:textId="77777777" w:rsidR="002B32A0" w:rsidRPr="00A014AC" w:rsidRDefault="002B32A0" w:rsidP="006258ED">
            <w:pPr>
              <w:pStyle w:val="Tableunitsrow"/>
            </w:pPr>
          </w:p>
        </w:tc>
        <w:tc>
          <w:tcPr>
            <w:tcW w:w="1752" w:type="dxa"/>
          </w:tcPr>
          <w:p w14:paraId="66602A0C" w14:textId="77777777" w:rsidR="002B32A0" w:rsidRPr="00A014AC" w:rsidRDefault="002B32A0" w:rsidP="006258ED">
            <w:pPr>
              <w:pStyle w:val="Tableunitsrow"/>
            </w:pPr>
          </w:p>
        </w:tc>
        <w:tc>
          <w:tcPr>
            <w:tcW w:w="1755" w:type="dxa"/>
          </w:tcPr>
          <w:p w14:paraId="123A002E" w14:textId="77777777" w:rsidR="002B32A0" w:rsidRPr="00A014AC" w:rsidRDefault="002B32A0" w:rsidP="006258ED">
            <w:pPr>
              <w:pStyle w:val="Tableunitsrow"/>
            </w:pPr>
          </w:p>
        </w:tc>
      </w:tr>
      <w:tr w:rsidR="002B32A0" w:rsidRPr="00CE1D7F" w14:paraId="209356CE" w14:textId="77777777" w:rsidTr="000B0AC7">
        <w:trPr>
          <w:trHeight w:val="296"/>
        </w:trPr>
        <w:tc>
          <w:tcPr>
            <w:tcW w:w="2923" w:type="dxa"/>
            <w:tcMar>
              <w:left w:w="80" w:type="dxa"/>
            </w:tcMar>
          </w:tcPr>
          <w:p w14:paraId="7ACAE0ED" w14:textId="77777777" w:rsidR="002B32A0" w:rsidRPr="00CE1D7F" w:rsidRDefault="002B32A0" w:rsidP="006258ED">
            <w:pPr>
              <w:pStyle w:val="Tabletext"/>
            </w:pPr>
            <w:r w:rsidRPr="00CE1D7F">
              <w:t>ARC-funded research costs</w:t>
            </w:r>
          </w:p>
        </w:tc>
        <w:tc>
          <w:tcPr>
            <w:tcW w:w="1572" w:type="dxa"/>
          </w:tcPr>
          <w:p w14:paraId="5423DD7B" w14:textId="77777777" w:rsidR="002B32A0" w:rsidRPr="00CE1D7F" w:rsidRDefault="002B32A0" w:rsidP="006258ED">
            <w:pPr>
              <w:pStyle w:val="Tabletext"/>
              <w:jc w:val="center"/>
            </w:pPr>
            <w:r w:rsidRPr="00CE1D7F">
              <w:t>$1,091,710</w:t>
            </w:r>
          </w:p>
        </w:tc>
        <w:tc>
          <w:tcPr>
            <w:tcW w:w="1752" w:type="dxa"/>
          </w:tcPr>
          <w:p w14:paraId="7EF49B69" w14:textId="77777777" w:rsidR="002B32A0" w:rsidRPr="00CE1D7F" w:rsidRDefault="002B32A0" w:rsidP="006258ED">
            <w:pPr>
              <w:pStyle w:val="Tabletext"/>
              <w:jc w:val="center"/>
            </w:pPr>
            <w:r w:rsidRPr="00CE1D7F">
              <w:t>$1,540,502</w:t>
            </w:r>
          </w:p>
        </w:tc>
        <w:tc>
          <w:tcPr>
            <w:tcW w:w="1755" w:type="dxa"/>
          </w:tcPr>
          <w:p w14:paraId="08FB0249" w14:textId="77777777" w:rsidR="002B32A0" w:rsidRPr="00CE1D7F" w:rsidRDefault="002B32A0" w:rsidP="006258ED">
            <w:pPr>
              <w:pStyle w:val="Tabletext"/>
              <w:jc w:val="center"/>
            </w:pPr>
            <w:r w:rsidRPr="00CE1D7F">
              <w:t>$1,979,091</w:t>
            </w:r>
          </w:p>
        </w:tc>
      </w:tr>
      <w:tr w:rsidR="002B32A0" w:rsidRPr="00CE1D7F" w14:paraId="3ACA2710" w14:textId="77777777" w:rsidTr="000B0AC7">
        <w:trPr>
          <w:trHeight w:val="296"/>
        </w:trPr>
        <w:tc>
          <w:tcPr>
            <w:tcW w:w="2923" w:type="dxa"/>
            <w:tcMar>
              <w:left w:w="80" w:type="dxa"/>
            </w:tcMar>
          </w:tcPr>
          <w:p w14:paraId="4F75DDB9" w14:textId="77777777" w:rsidR="002B32A0" w:rsidRPr="00CE1D7F" w:rsidRDefault="002B32A0" w:rsidP="006258ED">
            <w:pPr>
              <w:pStyle w:val="Tabletext"/>
            </w:pPr>
            <w:r w:rsidRPr="00CE1D7F">
              <w:t>Educational expenses</w:t>
            </w:r>
          </w:p>
        </w:tc>
        <w:tc>
          <w:tcPr>
            <w:tcW w:w="1572" w:type="dxa"/>
          </w:tcPr>
          <w:p w14:paraId="77C7E795" w14:textId="77777777" w:rsidR="002B32A0" w:rsidRPr="00CE1D7F" w:rsidRDefault="002B32A0" w:rsidP="006258ED">
            <w:pPr>
              <w:pStyle w:val="Tabletext"/>
              <w:jc w:val="center"/>
            </w:pPr>
            <w:r w:rsidRPr="00CE1D7F">
              <w:t>$90,651,687</w:t>
            </w:r>
          </w:p>
        </w:tc>
        <w:tc>
          <w:tcPr>
            <w:tcW w:w="1752" w:type="dxa"/>
          </w:tcPr>
          <w:p w14:paraId="4B0C361D" w14:textId="77777777" w:rsidR="002B32A0" w:rsidRPr="00CE1D7F" w:rsidRDefault="002B32A0" w:rsidP="006258ED">
            <w:pPr>
              <w:pStyle w:val="Tabletext"/>
              <w:jc w:val="center"/>
            </w:pPr>
            <w:r w:rsidRPr="00CE1D7F">
              <w:t>$69,754,544</w:t>
            </w:r>
          </w:p>
        </w:tc>
        <w:tc>
          <w:tcPr>
            <w:tcW w:w="1755" w:type="dxa"/>
          </w:tcPr>
          <w:p w14:paraId="2E84E176" w14:textId="77777777" w:rsidR="002B32A0" w:rsidRPr="00CE1D7F" w:rsidRDefault="002B32A0" w:rsidP="006258ED">
            <w:pPr>
              <w:pStyle w:val="Tabletext"/>
              <w:jc w:val="center"/>
            </w:pPr>
            <w:r w:rsidRPr="00CE1D7F">
              <w:t>$60,033,901</w:t>
            </w:r>
          </w:p>
        </w:tc>
      </w:tr>
      <w:tr w:rsidR="002B32A0" w:rsidRPr="00CE1D7F" w14:paraId="007484D7" w14:textId="77777777" w:rsidTr="000B0AC7">
        <w:trPr>
          <w:trHeight w:val="296"/>
        </w:trPr>
        <w:tc>
          <w:tcPr>
            <w:tcW w:w="2923" w:type="dxa"/>
            <w:tcMar>
              <w:left w:w="80" w:type="dxa"/>
            </w:tcMar>
            <w:hideMark/>
          </w:tcPr>
          <w:p w14:paraId="78495751" w14:textId="77777777" w:rsidR="002B32A0" w:rsidRPr="00CE1D7F" w:rsidRDefault="002B32A0" w:rsidP="006258ED">
            <w:pPr>
              <w:pStyle w:val="Tabletext"/>
              <w:rPr>
                <w:i/>
                <w:iCs/>
              </w:rPr>
            </w:pPr>
            <w:r w:rsidRPr="00CE1D7F">
              <w:rPr>
                <w:i/>
                <w:iCs/>
              </w:rPr>
              <w:t>Total PV costs</w:t>
            </w:r>
          </w:p>
        </w:tc>
        <w:tc>
          <w:tcPr>
            <w:tcW w:w="1572" w:type="dxa"/>
            <w:hideMark/>
          </w:tcPr>
          <w:p w14:paraId="30A7BBB5" w14:textId="77777777" w:rsidR="002B32A0" w:rsidRPr="00A014AC" w:rsidRDefault="002B32A0" w:rsidP="006258ED">
            <w:pPr>
              <w:pStyle w:val="Tabletext"/>
              <w:jc w:val="center"/>
              <w:rPr>
                <w:i/>
                <w:iCs/>
              </w:rPr>
            </w:pPr>
            <w:r w:rsidRPr="00CE1D7F">
              <w:rPr>
                <w:i/>
                <w:iCs/>
              </w:rPr>
              <w:t>$91,743,397</w:t>
            </w:r>
          </w:p>
        </w:tc>
        <w:tc>
          <w:tcPr>
            <w:tcW w:w="1752" w:type="dxa"/>
            <w:hideMark/>
          </w:tcPr>
          <w:p w14:paraId="2DD8DD35" w14:textId="77777777" w:rsidR="002B32A0" w:rsidRPr="00A014AC" w:rsidRDefault="002B32A0" w:rsidP="006258ED">
            <w:pPr>
              <w:pStyle w:val="Tabletext"/>
              <w:jc w:val="center"/>
              <w:rPr>
                <w:i/>
                <w:iCs/>
              </w:rPr>
            </w:pPr>
            <w:r w:rsidRPr="00CE1D7F">
              <w:rPr>
                <w:i/>
                <w:iCs/>
              </w:rPr>
              <w:t>$71,295,046</w:t>
            </w:r>
          </w:p>
        </w:tc>
        <w:tc>
          <w:tcPr>
            <w:tcW w:w="1755" w:type="dxa"/>
            <w:hideMark/>
          </w:tcPr>
          <w:p w14:paraId="73AAF48C" w14:textId="77777777" w:rsidR="002B32A0" w:rsidRPr="00A014AC" w:rsidRDefault="002B32A0" w:rsidP="006258ED">
            <w:pPr>
              <w:pStyle w:val="Tabletext"/>
              <w:jc w:val="center"/>
              <w:rPr>
                <w:i/>
                <w:iCs/>
              </w:rPr>
            </w:pPr>
            <w:r w:rsidRPr="00CE1D7F">
              <w:rPr>
                <w:i/>
                <w:iCs/>
              </w:rPr>
              <w:t>$62,012,992</w:t>
            </w:r>
          </w:p>
        </w:tc>
      </w:tr>
      <w:tr w:rsidR="002B32A0" w:rsidRPr="00CE1D7F" w14:paraId="450CD31C" w14:textId="77777777" w:rsidTr="000B0AC7">
        <w:trPr>
          <w:trHeight w:val="280"/>
        </w:trPr>
        <w:tc>
          <w:tcPr>
            <w:tcW w:w="2923" w:type="dxa"/>
            <w:tcMar>
              <w:left w:w="80" w:type="dxa"/>
            </w:tcMar>
            <w:hideMark/>
          </w:tcPr>
          <w:p w14:paraId="1118E7D4" w14:textId="77777777" w:rsidR="002B32A0" w:rsidRPr="00CE1D7F" w:rsidRDefault="002B32A0" w:rsidP="006258ED">
            <w:pPr>
              <w:pStyle w:val="Tableunitsrow"/>
              <w:rPr>
                <w:b/>
                <w:bCs/>
              </w:rPr>
            </w:pPr>
            <w:r w:rsidRPr="00CE1D7F">
              <w:rPr>
                <w:b/>
                <w:bCs/>
              </w:rPr>
              <w:t>Present value benefits</w:t>
            </w:r>
          </w:p>
        </w:tc>
        <w:tc>
          <w:tcPr>
            <w:tcW w:w="1572" w:type="dxa"/>
          </w:tcPr>
          <w:p w14:paraId="03825A95" w14:textId="77777777" w:rsidR="002B32A0" w:rsidRPr="00A014AC" w:rsidRDefault="002B32A0" w:rsidP="006258ED">
            <w:pPr>
              <w:pStyle w:val="Tableunitsrow"/>
              <w:jc w:val="center"/>
            </w:pPr>
          </w:p>
        </w:tc>
        <w:tc>
          <w:tcPr>
            <w:tcW w:w="1752" w:type="dxa"/>
          </w:tcPr>
          <w:p w14:paraId="3AD9A556" w14:textId="77777777" w:rsidR="002B32A0" w:rsidRPr="00A014AC" w:rsidRDefault="002B32A0" w:rsidP="006258ED">
            <w:pPr>
              <w:pStyle w:val="Tableunitsrow"/>
              <w:jc w:val="center"/>
            </w:pPr>
          </w:p>
        </w:tc>
        <w:tc>
          <w:tcPr>
            <w:tcW w:w="1755" w:type="dxa"/>
          </w:tcPr>
          <w:p w14:paraId="4AA8B3F6" w14:textId="77777777" w:rsidR="002B32A0" w:rsidRPr="00A014AC" w:rsidRDefault="002B32A0" w:rsidP="006258ED">
            <w:pPr>
              <w:pStyle w:val="Tableunitsrow"/>
              <w:jc w:val="center"/>
            </w:pPr>
          </w:p>
        </w:tc>
      </w:tr>
      <w:tr w:rsidR="002B32A0" w:rsidRPr="00CE1D7F" w14:paraId="4A4FE31E" w14:textId="77777777" w:rsidTr="000B0AC7">
        <w:trPr>
          <w:trHeight w:val="544"/>
        </w:trPr>
        <w:tc>
          <w:tcPr>
            <w:tcW w:w="2923" w:type="dxa"/>
            <w:tcMar>
              <w:left w:w="80" w:type="dxa"/>
            </w:tcMar>
            <w:hideMark/>
          </w:tcPr>
          <w:p w14:paraId="180BC4D9" w14:textId="77777777" w:rsidR="002B32A0" w:rsidRPr="00CE1D7F" w:rsidRDefault="002B32A0" w:rsidP="006258ED">
            <w:pPr>
              <w:pStyle w:val="Tabletext"/>
            </w:pPr>
            <w:r w:rsidRPr="00CE1D7F">
              <w:t>Additional income generated through retained students</w:t>
            </w:r>
          </w:p>
        </w:tc>
        <w:tc>
          <w:tcPr>
            <w:tcW w:w="1572" w:type="dxa"/>
            <w:hideMark/>
          </w:tcPr>
          <w:p w14:paraId="168B6CFC" w14:textId="77777777" w:rsidR="002B32A0" w:rsidRPr="00A014AC" w:rsidRDefault="002B32A0" w:rsidP="006258ED">
            <w:pPr>
              <w:pStyle w:val="Tabletext"/>
              <w:jc w:val="center"/>
            </w:pPr>
            <w:r w:rsidRPr="00CE1D7F">
              <w:t>$286,923,289</w:t>
            </w:r>
          </w:p>
        </w:tc>
        <w:tc>
          <w:tcPr>
            <w:tcW w:w="1752" w:type="dxa"/>
            <w:hideMark/>
          </w:tcPr>
          <w:p w14:paraId="7DE0C334" w14:textId="77777777" w:rsidR="002B32A0" w:rsidRPr="00A014AC" w:rsidRDefault="002B32A0" w:rsidP="006258ED">
            <w:pPr>
              <w:pStyle w:val="Tabletext"/>
              <w:jc w:val="center"/>
            </w:pPr>
            <w:r w:rsidRPr="00CE1D7F">
              <w:t>$176,540,606</w:t>
            </w:r>
          </w:p>
        </w:tc>
        <w:tc>
          <w:tcPr>
            <w:tcW w:w="1755" w:type="dxa"/>
            <w:hideMark/>
          </w:tcPr>
          <w:p w14:paraId="32ADA2EB" w14:textId="77777777" w:rsidR="002B32A0" w:rsidRPr="00A014AC" w:rsidRDefault="002B32A0" w:rsidP="006258ED">
            <w:pPr>
              <w:pStyle w:val="Tabletext"/>
              <w:jc w:val="center"/>
            </w:pPr>
            <w:r w:rsidRPr="00CE1D7F">
              <w:t>$128,838,433</w:t>
            </w:r>
          </w:p>
        </w:tc>
      </w:tr>
      <w:tr w:rsidR="002B32A0" w:rsidRPr="00CE1D7F" w14:paraId="51EA8DFE" w14:textId="77777777" w:rsidTr="000B0AC7">
        <w:trPr>
          <w:trHeight w:val="296"/>
        </w:trPr>
        <w:tc>
          <w:tcPr>
            <w:tcW w:w="2923" w:type="dxa"/>
            <w:tcMar>
              <w:left w:w="80" w:type="dxa"/>
            </w:tcMar>
            <w:hideMark/>
          </w:tcPr>
          <w:p w14:paraId="75C8D641" w14:textId="77777777" w:rsidR="002B32A0" w:rsidRPr="00CE1D7F" w:rsidRDefault="002B32A0" w:rsidP="006258ED">
            <w:pPr>
              <w:pStyle w:val="Tableunitsrow"/>
              <w:rPr>
                <w:b/>
                <w:bCs/>
              </w:rPr>
            </w:pPr>
            <w:r w:rsidRPr="00CE1D7F">
              <w:rPr>
                <w:b/>
                <w:bCs/>
              </w:rPr>
              <w:t>Results</w:t>
            </w:r>
          </w:p>
        </w:tc>
        <w:tc>
          <w:tcPr>
            <w:tcW w:w="1572" w:type="dxa"/>
          </w:tcPr>
          <w:p w14:paraId="34D06C15" w14:textId="77777777" w:rsidR="002B32A0" w:rsidRPr="00A014AC" w:rsidRDefault="002B32A0" w:rsidP="006258ED">
            <w:pPr>
              <w:pStyle w:val="Tableunitsrow"/>
              <w:jc w:val="center"/>
            </w:pPr>
          </w:p>
        </w:tc>
        <w:tc>
          <w:tcPr>
            <w:tcW w:w="1752" w:type="dxa"/>
          </w:tcPr>
          <w:p w14:paraId="3ACF2DD5" w14:textId="77777777" w:rsidR="002B32A0" w:rsidRPr="00A014AC" w:rsidRDefault="002B32A0" w:rsidP="006258ED">
            <w:pPr>
              <w:pStyle w:val="Tableunitsrow"/>
              <w:jc w:val="center"/>
            </w:pPr>
          </w:p>
        </w:tc>
        <w:tc>
          <w:tcPr>
            <w:tcW w:w="1755" w:type="dxa"/>
          </w:tcPr>
          <w:p w14:paraId="391E13CE" w14:textId="77777777" w:rsidR="002B32A0" w:rsidRPr="00A014AC" w:rsidRDefault="002B32A0" w:rsidP="006258ED">
            <w:pPr>
              <w:pStyle w:val="Tableunitsrow"/>
              <w:jc w:val="center"/>
            </w:pPr>
          </w:p>
        </w:tc>
      </w:tr>
      <w:tr w:rsidR="002B32A0" w:rsidRPr="00CE1D7F" w14:paraId="3725263F" w14:textId="77777777" w:rsidTr="000B0AC7">
        <w:trPr>
          <w:trHeight w:val="280"/>
        </w:trPr>
        <w:tc>
          <w:tcPr>
            <w:tcW w:w="2923" w:type="dxa"/>
            <w:tcMar>
              <w:left w:w="80" w:type="dxa"/>
            </w:tcMar>
            <w:hideMark/>
          </w:tcPr>
          <w:p w14:paraId="2E56200B" w14:textId="77777777" w:rsidR="002B32A0" w:rsidRPr="00CE1D7F" w:rsidRDefault="002B32A0" w:rsidP="006258ED">
            <w:pPr>
              <w:pStyle w:val="Tabletext"/>
            </w:pPr>
            <w:r w:rsidRPr="00CE1D7F">
              <w:rPr>
                <w:b/>
                <w:bCs/>
              </w:rPr>
              <w:t>NPV</w:t>
            </w:r>
          </w:p>
        </w:tc>
        <w:tc>
          <w:tcPr>
            <w:tcW w:w="1572" w:type="dxa"/>
            <w:hideMark/>
          </w:tcPr>
          <w:p w14:paraId="39180683" w14:textId="77777777" w:rsidR="002B32A0" w:rsidRPr="00A014AC" w:rsidRDefault="002B32A0" w:rsidP="006258ED">
            <w:pPr>
              <w:pStyle w:val="Tabletext"/>
              <w:jc w:val="center"/>
              <w:rPr>
                <w:b/>
                <w:bCs/>
              </w:rPr>
            </w:pPr>
            <w:r w:rsidRPr="00CE1D7F">
              <w:rPr>
                <w:b/>
                <w:bCs/>
              </w:rPr>
              <w:t>$195,179,892</w:t>
            </w:r>
          </w:p>
        </w:tc>
        <w:tc>
          <w:tcPr>
            <w:tcW w:w="1752" w:type="dxa"/>
            <w:hideMark/>
          </w:tcPr>
          <w:p w14:paraId="69BE9220" w14:textId="77777777" w:rsidR="002B32A0" w:rsidRPr="00A014AC" w:rsidRDefault="002B32A0" w:rsidP="006258ED">
            <w:pPr>
              <w:pStyle w:val="Tabletext"/>
              <w:jc w:val="center"/>
              <w:rPr>
                <w:b/>
                <w:bCs/>
              </w:rPr>
            </w:pPr>
            <w:r w:rsidRPr="00CE1D7F">
              <w:rPr>
                <w:b/>
                <w:bCs/>
              </w:rPr>
              <w:t>$105,245,560</w:t>
            </w:r>
          </w:p>
        </w:tc>
        <w:tc>
          <w:tcPr>
            <w:tcW w:w="1755" w:type="dxa"/>
            <w:hideMark/>
          </w:tcPr>
          <w:p w14:paraId="4EF8BADA" w14:textId="77777777" w:rsidR="002B32A0" w:rsidRPr="00A014AC" w:rsidRDefault="002B32A0" w:rsidP="006258ED">
            <w:pPr>
              <w:pStyle w:val="Tabletext"/>
              <w:jc w:val="center"/>
              <w:rPr>
                <w:b/>
                <w:bCs/>
              </w:rPr>
            </w:pPr>
            <w:r w:rsidRPr="00CE1D7F">
              <w:rPr>
                <w:b/>
                <w:bCs/>
              </w:rPr>
              <w:t>$66,825,441</w:t>
            </w:r>
          </w:p>
        </w:tc>
      </w:tr>
      <w:tr w:rsidR="002B32A0" w:rsidRPr="00CE1D7F" w14:paraId="01D1F259" w14:textId="77777777" w:rsidTr="000B0AC7">
        <w:trPr>
          <w:trHeight w:val="296"/>
        </w:trPr>
        <w:tc>
          <w:tcPr>
            <w:tcW w:w="2923" w:type="dxa"/>
            <w:tcMar>
              <w:left w:w="80" w:type="dxa"/>
            </w:tcMar>
            <w:hideMark/>
          </w:tcPr>
          <w:p w14:paraId="27390BB1" w14:textId="77777777" w:rsidR="002B32A0" w:rsidRPr="00CE1D7F" w:rsidRDefault="002B32A0" w:rsidP="006258ED">
            <w:pPr>
              <w:pStyle w:val="Tabletext"/>
            </w:pPr>
            <w:r w:rsidRPr="00CE1D7F">
              <w:rPr>
                <w:b/>
                <w:bCs/>
              </w:rPr>
              <w:t>BCR</w:t>
            </w:r>
          </w:p>
        </w:tc>
        <w:tc>
          <w:tcPr>
            <w:tcW w:w="1572" w:type="dxa"/>
            <w:hideMark/>
          </w:tcPr>
          <w:p w14:paraId="52823FBE" w14:textId="77777777" w:rsidR="002B32A0" w:rsidRPr="00A014AC" w:rsidRDefault="002B32A0" w:rsidP="006258ED">
            <w:pPr>
              <w:pStyle w:val="Tabletext"/>
              <w:jc w:val="center"/>
              <w:rPr>
                <w:b/>
                <w:bCs/>
              </w:rPr>
            </w:pPr>
            <w:r w:rsidRPr="00CE1D7F">
              <w:rPr>
                <w:b/>
                <w:bCs/>
              </w:rPr>
              <w:t>3.13</w:t>
            </w:r>
          </w:p>
        </w:tc>
        <w:tc>
          <w:tcPr>
            <w:tcW w:w="1752" w:type="dxa"/>
            <w:hideMark/>
          </w:tcPr>
          <w:p w14:paraId="69D44FEF" w14:textId="77777777" w:rsidR="002B32A0" w:rsidRPr="00A014AC" w:rsidRDefault="002B32A0" w:rsidP="006258ED">
            <w:pPr>
              <w:pStyle w:val="Tabletext"/>
              <w:jc w:val="center"/>
              <w:rPr>
                <w:b/>
                <w:bCs/>
              </w:rPr>
            </w:pPr>
            <w:r w:rsidRPr="00CE1D7F">
              <w:rPr>
                <w:b/>
                <w:bCs/>
              </w:rPr>
              <w:t>2.48</w:t>
            </w:r>
          </w:p>
        </w:tc>
        <w:tc>
          <w:tcPr>
            <w:tcW w:w="1755" w:type="dxa"/>
            <w:hideMark/>
          </w:tcPr>
          <w:p w14:paraId="110B83F4" w14:textId="77777777" w:rsidR="002B32A0" w:rsidRPr="00A014AC" w:rsidRDefault="002B32A0" w:rsidP="006258ED">
            <w:pPr>
              <w:pStyle w:val="Tabletext"/>
              <w:jc w:val="center"/>
              <w:rPr>
                <w:b/>
                <w:bCs/>
              </w:rPr>
            </w:pPr>
            <w:r w:rsidRPr="00CE1D7F">
              <w:rPr>
                <w:b/>
                <w:bCs/>
              </w:rPr>
              <w:t>2.08</w:t>
            </w:r>
          </w:p>
        </w:tc>
      </w:tr>
      <w:tr w:rsidR="002B32A0" w:rsidRPr="00CE1D7F" w14:paraId="4D04F789" w14:textId="77777777" w:rsidTr="000B0AC7">
        <w:trPr>
          <w:trHeight w:val="247"/>
        </w:trPr>
        <w:tc>
          <w:tcPr>
            <w:tcW w:w="8002" w:type="dxa"/>
            <w:gridSpan w:val="4"/>
            <w:tcMar>
              <w:left w:w="80" w:type="dxa"/>
            </w:tcMar>
            <w:hideMark/>
          </w:tcPr>
          <w:p w14:paraId="6E4AF77A" w14:textId="77777777" w:rsidR="002B32A0" w:rsidRPr="00CE1D7F" w:rsidRDefault="002B32A0" w:rsidP="006258ED">
            <w:pPr>
              <w:pStyle w:val="Source"/>
              <w:spacing w:line="256" w:lineRule="auto"/>
            </w:pPr>
            <w:r w:rsidRPr="00CE1D7F">
              <w:t>Source: ACIL Allen</w:t>
            </w:r>
          </w:p>
        </w:tc>
      </w:tr>
    </w:tbl>
    <w:p w14:paraId="6EC0CF6C" w14:textId="77777777" w:rsidR="000B0AC7" w:rsidRPr="00A014AC" w:rsidRDefault="000B0AC7" w:rsidP="000B0AC7">
      <w:pPr>
        <w:pStyle w:val="spacer"/>
        <w:spacing w:line="256" w:lineRule="auto"/>
        <w:ind w:left="-88"/>
      </w:pPr>
    </w:p>
    <w:p w14:paraId="77A3154F" w14:textId="29D2D87A" w:rsidR="002B32A0" w:rsidRPr="00CE1D7F" w:rsidRDefault="002B32A0" w:rsidP="002B32A0">
      <w:pPr>
        <w:spacing w:before="113" w:after="60"/>
        <w:ind w:right="462"/>
      </w:pPr>
      <w:r w:rsidRPr="00CE1D7F">
        <w:t xml:space="preserve">The present value of benefits and costs of the ARC-funded research by year are shown in </w:t>
      </w:r>
      <w:r w:rsidRPr="00F87D0E">
        <w:fldChar w:fldCharType="begin"/>
      </w:r>
      <w:r w:rsidRPr="00F87D0E">
        <w:instrText xml:space="preserve"> REF _Ref129346200 \h  \* MERGEFORMAT </w:instrText>
      </w:r>
      <w:r w:rsidRPr="00F87D0E">
        <w:fldChar w:fldCharType="separate"/>
      </w:r>
      <w:r w:rsidR="000B0AC7" w:rsidRPr="000B0AC7">
        <w:t>Figure 12.4</w:t>
      </w:r>
      <w:r w:rsidRPr="00F87D0E">
        <w:fldChar w:fldCharType="end"/>
      </w:r>
      <w:r w:rsidRPr="00CE1D7F">
        <w:t>.</w:t>
      </w:r>
    </w:p>
    <w:p w14:paraId="1B9CB77D" w14:textId="7713FB08" w:rsidR="000B0AC7" w:rsidRPr="00CE1D7F" w:rsidRDefault="000B0AC7" w:rsidP="000B0AC7">
      <w:pPr>
        <w:pStyle w:val="Caption"/>
        <w:ind w:left="-677" w:hanging="1308"/>
      </w:pPr>
      <w:bookmarkStart w:id="587" w:name="_Ref129346200"/>
      <w:r w:rsidRPr="00CE1D7F">
        <w:rPr>
          <w:rStyle w:val="CaptionLabel"/>
        </w:rPr>
        <w:t>Figure </w:t>
      </w:r>
      <w:r w:rsidRPr="00CE1D7F">
        <w:rPr>
          <w:rStyle w:val="CaptionLabel"/>
        </w:rPr>
        <w:fldChar w:fldCharType="begin"/>
      </w:r>
      <w:r w:rsidRPr="00CE1D7F">
        <w:rPr>
          <w:rStyle w:val="CaptionLabel"/>
        </w:rPr>
        <w:instrText xml:space="preserve"> STYLEREF 1 \S \* MERGEFORMAT </w:instrText>
      </w:r>
      <w:r w:rsidRPr="00CE1D7F">
        <w:rPr>
          <w:rStyle w:val="CaptionLabel"/>
        </w:rPr>
        <w:fldChar w:fldCharType="separate"/>
      </w:r>
      <w:r>
        <w:rPr>
          <w:rStyle w:val="CaptionLabel"/>
          <w:noProof/>
        </w:rPr>
        <w:t>12</w:t>
      </w:r>
      <w:r w:rsidRPr="00CE1D7F">
        <w:rPr>
          <w:rStyle w:val="CaptionLabel"/>
        </w:rPr>
        <w:fldChar w:fldCharType="end"/>
      </w:r>
      <w:r w:rsidRPr="00CE1D7F">
        <w:rPr>
          <w:rStyle w:val="CaptionLabel"/>
        </w:rPr>
        <w:t>.</w:t>
      </w:r>
      <w:r w:rsidRPr="00CE1D7F">
        <w:rPr>
          <w:rStyle w:val="CaptionLabel"/>
        </w:rPr>
        <w:fldChar w:fldCharType="begin"/>
      </w:r>
      <w:r w:rsidRPr="00CE1D7F">
        <w:rPr>
          <w:rStyle w:val="CaptionLabel"/>
        </w:rPr>
        <w:instrText xml:space="preserve"> SEQ Figure \* ARABIC \S 1 \* MERGEFORMAT </w:instrText>
      </w:r>
      <w:r w:rsidRPr="00CE1D7F">
        <w:rPr>
          <w:rStyle w:val="CaptionLabel"/>
        </w:rPr>
        <w:fldChar w:fldCharType="separate"/>
      </w:r>
      <w:r>
        <w:rPr>
          <w:rStyle w:val="CaptionLabel"/>
          <w:noProof/>
        </w:rPr>
        <w:t>4</w:t>
      </w:r>
      <w:r w:rsidRPr="00CE1D7F">
        <w:rPr>
          <w:rStyle w:val="CaptionLabel"/>
        </w:rPr>
        <w:fldChar w:fldCharType="end"/>
      </w:r>
      <w:bookmarkEnd w:id="587"/>
      <w:r w:rsidRPr="00CE1D7F">
        <w:tab/>
        <w:t>Present value costs and benefits by year (7% DR)</w:t>
      </w:r>
    </w:p>
    <w:tbl>
      <w:tblPr>
        <w:tblStyle w:val="aacTableFigure-Wide"/>
        <w:tblW w:w="6251" w:type="pct"/>
        <w:tblBorders>
          <w:top w:val="single" w:sz="4" w:space="0" w:color="000000"/>
          <w:bottom w:val="single" w:sz="4" w:space="0" w:color="000000"/>
        </w:tblBorders>
        <w:tblLook w:val="04A0" w:firstRow="1" w:lastRow="0" w:firstColumn="1" w:lastColumn="0" w:noHBand="0" w:noVBand="1"/>
      </w:tblPr>
      <w:tblGrid>
        <w:gridCol w:w="9922"/>
      </w:tblGrid>
      <w:tr w:rsidR="002B32A0" w:rsidRPr="00CE1D7F" w14:paraId="32F264F9" w14:textId="77777777" w:rsidTr="000B0AC7">
        <w:tc>
          <w:tcPr>
            <w:tcW w:w="5000" w:type="pct"/>
            <w:shd w:val="clear" w:color="auto" w:fill="auto"/>
            <w:hideMark/>
          </w:tcPr>
          <w:p w14:paraId="567DCB70" w14:textId="77777777" w:rsidR="002B32A0" w:rsidRPr="00CE1D7F" w:rsidRDefault="002B32A0" w:rsidP="006258ED">
            <w:pPr>
              <w:pStyle w:val="Figure"/>
              <w:spacing w:line="256" w:lineRule="auto"/>
            </w:pPr>
            <w:r w:rsidRPr="00CE1D7F">
              <w:rPr>
                <w:noProof/>
              </w:rPr>
              <w:drawing>
                <wp:inline distT="0" distB="0" distL="0" distR="0" wp14:anchorId="07B65F91" wp14:editId="5F1186C3">
                  <wp:extent cx="6151245" cy="2798445"/>
                  <wp:effectExtent l="0" t="0" r="1905" b="1905"/>
                  <wp:docPr id="684" name="Picture 684" descr="Present value costs and benefits by year (7% DR), see description in text abov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Picture 684" descr="Present value costs and benefits by year (7% DR), see description in text above figure."/>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6151245" cy="2798445"/>
                          </a:xfrm>
                          <a:prstGeom prst="rect">
                            <a:avLst/>
                          </a:prstGeom>
                          <a:noFill/>
                        </pic:spPr>
                      </pic:pic>
                    </a:graphicData>
                  </a:graphic>
                </wp:inline>
              </w:drawing>
            </w:r>
          </w:p>
        </w:tc>
      </w:tr>
    </w:tbl>
    <w:p w14:paraId="0D351C10" w14:textId="77777777" w:rsidR="000B0AC7" w:rsidRPr="00CE1D7F" w:rsidRDefault="000B0AC7" w:rsidP="000B0AC7">
      <w:pPr>
        <w:pStyle w:val="Source"/>
        <w:spacing w:line="256" w:lineRule="auto"/>
        <w:ind w:left="-677" w:hanging="1308"/>
      </w:pPr>
      <w:r w:rsidRPr="00CE1D7F">
        <w:t>Source: ACIL Allen</w:t>
      </w:r>
    </w:p>
    <w:p w14:paraId="498259BE" w14:textId="77777777" w:rsidR="000B0AC7" w:rsidRPr="00CE1D7F" w:rsidRDefault="000B0AC7" w:rsidP="006258ED">
      <w:pPr>
        <w:pStyle w:val="spacer"/>
        <w:spacing w:line="256" w:lineRule="auto"/>
      </w:pPr>
    </w:p>
    <w:p w14:paraId="1A872880" w14:textId="77777777" w:rsidR="002B32A0" w:rsidRPr="00CE1D7F" w:rsidRDefault="002B32A0" w:rsidP="002B32A0">
      <w:pPr>
        <w:pStyle w:val="Heading4"/>
      </w:pPr>
      <w:r w:rsidRPr="00CE1D7F">
        <w:t>Sensitivity testing</w:t>
      </w:r>
    </w:p>
    <w:p w14:paraId="4E297930" w14:textId="3B7BA611" w:rsidR="002B32A0" w:rsidRPr="00CE1D7F" w:rsidRDefault="002B32A0" w:rsidP="002B32A0">
      <w:pPr>
        <w:pStyle w:val="BodyText"/>
      </w:pPr>
      <w:r w:rsidRPr="00CE1D7F">
        <w:t>Sensitivity testing at the 3% and 10% discount rates</w:t>
      </w:r>
      <w:r w:rsidRPr="00CE1D7F">
        <w:rPr>
          <w:rStyle w:val="FootnoteReference"/>
        </w:rPr>
        <w:footnoteReference w:id="281"/>
      </w:r>
      <w:r w:rsidRPr="00CE1D7F">
        <w:t xml:space="preserve"> was conducted for this analysis (see </w:t>
      </w:r>
      <w:r w:rsidRPr="00F87D0E">
        <w:fldChar w:fldCharType="begin"/>
      </w:r>
      <w:r w:rsidRPr="00F87D0E">
        <w:instrText xml:space="preserve"> REF _Ref129346141 \h  \* MERGEFORMAT </w:instrText>
      </w:r>
      <w:r w:rsidRPr="00F87D0E">
        <w:fldChar w:fldCharType="separate"/>
      </w:r>
      <w:r w:rsidR="000B0AC7" w:rsidRPr="000B0AC7">
        <w:t>Table 12.2</w:t>
      </w:r>
      <w:r w:rsidRPr="00F87D0E">
        <w:fldChar w:fldCharType="end"/>
      </w:r>
      <w:r w:rsidRPr="00CE1D7F">
        <w:t xml:space="preserve"> above). Sensitivity testing at these 3 rates shows that although the magnitude of the NPV changes at these 3 rates, the NPV remains positive even at a high discount rate of 10%. </w:t>
      </w:r>
    </w:p>
    <w:p w14:paraId="281AF33E" w14:textId="0D97AE1F" w:rsidR="002B32A0" w:rsidRPr="00CE1D7F" w:rsidRDefault="002B32A0" w:rsidP="002B32A0">
      <w:pPr>
        <w:rPr>
          <w:b/>
        </w:rPr>
      </w:pPr>
      <w:r w:rsidRPr="00CE1D7F">
        <w:t xml:space="preserve">Sensitivity testing was also conducted for the number of Indigenous graduates. The central case was 1,086, based on figures provided by ECU and JCU. The CBA results were tested with a lower bound number of students of 50 students (a significantly lower number than the number of enrolled students) and an upper bound number of students of 2,000 (approximately double the central case). The results in </w:t>
      </w:r>
      <w:r w:rsidRPr="00F87D0E">
        <w:fldChar w:fldCharType="begin"/>
      </w:r>
      <w:r w:rsidRPr="00F87D0E">
        <w:instrText xml:space="preserve"> REF _Ref129346321 \h  \* MERGEFORMAT </w:instrText>
      </w:r>
      <w:r w:rsidRPr="00F87D0E">
        <w:fldChar w:fldCharType="separate"/>
      </w:r>
      <w:r w:rsidR="000B0AC7" w:rsidRPr="000B0AC7">
        <w:t>Table 12.3</w:t>
      </w:r>
      <w:r w:rsidRPr="00F87D0E">
        <w:fldChar w:fldCharType="end"/>
      </w:r>
      <w:r w:rsidRPr="00CE1D7F">
        <w:t xml:space="preserve"> show that the NPV would fall from $105.3</w:t>
      </w:r>
      <w:r>
        <w:t> million</w:t>
      </w:r>
      <w:r w:rsidRPr="00CE1D7F">
        <w:t xml:space="preserve"> to $3.4</w:t>
      </w:r>
      <w:r>
        <w:t> million</w:t>
      </w:r>
      <w:r w:rsidRPr="00CE1D7F">
        <w:t xml:space="preserve"> and the BCR would fall from 2.48 to 1.71 if the number of students falls from 1,086 to 50. Whereas the NPV would rise to $195.1</w:t>
      </w:r>
      <w:r>
        <w:t> million</w:t>
      </w:r>
      <w:r w:rsidRPr="00CE1D7F">
        <w:t xml:space="preserve"> and the BCR would rise to 2.50 if the number of supported students increases to 2,000. The CBA is positive at all 3 discount rates. The CBA is not overly sensitive to the number of students because the costs (university fees) also increase and decrease with the number of students. </w:t>
      </w:r>
    </w:p>
    <w:p w14:paraId="2CF24BF8" w14:textId="30F4D116" w:rsidR="002B32A0" w:rsidRPr="00CE1D7F" w:rsidRDefault="002B32A0" w:rsidP="000B0AC7">
      <w:pPr>
        <w:pStyle w:val="Caption"/>
        <w:ind w:left="1255" w:hanging="1308"/>
      </w:pPr>
      <w:bookmarkStart w:id="588" w:name="_Ref129346321"/>
      <w:r w:rsidRPr="00CE1D7F">
        <w:rPr>
          <w:rStyle w:val="CaptionLabel"/>
        </w:rPr>
        <w:t>Table </w:t>
      </w:r>
      <w:r w:rsidRPr="00CE1D7F">
        <w:rPr>
          <w:rStyle w:val="CaptionLabel"/>
        </w:rPr>
        <w:fldChar w:fldCharType="begin"/>
      </w:r>
      <w:r w:rsidRPr="00CE1D7F">
        <w:rPr>
          <w:rStyle w:val="CaptionLabel"/>
        </w:rPr>
        <w:instrText xml:space="preserve"> STYLEREF 1 \S \* MERGEFORMAT </w:instrText>
      </w:r>
      <w:r w:rsidRPr="00CE1D7F">
        <w:rPr>
          <w:rStyle w:val="CaptionLabel"/>
        </w:rPr>
        <w:fldChar w:fldCharType="separate"/>
      </w:r>
      <w:r w:rsidR="000B0AC7">
        <w:rPr>
          <w:rStyle w:val="CaptionLabel"/>
          <w:noProof/>
        </w:rPr>
        <w:t>12</w:t>
      </w:r>
      <w:r w:rsidRPr="00CE1D7F">
        <w:rPr>
          <w:rStyle w:val="CaptionLabel"/>
        </w:rPr>
        <w:fldChar w:fldCharType="end"/>
      </w:r>
      <w:r w:rsidRPr="00CE1D7F">
        <w:rPr>
          <w:rStyle w:val="CaptionLabel"/>
        </w:rPr>
        <w:t>.</w:t>
      </w:r>
      <w:r w:rsidRPr="00CE1D7F">
        <w:rPr>
          <w:rStyle w:val="CaptionLabel"/>
        </w:rPr>
        <w:fldChar w:fldCharType="begin"/>
      </w:r>
      <w:r w:rsidRPr="00CE1D7F">
        <w:rPr>
          <w:rStyle w:val="CaptionLabel"/>
        </w:rPr>
        <w:instrText xml:space="preserve"> SEQ Table \* ARABIC \S 1 \* MERGEFORMAT </w:instrText>
      </w:r>
      <w:r w:rsidRPr="00CE1D7F">
        <w:rPr>
          <w:rStyle w:val="CaptionLabel"/>
        </w:rPr>
        <w:fldChar w:fldCharType="separate"/>
      </w:r>
      <w:r w:rsidR="000B0AC7">
        <w:rPr>
          <w:rStyle w:val="CaptionLabel"/>
          <w:noProof/>
        </w:rPr>
        <w:t>3</w:t>
      </w:r>
      <w:r w:rsidRPr="00CE1D7F">
        <w:rPr>
          <w:rStyle w:val="CaptionLabel"/>
        </w:rPr>
        <w:fldChar w:fldCharType="end"/>
      </w:r>
      <w:bookmarkEnd w:id="588"/>
      <w:r w:rsidRPr="00CE1D7F">
        <w:tab/>
        <w:t>Sensitivity testing number of students (7% DR, 2022$)</w:t>
      </w:r>
    </w:p>
    <w:tbl>
      <w:tblPr>
        <w:tblStyle w:val="aacTableBasic"/>
        <w:tblW w:w="7989" w:type="dxa"/>
        <w:tblInd w:w="-53" w:type="dxa"/>
        <w:tblLayout w:type="fixed"/>
        <w:tblLook w:val="04A0" w:firstRow="1" w:lastRow="0" w:firstColumn="1" w:lastColumn="0" w:noHBand="0" w:noVBand="1"/>
        <w:tblCaption w:val="Table 12.3"/>
        <w:tblDescription w:val="Sensitivity testing number of students (7% DR, 2022$)"/>
      </w:tblPr>
      <w:tblGrid>
        <w:gridCol w:w="2072"/>
        <w:gridCol w:w="1972"/>
        <w:gridCol w:w="711"/>
        <w:gridCol w:w="1261"/>
        <w:gridCol w:w="356"/>
        <w:gridCol w:w="1617"/>
      </w:tblGrid>
      <w:tr w:rsidR="002B32A0" w:rsidRPr="00CE1D7F" w14:paraId="1778244E" w14:textId="77777777" w:rsidTr="000B0AC7">
        <w:trPr>
          <w:cnfStyle w:val="100000000000" w:firstRow="1" w:lastRow="0" w:firstColumn="0" w:lastColumn="0" w:oddVBand="0" w:evenVBand="0" w:oddHBand="0" w:evenHBand="0" w:firstRowFirstColumn="0" w:firstRowLastColumn="0" w:lastRowFirstColumn="0" w:lastRowLastColumn="0"/>
          <w:trHeight w:val="332"/>
        </w:trPr>
        <w:tc>
          <w:tcPr>
            <w:tcW w:w="2072" w:type="dxa"/>
            <w:tcBorders>
              <w:top w:val="nil"/>
            </w:tcBorders>
            <w:shd w:val="solid" w:color="140034" w:fill="140034"/>
            <w:noWrap/>
          </w:tcPr>
          <w:p w14:paraId="665936A4" w14:textId="77777777" w:rsidR="002B32A0" w:rsidRPr="00CE1D7F" w:rsidRDefault="002B32A0" w:rsidP="006258ED">
            <w:pPr>
              <w:pStyle w:val="Tablecolumnheadings"/>
              <w:rPr>
                <w:lang w:eastAsia="ja-JP"/>
              </w:rPr>
            </w:pPr>
          </w:p>
        </w:tc>
        <w:tc>
          <w:tcPr>
            <w:tcW w:w="1972" w:type="dxa"/>
            <w:tcBorders>
              <w:top w:val="nil"/>
            </w:tcBorders>
            <w:shd w:val="solid" w:color="140034" w:fill="140034"/>
            <w:noWrap/>
            <w:hideMark/>
          </w:tcPr>
          <w:p w14:paraId="079231B6" w14:textId="77777777" w:rsidR="002B32A0" w:rsidRPr="00CE1D7F" w:rsidRDefault="002B32A0" w:rsidP="006258ED">
            <w:pPr>
              <w:pStyle w:val="Tablecolumnheadings"/>
              <w:jc w:val="center"/>
              <w:rPr>
                <w:rFonts w:ascii="Calibri" w:hAnsi="Calibri" w:cs="Calibri"/>
                <w:color w:val="000000"/>
                <w:lang w:eastAsia="ja-JP"/>
              </w:rPr>
            </w:pPr>
            <w:r w:rsidRPr="00CE1D7F">
              <w:t>50 students</w:t>
            </w:r>
          </w:p>
        </w:tc>
        <w:tc>
          <w:tcPr>
            <w:tcW w:w="1972" w:type="dxa"/>
            <w:gridSpan w:val="2"/>
            <w:tcBorders>
              <w:top w:val="nil"/>
            </w:tcBorders>
            <w:shd w:val="solid" w:color="140034" w:fill="140034"/>
            <w:noWrap/>
            <w:hideMark/>
          </w:tcPr>
          <w:p w14:paraId="0E89B776" w14:textId="77777777" w:rsidR="002B32A0" w:rsidRPr="00CE1D7F" w:rsidRDefault="002B32A0" w:rsidP="006258ED">
            <w:pPr>
              <w:pStyle w:val="Tablecolumnheadings"/>
              <w:jc w:val="center"/>
              <w:rPr>
                <w:rFonts w:ascii="Calibri" w:hAnsi="Calibri" w:cs="Calibri"/>
                <w:color w:val="000000"/>
                <w:lang w:eastAsia="ja-JP"/>
              </w:rPr>
            </w:pPr>
            <w:r w:rsidRPr="00CE1D7F">
              <w:t>1,086 students</w:t>
            </w:r>
          </w:p>
        </w:tc>
        <w:tc>
          <w:tcPr>
            <w:tcW w:w="1973" w:type="dxa"/>
            <w:gridSpan w:val="2"/>
            <w:tcBorders>
              <w:top w:val="nil"/>
            </w:tcBorders>
            <w:shd w:val="solid" w:color="140034" w:fill="140034"/>
            <w:noWrap/>
            <w:hideMark/>
          </w:tcPr>
          <w:p w14:paraId="544FE103" w14:textId="77777777" w:rsidR="002B32A0" w:rsidRPr="00CE1D7F" w:rsidRDefault="002B32A0" w:rsidP="006258ED">
            <w:pPr>
              <w:pStyle w:val="Tablecolumnheadings"/>
              <w:jc w:val="center"/>
              <w:rPr>
                <w:rFonts w:ascii="Calibri" w:hAnsi="Calibri" w:cs="Calibri"/>
                <w:color w:val="000000"/>
                <w:lang w:eastAsia="ja-JP"/>
              </w:rPr>
            </w:pPr>
            <w:r w:rsidRPr="00CE1D7F">
              <w:t>2,000 students</w:t>
            </w:r>
          </w:p>
        </w:tc>
      </w:tr>
      <w:tr w:rsidR="002B32A0" w:rsidRPr="00CE1D7F" w14:paraId="676E574C" w14:textId="77777777" w:rsidTr="000B0AC7">
        <w:trPr>
          <w:trHeight w:val="282"/>
        </w:trPr>
        <w:tc>
          <w:tcPr>
            <w:tcW w:w="2072" w:type="dxa"/>
            <w:noWrap/>
            <w:hideMark/>
          </w:tcPr>
          <w:p w14:paraId="7715939B" w14:textId="77777777" w:rsidR="002B32A0" w:rsidRPr="00CE1D7F" w:rsidRDefault="002B32A0" w:rsidP="006258ED">
            <w:pPr>
              <w:pStyle w:val="Tabletext"/>
              <w:rPr>
                <w:szCs w:val="20"/>
              </w:rPr>
            </w:pPr>
            <w:r w:rsidRPr="00CE1D7F">
              <w:rPr>
                <w:szCs w:val="20"/>
              </w:rPr>
              <w:t>Costs</w:t>
            </w:r>
          </w:p>
        </w:tc>
        <w:tc>
          <w:tcPr>
            <w:tcW w:w="1972" w:type="dxa"/>
            <w:noWrap/>
          </w:tcPr>
          <w:p w14:paraId="11CCA842" w14:textId="77777777" w:rsidR="002B32A0" w:rsidRPr="00CE1D7F" w:rsidRDefault="002B32A0" w:rsidP="006258ED">
            <w:pPr>
              <w:pStyle w:val="Tabletext"/>
              <w:jc w:val="center"/>
              <w:rPr>
                <w:szCs w:val="20"/>
              </w:rPr>
            </w:pPr>
            <w:r w:rsidRPr="00CE1D7F">
              <w:t>$4,752,037</w:t>
            </w:r>
          </w:p>
        </w:tc>
        <w:tc>
          <w:tcPr>
            <w:tcW w:w="1972" w:type="dxa"/>
            <w:gridSpan w:val="2"/>
            <w:noWrap/>
            <w:hideMark/>
          </w:tcPr>
          <w:p w14:paraId="735FA4B2" w14:textId="77777777" w:rsidR="002B32A0" w:rsidRPr="00CE1D7F" w:rsidRDefault="002B32A0" w:rsidP="006258ED">
            <w:pPr>
              <w:pStyle w:val="Tabletext"/>
              <w:jc w:val="center"/>
              <w:rPr>
                <w:szCs w:val="20"/>
              </w:rPr>
            </w:pPr>
            <w:r w:rsidRPr="00CE1D7F">
              <w:t>$71,295,046</w:t>
            </w:r>
          </w:p>
        </w:tc>
        <w:tc>
          <w:tcPr>
            <w:tcW w:w="1973" w:type="dxa"/>
            <w:gridSpan w:val="2"/>
            <w:noWrap/>
          </w:tcPr>
          <w:p w14:paraId="373E2DC3" w14:textId="77777777" w:rsidR="002B32A0" w:rsidRPr="00CE1D7F" w:rsidRDefault="002B32A0" w:rsidP="006258ED">
            <w:pPr>
              <w:pStyle w:val="Tabletext"/>
              <w:jc w:val="center"/>
              <w:rPr>
                <w:szCs w:val="20"/>
              </w:rPr>
            </w:pPr>
            <w:r w:rsidRPr="00CE1D7F">
              <w:t>$130,001,909</w:t>
            </w:r>
          </w:p>
        </w:tc>
      </w:tr>
      <w:tr w:rsidR="002B32A0" w:rsidRPr="00CE1D7F" w14:paraId="2746568A" w14:textId="77777777" w:rsidTr="000B0AC7">
        <w:trPr>
          <w:trHeight w:val="298"/>
        </w:trPr>
        <w:tc>
          <w:tcPr>
            <w:tcW w:w="2072" w:type="dxa"/>
            <w:noWrap/>
            <w:hideMark/>
          </w:tcPr>
          <w:p w14:paraId="0F17E710" w14:textId="77777777" w:rsidR="002B32A0" w:rsidRPr="00CE1D7F" w:rsidRDefault="002B32A0" w:rsidP="006258ED">
            <w:pPr>
              <w:pStyle w:val="Tabletext"/>
              <w:rPr>
                <w:szCs w:val="20"/>
              </w:rPr>
            </w:pPr>
            <w:r w:rsidRPr="00CE1D7F">
              <w:rPr>
                <w:szCs w:val="20"/>
              </w:rPr>
              <w:t>Benefits</w:t>
            </w:r>
          </w:p>
        </w:tc>
        <w:tc>
          <w:tcPr>
            <w:tcW w:w="1972" w:type="dxa"/>
            <w:noWrap/>
          </w:tcPr>
          <w:p w14:paraId="23080C3C" w14:textId="77777777" w:rsidR="002B32A0" w:rsidRPr="00CE1D7F" w:rsidRDefault="002B32A0" w:rsidP="006258ED">
            <w:pPr>
              <w:pStyle w:val="Tabletext"/>
              <w:jc w:val="center"/>
              <w:rPr>
                <w:szCs w:val="20"/>
              </w:rPr>
            </w:pPr>
            <w:r w:rsidRPr="00CE1D7F">
              <w:t>$8,128,021</w:t>
            </w:r>
          </w:p>
        </w:tc>
        <w:tc>
          <w:tcPr>
            <w:tcW w:w="1972" w:type="dxa"/>
            <w:gridSpan w:val="2"/>
            <w:noWrap/>
            <w:hideMark/>
          </w:tcPr>
          <w:p w14:paraId="06CA0EDA" w14:textId="77777777" w:rsidR="002B32A0" w:rsidRPr="00CE1D7F" w:rsidRDefault="002B32A0" w:rsidP="006258ED">
            <w:pPr>
              <w:pStyle w:val="Tabletext"/>
              <w:jc w:val="center"/>
              <w:rPr>
                <w:szCs w:val="20"/>
              </w:rPr>
            </w:pPr>
            <w:r w:rsidRPr="00CE1D7F">
              <w:t>$176,540,606</w:t>
            </w:r>
          </w:p>
        </w:tc>
        <w:tc>
          <w:tcPr>
            <w:tcW w:w="1973" w:type="dxa"/>
            <w:gridSpan w:val="2"/>
            <w:noWrap/>
          </w:tcPr>
          <w:p w14:paraId="10A86564" w14:textId="77777777" w:rsidR="002B32A0" w:rsidRPr="00CE1D7F" w:rsidRDefault="002B32A0" w:rsidP="006258ED">
            <w:pPr>
              <w:pStyle w:val="Tabletext"/>
              <w:jc w:val="center"/>
              <w:rPr>
                <w:szCs w:val="20"/>
              </w:rPr>
            </w:pPr>
            <w:r w:rsidRPr="00CE1D7F">
              <w:t>$325,120,821</w:t>
            </w:r>
          </w:p>
        </w:tc>
      </w:tr>
      <w:tr w:rsidR="002B32A0" w:rsidRPr="00CE1D7F" w14:paraId="43E50D89" w14:textId="77777777" w:rsidTr="000B0AC7">
        <w:trPr>
          <w:trHeight w:val="298"/>
        </w:trPr>
        <w:tc>
          <w:tcPr>
            <w:tcW w:w="2072" w:type="dxa"/>
            <w:noWrap/>
            <w:hideMark/>
          </w:tcPr>
          <w:p w14:paraId="5072C23A" w14:textId="77777777" w:rsidR="002B32A0" w:rsidRPr="00CE1D7F" w:rsidRDefault="002B32A0" w:rsidP="006258ED">
            <w:pPr>
              <w:pStyle w:val="Tabletext"/>
              <w:rPr>
                <w:b/>
                <w:bCs/>
                <w:szCs w:val="20"/>
              </w:rPr>
            </w:pPr>
            <w:r w:rsidRPr="00CE1D7F">
              <w:rPr>
                <w:b/>
                <w:bCs/>
                <w:szCs w:val="20"/>
              </w:rPr>
              <w:t>Net impact</w:t>
            </w:r>
          </w:p>
        </w:tc>
        <w:tc>
          <w:tcPr>
            <w:tcW w:w="1972" w:type="dxa"/>
            <w:noWrap/>
          </w:tcPr>
          <w:p w14:paraId="5D91F998" w14:textId="77777777" w:rsidR="002B32A0" w:rsidRPr="00CE1D7F" w:rsidRDefault="002B32A0" w:rsidP="006258ED">
            <w:pPr>
              <w:pStyle w:val="Tabletext"/>
              <w:jc w:val="center"/>
              <w:rPr>
                <w:b/>
                <w:bCs/>
                <w:szCs w:val="20"/>
              </w:rPr>
            </w:pPr>
            <w:r w:rsidRPr="00CE1D7F">
              <w:rPr>
                <w:b/>
                <w:bCs/>
              </w:rPr>
              <w:t>$3,375,984</w:t>
            </w:r>
          </w:p>
        </w:tc>
        <w:tc>
          <w:tcPr>
            <w:tcW w:w="1972" w:type="dxa"/>
            <w:gridSpan w:val="2"/>
            <w:noWrap/>
            <w:hideMark/>
          </w:tcPr>
          <w:p w14:paraId="442123D8" w14:textId="77777777" w:rsidR="002B32A0" w:rsidRPr="00CE1D7F" w:rsidRDefault="002B32A0" w:rsidP="006258ED">
            <w:pPr>
              <w:pStyle w:val="Tabletext"/>
              <w:jc w:val="center"/>
              <w:rPr>
                <w:b/>
                <w:bCs/>
                <w:szCs w:val="20"/>
              </w:rPr>
            </w:pPr>
            <w:r w:rsidRPr="00CE1D7F">
              <w:rPr>
                <w:b/>
                <w:bCs/>
              </w:rPr>
              <w:t>$105,245,560</w:t>
            </w:r>
          </w:p>
        </w:tc>
        <w:tc>
          <w:tcPr>
            <w:tcW w:w="1973" w:type="dxa"/>
            <w:gridSpan w:val="2"/>
            <w:noWrap/>
          </w:tcPr>
          <w:p w14:paraId="4668F753" w14:textId="77777777" w:rsidR="002B32A0" w:rsidRPr="00CE1D7F" w:rsidRDefault="002B32A0" w:rsidP="006258ED">
            <w:pPr>
              <w:pStyle w:val="Tabletext"/>
              <w:jc w:val="center"/>
              <w:rPr>
                <w:b/>
                <w:bCs/>
                <w:szCs w:val="20"/>
              </w:rPr>
            </w:pPr>
            <w:r w:rsidRPr="00CE1D7F">
              <w:rPr>
                <w:b/>
                <w:bCs/>
              </w:rPr>
              <w:t>$195,118,912</w:t>
            </w:r>
          </w:p>
        </w:tc>
      </w:tr>
      <w:tr w:rsidR="002B32A0" w:rsidRPr="00CE1D7F" w14:paraId="0839E77E" w14:textId="77777777" w:rsidTr="000B0AC7">
        <w:trPr>
          <w:trHeight w:val="298"/>
        </w:trPr>
        <w:tc>
          <w:tcPr>
            <w:tcW w:w="2072" w:type="dxa"/>
            <w:noWrap/>
            <w:hideMark/>
          </w:tcPr>
          <w:p w14:paraId="45450734" w14:textId="77777777" w:rsidR="002B32A0" w:rsidRPr="00CE1D7F" w:rsidRDefault="002B32A0" w:rsidP="006258ED">
            <w:pPr>
              <w:pStyle w:val="Tabletext"/>
              <w:rPr>
                <w:b/>
                <w:bCs/>
                <w:szCs w:val="20"/>
              </w:rPr>
            </w:pPr>
            <w:r w:rsidRPr="00CE1D7F">
              <w:rPr>
                <w:b/>
                <w:bCs/>
                <w:szCs w:val="20"/>
              </w:rPr>
              <w:t>BCR</w:t>
            </w:r>
          </w:p>
        </w:tc>
        <w:tc>
          <w:tcPr>
            <w:tcW w:w="1972" w:type="dxa"/>
            <w:noWrap/>
          </w:tcPr>
          <w:p w14:paraId="043225D8" w14:textId="77777777" w:rsidR="002B32A0" w:rsidRPr="00CE1D7F" w:rsidRDefault="002B32A0" w:rsidP="006258ED">
            <w:pPr>
              <w:pStyle w:val="Tabletext"/>
              <w:jc w:val="center"/>
              <w:rPr>
                <w:b/>
                <w:bCs/>
                <w:szCs w:val="20"/>
              </w:rPr>
            </w:pPr>
            <w:r w:rsidRPr="00CE1D7F">
              <w:rPr>
                <w:b/>
                <w:bCs/>
              </w:rPr>
              <w:t>1.71</w:t>
            </w:r>
          </w:p>
        </w:tc>
        <w:tc>
          <w:tcPr>
            <w:tcW w:w="1972" w:type="dxa"/>
            <w:gridSpan w:val="2"/>
            <w:noWrap/>
            <w:hideMark/>
          </w:tcPr>
          <w:p w14:paraId="12E27BAE" w14:textId="77777777" w:rsidR="002B32A0" w:rsidRPr="00CE1D7F" w:rsidRDefault="002B32A0" w:rsidP="006258ED">
            <w:pPr>
              <w:pStyle w:val="Tabletext"/>
              <w:jc w:val="center"/>
              <w:rPr>
                <w:b/>
                <w:bCs/>
                <w:szCs w:val="20"/>
              </w:rPr>
            </w:pPr>
            <w:r w:rsidRPr="00CE1D7F">
              <w:rPr>
                <w:b/>
                <w:bCs/>
              </w:rPr>
              <w:t>2.48</w:t>
            </w:r>
          </w:p>
        </w:tc>
        <w:tc>
          <w:tcPr>
            <w:tcW w:w="1973" w:type="dxa"/>
            <w:gridSpan w:val="2"/>
            <w:noWrap/>
          </w:tcPr>
          <w:p w14:paraId="15AF7C22" w14:textId="77777777" w:rsidR="002B32A0" w:rsidRPr="00CE1D7F" w:rsidRDefault="002B32A0" w:rsidP="006258ED">
            <w:pPr>
              <w:pStyle w:val="Tabletext"/>
              <w:jc w:val="center"/>
              <w:rPr>
                <w:b/>
                <w:bCs/>
                <w:szCs w:val="20"/>
              </w:rPr>
            </w:pPr>
            <w:r w:rsidRPr="00CE1D7F">
              <w:rPr>
                <w:b/>
                <w:bCs/>
              </w:rPr>
              <w:t>2.50</w:t>
            </w:r>
          </w:p>
        </w:tc>
      </w:tr>
      <w:tr w:rsidR="002B32A0" w:rsidRPr="00CE1D7F" w14:paraId="16FD13B8" w14:textId="77777777" w:rsidTr="000B0AC7">
        <w:trPr>
          <w:trHeight w:val="298"/>
        </w:trPr>
        <w:tc>
          <w:tcPr>
            <w:tcW w:w="2072" w:type="dxa"/>
            <w:noWrap/>
          </w:tcPr>
          <w:p w14:paraId="307276A9" w14:textId="77777777" w:rsidR="002B32A0" w:rsidRPr="00CE1D7F" w:rsidRDefault="002B32A0" w:rsidP="006258ED">
            <w:pPr>
              <w:pStyle w:val="Tabletext"/>
              <w:rPr>
                <w:b/>
                <w:bCs/>
                <w:i/>
                <w:iCs/>
                <w:szCs w:val="20"/>
              </w:rPr>
            </w:pPr>
            <w:r w:rsidRPr="00CE1D7F">
              <w:rPr>
                <w:i/>
                <w:iCs/>
                <w:sz w:val="16"/>
                <w:szCs w:val="18"/>
              </w:rPr>
              <w:t>Source: ACIL Allen</w:t>
            </w:r>
          </w:p>
        </w:tc>
        <w:tc>
          <w:tcPr>
            <w:tcW w:w="1972" w:type="dxa"/>
            <w:noWrap/>
          </w:tcPr>
          <w:p w14:paraId="323EF97A" w14:textId="77777777" w:rsidR="002B32A0" w:rsidRPr="00CE1D7F" w:rsidRDefault="002B32A0" w:rsidP="006258ED">
            <w:pPr>
              <w:pStyle w:val="Tabletext"/>
              <w:jc w:val="center"/>
              <w:rPr>
                <w:b/>
                <w:bCs/>
              </w:rPr>
            </w:pPr>
          </w:p>
        </w:tc>
        <w:tc>
          <w:tcPr>
            <w:tcW w:w="1972" w:type="dxa"/>
            <w:gridSpan w:val="2"/>
            <w:noWrap/>
          </w:tcPr>
          <w:p w14:paraId="34F58D1F" w14:textId="77777777" w:rsidR="002B32A0" w:rsidRPr="00CE1D7F" w:rsidRDefault="002B32A0" w:rsidP="006258ED">
            <w:pPr>
              <w:pStyle w:val="Tabletext"/>
              <w:jc w:val="center"/>
              <w:rPr>
                <w:b/>
                <w:bCs/>
              </w:rPr>
            </w:pPr>
          </w:p>
        </w:tc>
        <w:tc>
          <w:tcPr>
            <w:tcW w:w="1973" w:type="dxa"/>
            <w:gridSpan w:val="2"/>
            <w:noWrap/>
          </w:tcPr>
          <w:p w14:paraId="4B33A2E5" w14:textId="77777777" w:rsidR="002B32A0" w:rsidRPr="00CE1D7F" w:rsidRDefault="002B32A0" w:rsidP="006258ED">
            <w:pPr>
              <w:pStyle w:val="Tabletext"/>
              <w:jc w:val="center"/>
              <w:rPr>
                <w:b/>
                <w:bCs/>
              </w:rPr>
            </w:pPr>
          </w:p>
        </w:tc>
      </w:tr>
      <w:tr w:rsidR="002B32A0" w:rsidRPr="00CE1D7F" w14:paraId="5706B713" w14:textId="77777777" w:rsidTr="000B0AC7">
        <w:trPr>
          <w:trHeight w:hRule="exact" w:val="158"/>
        </w:trPr>
        <w:tc>
          <w:tcPr>
            <w:tcW w:w="2072" w:type="dxa"/>
            <w:noWrap/>
          </w:tcPr>
          <w:p w14:paraId="05EA3C3C" w14:textId="77777777" w:rsidR="002B32A0" w:rsidRPr="00CE1D7F" w:rsidRDefault="002B32A0" w:rsidP="006258ED">
            <w:pPr>
              <w:pStyle w:val="spacer"/>
              <w:spacing w:line="256" w:lineRule="auto"/>
              <w:rPr>
                <w:lang w:eastAsia="ja-JP"/>
              </w:rPr>
            </w:pPr>
          </w:p>
        </w:tc>
        <w:tc>
          <w:tcPr>
            <w:tcW w:w="2683" w:type="dxa"/>
            <w:gridSpan w:val="2"/>
            <w:noWrap/>
          </w:tcPr>
          <w:p w14:paraId="06157ABB" w14:textId="77777777" w:rsidR="002B32A0" w:rsidRPr="00CE1D7F" w:rsidRDefault="002B32A0" w:rsidP="006258ED">
            <w:pPr>
              <w:pStyle w:val="spacer"/>
              <w:spacing w:line="256" w:lineRule="auto"/>
              <w:rPr>
                <w:lang w:eastAsia="ja-JP"/>
              </w:rPr>
            </w:pPr>
          </w:p>
        </w:tc>
        <w:tc>
          <w:tcPr>
            <w:tcW w:w="1617" w:type="dxa"/>
            <w:gridSpan w:val="2"/>
            <w:noWrap/>
          </w:tcPr>
          <w:p w14:paraId="0111FC81" w14:textId="77777777" w:rsidR="002B32A0" w:rsidRPr="00CE1D7F" w:rsidRDefault="002B32A0" w:rsidP="006258ED">
            <w:pPr>
              <w:pStyle w:val="spacer"/>
              <w:spacing w:line="256" w:lineRule="auto"/>
              <w:rPr>
                <w:lang w:eastAsia="ja-JP"/>
              </w:rPr>
            </w:pPr>
          </w:p>
        </w:tc>
        <w:tc>
          <w:tcPr>
            <w:tcW w:w="1617" w:type="dxa"/>
            <w:noWrap/>
          </w:tcPr>
          <w:p w14:paraId="2A10868E" w14:textId="77777777" w:rsidR="002B32A0" w:rsidRPr="00CE1D7F" w:rsidRDefault="002B32A0" w:rsidP="006258ED">
            <w:pPr>
              <w:pStyle w:val="spacer"/>
              <w:spacing w:line="256" w:lineRule="auto"/>
              <w:rPr>
                <w:lang w:eastAsia="ja-JP"/>
              </w:rPr>
            </w:pPr>
          </w:p>
        </w:tc>
      </w:tr>
    </w:tbl>
    <w:p w14:paraId="37AA2FCD" w14:textId="02826827" w:rsidR="002B32A0" w:rsidRPr="00CE1D7F" w:rsidRDefault="002B32A0" w:rsidP="001722E7">
      <w:pPr>
        <w:keepNext/>
        <w:keepLines/>
        <w:rPr>
          <w:b/>
        </w:rPr>
      </w:pPr>
      <w:r w:rsidRPr="00CE1D7F">
        <w:t xml:space="preserve">Sensitivity testing was also conducted for the difference in fees between retained and non-retained students. The central case was that the difference between retained and non-retained students was 2 years of university fees ($24,000 for 2 years, i.e., $48,000). That is to say, that non-retained students will pay one year of fees before dropping out. The Cost Benefit Analysis results were tested with a lower bound difference of one year of fees and an upper bound of 3 years of fees (the maximum amount assuming a 3-year undergraduate degree). The results in </w:t>
      </w:r>
      <w:r w:rsidRPr="00F87D0E">
        <w:fldChar w:fldCharType="begin"/>
      </w:r>
      <w:r w:rsidRPr="00F87D0E">
        <w:instrText xml:space="preserve"> REF _Ref129346555 \h  \* MERGEFORMAT </w:instrText>
      </w:r>
      <w:r w:rsidRPr="00F87D0E">
        <w:fldChar w:fldCharType="separate"/>
      </w:r>
      <w:r w:rsidR="000B0AC7" w:rsidRPr="000B0AC7">
        <w:t>Table 12.4</w:t>
      </w:r>
      <w:r w:rsidRPr="00F87D0E">
        <w:fldChar w:fldCharType="end"/>
      </w:r>
      <w:r w:rsidRPr="00CE1D7F">
        <w:t xml:space="preserve"> show that the Net Present Value would fall from $105.3</w:t>
      </w:r>
      <w:r>
        <w:t> million</w:t>
      </w:r>
      <w:r w:rsidRPr="00CE1D7F">
        <w:t xml:space="preserve"> to $66.3</w:t>
      </w:r>
      <w:r>
        <w:t> million</w:t>
      </w:r>
      <w:r w:rsidRPr="00CE1D7F">
        <w:t xml:space="preserve"> and the BCR would fall from 2.48 to 1.60 if the difference in fees was 3 years rather than 2 years. Whereas the Net Present Value would rise to $141.4</w:t>
      </w:r>
      <w:r>
        <w:t> million</w:t>
      </w:r>
      <w:r w:rsidRPr="00CE1D7F">
        <w:t xml:space="preserve"> and the BCR would rise to 5.02 if the difference in fees was one year rather than 2 years. The CBA is positive at all 3 discount rates. However, it can be seen that the BCR is highly sensitive to the cost of university, given that this is the main contributor to the cost side of the CBA.</w:t>
      </w:r>
    </w:p>
    <w:p w14:paraId="16F8B02E" w14:textId="6FC2DF9A" w:rsidR="002B32A0" w:rsidRPr="00CE1D7F" w:rsidRDefault="002B32A0" w:rsidP="000B0AC7">
      <w:pPr>
        <w:pStyle w:val="Caption"/>
        <w:ind w:left="1240" w:hanging="1308"/>
        <w:rPr>
          <w:bCs/>
        </w:rPr>
      </w:pPr>
      <w:bookmarkStart w:id="589" w:name="_Ref129346555"/>
      <w:r w:rsidRPr="00CE1D7F">
        <w:rPr>
          <w:rStyle w:val="CaptionLabel"/>
        </w:rPr>
        <w:t>Table </w:t>
      </w:r>
      <w:r w:rsidRPr="00CE1D7F">
        <w:rPr>
          <w:rStyle w:val="CaptionLabel"/>
        </w:rPr>
        <w:fldChar w:fldCharType="begin"/>
      </w:r>
      <w:r w:rsidRPr="00CE1D7F">
        <w:rPr>
          <w:rStyle w:val="CaptionLabel"/>
        </w:rPr>
        <w:instrText xml:space="preserve"> STYLEREF 1 \S \* MERGEFORMAT </w:instrText>
      </w:r>
      <w:r w:rsidRPr="00CE1D7F">
        <w:rPr>
          <w:rStyle w:val="CaptionLabel"/>
        </w:rPr>
        <w:fldChar w:fldCharType="separate"/>
      </w:r>
      <w:r w:rsidR="000B0AC7">
        <w:rPr>
          <w:rStyle w:val="CaptionLabel"/>
          <w:noProof/>
        </w:rPr>
        <w:t>12</w:t>
      </w:r>
      <w:r w:rsidRPr="00CE1D7F">
        <w:rPr>
          <w:rStyle w:val="CaptionLabel"/>
        </w:rPr>
        <w:fldChar w:fldCharType="end"/>
      </w:r>
      <w:r w:rsidRPr="00CE1D7F">
        <w:rPr>
          <w:rStyle w:val="CaptionLabel"/>
        </w:rPr>
        <w:t>.</w:t>
      </w:r>
      <w:r w:rsidRPr="00CE1D7F">
        <w:rPr>
          <w:rStyle w:val="CaptionLabel"/>
        </w:rPr>
        <w:fldChar w:fldCharType="begin"/>
      </w:r>
      <w:r w:rsidRPr="00CE1D7F">
        <w:rPr>
          <w:rStyle w:val="CaptionLabel"/>
        </w:rPr>
        <w:instrText xml:space="preserve"> SEQ Table \* ARABIC \S 1 \* MERGEFORMAT </w:instrText>
      </w:r>
      <w:r w:rsidRPr="00CE1D7F">
        <w:rPr>
          <w:rStyle w:val="CaptionLabel"/>
        </w:rPr>
        <w:fldChar w:fldCharType="separate"/>
      </w:r>
      <w:r w:rsidR="000B0AC7">
        <w:rPr>
          <w:rStyle w:val="CaptionLabel"/>
          <w:noProof/>
        </w:rPr>
        <w:t>4</w:t>
      </w:r>
      <w:r w:rsidRPr="00CE1D7F">
        <w:rPr>
          <w:rStyle w:val="CaptionLabel"/>
        </w:rPr>
        <w:fldChar w:fldCharType="end"/>
      </w:r>
      <w:bookmarkEnd w:id="589"/>
      <w:r w:rsidRPr="00CE1D7F">
        <w:rPr>
          <w:rStyle w:val="CaptionLabel"/>
        </w:rPr>
        <w:t xml:space="preserve"> </w:t>
      </w:r>
      <w:r w:rsidRPr="00CE1D7F">
        <w:rPr>
          <w:rStyle w:val="CaptionLabel"/>
          <w:b w:val="0"/>
        </w:rPr>
        <w:t>Sensitivity testing difference in fees between retained and non-retained students (7% DR, 2022$)</w:t>
      </w:r>
    </w:p>
    <w:tbl>
      <w:tblPr>
        <w:tblStyle w:val="aacTableBasic"/>
        <w:tblW w:w="8004" w:type="dxa"/>
        <w:tblInd w:w="-68" w:type="dxa"/>
        <w:tblLayout w:type="fixed"/>
        <w:tblLook w:val="04A0" w:firstRow="1" w:lastRow="0" w:firstColumn="1" w:lastColumn="0" w:noHBand="0" w:noVBand="1"/>
        <w:tblCaption w:val="Table 12.4 "/>
        <w:tblDescription w:val="Sensitivity testing difference in fees between retained and non-retained students (7% DR, 2022$)"/>
      </w:tblPr>
      <w:tblGrid>
        <w:gridCol w:w="2071"/>
        <w:gridCol w:w="1984"/>
        <w:gridCol w:w="1843"/>
        <w:gridCol w:w="2106"/>
      </w:tblGrid>
      <w:tr w:rsidR="002B32A0" w:rsidRPr="00CE1D7F" w14:paraId="693FA580" w14:textId="77777777" w:rsidTr="000B0AC7">
        <w:trPr>
          <w:cnfStyle w:val="100000000000" w:firstRow="1" w:lastRow="0" w:firstColumn="0" w:lastColumn="0" w:oddVBand="0" w:evenVBand="0" w:oddHBand="0" w:evenHBand="0" w:firstRowFirstColumn="0" w:firstRowLastColumn="0" w:lastRowFirstColumn="0" w:lastRowLastColumn="0"/>
          <w:trHeight w:val="323"/>
        </w:trPr>
        <w:tc>
          <w:tcPr>
            <w:tcW w:w="2071" w:type="dxa"/>
            <w:tcBorders>
              <w:top w:val="nil"/>
            </w:tcBorders>
            <w:shd w:val="solid" w:color="140034" w:fill="140034"/>
            <w:noWrap/>
          </w:tcPr>
          <w:p w14:paraId="5D8B8CFB" w14:textId="77777777" w:rsidR="002B32A0" w:rsidRPr="00CE1D7F" w:rsidRDefault="002B32A0" w:rsidP="006258ED">
            <w:pPr>
              <w:pStyle w:val="Tablecolumnheadings"/>
              <w:rPr>
                <w:lang w:eastAsia="ja-JP"/>
              </w:rPr>
            </w:pPr>
          </w:p>
        </w:tc>
        <w:tc>
          <w:tcPr>
            <w:tcW w:w="1984" w:type="dxa"/>
            <w:tcBorders>
              <w:top w:val="nil"/>
            </w:tcBorders>
            <w:shd w:val="solid" w:color="140034" w:fill="140034"/>
            <w:noWrap/>
            <w:hideMark/>
          </w:tcPr>
          <w:p w14:paraId="4DAC62D5" w14:textId="77777777" w:rsidR="002B32A0" w:rsidRPr="00CE1D7F" w:rsidRDefault="002B32A0" w:rsidP="006258ED">
            <w:pPr>
              <w:pStyle w:val="Tablecolumnheadings"/>
              <w:jc w:val="center"/>
              <w:rPr>
                <w:rFonts w:ascii="Calibri" w:hAnsi="Calibri" w:cs="Calibri"/>
                <w:color w:val="000000"/>
                <w:lang w:eastAsia="ja-JP"/>
              </w:rPr>
            </w:pPr>
            <w:r w:rsidRPr="00CE1D7F">
              <w:t>1 year of fees</w:t>
            </w:r>
          </w:p>
        </w:tc>
        <w:tc>
          <w:tcPr>
            <w:tcW w:w="1843" w:type="dxa"/>
            <w:tcBorders>
              <w:top w:val="nil"/>
            </w:tcBorders>
            <w:shd w:val="solid" w:color="140034" w:fill="140034"/>
            <w:noWrap/>
            <w:hideMark/>
          </w:tcPr>
          <w:p w14:paraId="69586390" w14:textId="77777777" w:rsidR="002B32A0" w:rsidRPr="00CE1D7F" w:rsidRDefault="002B32A0" w:rsidP="006258ED">
            <w:pPr>
              <w:pStyle w:val="Tablecolumnheadings"/>
              <w:jc w:val="center"/>
              <w:rPr>
                <w:rFonts w:ascii="Calibri" w:hAnsi="Calibri" w:cs="Calibri"/>
                <w:color w:val="000000"/>
                <w:lang w:eastAsia="ja-JP"/>
              </w:rPr>
            </w:pPr>
            <w:r w:rsidRPr="00CE1D7F">
              <w:t>2 years of fees</w:t>
            </w:r>
          </w:p>
        </w:tc>
        <w:tc>
          <w:tcPr>
            <w:tcW w:w="2106" w:type="dxa"/>
            <w:tcBorders>
              <w:top w:val="nil"/>
            </w:tcBorders>
            <w:shd w:val="solid" w:color="140034" w:fill="140034"/>
            <w:noWrap/>
            <w:hideMark/>
          </w:tcPr>
          <w:p w14:paraId="7EF07183" w14:textId="77777777" w:rsidR="002B32A0" w:rsidRPr="00CE1D7F" w:rsidRDefault="002B32A0" w:rsidP="006258ED">
            <w:pPr>
              <w:pStyle w:val="Tablecolumnheadings"/>
              <w:jc w:val="center"/>
              <w:rPr>
                <w:rFonts w:ascii="Calibri" w:hAnsi="Calibri" w:cs="Calibri"/>
                <w:color w:val="000000"/>
                <w:lang w:eastAsia="ja-JP"/>
              </w:rPr>
            </w:pPr>
            <w:r w:rsidRPr="00CE1D7F">
              <w:t>3 years of fees</w:t>
            </w:r>
          </w:p>
        </w:tc>
      </w:tr>
      <w:tr w:rsidR="002B32A0" w:rsidRPr="00CE1D7F" w14:paraId="5FC329C7" w14:textId="77777777" w:rsidTr="000B0AC7">
        <w:trPr>
          <w:trHeight w:val="275"/>
        </w:trPr>
        <w:tc>
          <w:tcPr>
            <w:tcW w:w="2071" w:type="dxa"/>
            <w:noWrap/>
            <w:hideMark/>
          </w:tcPr>
          <w:p w14:paraId="49BD0387" w14:textId="77777777" w:rsidR="002B32A0" w:rsidRPr="00CE1D7F" w:rsidRDefault="002B32A0" w:rsidP="006258ED">
            <w:pPr>
              <w:pStyle w:val="Tabletext"/>
              <w:rPr>
                <w:szCs w:val="20"/>
              </w:rPr>
            </w:pPr>
            <w:r w:rsidRPr="00CE1D7F">
              <w:rPr>
                <w:szCs w:val="20"/>
              </w:rPr>
              <w:t>Costs</w:t>
            </w:r>
          </w:p>
        </w:tc>
        <w:tc>
          <w:tcPr>
            <w:tcW w:w="1984" w:type="dxa"/>
            <w:noWrap/>
          </w:tcPr>
          <w:p w14:paraId="733D3EB0" w14:textId="77777777" w:rsidR="002B32A0" w:rsidRPr="00CE1D7F" w:rsidRDefault="002B32A0" w:rsidP="006258ED">
            <w:pPr>
              <w:pStyle w:val="Tabletext"/>
              <w:jc w:val="center"/>
              <w:rPr>
                <w:szCs w:val="20"/>
              </w:rPr>
            </w:pPr>
            <w:r w:rsidRPr="00CE1D7F">
              <w:t>$35,143,715</w:t>
            </w:r>
          </w:p>
        </w:tc>
        <w:tc>
          <w:tcPr>
            <w:tcW w:w="1843" w:type="dxa"/>
            <w:noWrap/>
            <w:hideMark/>
          </w:tcPr>
          <w:p w14:paraId="0F9ACE51" w14:textId="77777777" w:rsidR="002B32A0" w:rsidRPr="00CE1D7F" w:rsidRDefault="002B32A0" w:rsidP="006258ED">
            <w:pPr>
              <w:pStyle w:val="Tabletext"/>
              <w:jc w:val="center"/>
              <w:rPr>
                <w:szCs w:val="20"/>
              </w:rPr>
            </w:pPr>
            <w:r w:rsidRPr="00CE1D7F">
              <w:t>$71,295,046</w:t>
            </w:r>
          </w:p>
        </w:tc>
        <w:tc>
          <w:tcPr>
            <w:tcW w:w="2106" w:type="dxa"/>
            <w:noWrap/>
          </w:tcPr>
          <w:p w14:paraId="40E9ADF3" w14:textId="77777777" w:rsidR="002B32A0" w:rsidRPr="00CE1D7F" w:rsidRDefault="002B32A0" w:rsidP="006258ED">
            <w:pPr>
              <w:pStyle w:val="Tabletext"/>
              <w:jc w:val="center"/>
              <w:rPr>
                <w:szCs w:val="20"/>
              </w:rPr>
            </w:pPr>
            <w:r w:rsidRPr="00CE1D7F">
              <w:t>$110,233,796</w:t>
            </w:r>
          </w:p>
        </w:tc>
      </w:tr>
      <w:tr w:rsidR="002B32A0" w:rsidRPr="00CE1D7F" w14:paraId="02461CF8" w14:textId="77777777" w:rsidTr="000B0AC7">
        <w:trPr>
          <w:trHeight w:val="290"/>
        </w:trPr>
        <w:tc>
          <w:tcPr>
            <w:tcW w:w="2071" w:type="dxa"/>
            <w:noWrap/>
            <w:hideMark/>
          </w:tcPr>
          <w:p w14:paraId="5D26A3B6" w14:textId="77777777" w:rsidR="002B32A0" w:rsidRPr="00CE1D7F" w:rsidRDefault="002B32A0" w:rsidP="006258ED">
            <w:pPr>
              <w:pStyle w:val="Tabletext"/>
              <w:rPr>
                <w:szCs w:val="20"/>
              </w:rPr>
            </w:pPr>
            <w:r w:rsidRPr="00CE1D7F">
              <w:rPr>
                <w:szCs w:val="20"/>
              </w:rPr>
              <w:t>Benefits</w:t>
            </w:r>
          </w:p>
        </w:tc>
        <w:tc>
          <w:tcPr>
            <w:tcW w:w="1984" w:type="dxa"/>
            <w:noWrap/>
          </w:tcPr>
          <w:p w14:paraId="2E6376F4" w14:textId="77777777" w:rsidR="002B32A0" w:rsidRPr="00CE1D7F" w:rsidRDefault="002B32A0" w:rsidP="006258ED">
            <w:pPr>
              <w:pStyle w:val="Tabletext"/>
              <w:jc w:val="center"/>
              <w:rPr>
                <w:szCs w:val="20"/>
              </w:rPr>
            </w:pPr>
            <w:r w:rsidRPr="00CE1D7F">
              <w:t>$176,540,606</w:t>
            </w:r>
          </w:p>
        </w:tc>
        <w:tc>
          <w:tcPr>
            <w:tcW w:w="1843" w:type="dxa"/>
            <w:noWrap/>
            <w:hideMark/>
          </w:tcPr>
          <w:p w14:paraId="38D72F74" w14:textId="77777777" w:rsidR="002B32A0" w:rsidRPr="00CE1D7F" w:rsidRDefault="002B32A0" w:rsidP="006258ED">
            <w:pPr>
              <w:pStyle w:val="Tabletext"/>
              <w:jc w:val="center"/>
              <w:rPr>
                <w:szCs w:val="20"/>
              </w:rPr>
            </w:pPr>
            <w:r w:rsidRPr="00CE1D7F">
              <w:t>$176,540,606</w:t>
            </w:r>
          </w:p>
        </w:tc>
        <w:tc>
          <w:tcPr>
            <w:tcW w:w="2106" w:type="dxa"/>
            <w:noWrap/>
          </w:tcPr>
          <w:p w14:paraId="3244538D" w14:textId="77777777" w:rsidR="002B32A0" w:rsidRPr="00CE1D7F" w:rsidRDefault="002B32A0" w:rsidP="006258ED">
            <w:pPr>
              <w:pStyle w:val="Tabletext"/>
              <w:jc w:val="center"/>
              <w:rPr>
                <w:szCs w:val="20"/>
              </w:rPr>
            </w:pPr>
            <w:r w:rsidRPr="00CE1D7F">
              <w:t>$176,540,606</w:t>
            </w:r>
          </w:p>
        </w:tc>
      </w:tr>
      <w:tr w:rsidR="002B32A0" w:rsidRPr="00CE1D7F" w14:paraId="3374749D" w14:textId="77777777" w:rsidTr="000B0AC7">
        <w:trPr>
          <w:trHeight w:val="290"/>
        </w:trPr>
        <w:tc>
          <w:tcPr>
            <w:tcW w:w="2071" w:type="dxa"/>
            <w:noWrap/>
            <w:hideMark/>
          </w:tcPr>
          <w:p w14:paraId="56D21A47" w14:textId="77777777" w:rsidR="002B32A0" w:rsidRPr="00CE1D7F" w:rsidRDefault="002B32A0" w:rsidP="006258ED">
            <w:pPr>
              <w:pStyle w:val="Tabletext"/>
              <w:rPr>
                <w:b/>
                <w:bCs/>
                <w:szCs w:val="20"/>
              </w:rPr>
            </w:pPr>
            <w:r w:rsidRPr="00CE1D7F">
              <w:rPr>
                <w:b/>
                <w:bCs/>
                <w:szCs w:val="20"/>
              </w:rPr>
              <w:t>Net impact</w:t>
            </w:r>
          </w:p>
        </w:tc>
        <w:tc>
          <w:tcPr>
            <w:tcW w:w="1984" w:type="dxa"/>
            <w:noWrap/>
          </w:tcPr>
          <w:p w14:paraId="5546FADF" w14:textId="77777777" w:rsidR="002B32A0" w:rsidRPr="00CE1D7F" w:rsidRDefault="002B32A0" w:rsidP="006258ED">
            <w:pPr>
              <w:pStyle w:val="Tabletext"/>
              <w:jc w:val="center"/>
              <w:rPr>
                <w:b/>
                <w:bCs/>
                <w:szCs w:val="20"/>
              </w:rPr>
            </w:pPr>
            <w:r w:rsidRPr="00CE1D7F">
              <w:rPr>
                <w:b/>
                <w:bCs/>
              </w:rPr>
              <w:t>$141,396,891</w:t>
            </w:r>
          </w:p>
        </w:tc>
        <w:tc>
          <w:tcPr>
            <w:tcW w:w="1843" w:type="dxa"/>
            <w:noWrap/>
            <w:hideMark/>
          </w:tcPr>
          <w:p w14:paraId="1F132F21" w14:textId="77777777" w:rsidR="002B32A0" w:rsidRPr="00CE1D7F" w:rsidRDefault="002B32A0" w:rsidP="006258ED">
            <w:pPr>
              <w:pStyle w:val="Tabletext"/>
              <w:jc w:val="center"/>
              <w:rPr>
                <w:b/>
                <w:bCs/>
                <w:szCs w:val="20"/>
              </w:rPr>
            </w:pPr>
            <w:r w:rsidRPr="00CE1D7F">
              <w:rPr>
                <w:b/>
                <w:bCs/>
              </w:rPr>
              <w:t>$105,245,560</w:t>
            </w:r>
          </w:p>
        </w:tc>
        <w:tc>
          <w:tcPr>
            <w:tcW w:w="2106" w:type="dxa"/>
            <w:noWrap/>
          </w:tcPr>
          <w:p w14:paraId="3E03D0F7" w14:textId="77777777" w:rsidR="002B32A0" w:rsidRPr="00CE1D7F" w:rsidRDefault="002B32A0" w:rsidP="006258ED">
            <w:pPr>
              <w:pStyle w:val="Tabletext"/>
              <w:jc w:val="center"/>
              <w:rPr>
                <w:b/>
                <w:bCs/>
                <w:szCs w:val="20"/>
              </w:rPr>
            </w:pPr>
            <w:r w:rsidRPr="00CE1D7F">
              <w:rPr>
                <w:b/>
                <w:bCs/>
              </w:rPr>
              <w:t>$66,306,810</w:t>
            </w:r>
          </w:p>
        </w:tc>
      </w:tr>
      <w:tr w:rsidR="002B32A0" w:rsidRPr="00CE1D7F" w14:paraId="21652E60" w14:textId="77777777" w:rsidTr="000B0AC7">
        <w:trPr>
          <w:trHeight w:val="290"/>
        </w:trPr>
        <w:tc>
          <w:tcPr>
            <w:tcW w:w="2071" w:type="dxa"/>
            <w:noWrap/>
            <w:hideMark/>
          </w:tcPr>
          <w:p w14:paraId="15AA7F8F" w14:textId="77777777" w:rsidR="002B32A0" w:rsidRPr="00CE1D7F" w:rsidRDefault="002B32A0" w:rsidP="006258ED">
            <w:pPr>
              <w:pStyle w:val="Tabletext"/>
              <w:rPr>
                <w:b/>
                <w:bCs/>
                <w:szCs w:val="20"/>
              </w:rPr>
            </w:pPr>
            <w:r w:rsidRPr="00CE1D7F">
              <w:rPr>
                <w:b/>
                <w:bCs/>
                <w:szCs w:val="20"/>
              </w:rPr>
              <w:t>BCR</w:t>
            </w:r>
          </w:p>
        </w:tc>
        <w:tc>
          <w:tcPr>
            <w:tcW w:w="1984" w:type="dxa"/>
            <w:noWrap/>
          </w:tcPr>
          <w:p w14:paraId="48EC403B" w14:textId="77777777" w:rsidR="002B32A0" w:rsidRPr="00CE1D7F" w:rsidRDefault="002B32A0" w:rsidP="006258ED">
            <w:pPr>
              <w:pStyle w:val="Tabletext"/>
              <w:jc w:val="center"/>
              <w:rPr>
                <w:b/>
                <w:bCs/>
                <w:szCs w:val="20"/>
              </w:rPr>
            </w:pPr>
            <w:bookmarkStart w:id="590" w:name="_Hlk128410606"/>
            <w:r w:rsidRPr="00CE1D7F">
              <w:rPr>
                <w:b/>
                <w:bCs/>
              </w:rPr>
              <w:t>5.02</w:t>
            </w:r>
            <w:bookmarkEnd w:id="590"/>
          </w:p>
        </w:tc>
        <w:tc>
          <w:tcPr>
            <w:tcW w:w="1843" w:type="dxa"/>
            <w:noWrap/>
            <w:hideMark/>
          </w:tcPr>
          <w:p w14:paraId="2A68E283" w14:textId="77777777" w:rsidR="002B32A0" w:rsidRPr="00CE1D7F" w:rsidRDefault="002B32A0" w:rsidP="006258ED">
            <w:pPr>
              <w:pStyle w:val="Tabletext"/>
              <w:jc w:val="center"/>
              <w:rPr>
                <w:b/>
                <w:bCs/>
                <w:szCs w:val="20"/>
              </w:rPr>
            </w:pPr>
            <w:r w:rsidRPr="00CE1D7F">
              <w:rPr>
                <w:b/>
                <w:bCs/>
              </w:rPr>
              <w:t>2.48</w:t>
            </w:r>
          </w:p>
        </w:tc>
        <w:tc>
          <w:tcPr>
            <w:tcW w:w="2106" w:type="dxa"/>
            <w:noWrap/>
          </w:tcPr>
          <w:p w14:paraId="14C69595" w14:textId="77777777" w:rsidR="002B32A0" w:rsidRPr="00CE1D7F" w:rsidRDefault="002B32A0" w:rsidP="006258ED">
            <w:pPr>
              <w:pStyle w:val="Tabletext"/>
              <w:jc w:val="center"/>
              <w:rPr>
                <w:b/>
                <w:bCs/>
                <w:szCs w:val="20"/>
              </w:rPr>
            </w:pPr>
            <w:r w:rsidRPr="00CE1D7F">
              <w:rPr>
                <w:b/>
                <w:bCs/>
              </w:rPr>
              <w:t>1.60</w:t>
            </w:r>
          </w:p>
        </w:tc>
      </w:tr>
      <w:tr w:rsidR="002B32A0" w:rsidRPr="00CE1D7F" w14:paraId="4CF0804C" w14:textId="77777777" w:rsidTr="000B0AC7">
        <w:trPr>
          <w:trHeight w:val="290"/>
        </w:trPr>
        <w:tc>
          <w:tcPr>
            <w:tcW w:w="2071" w:type="dxa"/>
            <w:noWrap/>
          </w:tcPr>
          <w:p w14:paraId="41B0EA06" w14:textId="77777777" w:rsidR="002B32A0" w:rsidRPr="00CE1D7F" w:rsidRDefault="002B32A0" w:rsidP="006258ED">
            <w:pPr>
              <w:pStyle w:val="Tabletext"/>
              <w:rPr>
                <w:b/>
                <w:bCs/>
                <w:szCs w:val="20"/>
              </w:rPr>
            </w:pPr>
            <w:r w:rsidRPr="00CE1D7F">
              <w:rPr>
                <w:i/>
                <w:iCs/>
                <w:sz w:val="16"/>
                <w:szCs w:val="18"/>
              </w:rPr>
              <w:t>Source: ACIL Allen</w:t>
            </w:r>
          </w:p>
        </w:tc>
        <w:tc>
          <w:tcPr>
            <w:tcW w:w="1984" w:type="dxa"/>
            <w:noWrap/>
          </w:tcPr>
          <w:p w14:paraId="3B0EB728" w14:textId="77777777" w:rsidR="002B32A0" w:rsidRPr="00CE1D7F" w:rsidRDefault="002B32A0" w:rsidP="006258ED">
            <w:pPr>
              <w:pStyle w:val="Tabletext"/>
              <w:jc w:val="center"/>
              <w:rPr>
                <w:b/>
                <w:bCs/>
              </w:rPr>
            </w:pPr>
          </w:p>
        </w:tc>
        <w:tc>
          <w:tcPr>
            <w:tcW w:w="1843" w:type="dxa"/>
            <w:noWrap/>
          </w:tcPr>
          <w:p w14:paraId="3E953E3E" w14:textId="77777777" w:rsidR="002B32A0" w:rsidRPr="00CE1D7F" w:rsidRDefault="002B32A0" w:rsidP="006258ED">
            <w:pPr>
              <w:pStyle w:val="Tabletext"/>
              <w:jc w:val="center"/>
              <w:rPr>
                <w:b/>
                <w:bCs/>
              </w:rPr>
            </w:pPr>
          </w:p>
        </w:tc>
        <w:tc>
          <w:tcPr>
            <w:tcW w:w="2106" w:type="dxa"/>
            <w:noWrap/>
          </w:tcPr>
          <w:p w14:paraId="7E8199A6" w14:textId="77777777" w:rsidR="002B32A0" w:rsidRPr="00CE1D7F" w:rsidRDefault="002B32A0" w:rsidP="006258ED">
            <w:pPr>
              <w:pStyle w:val="Tabletext"/>
              <w:jc w:val="center"/>
              <w:rPr>
                <w:b/>
                <w:bCs/>
              </w:rPr>
            </w:pPr>
          </w:p>
        </w:tc>
      </w:tr>
      <w:tr w:rsidR="002B32A0" w:rsidRPr="00CE1D7F" w14:paraId="4EC6C754" w14:textId="77777777" w:rsidTr="000B0AC7">
        <w:trPr>
          <w:trHeight w:hRule="exact" w:val="154"/>
        </w:trPr>
        <w:tc>
          <w:tcPr>
            <w:tcW w:w="2071" w:type="dxa"/>
            <w:noWrap/>
          </w:tcPr>
          <w:p w14:paraId="4176BB5A" w14:textId="77777777" w:rsidR="002B32A0" w:rsidRPr="00CE1D7F" w:rsidRDefault="002B32A0" w:rsidP="006258ED">
            <w:pPr>
              <w:pStyle w:val="spacer"/>
              <w:spacing w:line="256" w:lineRule="auto"/>
              <w:rPr>
                <w:lang w:eastAsia="ja-JP"/>
              </w:rPr>
            </w:pPr>
          </w:p>
        </w:tc>
        <w:tc>
          <w:tcPr>
            <w:tcW w:w="1984" w:type="dxa"/>
            <w:noWrap/>
          </w:tcPr>
          <w:p w14:paraId="02FE3A13" w14:textId="77777777" w:rsidR="002B32A0" w:rsidRPr="00CE1D7F" w:rsidRDefault="002B32A0" w:rsidP="006258ED">
            <w:pPr>
              <w:pStyle w:val="spacer"/>
              <w:spacing w:line="256" w:lineRule="auto"/>
              <w:rPr>
                <w:lang w:eastAsia="ja-JP"/>
              </w:rPr>
            </w:pPr>
          </w:p>
        </w:tc>
        <w:tc>
          <w:tcPr>
            <w:tcW w:w="1843" w:type="dxa"/>
            <w:noWrap/>
          </w:tcPr>
          <w:p w14:paraId="6E069E3A" w14:textId="77777777" w:rsidR="002B32A0" w:rsidRPr="00CE1D7F" w:rsidRDefault="002B32A0" w:rsidP="006258ED">
            <w:pPr>
              <w:pStyle w:val="spacer"/>
              <w:spacing w:line="256" w:lineRule="auto"/>
              <w:rPr>
                <w:lang w:eastAsia="ja-JP"/>
              </w:rPr>
            </w:pPr>
          </w:p>
        </w:tc>
        <w:tc>
          <w:tcPr>
            <w:tcW w:w="2106" w:type="dxa"/>
            <w:noWrap/>
          </w:tcPr>
          <w:p w14:paraId="0EF1012D" w14:textId="77777777" w:rsidR="002B32A0" w:rsidRPr="00CE1D7F" w:rsidRDefault="002B32A0" w:rsidP="006258ED">
            <w:pPr>
              <w:pStyle w:val="spacer"/>
              <w:spacing w:line="256" w:lineRule="auto"/>
              <w:rPr>
                <w:lang w:eastAsia="ja-JP"/>
              </w:rPr>
            </w:pPr>
          </w:p>
        </w:tc>
      </w:tr>
    </w:tbl>
    <w:p w14:paraId="3AD9D342" w14:textId="00EFB725" w:rsidR="002B32A0" w:rsidRPr="00CE1D7F" w:rsidRDefault="002B32A0" w:rsidP="002B32A0">
      <w:pPr>
        <w:pStyle w:val="BodyText"/>
      </w:pPr>
      <w:r w:rsidRPr="00CE1D7F">
        <w:t xml:space="preserve">Sensitivity testing was also conducted for the attribution of benefits to ARC. The central case was an attribution of 75%. The CBA results were tested with a lower bound attribution of 50% and an upper bound attribution of 100%. The results in </w:t>
      </w:r>
      <w:r w:rsidRPr="00F87D0E">
        <w:fldChar w:fldCharType="begin"/>
      </w:r>
      <w:r w:rsidRPr="00F87D0E">
        <w:instrText xml:space="preserve"> REF _Ref129346713 \h  \* MERGEFORMAT </w:instrText>
      </w:r>
      <w:r w:rsidRPr="00F87D0E">
        <w:fldChar w:fldCharType="separate"/>
      </w:r>
      <w:r w:rsidR="000B0AC7" w:rsidRPr="000B0AC7">
        <w:t>Table 12.5</w:t>
      </w:r>
      <w:r w:rsidRPr="00F87D0E">
        <w:fldChar w:fldCharType="end"/>
      </w:r>
      <w:r w:rsidRPr="00CE1D7F">
        <w:t xml:space="preserve"> show that the Net Present Value would fall from $105.3</w:t>
      </w:r>
      <w:r>
        <w:t> million</w:t>
      </w:r>
      <w:r w:rsidRPr="00CE1D7F">
        <w:t xml:space="preserve"> to $69.7</w:t>
      </w:r>
      <w:r>
        <w:t> million</w:t>
      </w:r>
      <w:r w:rsidRPr="00CE1D7F">
        <w:t>, and the BCR will fall from 2.48 to 2.45 if the attribution is reduced to 50%. Whereas the NPV would rise to $140.8</w:t>
      </w:r>
      <w:r>
        <w:t> million</w:t>
      </w:r>
      <w:r w:rsidRPr="00CE1D7F">
        <w:t xml:space="preserve"> and the BCR would rise to 2.49 if the attribution was increased to 100%. The CBA is positive at all 3 discount rates. </w:t>
      </w:r>
    </w:p>
    <w:p w14:paraId="518A5A7A" w14:textId="2A648F06" w:rsidR="002B32A0" w:rsidRPr="00CE1D7F" w:rsidRDefault="002B32A0" w:rsidP="000B0AC7">
      <w:pPr>
        <w:pStyle w:val="Caption"/>
        <w:ind w:left="1304" w:hanging="1308"/>
        <w:rPr>
          <w:bCs/>
        </w:rPr>
      </w:pPr>
      <w:bookmarkStart w:id="591" w:name="_Ref129346713"/>
      <w:r w:rsidRPr="00CE1D7F">
        <w:rPr>
          <w:rStyle w:val="CaptionLabel"/>
        </w:rPr>
        <w:t>Table </w:t>
      </w:r>
      <w:r w:rsidRPr="00CE1D7F">
        <w:rPr>
          <w:rStyle w:val="CaptionLabel"/>
        </w:rPr>
        <w:fldChar w:fldCharType="begin"/>
      </w:r>
      <w:r w:rsidRPr="00CE1D7F">
        <w:rPr>
          <w:rStyle w:val="CaptionLabel"/>
        </w:rPr>
        <w:instrText xml:space="preserve"> STYLEREF 1 \S \* MERGEFORMAT </w:instrText>
      </w:r>
      <w:r w:rsidRPr="00CE1D7F">
        <w:rPr>
          <w:rStyle w:val="CaptionLabel"/>
        </w:rPr>
        <w:fldChar w:fldCharType="separate"/>
      </w:r>
      <w:r w:rsidR="000B0AC7">
        <w:rPr>
          <w:rStyle w:val="CaptionLabel"/>
          <w:noProof/>
        </w:rPr>
        <w:t>12</w:t>
      </w:r>
      <w:r w:rsidRPr="00CE1D7F">
        <w:rPr>
          <w:rStyle w:val="CaptionLabel"/>
        </w:rPr>
        <w:fldChar w:fldCharType="end"/>
      </w:r>
      <w:r w:rsidRPr="00CE1D7F">
        <w:rPr>
          <w:rStyle w:val="CaptionLabel"/>
        </w:rPr>
        <w:t>.</w:t>
      </w:r>
      <w:r w:rsidRPr="00CE1D7F">
        <w:rPr>
          <w:rStyle w:val="CaptionLabel"/>
        </w:rPr>
        <w:fldChar w:fldCharType="begin"/>
      </w:r>
      <w:r w:rsidRPr="00CE1D7F">
        <w:rPr>
          <w:rStyle w:val="CaptionLabel"/>
        </w:rPr>
        <w:instrText xml:space="preserve"> SEQ Table \* ARABIC \S 1 \* MERGEFORMAT </w:instrText>
      </w:r>
      <w:r w:rsidRPr="00CE1D7F">
        <w:rPr>
          <w:rStyle w:val="CaptionLabel"/>
        </w:rPr>
        <w:fldChar w:fldCharType="separate"/>
      </w:r>
      <w:r w:rsidR="000B0AC7">
        <w:rPr>
          <w:rStyle w:val="CaptionLabel"/>
          <w:noProof/>
        </w:rPr>
        <w:t>5</w:t>
      </w:r>
      <w:r w:rsidRPr="00CE1D7F">
        <w:rPr>
          <w:rStyle w:val="CaptionLabel"/>
        </w:rPr>
        <w:fldChar w:fldCharType="end"/>
      </w:r>
      <w:bookmarkEnd w:id="591"/>
      <w:r w:rsidRPr="00CE1D7F">
        <w:rPr>
          <w:rStyle w:val="CaptionLabel"/>
        </w:rPr>
        <w:t xml:space="preserve"> </w:t>
      </w:r>
      <w:r w:rsidRPr="00CE1D7F">
        <w:rPr>
          <w:rStyle w:val="CaptionLabel"/>
          <w:b w:val="0"/>
        </w:rPr>
        <w:t>Sensitivity testing attribution to ARC (7% DR, 2022$)</w:t>
      </w:r>
    </w:p>
    <w:tbl>
      <w:tblPr>
        <w:tblStyle w:val="aacTableBasic"/>
        <w:tblW w:w="7944" w:type="dxa"/>
        <w:tblInd w:w="-4" w:type="dxa"/>
        <w:tblLayout w:type="fixed"/>
        <w:tblLook w:val="04A0" w:firstRow="1" w:lastRow="0" w:firstColumn="1" w:lastColumn="0" w:noHBand="0" w:noVBand="1"/>
        <w:tblCaption w:val="Table 12.5"/>
        <w:tblDescription w:val="Sensitivity testing attribution to ARC (7% DR, 2022$)"/>
      </w:tblPr>
      <w:tblGrid>
        <w:gridCol w:w="2217"/>
        <w:gridCol w:w="1909"/>
        <w:gridCol w:w="602"/>
        <w:gridCol w:w="1307"/>
        <w:gridCol w:w="301"/>
        <w:gridCol w:w="1608"/>
      </w:tblGrid>
      <w:tr w:rsidR="002B32A0" w:rsidRPr="00CE1D7F" w14:paraId="0C72B568" w14:textId="77777777" w:rsidTr="000B0AC7">
        <w:trPr>
          <w:cnfStyle w:val="100000000000" w:firstRow="1" w:lastRow="0" w:firstColumn="0" w:lastColumn="0" w:oddVBand="0" w:evenVBand="0" w:oddHBand="0" w:evenHBand="0" w:firstRowFirstColumn="0" w:firstRowLastColumn="0" w:lastRowFirstColumn="0" w:lastRowLastColumn="0"/>
          <w:trHeight w:val="323"/>
        </w:trPr>
        <w:tc>
          <w:tcPr>
            <w:tcW w:w="2216" w:type="dxa"/>
            <w:tcBorders>
              <w:top w:val="nil"/>
            </w:tcBorders>
            <w:shd w:val="solid" w:color="140034" w:fill="140034"/>
            <w:noWrap/>
          </w:tcPr>
          <w:p w14:paraId="43BDC972" w14:textId="77777777" w:rsidR="002B32A0" w:rsidRPr="00CE1D7F" w:rsidRDefault="002B32A0" w:rsidP="006258ED">
            <w:pPr>
              <w:pStyle w:val="Tablecolumnheadings"/>
              <w:keepLines/>
              <w:rPr>
                <w:lang w:eastAsia="ja-JP"/>
              </w:rPr>
            </w:pPr>
          </w:p>
        </w:tc>
        <w:tc>
          <w:tcPr>
            <w:tcW w:w="1908" w:type="dxa"/>
            <w:tcBorders>
              <w:top w:val="nil"/>
            </w:tcBorders>
            <w:shd w:val="solid" w:color="140034" w:fill="140034"/>
            <w:noWrap/>
            <w:hideMark/>
          </w:tcPr>
          <w:p w14:paraId="62E5ED0F" w14:textId="77777777" w:rsidR="002B32A0" w:rsidRPr="00CE1D7F" w:rsidRDefault="002B32A0" w:rsidP="006258ED">
            <w:pPr>
              <w:pStyle w:val="Tablecolumnheadings"/>
              <w:keepLines/>
              <w:jc w:val="center"/>
              <w:rPr>
                <w:rFonts w:ascii="Calibri" w:hAnsi="Calibri" w:cs="Calibri"/>
                <w:color w:val="000000"/>
                <w:lang w:eastAsia="ja-JP"/>
              </w:rPr>
            </w:pPr>
            <w:r w:rsidRPr="00CE1D7F">
              <w:t>50% attribution</w:t>
            </w:r>
          </w:p>
        </w:tc>
        <w:tc>
          <w:tcPr>
            <w:tcW w:w="1908" w:type="dxa"/>
            <w:gridSpan w:val="2"/>
            <w:tcBorders>
              <w:top w:val="nil"/>
            </w:tcBorders>
            <w:shd w:val="solid" w:color="140034" w:fill="140034"/>
            <w:noWrap/>
            <w:hideMark/>
          </w:tcPr>
          <w:p w14:paraId="29C43FB4" w14:textId="77777777" w:rsidR="002B32A0" w:rsidRPr="00CE1D7F" w:rsidRDefault="002B32A0" w:rsidP="006258ED">
            <w:pPr>
              <w:pStyle w:val="Tablecolumnheadings"/>
              <w:keepLines/>
              <w:jc w:val="center"/>
              <w:rPr>
                <w:rFonts w:ascii="Calibri" w:hAnsi="Calibri" w:cs="Calibri"/>
                <w:color w:val="000000"/>
                <w:lang w:eastAsia="ja-JP"/>
              </w:rPr>
            </w:pPr>
            <w:r w:rsidRPr="00CE1D7F">
              <w:t>75% attribution</w:t>
            </w:r>
          </w:p>
        </w:tc>
        <w:tc>
          <w:tcPr>
            <w:tcW w:w="1908" w:type="dxa"/>
            <w:gridSpan w:val="2"/>
            <w:tcBorders>
              <w:top w:val="nil"/>
            </w:tcBorders>
            <w:shd w:val="solid" w:color="140034" w:fill="140034"/>
            <w:noWrap/>
            <w:hideMark/>
          </w:tcPr>
          <w:p w14:paraId="68CC9B67" w14:textId="77777777" w:rsidR="002B32A0" w:rsidRPr="00CE1D7F" w:rsidRDefault="002B32A0" w:rsidP="006258ED">
            <w:pPr>
              <w:pStyle w:val="Tablecolumnheadings"/>
              <w:keepLines/>
              <w:jc w:val="center"/>
              <w:rPr>
                <w:rFonts w:ascii="Calibri" w:hAnsi="Calibri" w:cs="Calibri"/>
                <w:color w:val="000000"/>
                <w:lang w:eastAsia="ja-JP"/>
              </w:rPr>
            </w:pPr>
            <w:r w:rsidRPr="00CE1D7F">
              <w:t>100% attribution</w:t>
            </w:r>
          </w:p>
        </w:tc>
      </w:tr>
      <w:tr w:rsidR="002B32A0" w:rsidRPr="00CE1D7F" w14:paraId="4D830CB6" w14:textId="77777777" w:rsidTr="000B0AC7">
        <w:trPr>
          <w:trHeight w:val="275"/>
        </w:trPr>
        <w:tc>
          <w:tcPr>
            <w:tcW w:w="2216" w:type="dxa"/>
            <w:noWrap/>
            <w:hideMark/>
          </w:tcPr>
          <w:p w14:paraId="27A61B58" w14:textId="77777777" w:rsidR="002B32A0" w:rsidRPr="00CE1D7F" w:rsidRDefault="002B32A0" w:rsidP="006258ED">
            <w:pPr>
              <w:pStyle w:val="Tabletext"/>
              <w:keepNext/>
              <w:keepLines/>
              <w:rPr>
                <w:szCs w:val="20"/>
              </w:rPr>
            </w:pPr>
            <w:r w:rsidRPr="00CE1D7F">
              <w:rPr>
                <w:szCs w:val="20"/>
              </w:rPr>
              <w:t>Costs</w:t>
            </w:r>
          </w:p>
        </w:tc>
        <w:tc>
          <w:tcPr>
            <w:tcW w:w="1908" w:type="dxa"/>
            <w:noWrap/>
          </w:tcPr>
          <w:p w14:paraId="2A73BA2A" w14:textId="77777777" w:rsidR="002B32A0" w:rsidRPr="00CE1D7F" w:rsidRDefault="002B32A0" w:rsidP="006258ED">
            <w:pPr>
              <w:pStyle w:val="Tabletext"/>
              <w:keepNext/>
              <w:keepLines/>
              <w:jc w:val="center"/>
              <w:rPr>
                <w:szCs w:val="20"/>
              </w:rPr>
            </w:pPr>
            <w:r w:rsidRPr="00CE1D7F">
              <w:t>$48,043,531</w:t>
            </w:r>
          </w:p>
        </w:tc>
        <w:tc>
          <w:tcPr>
            <w:tcW w:w="1908" w:type="dxa"/>
            <w:gridSpan w:val="2"/>
            <w:noWrap/>
            <w:hideMark/>
          </w:tcPr>
          <w:p w14:paraId="34B9A3C4" w14:textId="77777777" w:rsidR="002B32A0" w:rsidRPr="00CE1D7F" w:rsidRDefault="002B32A0" w:rsidP="006258ED">
            <w:pPr>
              <w:pStyle w:val="Tabletext"/>
              <w:keepNext/>
              <w:keepLines/>
              <w:jc w:val="center"/>
              <w:rPr>
                <w:szCs w:val="20"/>
              </w:rPr>
            </w:pPr>
            <w:r w:rsidRPr="00CE1D7F">
              <w:t>$71,295,046</w:t>
            </w:r>
          </w:p>
        </w:tc>
        <w:tc>
          <w:tcPr>
            <w:tcW w:w="1908" w:type="dxa"/>
            <w:gridSpan w:val="2"/>
            <w:noWrap/>
          </w:tcPr>
          <w:p w14:paraId="50CC6D1F" w14:textId="77777777" w:rsidR="002B32A0" w:rsidRPr="00CE1D7F" w:rsidRDefault="002B32A0" w:rsidP="006258ED">
            <w:pPr>
              <w:pStyle w:val="Tabletext"/>
              <w:keepNext/>
              <w:keepLines/>
              <w:jc w:val="center"/>
              <w:rPr>
                <w:szCs w:val="20"/>
              </w:rPr>
            </w:pPr>
            <w:r w:rsidRPr="00CE1D7F">
              <w:t>$94,546,561</w:t>
            </w:r>
          </w:p>
        </w:tc>
      </w:tr>
      <w:tr w:rsidR="002B32A0" w:rsidRPr="00CE1D7F" w14:paraId="6460A34B" w14:textId="77777777" w:rsidTr="000B0AC7">
        <w:trPr>
          <w:trHeight w:val="290"/>
        </w:trPr>
        <w:tc>
          <w:tcPr>
            <w:tcW w:w="2216" w:type="dxa"/>
            <w:noWrap/>
            <w:hideMark/>
          </w:tcPr>
          <w:p w14:paraId="378B82C7" w14:textId="77777777" w:rsidR="002B32A0" w:rsidRPr="00CE1D7F" w:rsidRDefault="002B32A0" w:rsidP="006258ED">
            <w:pPr>
              <w:pStyle w:val="Tabletext"/>
              <w:keepNext/>
              <w:keepLines/>
              <w:rPr>
                <w:szCs w:val="20"/>
              </w:rPr>
            </w:pPr>
            <w:r w:rsidRPr="00CE1D7F">
              <w:rPr>
                <w:szCs w:val="20"/>
              </w:rPr>
              <w:t>Benefits</w:t>
            </w:r>
          </w:p>
        </w:tc>
        <w:tc>
          <w:tcPr>
            <w:tcW w:w="1908" w:type="dxa"/>
            <w:noWrap/>
          </w:tcPr>
          <w:p w14:paraId="7E24CBE7" w14:textId="77777777" w:rsidR="002B32A0" w:rsidRPr="00CE1D7F" w:rsidRDefault="002B32A0" w:rsidP="006258ED">
            <w:pPr>
              <w:pStyle w:val="Tabletext"/>
              <w:keepNext/>
              <w:keepLines/>
              <w:jc w:val="center"/>
              <w:rPr>
                <w:szCs w:val="20"/>
              </w:rPr>
            </w:pPr>
            <w:r w:rsidRPr="00CE1D7F">
              <w:t>$117,693,737</w:t>
            </w:r>
          </w:p>
        </w:tc>
        <w:tc>
          <w:tcPr>
            <w:tcW w:w="1908" w:type="dxa"/>
            <w:gridSpan w:val="2"/>
            <w:noWrap/>
            <w:hideMark/>
          </w:tcPr>
          <w:p w14:paraId="64AF6549" w14:textId="77777777" w:rsidR="002B32A0" w:rsidRPr="00CE1D7F" w:rsidRDefault="002B32A0" w:rsidP="006258ED">
            <w:pPr>
              <w:pStyle w:val="Tabletext"/>
              <w:keepNext/>
              <w:keepLines/>
              <w:jc w:val="center"/>
              <w:rPr>
                <w:szCs w:val="20"/>
              </w:rPr>
            </w:pPr>
            <w:r w:rsidRPr="00CE1D7F">
              <w:t>$176,540,606</w:t>
            </w:r>
          </w:p>
        </w:tc>
        <w:tc>
          <w:tcPr>
            <w:tcW w:w="1908" w:type="dxa"/>
            <w:gridSpan w:val="2"/>
            <w:noWrap/>
          </w:tcPr>
          <w:p w14:paraId="37CD91D6" w14:textId="77777777" w:rsidR="002B32A0" w:rsidRPr="00CE1D7F" w:rsidRDefault="002B32A0" w:rsidP="006258ED">
            <w:pPr>
              <w:pStyle w:val="Tabletext"/>
              <w:keepNext/>
              <w:keepLines/>
              <w:jc w:val="center"/>
              <w:rPr>
                <w:szCs w:val="20"/>
              </w:rPr>
            </w:pPr>
            <w:r w:rsidRPr="00CE1D7F">
              <w:t>$235,387,474</w:t>
            </w:r>
          </w:p>
        </w:tc>
      </w:tr>
      <w:tr w:rsidR="002B32A0" w:rsidRPr="00CE1D7F" w14:paraId="363C0291" w14:textId="77777777" w:rsidTr="000B0AC7">
        <w:trPr>
          <w:trHeight w:val="290"/>
        </w:trPr>
        <w:tc>
          <w:tcPr>
            <w:tcW w:w="2216" w:type="dxa"/>
            <w:noWrap/>
            <w:hideMark/>
          </w:tcPr>
          <w:p w14:paraId="6A656B4E" w14:textId="77777777" w:rsidR="002B32A0" w:rsidRPr="00CE1D7F" w:rsidRDefault="002B32A0" w:rsidP="006258ED">
            <w:pPr>
              <w:pStyle w:val="Tabletext"/>
              <w:keepNext/>
              <w:keepLines/>
              <w:rPr>
                <w:b/>
                <w:bCs/>
                <w:szCs w:val="20"/>
              </w:rPr>
            </w:pPr>
            <w:r w:rsidRPr="00CE1D7F">
              <w:rPr>
                <w:b/>
                <w:bCs/>
                <w:szCs w:val="20"/>
              </w:rPr>
              <w:t>Net impact</w:t>
            </w:r>
          </w:p>
        </w:tc>
        <w:tc>
          <w:tcPr>
            <w:tcW w:w="1908" w:type="dxa"/>
            <w:noWrap/>
          </w:tcPr>
          <w:p w14:paraId="4FD2813A" w14:textId="77777777" w:rsidR="002B32A0" w:rsidRPr="00CE1D7F" w:rsidRDefault="002B32A0" w:rsidP="006258ED">
            <w:pPr>
              <w:pStyle w:val="Tabletext"/>
              <w:keepNext/>
              <w:keepLines/>
              <w:jc w:val="center"/>
              <w:rPr>
                <w:b/>
                <w:bCs/>
                <w:szCs w:val="20"/>
              </w:rPr>
            </w:pPr>
            <w:r w:rsidRPr="00CE1D7F">
              <w:rPr>
                <w:b/>
                <w:bCs/>
              </w:rPr>
              <w:t>$69,650,206</w:t>
            </w:r>
          </w:p>
        </w:tc>
        <w:tc>
          <w:tcPr>
            <w:tcW w:w="1908" w:type="dxa"/>
            <w:gridSpan w:val="2"/>
            <w:noWrap/>
            <w:hideMark/>
          </w:tcPr>
          <w:p w14:paraId="59B46B81" w14:textId="77777777" w:rsidR="002B32A0" w:rsidRPr="00CE1D7F" w:rsidRDefault="002B32A0" w:rsidP="006258ED">
            <w:pPr>
              <w:pStyle w:val="Tabletext"/>
              <w:keepNext/>
              <w:keepLines/>
              <w:jc w:val="center"/>
              <w:rPr>
                <w:b/>
                <w:bCs/>
                <w:szCs w:val="20"/>
              </w:rPr>
            </w:pPr>
            <w:r w:rsidRPr="00CE1D7F">
              <w:rPr>
                <w:b/>
                <w:bCs/>
              </w:rPr>
              <w:t>$105,245,560</w:t>
            </w:r>
          </w:p>
        </w:tc>
        <w:tc>
          <w:tcPr>
            <w:tcW w:w="1908" w:type="dxa"/>
            <w:gridSpan w:val="2"/>
            <w:noWrap/>
          </w:tcPr>
          <w:p w14:paraId="798D211B" w14:textId="77777777" w:rsidR="002B32A0" w:rsidRPr="00CE1D7F" w:rsidRDefault="002B32A0" w:rsidP="006258ED">
            <w:pPr>
              <w:pStyle w:val="Tabletext"/>
              <w:keepNext/>
              <w:keepLines/>
              <w:jc w:val="center"/>
              <w:rPr>
                <w:b/>
                <w:bCs/>
                <w:szCs w:val="20"/>
              </w:rPr>
            </w:pPr>
            <w:r w:rsidRPr="00CE1D7F">
              <w:rPr>
                <w:b/>
                <w:bCs/>
              </w:rPr>
              <w:t>$140,840,914</w:t>
            </w:r>
          </w:p>
        </w:tc>
      </w:tr>
      <w:tr w:rsidR="002B32A0" w:rsidRPr="00CE1D7F" w14:paraId="40E1BE11" w14:textId="77777777" w:rsidTr="000B0AC7">
        <w:trPr>
          <w:trHeight w:val="290"/>
        </w:trPr>
        <w:tc>
          <w:tcPr>
            <w:tcW w:w="2216" w:type="dxa"/>
            <w:noWrap/>
            <w:hideMark/>
          </w:tcPr>
          <w:p w14:paraId="373B54F6" w14:textId="77777777" w:rsidR="002B32A0" w:rsidRPr="00CE1D7F" w:rsidRDefault="002B32A0" w:rsidP="006258ED">
            <w:pPr>
              <w:pStyle w:val="Tabletext"/>
              <w:keepNext/>
              <w:keepLines/>
              <w:rPr>
                <w:b/>
                <w:bCs/>
                <w:szCs w:val="20"/>
              </w:rPr>
            </w:pPr>
            <w:r w:rsidRPr="00CE1D7F">
              <w:rPr>
                <w:b/>
                <w:bCs/>
                <w:szCs w:val="20"/>
              </w:rPr>
              <w:t>BCR</w:t>
            </w:r>
          </w:p>
        </w:tc>
        <w:tc>
          <w:tcPr>
            <w:tcW w:w="1908" w:type="dxa"/>
            <w:noWrap/>
          </w:tcPr>
          <w:p w14:paraId="7A372480" w14:textId="77777777" w:rsidR="002B32A0" w:rsidRPr="00CE1D7F" w:rsidRDefault="002B32A0" w:rsidP="006258ED">
            <w:pPr>
              <w:pStyle w:val="Tabletext"/>
              <w:keepNext/>
              <w:keepLines/>
              <w:jc w:val="center"/>
              <w:rPr>
                <w:b/>
                <w:bCs/>
                <w:szCs w:val="20"/>
              </w:rPr>
            </w:pPr>
            <w:r w:rsidRPr="00CE1D7F">
              <w:rPr>
                <w:b/>
                <w:bCs/>
              </w:rPr>
              <w:t>2.45</w:t>
            </w:r>
          </w:p>
        </w:tc>
        <w:tc>
          <w:tcPr>
            <w:tcW w:w="1908" w:type="dxa"/>
            <w:gridSpan w:val="2"/>
            <w:noWrap/>
            <w:hideMark/>
          </w:tcPr>
          <w:p w14:paraId="3080391D" w14:textId="77777777" w:rsidR="002B32A0" w:rsidRPr="00CE1D7F" w:rsidRDefault="002B32A0" w:rsidP="006258ED">
            <w:pPr>
              <w:pStyle w:val="Tabletext"/>
              <w:keepNext/>
              <w:keepLines/>
              <w:jc w:val="center"/>
              <w:rPr>
                <w:b/>
                <w:bCs/>
                <w:szCs w:val="20"/>
              </w:rPr>
            </w:pPr>
            <w:r w:rsidRPr="00CE1D7F">
              <w:rPr>
                <w:b/>
                <w:bCs/>
              </w:rPr>
              <w:t>2.48</w:t>
            </w:r>
          </w:p>
        </w:tc>
        <w:tc>
          <w:tcPr>
            <w:tcW w:w="1908" w:type="dxa"/>
            <w:gridSpan w:val="2"/>
            <w:noWrap/>
          </w:tcPr>
          <w:p w14:paraId="421BD5B1" w14:textId="77777777" w:rsidR="002B32A0" w:rsidRPr="00CE1D7F" w:rsidRDefault="002B32A0" w:rsidP="006258ED">
            <w:pPr>
              <w:pStyle w:val="Tabletext"/>
              <w:keepNext/>
              <w:keepLines/>
              <w:jc w:val="center"/>
              <w:rPr>
                <w:b/>
                <w:bCs/>
                <w:szCs w:val="20"/>
              </w:rPr>
            </w:pPr>
            <w:r w:rsidRPr="00CE1D7F">
              <w:rPr>
                <w:b/>
                <w:bCs/>
              </w:rPr>
              <w:t>2.49</w:t>
            </w:r>
          </w:p>
        </w:tc>
      </w:tr>
      <w:tr w:rsidR="002B32A0" w:rsidRPr="00CE1D7F" w14:paraId="0A497C2C" w14:textId="77777777" w:rsidTr="000B0AC7">
        <w:trPr>
          <w:trHeight w:val="290"/>
        </w:trPr>
        <w:tc>
          <w:tcPr>
            <w:tcW w:w="2216" w:type="dxa"/>
            <w:noWrap/>
          </w:tcPr>
          <w:p w14:paraId="2F45790E" w14:textId="77777777" w:rsidR="002B32A0" w:rsidRPr="00CE1D7F" w:rsidRDefault="002B32A0" w:rsidP="006258ED">
            <w:pPr>
              <w:pStyle w:val="Tabletext"/>
              <w:keepNext/>
              <w:keepLines/>
              <w:rPr>
                <w:b/>
                <w:bCs/>
                <w:szCs w:val="20"/>
              </w:rPr>
            </w:pPr>
            <w:r w:rsidRPr="00CE1D7F">
              <w:rPr>
                <w:i/>
                <w:iCs/>
                <w:sz w:val="16"/>
                <w:szCs w:val="18"/>
              </w:rPr>
              <w:t>Source: ACIL Allen</w:t>
            </w:r>
          </w:p>
        </w:tc>
        <w:tc>
          <w:tcPr>
            <w:tcW w:w="1908" w:type="dxa"/>
            <w:noWrap/>
          </w:tcPr>
          <w:p w14:paraId="1741D0A0" w14:textId="77777777" w:rsidR="002B32A0" w:rsidRPr="00CE1D7F" w:rsidRDefault="002B32A0" w:rsidP="006258ED">
            <w:pPr>
              <w:pStyle w:val="Tabletext"/>
              <w:keepNext/>
              <w:keepLines/>
              <w:jc w:val="center"/>
              <w:rPr>
                <w:b/>
                <w:bCs/>
              </w:rPr>
            </w:pPr>
          </w:p>
        </w:tc>
        <w:tc>
          <w:tcPr>
            <w:tcW w:w="1908" w:type="dxa"/>
            <w:gridSpan w:val="2"/>
            <w:noWrap/>
          </w:tcPr>
          <w:p w14:paraId="52ED48FD" w14:textId="77777777" w:rsidR="002B32A0" w:rsidRPr="00CE1D7F" w:rsidRDefault="002B32A0" w:rsidP="006258ED">
            <w:pPr>
              <w:pStyle w:val="Tabletext"/>
              <w:keepNext/>
              <w:keepLines/>
              <w:jc w:val="center"/>
              <w:rPr>
                <w:b/>
                <w:bCs/>
              </w:rPr>
            </w:pPr>
          </w:p>
        </w:tc>
        <w:tc>
          <w:tcPr>
            <w:tcW w:w="1908" w:type="dxa"/>
            <w:gridSpan w:val="2"/>
            <w:noWrap/>
          </w:tcPr>
          <w:p w14:paraId="7415FAF5" w14:textId="77777777" w:rsidR="002B32A0" w:rsidRPr="00CE1D7F" w:rsidRDefault="002B32A0" w:rsidP="006258ED">
            <w:pPr>
              <w:pStyle w:val="Tabletext"/>
              <w:keepNext/>
              <w:keepLines/>
              <w:jc w:val="center"/>
              <w:rPr>
                <w:b/>
                <w:bCs/>
              </w:rPr>
            </w:pPr>
          </w:p>
        </w:tc>
      </w:tr>
      <w:tr w:rsidR="002B32A0" w:rsidRPr="00CE1D7F" w14:paraId="6C5844B8" w14:textId="77777777" w:rsidTr="000B0AC7">
        <w:trPr>
          <w:trHeight w:hRule="exact" w:val="154"/>
        </w:trPr>
        <w:tc>
          <w:tcPr>
            <w:tcW w:w="2216" w:type="dxa"/>
            <w:noWrap/>
          </w:tcPr>
          <w:p w14:paraId="402D5E81" w14:textId="77777777" w:rsidR="002B32A0" w:rsidRPr="00CE1D7F" w:rsidRDefault="002B32A0" w:rsidP="006258ED">
            <w:pPr>
              <w:pStyle w:val="spacer"/>
              <w:spacing w:line="256" w:lineRule="auto"/>
              <w:rPr>
                <w:lang w:eastAsia="ja-JP"/>
              </w:rPr>
            </w:pPr>
          </w:p>
        </w:tc>
        <w:tc>
          <w:tcPr>
            <w:tcW w:w="2510" w:type="dxa"/>
            <w:gridSpan w:val="2"/>
            <w:noWrap/>
          </w:tcPr>
          <w:p w14:paraId="278F4F62" w14:textId="77777777" w:rsidR="002B32A0" w:rsidRPr="00CE1D7F" w:rsidRDefault="002B32A0" w:rsidP="006258ED">
            <w:pPr>
              <w:pStyle w:val="spacer"/>
              <w:spacing w:line="256" w:lineRule="auto"/>
              <w:rPr>
                <w:lang w:eastAsia="ja-JP"/>
              </w:rPr>
            </w:pPr>
          </w:p>
        </w:tc>
        <w:tc>
          <w:tcPr>
            <w:tcW w:w="1607" w:type="dxa"/>
            <w:gridSpan w:val="2"/>
            <w:noWrap/>
          </w:tcPr>
          <w:p w14:paraId="3FE5383F" w14:textId="77777777" w:rsidR="002B32A0" w:rsidRPr="00CE1D7F" w:rsidRDefault="002B32A0" w:rsidP="006258ED">
            <w:pPr>
              <w:pStyle w:val="spacer"/>
              <w:spacing w:line="256" w:lineRule="auto"/>
              <w:rPr>
                <w:lang w:eastAsia="ja-JP"/>
              </w:rPr>
            </w:pPr>
          </w:p>
        </w:tc>
        <w:tc>
          <w:tcPr>
            <w:tcW w:w="1607" w:type="dxa"/>
            <w:noWrap/>
          </w:tcPr>
          <w:p w14:paraId="57AB93F7" w14:textId="77777777" w:rsidR="002B32A0" w:rsidRPr="00CE1D7F" w:rsidRDefault="002B32A0" w:rsidP="006258ED">
            <w:pPr>
              <w:pStyle w:val="spacer"/>
              <w:spacing w:line="256" w:lineRule="auto"/>
              <w:rPr>
                <w:lang w:eastAsia="ja-JP"/>
              </w:rPr>
            </w:pPr>
          </w:p>
        </w:tc>
      </w:tr>
    </w:tbl>
    <w:bookmarkEnd w:id="584"/>
    <w:p w14:paraId="11512675" w14:textId="77777777" w:rsidR="002B32A0" w:rsidRPr="00CE1D7F" w:rsidRDefault="002B32A0" w:rsidP="002B32A0">
      <w:pPr>
        <w:pStyle w:val="Heading3"/>
      </w:pPr>
      <w:r w:rsidRPr="00CE1D7F">
        <w:t xml:space="preserve">Social impacts </w:t>
      </w:r>
    </w:p>
    <w:p w14:paraId="713D0149" w14:textId="77777777" w:rsidR="002B32A0" w:rsidRPr="00CE1D7F" w:rsidRDefault="002B32A0" w:rsidP="002B32A0">
      <w:pPr>
        <w:pStyle w:val="Heading4"/>
      </w:pPr>
      <w:r w:rsidRPr="00CE1D7F">
        <w:t xml:space="preserve">Educational impacts </w:t>
      </w:r>
    </w:p>
    <w:p w14:paraId="4C6742DB" w14:textId="77777777" w:rsidR="002B32A0" w:rsidRPr="00CE1D7F" w:rsidRDefault="002B32A0" w:rsidP="001722E7">
      <w:pPr>
        <w:pStyle w:val="BodyText"/>
      </w:pPr>
      <w:r w:rsidRPr="00CE1D7F">
        <w:t xml:space="preserve">This </w:t>
      </w:r>
      <w:r>
        <w:t>section </w:t>
      </w:r>
      <w:r w:rsidRPr="00CE1D7F">
        <w:t xml:space="preserve">discusses the impact of adopting TAPS by 2 universities, ECU and JCU. </w:t>
      </w:r>
    </w:p>
    <w:p w14:paraId="307CB6C8" w14:textId="77777777" w:rsidR="002B32A0" w:rsidRPr="00CE1D7F" w:rsidRDefault="002B32A0" w:rsidP="001722E7">
      <w:pPr>
        <w:pStyle w:val="BodyText"/>
      </w:pPr>
      <w:r w:rsidRPr="00CE1D7F">
        <w:t>This research's primary beneficiaries are Indigenous students, their families and communities, industry, universities and governments. Adopting TAPS has led these universities to shift the way they view priority cohorts: from a transactional or deficit to a relational and empowering manner. The model and evidence base provides guidance on how universities can maximise the effectiveness and efficiency of funding for support services. This is helping close the gap for Indigenous student education.</w:t>
      </w:r>
    </w:p>
    <w:p w14:paraId="3B7CEDB9" w14:textId="7A188462" w:rsidR="002B32A0" w:rsidRPr="00CE1D7F" w:rsidRDefault="002B32A0" w:rsidP="002B32A0">
      <w:pPr>
        <w:pStyle w:val="BodyText"/>
      </w:pPr>
      <w:r w:rsidRPr="00CE1D7F">
        <w:t xml:space="preserve">Since adopting TAPS, ECU has supported approximately 400 students across a range of learning modes and campuses. ECU has seen an improvement in Indigenous student’s awareness of where and how to get support, student stress levels, and proactive support-seeking behaviours. As such, students engage with support staff before issues become crises. This has improved success rates (units passed compared with units attempted) and retention rates (progress from semesters and years, see </w:t>
      </w:r>
      <w:r w:rsidRPr="00F87D0E">
        <w:fldChar w:fldCharType="begin"/>
      </w:r>
      <w:r w:rsidRPr="00F87D0E">
        <w:instrText xml:space="preserve"> REF _Ref129346865 \h  \* MERGEFORMAT </w:instrText>
      </w:r>
      <w:r w:rsidRPr="00F87D0E">
        <w:fldChar w:fldCharType="separate"/>
      </w:r>
      <w:r w:rsidR="000B0AC7" w:rsidRPr="000B0AC7">
        <w:t>Figure 12.5</w:t>
      </w:r>
      <w:r w:rsidRPr="00F87D0E">
        <w:fldChar w:fldCharType="end"/>
      </w:r>
      <w:r w:rsidRPr="00CE1D7F">
        <w:t xml:space="preserve">). TAPS has made their approach to student engagement and support more effective as ECU can prioritise staff support. TAPS has not increased ECU’s costs as they had an existing CRM. </w:t>
      </w:r>
    </w:p>
    <w:p w14:paraId="42B8AE98" w14:textId="77777777" w:rsidR="002B32A0" w:rsidRPr="00CE1D7F" w:rsidRDefault="002B32A0" w:rsidP="002B32A0">
      <w:pPr>
        <w:pStyle w:val="BodyText"/>
      </w:pPr>
      <w:r w:rsidRPr="00CE1D7F">
        <w:t xml:space="preserve">This research has also contributed to a national conversation around closing the gap and universities' role in this. These lessons inform how supports are being provided for other non-Indigenous priority cohorts, such as students with disabilities. For example, ECU has implemented TAPS with students with disabilities. This has led their students to transition from being the least satisfied to the second most satisfied student group (second to Indigenous students). </w:t>
      </w:r>
    </w:p>
    <w:p w14:paraId="6839F205" w14:textId="6194A5C3" w:rsidR="000B0AC7" w:rsidRPr="00CE1D7F" w:rsidRDefault="000B0AC7" w:rsidP="000B0AC7">
      <w:pPr>
        <w:pStyle w:val="Caption"/>
        <w:ind w:left="-393" w:hanging="1308"/>
      </w:pPr>
      <w:bookmarkStart w:id="592" w:name="_Ref129346865"/>
      <w:r w:rsidRPr="00CE1D7F">
        <w:rPr>
          <w:rStyle w:val="CaptionLabel"/>
        </w:rPr>
        <w:t>Figure </w:t>
      </w:r>
      <w:r w:rsidRPr="00CE1D7F">
        <w:rPr>
          <w:rStyle w:val="CaptionLabel"/>
        </w:rPr>
        <w:fldChar w:fldCharType="begin"/>
      </w:r>
      <w:r w:rsidRPr="00CE1D7F">
        <w:rPr>
          <w:rStyle w:val="CaptionLabel"/>
        </w:rPr>
        <w:instrText xml:space="preserve"> STYLEREF 1 \S \* MERGEFORMAT </w:instrText>
      </w:r>
      <w:r w:rsidRPr="00CE1D7F">
        <w:rPr>
          <w:rStyle w:val="CaptionLabel"/>
        </w:rPr>
        <w:fldChar w:fldCharType="separate"/>
      </w:r>
      <w:r>
        <w:rPr>
          <w:rStyle w:val="CaptionLabel"/>
          <w:noProof/>
        </w:rPr>
        <w:t>12</w:t>
      </w:r>
      <w:r w:rsidRPr="00CE1D7F">
        <w:rPr>
          <w:rStyle w:val="CaptionLabel"/>
        </w:rPr>
        <w:fldChar w:fldCharType="end"/>
      </w:r>
      <w:r w:rsidRPr="00CE1D7F">
        <w:rPr>
          <w:rStyle w:val="CaptionLabel"/>
        </w:rPr>
        <w:t>.</w:t>
      </w:r>
      <w:r w:rsidRPr="00CE1D7F">
        <w:rPr>
          <w:rStyle w:val="CaptionLabel"/>
        </w:rPr>
        <w:fldChar w:fldCharType="begin"/>
      </w:r>
      <w:r w:rsidRPr="00CE1D7F">
        <w:rPr>
          <w:rStyle w:val="CaptionLabel"/>
        </w:rPr>
        <w:instrText xml:space="preserve"> SEQ Figure \* ARABIC \S 1 \* MERGEFORMAT </w:instrText>
      </w:r>
      <w:r w:rsidRPr="00CE1D7F">
        <w:rPr>
          <w:rStyle w:val="CaptionLabel"/>
        </w:rPr>
        <w:fldChar w:fldCharType="separate"/>
      </w:r>
      <w:r>
        <w:rPr>
          <w:rStyle w:val="CaptionLabel"/>
          <w:noProof/>
        </w:rPr>
        <w:t>5</w:t>
      </w:r>
      <w:r w:rsidRPr="00CE1D7F">
        <w:rPr>
          <w:rStyle w:val="CaptionLabel"/>
        </w:rPr>
        <w:fldChar w:fldCharType="end"/>
      </w:r>
      <w:bookmarkEnd w:id="592"/>
      <w:r w:rsidRPr="00CE1D7F">
        <w:tab/>
        <w:t>Impact of adopting TAPS at ECU on success and retention rates</w:t>
      </w:r>
    </w:p>
    <w:tbl>
      <w:tblPr>
        <w:tblStyle w:val="aacTableFigure-Wide"/>
        <w:tblW w:w="6072" w:type="pct"/>
        <w:tblBorders>
          <w:bottom w:val="single" w:sz="4" w:space="0" w:color="000000"/>
        </w:tblBorders>
        <w:tblLook w:val="04A0" w:firstRow="1" w:lastRow="0" w:firstColumn="1" w:lastColumn="0" w:noHBand="0" w:noVBand="1"/>
      </w:tblPr>
      <w:tblGrid>
        <w:gridCol w:w="4869"/>
        <w:gridCol w:w="4768"/>
      </w:tblGrid>
      <w:tr w:rsidR="002B32A0" w:rsidRPr="00CE1D7F" w14:paraId="5A68EEEF" w14:textId="77777777" w:rsidTr="000B0AC7">
        <w:tc>
          <w:tcPr>
            <w:tcW w:w="2526" w:type="pct"/>
            <w:shd w:val="clear" w:color="auto" w:fill="auto"/>
          </w:tcPr>
          <w:p w14:paraId="38389EBB" w14:textId="77777777" w:rsidR="002B32A0" w:rsidRPr="00CE1D7F" w:rsidRDefault="002B32A0" w:rsidP="006258ED">
            <w:pPr>
              <w:pStyle w:val="Figure"/>
              <w:jc w:val="center"/>
              <w:rPr>
                <w:b/>
                <w:bCs/>
                <w:sz w:val="22"/>
                <w:szCs w:val="32"/>
              </w:rPr>
            </w:pPr>
            <w:r w:rsidRPr="00CE1D7F">
              <w:rPr>
                <w:b/>
                <w:bCs/>
                <w:noProof/>
                <w:sz w:val="22"/>
                <w:szCs w:val="32"/>
              </w:rPr>
              <w:t>Success rates</w:t>
            </w:r>
          </w:p>
        </w:tc>
        <w:tc>
          <w:tcPr>
            <w:tcW w:w="2474" w:type="pct"/>
            <w:shd w:val="clear" w:color="auto" w:fill="auto"/>
          </w:tcPr>
          <w:p w14:paraId="6F2E330A" w14:textId="77777777" w:rsidR="002B32A0" w:rsidRPr="00CE1D7F" w:rsidRDefault="002B32A0" w:rsidP="006258ED">
            <w:pPr>
              <w:pStyle w:val="Figure"/>
              <w:jc w:val="center"/>
              <w:rPr>
                <w:b/>
                <w:bCs/>
                <w:sz w:val="22"/>
                <w:szCs w:val="32"/>
              </w:rPr>
            </w:pPr>
            <w:r w:rsidRPr="00CE1D7F">
              <w:rPr>
                <w:b/>
                <w:bCs/>
                <w:sz w:val="22"/>
                <w:szCs w:val="32"/>
              </w:rPr>
              <w:t>Retention rates</w:t>
            </w:r>
          </w:p>
        </w:tc>
      </w:tr>
    </w:tbl>
    <w:p w14:paraId="787025C7" w14:textId="77777777" w:rsidR="000B0AC7" w:rsidRPr="000B0AC7" w:rsidRDefault="000B0AC7" w:rsidP="000B0AC7">
      <w:pPr>
        <w:keepNext/>
        <w:spacing w:before="0" w:after="0" w:line="240" w:lineRule="auto"/>
        <w:rPr>
          <w:sz w:val="2"/>
        </w:rPr>
      </w:pPr>
    </w:p>
    <w:tbl>
      <w:tblPr>
        <w:tblStyle w:val="aacTableFigure-Wide"/>
        <w:tblW w:w="6072" w:type="pct"/>
        <w:tblBorders>
          <w:bottom w:val="single" w:sz="4" w:space="0" w:color="000000"/>
        </w:tblBorders>
        <w:tblLook w:val="04A0" w:firstRow="1" w:lastRow="0" w:firstColumn="1" w:lastColumn="0" w:noHBand="0" w:noVBand="1"/>
      </w:tblPr>
      <w:tblGrid>
        <w:gridCol w:w="4869"/>
        <w:gridCol w:w="4768"/>
      </w:tblGrid>
      <w:tr w:rsidR="002B32A0" w:rsidRPr="00CE1D7F" w14:paraId="35DB9D19" w14:textId="77777777" w:rsidTr="000B0AC7">
        <w:tc>
          <w:tcPr>
            <w:tcW w:w="2526" w:type="pct"/>
            <w:shd w:val="clear" w:color="auto" w:fill="auto"/>
          </w:tcPr>
          <w:p w14:paraId="06A31AAC" w14:textId="77777777" w:rsidR="002B32A0" w:rsidRPr="00CE1D7F" w:rsidRDefault="002B32A0" w:rsidP="006258ED">
            <w:pPr>
              <w:pStyle w:val="Figure"/>
              <w:rPr>
                <w:noProof/>
              </w:rPr>
            </w:pPr>
            <w:r>
              <w:rPr>
                <w:noProof/>
              </w:rPr>
              <w:t xml:space="preserve"> </w:t>
            </w:r>
            <w:r>
              <w:rPr>
                <w:noProof/>
              </w:rPr>
              <w:drawing>
                <wp:inline distT="0" distB="0" distL="0" distR="0" wp14:anchorId="25815F3F" wp14:editId="6E094A44">
                  <wp:extent cx="3017520" cy="2145665"/>
                  <wp:effectExtent l="0" t="0" r="0" b="6985"/>
                  <wp:docPr id="103" name="Picture 103" descr="Impact of adopting TAPS at ECU on success rates, see description in text abov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Impact of adopting TAPS at ECU on success rates, see description in text above figure."/>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017520" cy="2145665"/>
                          </a:xfrm>
                          <a:prstGeom prst="rect">
                            <a:avLst/>
                          </a:prstGeom>
                          <a:noFill/>
                        </pic:spPr>
                      </pic:pic>
                    </a:graphicData>
                  </a:graphic>
                </wp:inline>
              </w:drawing>
            </w:r>
            <w:r>
              <w:rPr>
                <w:rStyle w:val="CommentReference"/>
                <w:color w:val="auto"/>
              </w:rPr>
              <w:t xml:space="preserve"> </w:t>
            </w:r>
          </w:p>
        </w:tc>
        <w:tc>
          <w:tcPr>
            <w:tcW w:w="2474" w:type="pct"/>
            <w:shd w:val="clear" w:color="auto" w:fill="auto"/>
          </w:tcPr>
          <w:p w14:paraId="3A42F5C7" w14:textId="77777777" w:rsidR="002B32A0" w:rsidRPr="00CE1D7F" w:rsidRDefault="002B32A0" w:rsidP="006258ED">
            <w:pPr>
              <w:pStyle w:val="Figure"/>
              <w:rPr>
                <w:noProof/>
              </w:rPr>
            </w:pPr>
            <w:r>
              <w:rPr>
                <w:noProof/>
              </w:rPr>
              <w:t xml:space="preserve"> </w:t>
            </w:r>
            <w:r>
              <w:rPr>
                <w:noProof/>
              </w:rPr>
              <w:drawing>
                <wp:inline distT="0" distB="0" distL="0" distR="0" wp14:anchorId="17CBEC0E" wp14:editId="27271717">
                  <wp:extent cx="2944495" cy="2145665"/>
                  <wp:effectExtent l="0" t="0" r="8255" b="6985"/>
                  <wp:docPr id="101" name="Picture 101" descr="Impact of adopting TAPS at ECU on retention rates, see description in text abov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Impact of adopting TAPS at ECU on retention rates, see description in text above figure."/>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2944495" cy="2145665"/>
                          </a:xfrm>
                          <a:prstGeom prst="rect">
                            <a:avLst/>
                          </a:prstGeom>
                          <a:noFill/>
                        </pic:spPr>
                      </pic:pic>
                    </a:graphicData>
                  </a:graphic>
                </wp:inline>
              </w:drawing>
            </w:r>
          </w:p>
        </w:tc>
      </w:tr>
    </w:tbl>
    <w:p w14:paraId="6AC7C9A8" w14:textId="77777777" w:rsidR="000B0AC7" w:rsidRPr="00CE1D7F" w:rsidRDefault="000B0AC7" w:rsidP="000B0AC7">
      <w:pPr>
        <w:pStyle w:val="Source"/>
        <w:ind w:left="-393" w:hanging="1308"/>
        <w:rPr>
          <w:i w:val="0"/>
          <w:iCs/>
        </w:rPr>
      </w:pPr>
      <w:r w:rsidRPr="00CE1D7F">
        <w:rPr>
          <w:i w:val="0"/>
          <w:iCs/>
        </w:rPr>
        <w:t>Note: Success rate is a weighted pass rate, essentially, if a student takes 4 units all of the same weighting and passes 3, their success rate would be 75%. N=365 Indigenous students and 22,393 total domestic students in 2021.</w:t>
      </w:r>
    </w:p>
    <w:p w14:paraId="0D901EAE" w14:textId="77777777" w:rsidR="000B0AC7" w:rsidRPr="00CE1D7F" w:rsidRDefault="000B0AC7" w:rsidP="006258ED">
      <w:pPr>
        <w:pStyle w:val="Source"/>
        <w:rPr>
          <w:i w:val="0"/>
          <w:iCs/>
        </w:rPr>
      </w:pPr>
      <w:r w:rsidRPr="00CE1D7F">
        <w:rPr>
          <w:i w:val="0"/>
          <w:iCs/>
        </w:rPr>
        <w:t>Retention rate measures the proportion of all students enrolled in the given calendar year who re-enrolled (in any course in ECU) the following calendar year. The years on the chart should be read e.g. “from” 2017 “into” 2018. N=286 Indigenous students and 16,158 total domestic students in 2021.</w:t>
      </w:r>
    </w:p>
    <w:p w14:paraId="6CF5BB5F" w14:textId="77777777" w:rsidR="000B0AC7" w:rsidRPr="00CE1D7F" w:rsidRDefault="000B0AC7" w:rsidP="006258ED">
      <w:pPr>
        <w:pStyle w:val="Source"/>
      </w:pPr>
      <w:r w:rsidRPr="00CE1D7F">
        <w:t xml:space="preserve">Source: Edith Cowan University </w:t>
      </w:r>
    </w:p>
    <w:p w14:paraId="2A221443" w14:textId="77777777" w:rsidR="000B0AC7" w:rsidRPr="00CE1D7F" w:rsidRDefault="000B0AC7" w:rsidP="006258ED">
      <w:pPr>
        <w:pStyle w:val="spacer"/>
      </w:pPr>
    </w:p>
    <w:p w14:paraId="59E0F20E" w14:textId="6BC39A2E" w:rsidR="002B32A0" w:rsidRPr="00CE1D7F" w:rsidRDefault="002B32A0" w:rsidP="002B32A0">
      <w:pPr>
        <w:pStyle w:val="BodyText"/>
      </w:pPr>
      <w:r w:rsidRPr="00CE1D7F">
        <w:t xml:space="preserve">JCU has seen stronger awareness of and engagement with support services from the year the model was implemented. The Indigenous Student Services Centre has enabled more coordinated and focused service delivery across the Indigenous student body. The results have been remarkable as can be seen in </w:t>
      </w:r>
      <w:r w:rsidRPr="00F87D0E">
        <w:fldChar w:fldCharType="begin"/>
      </w:r>
      <w:r w:rsidRPr="00F87D0E">
        <w:instrText xml:space="preserve"> REF _Ref129347002 \h  \* MERGEFORMAT </w:instrText>
      </w:r>
      <w:r w:rsidRPr="00F87D0E">
        <w:fldChar w:fldCharType="separate"/>
      </w:r>
      <w:r w:rsidR="000B0AC7" w:rsidRPr="000B0AC7">
        <w:t>Figure 12.6</w:t>
      </w:r>
      <w:r w:rsidRPr="00F87D0E">
        <w:fldChar w:fldCharType="end"/>
      </w:r>
      <w:r w:rsidRPr="00CE1D7F">
        <w:t xml:space="preserve">. Graduation rates have also doubled in 5 years from 74 graduates to 130 graduates, a strong improvement. Further, JCU has many Indigenous students studying diplomas to get an ATAR and the necessary pre-requisites to study an undergraduate degree, and TAPS has supported a decrease in the failure rate for this diploma from 79% in 2019 to 43% in 2020. </w:t>
      </w:r>
    </w:p>
    <w:p w14:paraId="65EA7234" w14:textId="448E8D42" w:rsidR="000B0AC7" w:rsidRPr="00CE1D7F" w:rsidRDefault="000B0AC7" w:rsidP="000B0AC7">
      <w:pPr>
        <w:pStyle w:val="Caption"/>
        <w:ind w:left="1308" w:hanging="1308"/>
      </w:pPr>
      <w:bookmarkStart w:id="593" w:name="_Ref129347002"/>
      <w:r w:rsidRPr="00CE1D7F">
        <w:rPr>
          <w:rStyle w:val="CaptionLabel"/>
        </w:rPr>
        <w:t>Figure </w:t>
      </w:r>
      <w:r w:rsidRPr="00CE1D7F">
        <w:rPr>
          <w:rStyle w:val="CaptionLabel"/>
        </w:rPr>
        <w:fldChar w:fldCharType="begin"/>
      </w:r>
      <w:r w:rsidRPr="00CE1D7F">
        <w:rPr>
          <w:rStyle w:val="CaptionLabel"/>
        </w:rPr>
        <w:instrText xml:space="preserve"> STYLEREF 1 \S \* MERGEFORMAT </w:instrText>
      </w:r>
      <w:r w:rsidRPr="00CE1D7F">
        <w:rPr>
          <w:rStyle w:val="CaptionLabel"/>
        </w:rPr>
        <w:fldChar w:fldCharType="separate"/>
      </w:r>
      <w:r>
        <w:rPr>
          <w:rStyle w:val="CaptionLabel"/>
          <w:noProof/>
        </w:rPr>
        <w:t>12</w:t>
      </w:r>
      <w:r w:rsidRPr="00CE1D7F">
        <w:rPr>
          <w:rStyle w:val="CaptionLabel"/>
        </w:rPr>
        <w:fldChar w:fldCharType="end"/>
      </w:r>
      <w:r w:rsidRPr="00CE1D7F">
        <w:rPr>
          <w:rStyle w:val="CaptionLabel"/>
        </w:rPr>
        <w:t>.</w:t>
      </w:r>
      <w:r w:rsidRPr="00CE1D7F">
        <w:rPr>
          <w:rStyle w:val="CaptionLabel"/>
        </w:rPr>
        <w:fldChar w:fldCharType="begin"/>
      </w:r>
      <w:r w:rsidRPr="00CE1D7F">
        <w:rPr>
          <w:rStyle w:val="CaptionLabel"/>
        </w:rPr>
        <w:instrText xml:space="preserve"> SEQ Figure \* ARABIC \S 1 \* MERGEFORMAT </w:instrText>
      </w:r>
      <w:r w:rsidRPr="00CE1D7F">
        <w:rPr>
          <w:rStyle w:val="CaptionLabel"/>
        </w:rPr>
        <w:fldChar w:fldCharType="separate"/>
      </w:r>
      <w:r>
        <w:rPr>
          <w:rStyle w:val="CaptionLabel"/>
          <w:noProof/>
        </w:rPr>
        <w:t>6</w:t>
      </w:r>
      <w:r w:rsidRPr="00CE1D7F">
        <w:rPr>
          <w:rStyle w:val="CaptionLabel"/>
        </w:rPr>
        <w:fldChar w:fldCharType="end"/>
      </w:r>
      <w:bookmarkEnd w:id="593"/>
      <w:r w:rsidRPr="00CE1D7F">
        <w:tab/>
        <w:t>Impact of TAPS at JCU’s pass/fail rates</w:t>
      </w:r>
    </w:p>
    <w:tbl>
      <w:tblPr>
        <w:tblStyle w:val="aacTableFigure"/>
        <w:tblW w:w="5000" w:type="pct"/>
        <w:tblBorders>
          <w:top w:val="single" w:sz="4" w:space="0" w:color="000000"/>
          <w:bottom w:val="single" w:sz="4" w:space="0" w:color="000000"/>
        </w:tblBorders>
        <w:tblLook w:val="04A0" w:firstRow="1" w:lastRow="0" w:firstColumn="1" w:lastColumn="0" w:noHBand="0" w:noVBand="1"/>
      </w:tblPr>
      <w:tblGrid>
        <w:gridCol w:w="7936"/>
      </w:tblGrid>
      <w:tr w:rsidR="002B32A0" w:rsidRPr="00CE1D7F" w14:paraId="3DCE1F37" w14:textId="77777777" w:rsidTr="000B0AC7">
        <w:tc>
          <w:tcPr>
            <w:tcW w:w="5000" w:type="pct"/>
            <w:shd w:val="clear" w:color="auto" w:fill="auto"/>
          </w:tcPr>
          <w:p w14:paraId="4481ACC7" w14:textId="77777777" w:rsidR="002B32A0" w:rsidRPr="00CE1D7F" w:rsidRDefault="002B32A0" w:rsidP="00BF7AEE">
            <w:pPr>
              <w:pStyle w:val="Figure"/>
              <w:ind w:left="-110"/>
              <w:jc w:val="center"/>
            </w:pPr>
            <w:r w:rsidRPr="00CE1D7F">
              <w:rPr>
                <w:noProof/>
              </w:rPr>
              <w:drawing>
                <wp:inline distT="0" distB="0" distL="0" distR="0" wp14:anchorId="74F72D64" wp14:editId="081B5E21">
                  <wp:extent cx="5007842" cy="2871332"/>
                  <wp:effectExtent l="0" t="0" r="2540" b="5715"/>
                  <wp:docPr id="687" name="Picture 687" descr="Impact of TAPS at JCU’s pass/fail rates, see description in text above figure.">
                    <a:extLst xmlns:a="http://schemas.openxmlformats.org/drawingml/2006/main">
                      <a:ext uri="{FF2B5EF4-FFF2-40B4-BE49-F238E27FC236}">
                        <a16:creationId xmlns:a16="http://schemas.microsoft.com/office/drawing/2014/main" id="{158FEA5C-CD99-4B73-9BCE-50AA7693AAA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 name="Picture 687" descr="Impact of TAPS at JCU’s pass/fail rates, see description in text above figure.">
                            <a:extLst>
                              <a:ext uri="{FF2B5EF4-FFF2-40B4-BE49-F238E27FC236}">
                                <a16:creationId xmlns:a16="http://schemas.microsoft.com/office/drawing/2014/main" id="{158FEA5C-CD99-4B73-9BCE-50AA7693AAA7}"/>
                              </a:ext>
                            </a:extLst>
                          </pic:cNvPr>
                          <pic:cNvPicPr>
                            <a:picLocks noChangeAspect="1"/>
                          </pic:cNvPicPr>
                        </pic:nvPicPr>
                        <pic:blipFill rotWithShape="1">
                          <a:blip r:embed="rId225"/>
                          <a:srcRect t="1737" b="3098"/>
                          <a:stretch/>
                        </pic:blipFill>
                        <pic:spPr bwMode="auto">
                          <a:xfrm>
                            <a:off x="0" y="0"/>
                            <a:ext cx="5059422" cy="2900906"/>
                          </a:xfrm>
                          <a:prstGeom prst="rect">
                            <a:avLst/>
                          </a:prstGeom>
                          <a:ln>
                            <a:noFill/>
                          </a:ln>
                          <a:extLst>
                            <a:ext uri="{53640926-AAD7-44D8-BBD7-CCE9431645EC}">
                              <a14:shadowObscured xmlns:a14="http://schemas.microsoft.com/office/drawing/2010/main"/>
                            </a:ext>
                          </a:extLst>
                        </pic:spPr>
                      </pic:pic>
                    </a:graphicData>
                  </a:graphic>
                </wp:inline>
              </w:drawing>
            </w:r>
          </w:p>
        </w:tc>
      </w:tr>
    </w:tbl>
    <w:p w14:paraId="1FEE9601" w14:textId="77777777" w:rsidR="000B0AC7" w:rsidRPr="00CE1D7F" w:rsidRDefault="000B0AC7" w:rsidP="000B0AC7">
      <w:pPr>
        <w:pStyle w:val="Source"/>
        <w:ind w:left="1308" w:hanging="1308"/>
      </w:pPr>
      <w:r w:rsidRPr="00CE1D7F">
        <w:t>Source: James Cook University</w:t>
      </w:r>
    </w:p>
    <w:p w14:paraId="1EFD60AF" w14:textId="77777777" w:rsidR="000B0AC7" w:rsidRPr="00CE1D7F" w:rsidRDefault="000B0AC7" w:rsidP="006258ED">
      <w:pPr>
        <w:pStyle w:val="spacer"/>
      </w:pPr>
    </w:p>
    <w:p w14:paraId="3C42FA9E" w14:textId="77777777" w:rsidR="002B32A0" w:rsidRPr="00CE1D7F" w:rsidRDefault="002B32A0" w:rsidP="002B32A0">
      <w:pPr>
        <w:pStyle w:val="Heading4"/>
      </w:pPr>
      <w:r w:rsidRPr="00CE1D7F">
        <w:t>Employment impacts</w:t>
      </w:r>
    </w:p>
    <w:p w14:paraId="7095412F" w14:textId="77777777" w:rsidR="002B32A0" w:rsidRPr="00CE1D7F" w:rsidRDefault="002B32A0" w:rsidP="002B32A0">
      <w:pPr>
        <w:pStyle w:val="BodyText"/>
      </w:pPr>
      <w:r w:rsidRPr="00CE1D7F">
        <w:t xml:space="preserve">By increasing graduation rates, TAPS is likely to have flow on benefits for the employment of Indigenous graduates. There is published research that suggests Indigenous graduates with Bachelor degrees earn higher salaries than those with lower level qualifications (e.g. high school diplomas, certificates). For example, </w:t>
      </w:r>
      <w:r w:rsidRPr="00CE1D7F">
        <w:rPr>
          <w:rFonts w:eastAsia="Times New Roman" w:cs="Times New Roman"/>
          <w:lang w:eastAsia="en-AU"/>
        </w:rPr>
        <w:t>Indigenous graduate income is $58,200 for Bachelors, compared with $40,300 for sub-Bachelors.</w:t>
      </w:r>
      <w:r w:rsidRPr="00CE1D7F">
        <w:rPr>
          <w:rStyle w:val="FootnoteReference"/>
          <w:rFonts w:eastAsia="Times New Roman" w:cs="Times New Roman"/>
          <w:lang w:eastAsia="en-AU"/>
        </w:rPr>
        <w:footnoteReference w:id="282"/>
      </w:r>
      <w:r w:rsidRPr="00CE1D7F">
        <w:rPr>
          <w:rFonts w:eastAsia="Times New Roman" w:cs="Times New Roman"/>
          <w:lang w:eastAsia="en-AU"/>
        </w:rPr>
        <w:t xml:space="preserve"> After 10 years, this research suggests the average income earned is $82,500 and $73,100, respectively.</w:t>
      </w:r>
    </w:p>
    <w:p w14:paraId="28F29459" w14:textId="77777777" w:rsidR="002B32A0" w:rsidRPr="00CE1D7F" w:rsidRDefault="002B32A0" w:rsidP="002B32A0">
      <w:pPr>
        <w:pStyle w:val="Heading3"/>
      </w:pPr>
      <w:r w:rsidRPr="00CE1D7F">
        <w:t>Other impacts</w:t>
      </w:r>
    </w:p>
    <w:p w14:paraId="7D31DFF0" w14:textId="77777777" w:rsidR="002B32A0" w:rsidRPr="00CE1D7F" w:rsidRDefault="002B32A0" w:rsidP="002B32A0">
      <w:pPr>
        <w:pStyle w:val="BodyText"/>
      </w:pPr>
      <w:r w:rsidRPr="00CE1D7F">
        <w:t>This program of research has supported the development of collaborative partnerships, most prominently with case study universities and those implementing TAPS and WillowSoft. These were critical to developing the evidence base and translating the research.</w:t>
      </w:r>
    </w:p>
    <w:p w14:paraId="7D68F092" w14:textId="77777777" w:rsidR="002B32A0" w:rsidRPr="00CE1D7F" w:rsidRDefault="002B32A0" w:rsidP="002B32A0">
      <w:pPr>
        <w:pStyle w:val="Heading2"/>
      </w:pPr>
      <w:bookmarkStart w:id="594" w:name="_Ref127979070"/>
      <w:bookmarkStart w:id="595" w:name="_Toc129963992"/>
      <w:bookmarkStart w:id="596" w:name="_Toc131174631"/>
      <w:bookmarkStart w:id="597" w:name="_Toc132970722"/>
      <w:bookmarkStart w:id="598" w:name="_Toc135323761"/>
      <w:r w:rsidRPr="00CE1D7F">
        <w:t>Potential future impacts</w:t>
      </w:r>
      <w:bookmarkEnd w:id="594"/>
      <w:bookmarkEnd w:id="595"/>
      <w:bookmarkEnd w:id="596"/>
      <w:bookmarkEnd w:id="597"/>
      <w:bookmarkEnd w:id="598"/>
      <w:r w:rsidRPr="00CE1D7F">
        <w:t xml:space="preserve"> </w:t>
      </w:r>
    </w:p>
    <w:p w14:paraId="3DE210F1" w14:textId="77777777" w:rsidR="002B32A0" w:rsidRPr="00CE1D7F" w:rsidRDefault="002B32A0" w:rsidP="002B32A0">
      <w:pPr>
        <w:pStyle w:val="BodyText"/>
      </w:pPr>
      <w:r w:rsidRPr="00CE1D7F">
        <w:t xml:space="preserve">This research has made important contributions to our understanding of Indigenous learning capacities and can be applied more broadly across other education types and priority cohorts. </w:t>
      </w:r>
    </w:p>
    <w:p w14:paraId="24B0C9CA" w14:textId="77777777" w:rsidR="002B32A0" w:rsidRPr="00CE1D7F" w:rsidRDefault="002B32A0" w:rsidP="002B32A0">
      <w:pPr>
        <w:pStyle w:val="BodyText"/>
      </w:pPr>
      <w:r w:rsidRPr="00CE1D7F">
        <w:t xml:space="preserve">The research knowledge emphasises the importance of developing a learner identity in students from the early years (primary and secondary schools) to improve academic performance, and in these ways strengthen pathways for Indigenous students to participate in higher education studies. </w:t>
      </w:r>
    </w:p>
    <w:p w14:paraId="2D3A14DD" w14:textId="77777777" w:rsidR="002B32A0" w:rsidRPr="00CE1D7F" w:rsidRDefault="002B32A0" w:rsidP="002B32A0">
      <w:pPr>
        <w:pStyle w:val="BodyText"/>
      </w:pPr>
      <w:r w:rsidRPr="00CE1D7F">
        <w:t xml:space="preserve">As such, Prof Nakata has been exploring options for TAPS to be used in Queensland schools and a grant submission has been made to the Commonwealth’s Regional Participation Project Pool Program to fund trial sites in communities across all 5 regions of the Queensland Department of Education catchment areas. </w:t>
      </w:r>
    </w:p>
    <w:p w14:paraId="283F2AE4" w14:textId="77777777" w:rsidR="002B32A0" w:rsidRPr="00CE1D7F" w:rsidRDefault="002B32A0" w:rsidP="002B32A0">
      <w:pPr>
        <w:pStyle w:val="BodyText"/>
      </w:pPr>
      <w:r w:rsidRPr="00CE1D7F">
        <w:t xml:space="preserve">He is also currently in partnership with 19 schools in regional and remote Queensland with a student base of 4,000 students to improve the Indigenous students’ performance in the math and science curriculum. </w:t>
      </w:r>
    </w:p>
    <w:p w14:paraId="1A5D470B" w14:textId="77777777" w:rsidR="002B32A0" w:rsidRPr="00CE1D7F" w:rsidRDefault="002B32A0" w:rsidP="002B32A0">
      <w:pPr>
        <w:pStyle w:val="BodyText"/>
      </w:pPr>
      <w:r w:rsidRPr="00CE1D7F">
        <w:t xml:space="preserve">16 of these schools are in very remote areas, and where the majority of students speak English as their second language. Performance data from the early trials between 2019 and 2021, in these 16 schools, show improvements in math to levels well above the previous 9-year average achieved by these same schools. </w:t>
      </w:r>
    </w:p>
    <w:p w14:paraId="077B3F26" w14:textId="77777777" w:rsidR="002B32A0" w:rsidRPr="00CE1D7F" w:rsidRDefault="002B32A0" w:rsidP="002B32A0">
      <w:pPr>
        <w:pStyle w:val="BodyText"/>
      </w:pPr>
      <w:r w:rsidRPr="00CE1D7F">
        <w:t xml:space="preserve">Both the math and science work are now being trialled in 3 regional schools with Indigenous and non-Indigenous students, with early evidence showing that this model also is benefiting non-Indigenous students. However, funding constraints are limiting the extent to which the math and science work can be applied. </w:t>
      </w:r>
    </w:p>
    <w:p w14:paraId="1E325997" w14:textId="77777777" w:rsidR="002B32A0" w:rsidRPr="00CE1D7F" w:rsidRDefault="002B32A0" w:rsidP="002B32A0">
      <w:pPr>
        <w:pStyle w:val="BodyText"/>
      </w:pPr>
      <w:r w:rsidRPr="00CE1D7F">
        <w:t xml:space="preserve">Prof Nakata has been exploring opportunities with the Queensland Department of Education, Catholic schools sector and industry partners such as Minerals Council of Australia, BHP, Glencore, Rio Tinto and others. </w:t>
      </w:r>
    </w:p>
    <w:p w14:paraId="0CA3C5F5" w14:textId="77777777" w:rsidR="002B32A0" w:rsidRPr="00CE1D7F" w:rsidRDefault="002B32A0" w:rsidP="002B32A0">
      <w:pPr>
        <w:pStyle w:val="BodyText"/>
      </w:pPr>
      <w:r w:rsidRPr="00CE1D7F">
        <w:t>Prof Nakata was part of a consortium recently awarded an ARC Centre of Excellence for Indigenous and Environmental Histories and Futures (CE230100009). This research aims to improve our understanding of Australia’s environmental and Indigenous history before European settlement by enhancing transdisciplinary research capability and creating an integrated history of change. The education and engagement role he has on this project will help in part to support his ongoing research work in math and science.</w:t>
      </w:r>
    </w:p>
    <w:p w14:paraId="01EE0227" w14:textId="77777777" w:rsidR="002B32A0" w:rsidRPr="00CE1D7F" w:rsidRDefault="002B32A0" w:rsidP="002B32A0">
      <w:pPr>
        <w:pStyle w:val="BodyText"/>
        <w:sectPr w:rsidR="002B32A0" w:rsidRPr="00CE1D7F" w:rsidSect="00327E78">
          <w:headerReference w:type="even" r:id="rId226"/>
          <w:headerReference w:type="default" r:id="rId227"/>
          <w:footerReference w:type="even" r:id="rId228"/>
          <w:footerReference w:type="default" r:id="rId229"/>
          <w:headerReference w:type="first" r:id="rId230"/>
          <w:footerReference w:type="first" r:id="rId231"/>
          <w:pgSz w:w="11906" w:h="16838" w:code="9"/>
          <w:pgMar w:top="1134" w:right="851" w:bottom="1134" w:left="3119" w:header="454" w:footer="159" w:gutter="0"/>
          <w:cols w:space="708"/>
          <w:docGrid w:linePitch="360"/>
        </w:sectPr>
      </w:pPr>
    </w:p>
    <w:p w14:paraId="6FB22CC1" w14:textId="77777777" w:rsidR="000B0AC7" w:rsidRPr="00CE1D7F" w:rsidRDefault="000B0AC7" w:rsidP="000B0AC7">
      <w:pPr>
        <w:pStyle w:val="Heading1"/>
        <w:pageBreakBefore/>
        <w:ind w:left="0" w:hanging="600"/>
      </w:pPr>
      <w:bookmarkStart w:id="599" w:name="_Ref131081387"/>
      <w:bookmarkStart w:id="600" w:name="_Toc135323762"/>
      <w:r w:rsidRPr="00CE1D7F">
        <w:t>RRR: Indigenous Remains Repatriation</w:t>
      </w:r>
      <w:bookmarkEnd w:id="599"/>
      <w:bookmarkEnd w:id="600"/>
    </w:p>
    <w:p w14:paraId="41F6ECB4" w14:textId="77777777" w:rsidR="002B32A0" w:rsidRPr="00CE1D7F" w:rsidRDefault="002B32A0" w:rsidP="002B32A0">
      <w:pPr>
        <w:pStyle w:val="BodyText"/>
      </w:pPr>
    </w:p>
    <w:p w14:paraId="38E39F1D" w14:textId="77777777" w:rsidR="002B32A0" w:rsidRPr="00CE1D7F" w:rsidRDefault="002B32A0" w:rsidP="002B32A0">
      <w:pPr>
        <w:pStyle w:val="BodyText"/>
      </w:pPr>
    </w:p>
    <w:tbl>
      <w:tblPr>
        <w:tblStyle w:val="aacTablenolines"/>
        <w:tblW w:w="0" w:type="auto"/>
        <w:shd w:val="clear" w:color="auto" w:fill="D7CEE5" w:themeFill="accent1" w:themeFillTint="66"/>
        <w:tblLook w:val="04A0" w:firstRow="1" w:lastRow="0" w:firstColumn="1" w:lastColumn="0" w:noHBand="0" w:noVBand="1"/>
      </w:tblPr>
      <w:tblGrid>
        <w:gridCol w:w="7936"/>
      </w:tblGrid>
      <w:tr w:rsidR="002B32A0" w:rsidRPr="00CE1D7F" w14:paraId="091DCD72" w14:textId="77777777" w:rsidTr="00BF7AEE">
        <w:tc>
          <w:tcPr>
            <w:tcW w:w="7936" w:type="dxa"/>
            <w:shd w:val="clear" w:color="auto" w:fill="D7CEE5" w:themeFill="accent1" w:themeFillTint="66"/>
          </w:tcPr>
          <w:p w14:paraId="0F5C00B1" w14:textId="77777777" w:rsidR="002B32A0" w:rsidRPr="00CE1D7F" w:rsidRDefault="002B32A0" w:rsidP="006258ED">
            <w:pPr>
              <w:pStyle w:val="BodyText"/>
            </w:pPr>
          </w:p>
          <w:p w14:paraId="57934204" w14:textId="77777777" w:rsidR="002B32A0" w:rsidRPr="00CE1D7F" w:rsidRDefault="002B32A0" w:rsidP="006258ED">
            <w:pPr>
              <w:pStyle w:val="BodyText"/>
            </w:pPr>
          </w:p>
          <w:p w14:paraId="47588ABD" w14:textId="77777777" w:rsidR="002B32A0" w:rsidRPr="00CE1D7F" w:rsidRDefault="002B32A0" w:rsidP="006258ED">
            <w:pPr>
              <w:pStyle w:val="BodyText"/>
            </w:pPr>
          </w:p>
          <w:p w14:paraId="2ACF5518" w14:textId="77777777" w:rsidR="002B32A0" w:rsidRPr="00CE1D7F" w:rsidRDefault="002B32A0" w:rsidP="006258ED">
            <w:pPr>
              <w:pStyle w:val="BodyText"/>
            </w:pPr>
          </w:p>
          <w:p w14:paraId="6F004ACA" w14:textId="77777777" w:rsidR="002B32A0" w:rsidRPr="00CE1D7F" w:rsidRDefault="002B32A0" w:rsidP="006258ED">
            <w:pPr>
              <w:pStyle w:val="BodyText"/>
            </w:pPr>
          </w:p>
          <w:p w14:paraId="794215C0" w14:textId="77777777" w:rsidR="002B32A0" w:rsidRPr="00CE1D7F" w:rsidRDefault="002B32A0" w:rsidP="00BF7AEE">
            <w:pPr>
              <w:pStyle w:val="BodyText"/>
              <w:ind w:left="426" w:right="563"/>
            </w:pPr>
            <w:r w:rsidRPr="00CE1D7F">
              <w:t>First Nations readers should be aware that this document contains information about the theft and return of ancestral remains that can be confronting and distressing.</w:t>
            </w:r>
          </w:p>
          <w:p w14:paraId="77495604" w14:textId="77777777" w:rsidR="002B32A0" w:rsidRPr="00CE1D7F" w:rsidRDefault="002B32A0" w:rsidP="006258ED">
            <w:pPr>
              <w:pStyle w:val="BodyText"/>
            </w:pPr>
          </w:p>
          <w:p w14:paraId="5375CD9D" w14:textId="77777777" w:rsidR="002B32A0" w:rsidRPr="00CE1D7F" w:rsidRDefault="002B32A0" w:rsidP="006258ED">
            <w:pPr>
              <w:pStyle w:val="BodyText"/>
            </w:pPr>
          </w:p>
          <w:p w14:paraId="695DEB1B" w14:textId="77777777" w:rsidR="002B32A0" w:rsidRPr="00CE1D7F" w:rsidRDefault="002B32A0" w:rsidP="006258ED">
            <w:pPr>
              <w:pStyle w:val="BodyText"/>
            </w:pPr>
          </w:p>
          <w:p w14:paraId="53115A4D" w14:textId="77777777" w:rsidR="002B32A0" w:rsidRPr="00CE1D7F" w:rsidRDefault="002B32A0" w:rsidP="006258ED">
            <w:pPr>
              <w:pStyle w:val="BodyText"/>
            </w:pPr>
          </w:p>
          <w:p w14:paraId="5BC2209A" w14:textId="77777777" w:rsidR="002B32A0" w:rsidRPr="00CE1D7F" w:rsidRDefault="002B32A0" w:rsidP="006258ED">
            <w:pPr>
              <w:pStyle w:val="BodyText"/>
            </w:pPr>
          </w:p>
          <w:p w14:paraId="41698B9D" w14:textId="77777777" w:rsidR="002B32A0" w:rsidRPr="00CE1D7F" w:rsidRDefault="002B32A0" w:rsidP="006258ED">
            <w:pPr>
              <w:pStyle w:val="BodyText"/>
            </w:pPr>
          </w:p>
        </w:tc>
      </w:tr>
    </w:tbl>
    <w:p w14:paraId="575F45DC" w14:textId="77777777" w:rsidR="002B32A0" w:rsidRPr="00CE1D7F" w:rsidRDefault="002B32A0" w:rsidP="002B32A0">
      <w:pPr>
        <w:pStyle w:val="BodyText"/>
      </w:pPr>
    </w:p>
    <w:p w14:paraId="7D07F2A4" w14:textId="77777777" w:rsidR="002B32A0" w:rsidRPr="00CE1D7F" w:rsidRDefault="002B32A0" w:rsidP="002B32A0">
      <w:pPr>
        <w:pStyle w:val="BodyText"/>
      </w:pPr>
    </w:p>
    <w:p w14:paraId="34F48918" w14:textId="77777777" w:rsidR="002B32A0" w:rsidRPr="00CE1D7F" w:rsidRDefault="002B32A0" w:rsidP="002B32A0">
      <w:pPr>
        <w:pStyle w:val="BodyText"/>
        <w:rPr>
          <w:rFonts w:eastAsiaTheme="majorEastAsia"/>
          <w:color w:val="6C3E99"/>
          <w:sz w:val="28"/>
          <w:szCs w:val="26"/>
        </w:rPr>
      </w:pPr>
      <w:r w:rsidRPr="00CE1D7F">
        <w:br w:type="page"/>
      </w:r>
    </w:p>
    <w:p w14:paraId="243C3FF4" w14:textId="77777777" w:rsidR="002B32A0" w:rsidRPr="00CE1D7F" w:rsidRDefault="002B32A0" w:rsidP="002B32A0">
      <w:pPr>
        <w:pStyle w:val="Heading2"/>
      </w:pPr>
      <w:bookmarkStart w:id="601" w:name="_Toc129964015"/>
      <w:bookmarkStart w:id="602" w:name="_Toc131174653"/>
      <w:bookmarkStart w:id="603" w:name="_Toc132970724"/>
      <w:bookmarkStart w:id="604" w:name="_Toc135323763"/>
      <w:r w:rsidRPr="00CE1D7F">
        <w:rPr>
          <w:noProof/>
        </w:rPr>
        <mc:AlternateContent>
          <mc:Choice Requires="wps">
            <w:drawing>
              <wp:anchor distT="0" distB="0" distL="114300" distR="114300" simplePos="0" relativeHeight="251697152" behindDoc="0" locked="0" layoutInCell="1" allowOverlap="1" wp14:anchorId="33C368A2" wp14:editId="7092190D">
                <wp:simplePos x="0" y="0"/>
                <wp:positionH relativeFrom="page">
                  <wp:posOffset>665536</wp:posOffset>
                </wp:positionH>
                <wp:positionV relativeFrom="paragraph">
                  <wp:posOffset>446328</wp:posOffset>
                </wp:positionV>
                <wp:extent cx="6416695" cy="4131531"/>
                <wp:effectExtent l="19050" t="19050" r="22225" b="21590"/>
                <wp:wrapNone/>
                <wp:docPr id="233" name="Rectangle: Rounded Corners 2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16695" cy="4131531"/>
                        </a:xfrm>
                        <a:prstGeom prst="roundRect">
                          <a:avLst>
                            <a:gd name="adj" fmla="val 6814"/>
                          </a:avLst>
                        </a:prstGeom>
                        <a:noFill/>
                        <a:ln w="34925" cap="rnd">
                          <a:solidFill>
                            <a:schemeClr val="tx2"/>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7BDA2C97" id="Rectangle: Rounded Corners 233" o:spid="_x0000_s1026" alt="&quot;&quot;" style="position:absolute;margin-left:52.4pt;margin-top:35.15pt;width:505.25pt;height:325.3pt;z-index:2516971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446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" filled="f" strokecolor="#6c3f99 [3215]" strokeweight="2.75pt">
                <v:stroke dashstyle="1 1" joinstyle="miter" endcap="round"/>
                <w10:wrap anchorx="page"/>
              </v:roundrect>
            </w:pict>
          </mc:Fallback>
        </mc:AlternateContent>
      </w:r>
      <w:r w:rsidRPr="00CE1D7F">
        <w:t>Key Findings</w:t>
      </w:r>
      <w:bookmarkEnd w:id="601"/>
      <w:bookmarkEnd w:id="602"/>
      <w:bookmarkEnd w:id="603"/>
      <w:bookmarkEnd w:id="604"/>
    </w:p>
    <w:p w14:paraId="366E2C23" w14:textId="77777777" w:rsidR="002B32A0" w:rsidRPr="00CE1D7F" w:rsidRDefault="002B32A0" w:rsidP="002B32A0">
      <w:pPr>
        <w:pStyle w:val="BodyText"/>
      </w:pPr>
      <w:r w:rsidRPr="00CE1D7F">
        <w:rPr>
          <w:noProof/>
        </w:rPr>
        <mc:AlternateContent>
          <mc:Choice Requires="wps">
            <w:drawing>
              <wp:anchor distT="0" distB="0" distL="114300" distR="114300" simplePos="0" relativeHeight="251693056" behindDoc="0" locked="0" layoutInCell="1" allowOverlap="1" wp14:anchorId="796DAD6B" wp14:editId="7FA2E837">
                <wp:simplePos x="0" y="0"/>
                <wp:positionH relativeFrom="column">
                  <wp:posOffset>-272358</wp:posOffset>
                </wp:positionH>
                <wp:positionV relativeFrom="paragraph">
                  <wp:posOffset>287655</wp:posOffset>
                </wp:positionV>
                <wp:extent cx="1703705" cy="771896"/>
                <wp:effectExtent l="0" t="0" r="0" b="0"/>
                <wp:wrapNone/>
                <wp:docPr id="16" name="Text Box 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703705" cy="771896"/>
                        </a:xfrm>
                        <a:prstGeom prst="rect">
                          <a:avLst/>
                        </a:prstGeom>
                        <a:noFill/>
                      </wps:spPr>
                      <wps:txbx>
                        <w:txbxContent>
                          <w:p w14:paraId="45E42AC9" w14:textId="77777777" w:rsidR="002B32A0" w:rsidRDefault="002B32A0" w:rsidP="002B32A0">
                            <w:pPr>
                              <w:spacing w:line="204" w:lineRule="auto"/>
                              <w:rPr>
                                <w:rFonts w:asciiTheme="minorHAnsi" w:eastAsia="Yu Gothic UI Semibold" w:cstheme="minorBidi"/>
                                <w:b/>
                                <w:bCs/>
                                <w:color w:val="000000" w:themeColor="text1"/>
                                <w:kern w:val="24"/>
                                <w:sz w:val="36"/>
                                <w:szCs w:val="36"/>
                              </w:rPr>
                            </w:pPr>
                            <w:r>
                              <w:rPr>
                                <w:rFonts w:asciiTheme="minorHAnsi" w:eastAsia="Yu Gothic UI Semibold" w:cstheme="minorBidi"/>
                                <w:b/>
                                <w:bCs/>
                                <w:color w:val="000000" w:themeColor="text1"/>
                                <w:kern w:val="24"/>
                                <w:sz w:val="36"/>
                                <w:szCs w:val="36"/>
                              </w:rPr>
                              <w:t xml:space="preserve">$2.98m </w:t>
                            </w:r>
                            <w:r>
                              <w:rPr>
                                <w:rFonts w:asciiTheme="minorHAnsi" w:eastAsia="Yu Gothic UI Semibold" w:cstheme="minorBidi"/>
                                <w:b/>
                                <w:bCs/>
                                <w:color w:val="000000" w:themeColor="text1"/>
                                <w:kern w:val="24"/>
                              </w:rPr>
                              <w:t xml:space="preserve">invested by ARC and </w:t>
                            </w:r>
                            <w:r w:rsidRPr="00105EEA">
                              <w:rPr>
                                <w:rFonts w:asciiTheme="minorHAnsi" w:eastAsia="Yu Gothic UI Semibold" w:cstheme="minorBidi"/>
                                <w:b/>
                                <w:bCs/>
                                <w:color w:val="000000" w:themeColor="text1"/>
                                <w:kern w:val="24"/>
                                <w:sz w:val="32"/>
                                <w:szCs w:val="32"/>
                              </w:rPr>
                              <w:t>$</w:t>
                            </w:r>
                            <w:r>
                              <w:rPr>
                                <w:rFonts w:asciiTheme="minorHAnsi" w:eastAsia="Yu Gothic UI Semibold" w:cstheme="minorBidi"/>
                                <w:b/>
                                <w:bCs/>
                                <w:color w:val="000000" w:themeColor="text1"/>
                                <w:kern w:val="24"/>
                                <w:sz w:val="32"/>
                                <w:szCs w:val="32"/>
                              </w:rPr>
                              <w:t xml:space="preserve">5.96m </w:t>
                            </w:r>
                            <w:r>
                              <w:rPr>
                                <w:rFonts w:asciiTheme="minorHAnsi" w:eastAsia="Yu Gothic UI Semibold" w:cstheme="minorBidi"/>
                                <w:b/>
                                <w:bCs/>
                                <w:color w:val="000000" w:themeColor="text1"/>
                                <w:kern w:val="24"/>
                              </w:rPr>
                              <w:t xml:space="preserve">by </w:t>
                            </w:r>
                            <w:r w:rsidRPr="001C4217">
                              <w:rPr>
                                <w:rFonts w:asciiTheme="minorHAnsi" w:eastAsia="Yu Gothic UI Semibold" w:cstheme="minorBidi"/>
                                <w:b/>
                                <w:bCs/>
                                <w:color w:val="000000" w:themeColor="text1"/>
                                <w:kern w:val="24"/>
                              </w:rPr>
                              <w:t>participating organisation</w:t>
                            </w:r>
                            <w:r>
                              <w:rPr>
                                <w:rFonts w:asciiTheme="minorHAnsi" w:eastAsia="Yu Gothic UI Semibold" w:cstheme="minorBidi"/>
                                <w:b/>
                                <w:bCs/>
                                <w:color w:val="000000" w:themeColor="text1"/>
                                <w:kern w:val="24"/>
                              </w:rPr>
                              <w:t>s</w:t>
                            </w:r>
                          </w:p>
                        </w:txbxContent>
                      </wps:txbx>
                      <wps:bodyPr wrap="square" rtlCol="0">
                        <a:noAutofit/>
                      </wps:bodyPr>
                    </wps:wsp>
                  </a:graphicData>
                </a:graphic>
                <wp14:sizeRelV relativeFrom="margin">
                  <wp14:pctHeight>0</wp14:pctHeight>
                </wp14:sizeRelV>
              </wp:anchor>
            </w:drawing>
          </mc:Choice>
          <mc:Fallback>
            <w:pict>
              <v:shape w14:anchorId="796DAD6B" id="Text Box 16" o:spid="_x0000_s1081" type="#_x0000_t202" alt="&quot;&quot;" style="position:absolute;margin-left:-21.45pt;margin-top:22.65pt;width:134.15pt;height:60.8pt;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" filled="f" stroked="f">
                <v:textbox>
                  <w:txbxContent>
                    <w:p w14:paraId="45E42AC9" w14:textId="77777777" w:rsidR="002B32A0" w:rsidRDefault="002B32A0" w:rsidP="002B32A0">
                      <w:pPr>
                        <w:spacing w:line="204" w:lineRule="auto"/>
                        <w:rPr>
                          <w:rFonts w:asciiTheme="minorHAnsi" w:eastAsia="Yu Gothic UI Semibold" w:cstheme="minorBidi"/>
                          <w:b/>
                          <w:bCs/>
                          <w:color w:val="000000" w:themeColor="text1"/>
                          <w:kern w:val="24"/>
                          <w:sz w:val="36"/>
                          <w:szCs w:val="36"/>
                        </w:rPr>
                      </w:pPr>
                      <w:r>
                        <w:rPr>
                          <w:rFonts w:asciiTheme="minorHAnsi" w:eastAsia="Yu Gothic UI Semibold" w:cstheme="minorBidi"/>
                          <w:b/>
                          <w:bCs/>
                          <w:color w:val="000000" w:themeColor="text1"/>
                          <w:kern w:val="24"/>
                          <w:sz w:val="36"/>
                          <w:szCs w:val="36"/>
                        </w:rPr>
                        <w:t xml:space="preserve">$2.98m </w:t>
                      </w:r>
                      <w:r>
                        <w:rPr>
                          <w:rFonts w:asciiTheme="minorHAnsi" w:eastAsia="Yu Gothic UI Semibold" w:cstheme="minorBidi"/>
                          <w:b/>
                          <w:bCs/>
                          <w:color w:val="000000" w:themeColor="text1"/>
                          <w:kern w:val="24"/>
                        </w:rPr>
                        <w:t xml:space="preserve">invested by ARC and </w:t>
                      </w:r>
                      <w:r w:rsidRPr="00105EEA">
                        <w:rPr>
                          <w:rFonts w:asciiTheme="minorHAnsi" w:eastAsia="Yu Gothic UI Semibold" w:cstheme="minorBidi"/>
                          <w:b/>
                          <w:bCs/>
                          <w:color w:val="000000" w:themeColor="text1"/>
                          <w:kern w:val="24"/>
                          <w:sz w:val="32"/>
                          <w:szCs w:val="32"/>
                        </w:rPr>
                        <w:t>$</w:t>
                      </w:r>
                      <w:r>
                        <w:rPr>
                          <w:rFonts w:asciiTheme="minorHAnsi" w:eastAsia="Yu Gothic UI Semibold" w:cstheme="minorBidi"/>
                          <w:b/>
                          <w:bCs/>
                          <w:color w:val="000000" w:themeColor="text1"/>
                          <w:kern w:val="24"/>
                          <w:sz w:val="32"/>
                          <w:szCs w:val="32"/>
                        </w:rPr>
                        <w:t xml:space="preserve">5.96m </w:t>
                      </w:r>
                      <w:r>
                        <w:rPr>
                          <w:rFonts w:asciiTheme="minorHAnsi" w:eastAsia="Yu Gothic UI Semibold" w:cstheme="minorBidi"/>
                          <w:b/>
                          <w:bCs/>
                          <w:color w:val="000000" w:themeColor="text1"/>
                          <w:kern w:val="24"/>
                        </w:rPr>
                        <w:t xml:space="preserve">by </w:t>
                      </w:r>
                      <w:r w:rsidRPr="001C4217">
                        <w:rPr>
                          <w:rFonts w:asciiTheme="minorHAnsi" w:eastAsia="Yu Gothic UI Semibold" w:cstheme="minorBidi"/>
                          <w:b/>
                          <w:bCs/>
                          <w:color w:val="000000" w:themeColor="text1"/>
                          <w:kern w:val="24"/>
                        </w:rPr>
                        <w:t>participating organisation</w:t>
                      </w:r>
                      <w:r>
                        <w:rPr>
                          <w:rFonts w:asciiTheme="minorHAnsi" w:eastAsia="Yu Gothic UI Semibold" w:cstheme="minorBidi"/>
                          <w:b/>
                          <w:bCs/>
                          <w:color w:val="000000" w:themeColor="text1"/>
                          <w:kern w:val="24"/>
                        </w:rPr>
                        <w:t>s</w:t>
                      </w:r>
                    </w:p>
                  </w:txbxContent>
                </v:textbox>
              </v:shape>
            </w:pict>
          </mc:Fallback>
        </mc:AlternateContent>
      </w:r>
      <w:r w:rsidRPr="00CE1D7F">
        <w:rPr>
          <w:noProof/>
        </w:rPr>
        <w:drawing>
          <wp:anchor distT="0" distB="0" distL="114300" distR="114300" simplePos="0" relativeHeight="251699200" behindDoc="0" locked="0" layoutInCell="1" allowOverlap="1" wp14:anchorId="27B37A0C" wp14:editId="2B5DDFC6">
            <wp:simplePos x="0" y="0"/>
            <wp:positionH relativeFrom="column">
              <wp:posOffset>-993396</wp:posOffset>
            </wp:positionH>
            <wp:positionV relativeFrom="paragraph">
              <wp:posOffset>379867</wp:posOffset>
            </wp:positionV>
            <wp:extent cx="555625" cy="566420"/>
            <wp:effectExtent l="0" t="0" r="0" b="5080"/>
            <wp:wrapNone/>
            <wp:docPr id="697" name="Picture 69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Picture 556" descr="Icon&#10;&#10;Description automatically generated"/>
                    <pic:cNvPicPr>
                      <a:picLocks noChangeAspect="1"/>
                    </pic:cNvPicPr>
                  </pic:nvPicPr>
                  <pic:blipFill>
                    <a:blip r:embed="rId232" cstate="print">
                      <a:extLst>
                        <a:ext uri="{BEBA8EAE-BF5A-486C-A8C5-ECC9F3942E4B}">
                          <a14:imgProps xmlns:a14="http://schemas.microsoft.com/office/drawing/2010/main">
                            <a14:imgLayer r:embed="rId233">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555625" cy="566420"/>
                    </a:xfrm>
                    <a:prstGeom prst="rect">
                      <a:avLst/>
                    </a:prstGeom>
                  </pic:spPr>
                </pic:pic>
              </a:graphicData>
            </a:graphic>
          </wp:anchor>
        </w:drawing>
      </w:r>
    </w:p>
    <w:p w14:paraId="3BA012E8" w14:textId="77777777" w:rsidR="002B32A0" w:rsidRPr="00CE1D7F" w:rsidRDefault="002B32A0" w:rsidP="002B32A0">
      <w:pPr>
        <w:pStyle w:val="BodyText"/>
      </w:pPr>
      <w:r w:rsidRPr="00CE1D7F">
        <w:rPr>
          <w:noProof/>
        </w:rPr>
        <mc:AlternateContent>
          <mc:Choice Requires="wps">
            <w:drawing>
              <wp:anchor distT="0" distB="0" distL="114300" distR="114300" simplePos="0" relativeHeight="251696128" behindDoc="0" locked="0" layoutInCell="1" allowOverlap="1" wp14:anchorId="4B5E785C" wp14:editId="023C3B91">
                <wp:simplePos x="0" y="0"/>
                <wp:positionH relativeFrom="column">
                  <wp:posOffset>2600325</wp:posOffset>
                </wp:positionH>
                <wp:positionV relativeFrom="paragraph">
                  <wp:posOffset>80010</wp:posOffset>
                </wp:positionV>
                <wp:extent cx="1973580" cy="664210"/>
                <wp:effectExtent l="0" t="0" r="0" b="0"/>
                <wp:wrapNone/>
                <wp:docPr id="7" name="Text Box 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973580" cy="664210"/>
                        </a:xfrm>
                        <a:prstGeom prst="rect">
                          <a:avLst/>
                        </a:prstGeom>
                        <a:noFill/>
                      </wps:spPr>
                      <wps:txbx>
                        <w:txbxContent>
                          <w:p w14:paraId="04F74DA1" w14:textId="77777777" w:rsidR="002B32A0" w:rsidRDefault="002B32A0" w:rsidP="002B32A0">
                            <w:pPr>
                              <w:spacing w:line="204" w:lineRule="auto"/>
                              <w:rPr>
                                <w:rFonts w:asciiTheme="minorHAnsi" w:eastAsia="Yu Gothic UI Semibold" w:cstheme="minorBidi"/>
                                <w:b/>
                                <w:bCs/>
                                <w:color w:val="000000" w:themeColor="text1"/>
                                <w:kern w:val="24"/>
                                <w:sz w:val="36"/>
                                <w:szCs w:val="36"/>
                              </w:rPr>
                            </w:pPr>
                            <w:r>
                              <w:rPr>
                                <w:rFonts w:asciiTheme="minorHAnsi" w:eastAsia="Yu Gothic UI Semibold" w:cstheme="minorBidi"/>
                                <w:b/>
                                <w:bCs/>
                                <w:color w:val="000000" w:themeColor="text1"/>
                                <w:kern w:val="24"/>
                                <w:sz w:val="36"/>
                                <w:szCs w:val="36"/>
                              </w:rPr>
                              <w:t xml:space="preserve">4 PhD </w:t>
                            </w:r>
                            <w:r>
                              <w:rPr>
                                <w:rFonts w:cstheme="minorBidi"/>
                                <w:b/>
                                <w:bCs/>
                                <w:color w:val="000000" w:themeColor="text1"/>
                                <w:kern w:val="24"/>
                              </w:rPr>
                              <w:t>students trained as a result of the project (4 students currently completing PhDs)</w:t>
                            </w:r>
                          </w:p>
                        </w:txbxContent>
                      </wps:txbx>
                      <wps:bodyPr wrap="square" rtlCol="0">
                        <a:noAutofit/>
                      </wps:bodyPr>
                    </wps:wsp>
                  </a:graphicData>
                </a:graphic>
                <wp14:sizeRelH relativeFrom="margin">
                  <wp14:pctWidth>0</wp14:pctWidth>
                </wp14:sizeRelH>
              </wp:anchor>
            </w:drawing>
          </mc:Choice>
          <mc:Fallback>
            <w:pict>
              <v:shape w14:anchorId="4B5E785C" id="Text Box 7" o:spid="_x0000_s1082" type="#_x0000_t202" alt="&quot;&quot;" style="position:absolute;margin-left:204.75pt;margin-top:6.3pt;width:155.4pt;height:52.3pt;z-index:251696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" filled="f" stroked="f">
                <v:textbox>
                  <w:txbxContent>
                    <w:p w14:paraId="04F74DA1" w14:textId="77777777" w:rsidR="002B32A0" w:rsidRDefault="002B32A0" w:rsidP="002B32A0">
                      <w:pPr>
                        <w:spacing w:line="204" w:lineRule="auto"/>
                        <w:rPr>
                          <w:rFonts w:asciiTheme="minorHAnsi" w:eastAsia="Yu Gothic UI Semibold" w:cstheme="minorBidi"/>
                          <w:b/>
                          <w:bCs/>
                          <w:color w:val="000000" w:themeColor="text1"/>
                          <w:kern w:val="24"/>
                          <w:sz w:val="36"/>
                          <w:szCs w:val="36"/>
                        </w:rPr>
                      </w:pPr>
                      <w:r>
                        <w:rPr>
                          <w:rFonts w:asciiTheme="minorHAnsi" w:eastAsia="Yu Gothic UI Semibold" w:cstheme="minorBidi"/>
                          <w:b/>
                          <w:bCs/>
                          <w:color w:val="000000" w:themeColor="text1"/>
                          <w:kern w:val="24"/>
                          <w:sz w:val="36"/>
                          <w:szCs w:val="36"/>
                        </w:rPr>
                        <w:t xml:space="preserve">4 PhD </w:t>
                      </w:r>
                      <w:r>
                        <w:rPr>
                          <w:rFonts w:cstheme="minorBidi"/>
                          <w:b/>
                          <w:bCs/>
                          <w:color w:val="000000" w:themeColor="text1"/>
                          <w:kern w:val="24"/>
                        </w:rPr>
                        <w:t>students trained as a result of the project (4 students currently completing PhDs)</w:t>
                      </w:r>
                    </w:p>
                  </w:txbxContent>
                </v:textbox>
              </v:shape>
            </w:pict>
          </mc:Fallback>
        </mc:AlternateContent>
      </w:r>
      <w:r w:rsidRPr="00CE1D7F">
        <w:rPr>
          <w:noProof/>
        </w:rPr>
        <mc:AlternateContent>
          <mc:Choice Requires="wpg">
            <w:drawing>
              <wp:anchor distT="0" distB="0" distL="114300" distR="114300" simplePos="0" relativeHeight="251701248" behindDoc="0" locked="0" layoutInCell="1" allowOverlap="1" wp14:anchorId="5BC5CA7E" wp14:editId="6E0848CB">
                <wp:simplePos x="0" y="0"/>
                <wp:positionH relativeFrom="column">
                  <wp:posOffset>1812697</wp:posOffset>
                </wp:positionH>
                <wp:positionV relativeFrom="paragraph">
                  <wp:posOffset>125380</wp:posOffset>
                </wp:positionV>
                <wp:extent cx="790575" cy="752475"/>
                <wp:effectExtent l="0" t="0" r="0" b="0"/>
                <wp:wrapNone/>
                <wp:docPr id="234" name="Group 234" descr="Icon&#10;&#10;Description automatically generated"/>
                <wp:cNvGraphicFramePr/>
                <a:graphic xmlns:a="http://schemas.openxmlformats.org/drawingml/2006/main">
                  <a:graphicData uri="http://schemas.microsoft.com/office/word/2010/wordprocessingGroup">
                    <wpg:wgp>
                      <wpg:cNvGrpSpPr/>
                      <wpg:grpSpPr>
                        <a:xfrm>
                          <a:off x="0" y="0"/>
                          <a:ext cx="790575" cy="752475"/>
                          <a:chOff x="0" y="0"/>
                          <a:chExt cx="790575" cy="752475"/>
                        </a:xfrm>
                      </wpg:grpSpPr>
                      <pic:pic xmlns:pic="http://schemas.openxmlformats.org/drawingml/2006/picture">
                        <pic:nvPicPr>
                          <pic:cNvPr id="235" name="Graphic 235" descr="Diploma roll with solid fill"/>
                          <pic:cNvPicPr>
                            <a:picLocks noChangeAspect="1"/>
                          </pic:cNvPicPr>
                        </pic:nvPicPr>
                        <pic:blipFill>
                          <a:blip r:embed="rId142">
                            <a:extLst>
                              <a:ext uri="{28A0092B-C50C-407E-A947-70E740481C1C}">
                                <a14:useLocalDpi xmlns:a14="http://schemas.microsoft.com/office/drawing/2010/main" val="0"/>
                              </a:ext>
                              <a:ext uri="{96DAC541-7B7A-43D3-8B79-37D633B846F1}">
                                <asvg:svgBlip xmlns:asvg="http://schemas.microsoft.com/office/drawing/2016/SVG/main" r:embed="rId143"/>
                              </a:ext>
                            </a:extLst>
                          </a:blip>
                          <a:stretch>
                            <a:fillRect/>
                          </a:stretch>
                        </pic:blipFill>
                        <pic:spPr>
                          <a:xfrm rot="19117289">
                            <a:off x="257175" y="219075"/>
                            <a:ext cx="533400" cy="533400"/>
                          </a:xfrm>
                          <a:prstGeom prst="rect">
                            <a:avLst/>
                          </a:prstGeom>
                        </pic:spPr>
                      </pic:pic>
                      <pic:pic xmlns:pic="http://schemas.openxmlformats.org/drawingml/2006/picture">
                        <pic:nvPicPr>
                          <pic:cNvPr id="236" name="Graphic 236" descr="Graduation cap with solid fill"/>
                          <pic:cNvPicPr>
                            <a:picLocks noChangeAspect="1"/>
                          </pic:cNvPicPr>
                        </pic:nvPicPr>
                        <pic:blipFill>
                          <a:blip r:embed="rId144">
                            <a:extLst>
                              <a:ext uri="{28A0092B-C50C-407E-A947-70E740481C1C}">
                                <a14:useLocalDpi xmlns:a14="http://schemas.microsoft.com/office/drawing/2010/main" val="0"/>
                              </a:ext>
                              <a:ext uri="{96DAC541-7B7A-43D3-8B79-37D633B846F1}">
                                <asvg:svgBlip xmlns:asvg="http://schemas.microsoft.com/office/drawing/2016/SVG/main" r:embed="rId145"/>
                              </a:ext>
                            </a:extLst>
                          </a:blip>
                          <a:stretch>
                            <a:fillRect/>
                          </a:stretch>
                        </pic:blipFill>
                        <pic:spPr>
                          <a:xfrm>
                            <a:off x="0" y="0"/>
                            <a:ext cx="619125" cy="619125"/>
                          </a:xfrm>
                          <a:prstGeom prst="rect">
                            <a:avLst/>
                          </a:prstGeom>
                        </pic:spPr>
                      </pic:pic>
                    </wpg:wgp>
                  </a:graphicData>
                </a:graphic>
              </wp:anchor>
            </w:drawing>
          </mc:Choice>
          <mc:Fallback>
            <w:pict>
              <v:group w14:anchorId="13855EAF" id="Group 234" o:spid="_x0000_s1026" alt="Icon&#10;&#10;Description automatically generated" style="position:absolute;margin-left:142.75pt;margin-top:9.85pt;width:62.25pt;height:59.25pt;z-index:251701248" coordsize="7905,752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">
                <v:shape id="Graphic 235" o:spid="_x0000_s1027" type="#_x0000_t75" alt="Diploma roll with solid fill" style="position:absolute;left:2571;top:2190;width:5334;height:5334;rotation:-271178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">
                  <v:imagedata r:id="rId146" o:title="Diploma roll with solid fill"/>
                </v:shape>
                <v:shape id="Graphic 236" o:spid="_x0000_s1028" type="#_x0000_t75" alt="Graduation cap with solid fill" style="position:absolute;width:6191;height:6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">
                  <v:imagedata r:id="rId147" o:title="Graduation cap with solid fill"/>
                </v:shape>
              </v:group>
            </w:pict>
          </mc:Fallback>
        </mc:AlternateContent>
      </w:r>
      <w:r w:rsidRPr="00CE1D7F">
        <w:rPr>
          <w:noProof/>
        </w:rPr>
        <mc:AlternateContent>
          <mc:Choice Requires="wps">
            <w:drawing>
              <wp:anchor distT="0" distB="0" distL="114300" distR="114300" simplePos="0" relativeHeight="251695104" behindDoc="0" locked="0" layoutInCell="1" allowOverlap="1" wp14:anchorId="791113B8" wp14:editId="1F2E7B2C">
                <wp:simplePos x="0" y="0"/>
                <wp:positionH relativeFrom="column">
                  <wp:posOffset>3792566</wp:posOffset>
                </wp:positionH>
                <wp:positionV relativeFrom="paragraph">
                  <wp:posOffset>21928</wp:posOffset>
                </wp:positionV>
                <wp:extent cx="1703946" cy="843148"/>
                <wp:effectExtent l="0" t="0" r="0" b="0"/>
                <wp:wrapNone/>
                <wp:docPr id="17" name="Text Box 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703946" cy="843148"/>
                        </a:xfrm>
                        <a:prstGeom prst="rect">
                          <a:avLst/>
                        </a:prstGeom>
                        <a:noFill/>
                      </wps:spPr>
                      <wps:txbx>
                        <w:txbxContent>
                          <w:p w14:paraId="5E2217CB" w14:textId="77777777" w:rsidR="002B32A0" w:rsidRDefault="002B32A0" w:rsidP="002B32A0">
                            <w:pPr>
                              <w:spacing w:line="204" w:lineRule="auto"/>
                              <w:rPr>
                                <w:rFonts w:asciiTheme="minorHAnsi" w:eastAsia="Yu Gothic UI Semibold" w:cstheme="minorBidi"/>
                                <w:b/>
                                <w:bCs/>
                                <w:color w:val="000000" w:themeColor="text1"/>
                                <w:kern w:val="24"/>
                                <w:sz w:val="36"/>
                                <w:szCs w:val="36"/>
                              </w:rPr>
                            </w:pPr>
                          </w:p>
                        </w:txbxContent>
                      </wps:txbx>
                      <wps:bodyPr wrap="square" rtlCol="0">
                        <a:noAutofit/>
                      </wps:bodyPr>
                    </wps:wsp>
                  </a:graphicData>
                </a:graphic>
                <wp14:sizeRelV relativeFrom="margin">
                  <wp14:pctHeight>0</wp14:pctHeight>
                </wp14:sizeRelV>
              </wp:anchor>
            </w:drawing>
          </mc:Choice>
          <mc:Fallback>
            <w:pict>
              <v:shape w14:anchorId="791113B8" id="Text Box 17" o:spid="_x0000_s1083" type="#_x0000_t202" alt="&quot;&quot;" style="position:absolute;margin-left:298.65pt;margin-top:1.75pt;width:134.15pt;height:66.4pt;z-index:251695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" filled="f" stroked="f">
                <v:textbox>
                  <w:txbxContent>
                    <w:p w14:paraId="5E2217CB" w14:textId="77777777" w:rsidR="002B32A0" w:rsidRDefault="002B32A0" w:rsidP="002B32A0">
                      <w:pPr>
                        <w:spacing w:line="204" w:lineRule="auto"/>
                        <w:rPr>
                          <w:rFonts w:asciiTheme="minorHAnsi" w:eastAsia="Yu Gothic UI Semibold" w:cstheme="minorBidi"/>
                          <w:b/>
                          <w:bCs/>
                          <w:color w:val="000000" w:themeColor="text1"/>
                          <w:kern w:val="24"/>
                          <w:sz w:val="36"/>
                          <w:szCs w:val="36"/>
                        </w:rPr>
                      </w:pPr>
                    </w:p>
                  </w:txbxContent>
                </v:textbox>
              </v:shape>
            </w:pict>
          </mc:Fallback>
        </mc:AlternateContent>
      </w:r>
    </w:p>
    <w:p w14:paraId="0702201B" w14:textId="77777777" w:rsidR="002B32A0" w:rsidRPr="00CE1D7F" w:rsidRDefault="002B32A0" w:rsidP="002B32A0">
      <w:pPr>
        <w:pStyle w:val="BodyText"/>
      </w:pPr>
    </w:p>
    <w:p w14:paraId="77966CC5" w14:textId="77777777" w:rsidR="002B32A0" w:rsidRPr="00CE1D7F" w:rsidRDefault="002B32A0" w:rsidP="002B32A0">
      <w:pPr>
        <w:pStyle w:val="BodyText"/>
      </w:pPr>
      <w:r w:rsidRPr="00CE1D7F">
        <w:rPr>
          <w:noProof/>
        </w:rPr>
        <mc:AlternateContent>
          <mc:Choice Requires="wps">
            <w:drawing>
              <wp:anchor distT="0" distB="0" distL="114300" distR="114300" simplePos="0" relativeHeight="251694080" behindDoc="0" locked="0" layoutInCell="1" allowOverlap="1" wp14:anchorId="55380E3D" wp14:editId="62873065">
                <wp:simplePos x="0" y="0"/>
                <wp:positionH relativeFrom="margin">
                  <wp:posOffset>2602230</wp:posOffset>
                </wp:positionH>
                <wp:positionV relativeFrom="paragraph">
                  <wp:posOffset>245745</wp:posOffset>
                </wp:positionV>
                <wp:extent cx="1666875" cy="611502"/>
                <wp:effectExtent l="0" t="0" r="0" b="0"/>
                <wp:wrapNone/>
                <wp:docPr id="23" name="Text Box 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666875" cy="611502"/>
                        </a:xfrm>
                        <a:prstGeom prst="rect">
                          <a:avLst/>
                        </a:prstGeom>
                        <a:noFill/>
                      </wps:spPr>
                      <wps:txbx>
                        <w:txbxContent>
                          <w:p w14:paraId="26FA3C93" w14:textId="77777777" w:rsidR="002B32A0" w:rsidRDefault="002B32A0" w:rsidP="002B32A0">
                            <w:pPr>
                              <w:spacing w:line="216" w:lineRule="auto"/>
                              <w:rPr>
                                <w:rFonts w:cstheme="minorBidi"/>
                                <w:b/>
                                <w:bCs/>
                                <w:color w:val="000000" w:themeColor="text1"/>
                                <w:kern w:val="24"/>
                                <w:sz w:val="36"/>
                                <w:szCs w:val="36"/>
                              </w:rPr>
                            </w:pPr>
                            <w:r>
                              <w:rPr>
                                <w:rFonts w:cstheme="minorBidi"/>
                                <w:b/>
                                <w:bCs/>
                                <w:color w:val="000000" w:themeColor="text1"/>
                                <w:kern w:val="24"/>
                                <w:sz w:val="36"/>
                                <w:szCs w:val="36"/>
                              </w:rPr>
                              <w:t xml:space="preserve">32 </w:t>
                            </w:r>
                            <w:r w:rsidRPr="006E1CF6">
                              <w:rPr>
                                <w:rFonts w:cstheme="minorBidi"/>
                                <w:b/>
                                <w:bCs/>
                                <w:color w:val="000000" w:themeColor="text1"/>
                                <w:kern w:val="24"/>
                              </w:rPr>
                              <w:t xml:space="preserve">Masters </w:t>
                            </w:r>
                            <w:r>
                              <w:rPr>
                                <w:rFonts w:cstheme="minorBidi"/>
                                <w:b/>
                                <w:bCs/>
                                <w:color w:val="000000" w:themeColor="text1"/>
                                <w:kern w:val="24"/>
                              </w:rPr>
                              <w:t xml:space="preserve">students </w:t>
                            </w:r>
                            <w:r w:rsidRPr="006E1CF6">
                              <w:rPr>
                                <w:rFonts w:cstheme="minorBidi"/>
                                <w:b/>
                                <w:bCs/>
                                <w:color w:val="000000" w:themeColor="text1"/>
                                <w:kern w:val="24"/>
                              </w:rPr>
                              <w:t xml:space="preserve">and </w:t>
                            </w:r>
                            <w:r>
                              <w:rPr>
                                <w:rFonts w:cstheme="minorBidi"/>
                                <w:b/>
                                <w:bCs/>
                                <w:color w:val="000000" w:themeColor="text1"/>
                                <w:kern w:val="24"/>
                                <w:sz w:val="36"/>
                                <w:szCs w:val="36"/>
                              </w:rPr>
                              <w:t xml:space="preserve">108 </w:t>
                            </w:r>
                            <w:r w:rsidRPr="006E1CF6">
                              <w:rPr>
                                <w:rFonts w:cstheme="minorBidi"/>
                                <w:b/>
                                <w:bCs/>
                                <w:color w:val="000000" w:themeColor="text1"/>
                                <w:kern w:val="24"/>
                              </w:rPr>
                              <w:t>p</w:t>
                            </w:r>
                            <w:r>
                              <w:rPr>
                                <w:rFonts w:cstheme="minorBidi"/>
                                <w:b/>
                                <w:bCs/>
                                <w:color w:val="000000" w:themeColor="text1"/>
                                <w:kern w:val="24"/>
                              </w:rPr>
                              <w:t>articipants in p</w:t>
                            </w:r>
                            <w:r w:rsidRPr="006E1CF6">
                              <w:rPr>
                                <w:rFonts w:cstheme="minorBidi"/>
                                <w:b/>
                                <w:bCs/>
                                <w:color w:val="000000" w:themeColor="text1"/>
                                <w:kern w:val="24"/>
                              </w:rPr>
                              <w:t xml:space="preserve">rofessional development </w:t>
                            </w:r>
                            <w:r>
                              <w:rPr>
                                <w:rFonts w:cstheme="minorBidi"/>
                                <w:b/>
                                <w:bCs/>
                                <w:color w:val="000000" w:themeColor="text1"/>
                                <w:kern w:val="24"/>
                              </w:rPr>
                              <w:t xml:space="preserve">repatriation courses </w:t>
                            </w:r>
                            <w:r w:rsidRPr="006E1CF6">
                              <w:rPr>
                                <w:rFonts w:cstheme="minorBidi"/>
                                <w:b/>
                                <w:bCs/>
                                <w:color w:val="000000" w:themeColor="text1"/>
                                <w:kern w:val="24"/>
                              </w:rPr>
                              <w:t xml:space="preserve">enrolled </w:t>
                            </w:r>
                            <w:r>
                              <w:rPr>
                                <w:rFonts w:cstheme="minorBidi"/>
                                <w:b/>
                                <w:bCs/>
                                <w:color w:val="000000" w:themeColor="text1"/>
                                <w:kern w:val="24"/>
                              </w:rPr>
                              <w:t xml:space="preserve">at </w:t>
                            </w:r>
                            <w:r w:rsidRPr="006C015A">
                              <w:rPr>
                                <w:rFonts w:cstheme="minorBidi"/>
                                <w:b/>
                                <w:bCs/>
                                <w:color w:val="000000" w:themeColor="text1"/>
                                <w:kern w:val="24"/>
                              </w:rPr>
                              <w:t xml:space="preserve">ANU </w:t>
                            </w:r>
                            <w:r>
                              <w:rPr>
                                <w:rFonts w:cstheme="minorBidi"/>
                                <w:b/>
                                <w:bCs/>
                                <w:color w:val="000000" w:themeColor="text1"/>
                                <w:kern w:val="24"/>
                              </w:rPr>
                              <w:t>over 6 years</w:t>
                            </w:r>
                          </w:p>
                        </w:txbxContent>
                      </wps:txbx>
                      <wps:bodyPr wrap="square" rtlCol="0">
                        <a:spAutoFit/>
                      </wps:bodyPr>
                    </wps:wsp>
                  </a:graphicData>
                </a:graphic>
                <wp14:sizeRelH relativeFrom="margin">
                  <wp14:pctWidth>0</wp14:pctWidth>
                </wp14:sizeRelH>
              </wp:anchor>
            </w:drawing>
          </mc:Choice>
          <mc:Fallback>
            <w:pict>
              <v:shape w14:anchorId="55380E3D" id="Text Box 23" o:spid="_x0000_s1084" type="#_x0000_t202" alt="&quot;&quot;" style="position:absolute;margin-left:204.9pt;margin-top:19.35pt;width:131.25pt;height:48.15pt;z-index:25169408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" filled="f" stroked="f">
                <v:textbox style="mso-fit-shape-to-text:t">
                  <w:txbxContent>
                    <w:p w14:paraId="26FA3C93" w14:textId="77777777" w:rsidR="002B32A0" w:rsidRDefault="002B32A0" w:rsidP="002B32A0">
                      <w:pPr>
                        <w:spacing w:line="216" w:lineRule="auto"/>
                        <w:rPr>
                          <w:rFonts w:cstheme="minorBidi"/>
                          <w:b/>
                          <w:bCs/>
                          <w:color w:val="000000" w:themeColor="text1"/>
                          <w:kern w:val="24"/>
                          <w:sz w:val="36"/>
                          <w:szCs w:val="36"/>
                        </w:rPr>
                      </w:pPr>
                      <w:r>
                        <w:rPr>
                          <w:rFonts w:cstheme="minorBidi"/>
                          <w:b/>
                          <w:bCs/>
                          <w:color w:val="000000" w:themeColor="text1"/>
                          <w:kern w:val="24"/>
                          <w:sz w:val="36"/>
                          <w:szCs w:val="36"/>
                        </w:rPr>
                        <w:t xml:space="preserve">32 </w:t>
                      </w:r>
                      <w:r w:rsidRPr="006E1CF6">
                        <w:rPr>
                          <w:rFonts w:cstheme="minorBidi"/>
                          <w:b/>
                          <w:bCs/>
                          <w:color w:val="000000" w:themeColor="text1"/>
                          <w:kern w:val="24"/>
                        </w:rPr>
                        <w:t xml:space="preserve">Masters </w:t>
                      </w:r>
                      <w:r>
                        <w:rPr>
                          <w:rFonts w:cstheme="minorBidi"/>
                          <w:b/>
                          <w:bCs/>
                          <w:color w:val="000000" w:themeColor="text1"/>
                          <w:kern w:val="24"/>
                        </w:rPr>
                        <w:t xml:space="preserve">students </w:t>
                      </w:r>
                      <w:r w:rsidRPr="006E1CF6">
                        <w:rPr>
                          <w:rFonts w:cstheme="minorBidi"/>
                          <w:b/>
                          <w:bCs/>
                          <w:color w:val="000000" w:themeColor="text1"/>
                          <w:kern w:val="24"/>
                        </w:rPr>
                        <w:t xml:space="preserve">and </w:t>
                      </w:r>
                      <w:r>
                        <w:rPr>
                          <w:rFonts w:cstheme="minorBidi"/>
                          <w:b/>
                          <w:bCs/>
                          <w:color w:val="000000" w:themeColor="text1"/>
                          <w:kern w:val="24"/>
                          <w:sz w:val="36"/>
                          <w:szCs w:val="36"/>
                        </w:rPr>
                        <w:t xml:space="preserve">108 </w:t>
                      </w:r>
                      <w:r w:rsidRPr="006E1CF6">
                        <w:rPr>
                          <w:rFonts w:cstheme="minorBidi"/>
                          <w:b/>
                          <w:bCs/>
                          <w:color w:val="000000" w:themeColor="text1"/>
                          <w:kern w:val="24"/>
                        </w:rPr>
                        <w:t>p</w:t>
                      </w:r>
                      <w:r>
                        <w:rPr>
                          <w:rFonts w:cstheme="minorBidi"/>
                          <w:b/>
                          <w:bCs/>
                          <w:color w:val="000000" w:themeColor="text1"/>
                          <w:kern w:val="24"/>
                        </w:rPr>
                        <w:t>articipants in p</w:t>
                      </w:r>
                      <w:r w:rsidRPr="006E1CF6">
                        <w:rPr>
                          <w:rFonts w:cstheme="minorBidi"/>
                          <w:b/>
                          <w:bCs/>
                          <w:color w:val="000000" w:themeColor="text1"/>
                          <w:kern w:val="24"/>
                        </w:rPr>
                        <w:t xml:space="preserve">rofessional development </w:t>
                      </w:r>
                      <w:r>
                        <w:rPr>
                          <w:rFonts w:cstheme="minorBidi"/>
                          <w:b/>
                          <w:bCs/>
                          <w:color w:val="000000" w:themeColor="text1"/>
                          <w:kern w:val="24"/>
                        </w:rPr>
                        <w:t xml:space="preserve">repatriation courses </w:t>
                      </w:r>
                      <w:r w:rsidRPr="006E1CF6">
                        <w:rPr>
                          <w:rFonts w:cstheme="minorBidi"/>
                          <w:b/>
                          <w:bCs/>
                          <w:color w:val="000000" w:themeColor="text1"/>
                          <w:kern w:val="24"/>
                        </w:rPr>
                        <w:t xml:space="preserve">enrolled </w:t>
                      </w:r>
                      <w:r>
                        <w:rPr>
                          <w:rFonts w:cstheme="minorBidi"/>
                          <w:b/>
                          <w:bCs/>
                          <w:color w:val="000000" w:themeColor="text1"/>
                          <w:kern w:val="24"/>
                        </w:rPr>
                        <w:t xml:space="preserve">at </w:t>
                      </w:r>
                      <w:r w:rsidRPr="006C015A">
                        <w:rPr>
                          <w:rFonts w:cstheme="minorBidi"/>
                          <w:b/>
                          <w:bCs/>
                          <w:color w:val="000000" w:themeColor="text1"/>
                          <w:kern w:val="24"/>
                        </w:rPr>
                        <w:t xml:space="preserve">ANU </w:t>
                      </w:r>
                      <w:r>
                        <w:rPr>
                          <w:rFonts w:cstheme="minorBidi"/>
                          <w:b/>
                          <w:bCs/>
                          <w:color w:val="000000" w:themeColor="text1"/>
                          <w:kern w:val="24"/>
                        </w:rPr>
                        <w:t>over 6 years</w:t>
                      </w:r>
                    </w:p>
                  </w:txbxContent>
                </v:textbox>
                <w10:wrap anchorx="margin"/>
              </v:shape>
            </w:pict>
          </mc:Fallback>
        </mc:AlternateContent>
      </w:r>
      <w:r w:rsidRPr="00CE1D7F">
        <w:rPr>
          <w:noProof/>
        </w:rPr>
        <mc:AlternateContent>
          <mc:Choice Requires="wpg">
            <w:drawing>
              <wp:anchor distT="0" distB="0" distL="114300" distR="114300" simplePos="0" relativeHeight="251700224" behindDoc="0" locked="0" layoutInCell="1" allowOverlap="1" wp14:anchorId="775884A7" wp14:editId="7C1A665B">
                <wp:simplePos x="0" y="0"/>
                <wp:positionH relativeFrom="column">
                  <wp:posOffset>-1060071</wp:posOffset>
                </wp:positionH>
                <wp:positionV relativeFrom="paragraph">
                  <wp:posOffset>332242</wp:posOffset>
                </wp:positionV>
                <wp:extent cx="3572510" cy="683260"/>
                <wp:effectExtent l="0" t="0" r="8890" b="2540"/>
                <wp:wrapNone/>
                <wp:docPr id="237" name="Group 237" descr="Icon&#10;&#10;Description automatically generated"/>
                <wp:cNvGraphicFramePr/>
                <a:graphic xmlns:a="http://schemas.openxmlformats.org/drawingml/2006/main">
                  <a:graphicData uri="http://schemas.microsoft.com/office/word/2010/wordprocessingGroup">
                    <wpg:wgp>
                      <wpg:cNvGrpSpPr/>
                      <wpg:grpSpPr>
                        <a:xfrm>
                          <a:off x="0" y="0"/>
                          <a:ext cx="3572510" cy="683260"/>
                          <a:chOff x="0" y="0"/>
                          <a:chExt cx="3572510" cy="683260"/>
                        </a:xfrm>
                      </wpg:grpSpPr>
                      <pic:pic xmlns:pic="http://schemas.openxmlformats.org/drawingml/2006/picture">
                        <pic:nvPicPr>
                          <pic:cNvPr id="238" name="Picture 238" descr="Logo&#10;&#10;Description automatically generated"/>
                          <pic:cNvPicPr>
                            <a:picLocks noChangeAspect="1"/>
                          </pic:cNvPicPr>
                        </pic:nvPicPr>
                        <pic:blipFill>
                          <a:blip r:embed="rId234" cstate="print">
                            <a:extLst>
                              <a:ext uri="{BEBA8EAE-BF5A-486C-A8C5-ECC9F3942E4B}">
                                <a14:imgProps xmlns:a14="http://schemas.microsoft.com/office/drawing/2010/main">
                                  <a14:imgLayer r:embed="rId235">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3000375" y="85725"/>
                            <a:ext cx="572135" cy="572770"/>
                          </a:xfrm>
                          <a:prstGeom prst="rect">
                            <a:avLst/>
                          </a:prstGeom>
                        </pic:spPr>
                      </pic:pic>
                      <pic:pic xmlns:pic="http://schemas.openxmlformats.org/drawingml/2006/picture">
                        <pic:nvPicPr>
                          <pic:cNvPr id="239" name="Picture 239" descr="Icon&#10;&#10;Description automatically generated"/>
                          <pic:cNvPicPr>
                            <a:picLocks noChangeAspect="1"/>
                          </pic:cNvPicPr>
                        </pic:nvPicPr>
                        <pic:blipFill>
                          <a:blip r:embed="rId148" cstate="print">
                            <a:extLst>
                              <a:ext uri="{BEBA8EAE-BF5A-486C-A8C5-ECC9F3942E4B}">
                                <a14:imgProps xmlns:a14="http://schemas.microsoft.com/office/drawing/2010/main">
                                  <a14:imgLayer r:embed="rId149">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682625" cy="683260"/>
                          </a:xfrm>
                          <a:prstGeom prst="rect">
                            <a:avLst/>
                          </a:prstGeom>
                        </pic:spPr>
                      </pic:pic>
                    </wpg:wgp>
                  </a:graphicData>
                </a:graphic>
              </wp:anchor>
            </w:drawing>
          </mc:Choice>
          <mc:Fallback>
            <w:pict>
              <v:group w14:anchorId="7094AD0A" id="Group 237" o:spid="_x0000_s1026" alt="Icon&#10;&#10;Description automatically generated" style="position:absolute;margin-left:-83.45pt;margin-top:26.15pt;width:281.3pt;height:53.8pt;z-index:251700224" coordsize="35725,6832"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">
                <v:shape id="Picture 238" o:spid="_x0000_s1027" type="#_x0000_t75" alt="Logo&#10;&#10;Description automatically generated" style="position:absolute;left:30003;top:857;width:5722;height:57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">
                  <v:imagedata r:id="rId236" o:title="Logo&#10;&#10;Description automatically generated"/>
                </v:shape>
                <v:shape id="Picture 239" o:spid="_x0000_s1028" type="#_x0000_t75" alt="Icon&#10;&#10;Description automatically generated" style="position:absolute;width:6826;height:68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">
                  <v:imagedata r:id="rId237" o:title="Icon&#10;&#10;Description automatically generated"/>
                </v:shape>
              </v:group>
            </w:pict>
          </mc:Fallback>
        </mc:AlternateContent>
      </w:r>
    </w:p>
    <w:p w14:paraId="60D7ADE9" w14:textId="77777777" w:rsidR="002B32A0" w:rsidRPr="00CE1D7F" w:rsidRDefault="002B32A0" w:rsidP="002B32A0">
      <w:pPr>
        <w:pStyle w:val="BodyText"/>
      </w:pPr>
      <w:r w:rsidRPr="00CE1D7F">
        <w:rPr>
          <w:noProof/>
        </w:rPr>
        <mc:AlternateContent>
          <mc:Choice Requires="wps">
            <w:drawing>
              <wp:anchor distT="0" distB="0" distL="114300" distR="114300" simplePos="0" relativeHeight="251698176" behindDoc="0" locked="0" layoutInCell="1" allowOverlap="1" wp14:anchorId="286B5C73" wp14:editId="39C67B8C">
                <wp:simplePos x="0" y="0"/>
                <wp:positionH relativeFrom="column">
                  <wp:posOffset>-271035</wp:posOffset>
                </wp:positionH>
                <wp:positionV relativeFrom="paragraph">
                  <wp:posOffset>101628</wp:posOffset>
                </wp:positionV>
                <wp:extent cx="2235565" cy="3172570"/>
                <wp:effectExtent l="0" t="0" r="0" b="0"/>
                <wp:wrapNone/>
                <wp:docPr id="240" name="Text Box 2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235565" cy="3172570"/>
                        </a:xfrm>
                        <a:prstGeom prst="rect">
                          <a:avLst/>
                        </a:prstGeom>
                        <a:noFill/>
                      </wps:spPr>
                      <wps:txbx>
                        <w:txbxContent>
                          <w:p w14:paraId="3DCDD926" w14:textId="77777777" w:rsidR="002B32A0" w:rsidRDefault="002B32A0" w:rsidP="002B32A0">
                            <w:pPr>
                              <w:spacing w:line="204" w:lineRule="auto"/>
                              <w:rPr>
                                <w:rFonts w:cstheme="minorBidi"/>
                                <w:b/>
                                <w:bCs/>
                                <w:color w:val="000000" w:themeColor="text1"/>
                                <w:kern w:val="24"/>
                              </w:rPr>
                            </w:pPr>
                            <w:r>
                              <w:rPr>
                                <w:rFonts w:cstheme="minorBidi"/>
                                <w:color w:val="000000" w:themeColor="text1"/>
                                <w:kern w:val="24"/>
                              </w:rPr>
                              <w:t xml:space="preserve">The project has produced </w:t>
                            </w:r>
                            <w:r>
                              <w:rPr>
                                <w:rFonts w:cstheme="minorBidi"/>
                                <w:color w:val="000000" w:themeColor="text1"/>
                                <w:kern w:val="24"/>
                              </w:rPr>
                              <w:br/>
                            </w:r>
                            <w:r>
                              <w:rPr>
                                <w:rFonts w:cstheme="minorBidi"/>
                                <w:b/>
                                <w:bCs/>
                                <w:color w:val="000000" w:themeColor="text1"/>
                                <w:kern w:val="24"/>
                              </w:rPr>
                              <w:t>- The Return Reconcile Renew (RRR) website, Digital Archive and global network</w:t>
                            </w:r>
                          </w:p>
                          <w:p w14:paraId="1D105AF4" w14:textId="77777777" w:rsidR="002B32A0" w:rsidRDefault="002B32A0" w:rsidP="002B32A0">
                            <w:pPr>
                              <w:spacing w:line="204" w:lineRule="auto"/>
                              <w:rPr>
                                <w:rFonts w:cstheme="minorBidi"/>
                                <w:b/>
                                <w:bCs/>
                                <w:color w:val="000000" w:themeColor="text1"/>
                                <w:kern w:val="24"/>
                              </w:rPr>
                            </w:pPr>
                            <w:r>
                              <w:rPr>
                                <w:rFonts w:cstheme="minorBidi"/>
                                <w:b/>
                                <w:bCs/>
                                <w:color w:val="000000" w:themeColor="text1"/>
                                <w:kern w:val="24"/>
                              </w:rPr>
                              <w:t>- ‘</w:t>
                            </w:r>
                            <w:r w:rsidRPr="00826506">
                              <w:rPr>
                                <w:rFonts w:cstheme="minorBidi"/>
                                <w:b/>
                                <w:bCs/>
                                <w:color w:val="000000" w:themeColor="text1"/>
                                <w:kern w:val="24"/>
                              </w:rPr>
                              <w:t>Introduction to Repatriation: Principles, Policy and Practice’</w:t>
                            </w:r>
                            <w:r>
                              <w:rPr>
                                <w:rFonts w:cstheme="minorBidi"/>
                                <w:b/>
                                <w:bCs/>
                                <w:color w:val="000000" w:themeColor="text1"/>
                                <w:kern w:val="24"/>
                              </w:rPr>
                              <w:t xml:space="preserve"> course at The Australian National University</w:t>
                            </w:r>
                          </w:p>
                          <w:p w14:paraId="177DF572" w14:textId="77777777" w:rsidR="002B32A0" w:rsidRDefault="002B32A0" w:rsidP="002B32A0">
                            <w:pPr>
                              <w:spacing w:line="204" w:lineRule="auto"/>
                              <w:rPr>
                                <w:rFonts w:cstheme="minorBidi"/>
                                <w:b/>
                                <w:bCs/>
                                <w:color w:val="000000" w:themeColor="text1"/>
                                <w:kern w:val="24"/>
                              </w:rPr>
                            </w:pPr>
                            <w:r>
                              <w:rPr>
                                <w:rFonts w:cstheme="minorBidi"/>
                                <w:color w:val="000000" w:themeColor="text1"/>
                                <w:kern w:val="24"/>
                              </w:rPr>
                              <w:t>Major publications include</w:t>
                            </w:r>
                            <w:r>
                              <w:rPr>
                                <w:rFonts w:cstheme="minorBidi"/>
                                <w:b/>
                                <w:bCs/>
                                <w:color w:val="000000" w:themeColor="text1"/>
                                <w:kern w:val="24"/>
                              </w:rPr>
                              <w:br/>
                              <w:t xml:space="preserve">- </w:t>
                            </w:r>
                            <w:r w:rsidRPr="00826506">
                              <w:rPr>
                                <w:rFonts w:cstheme="minorBidi"/>
                                <w:b/>
                                <w:bCs/>
                                <w:color w:val="000000" w:themeColor="text1"/>
                                <w:kern w:val="24"/>
                              </w:rPr>
                              <w:t>The Routledge Companion to Indigenous Repatriation</w:t>
                            </w:r>
                          </w:p>
                          <w:p w14:paraId="563DCFBC" w14:textId="77777777" w:rsidR="002B32A0" w:rsidRDefault="002B32A0" w:rsidP="002B32A0">
                            <w:pPr>
                              <w:spacing w:line="204" w:lineRule="auto"/>
                              <w:rPr>
                                <w:rFonts w:cstheme="minorBidi"/>
                                <w:b/>
                                <w:bCs/>
                                <w:color w:val="000000" w:themeColor="text1"/>
                                <w:kern w:val="24"/>
                              </w:rPr>
                            </w:pPr>
                            <w:r w:rsidRPr="00826506">
                              <w:rPr>
                                <w:rFonts w:cstheme="minorBidi"/>
                                <w:b/>
                                <w:bCs/>
                                <w:color w:val="000000" w:themeColor="text1"/>
                                <w:kern w:val="24"/>
                              </w:rPr>
                              <w:t>-</w:t>
                            </w:r>
                            <w:r>
                              <w:rPr>
                                <w:rFonts w:cstheme="minorBidi"/>
                                <w:b/>
                                <w:bCs/>
                                <w:color w:val="000000" w:themeColor="text1"/>
                                <w:kern w:val="24"/>
                              </w:rPr>
                              <w:t xml:space="preserve"> </w:t>
                            </w:r>
                            <w:r w:rsidRPr="00826506">
                              <w:rPr>
                                <w:rFonts w:cstheme="minorBidi"/>
                                <w:b/>
                                <w:bCs/>
                                <w:color w:val="000000" w:themeColor="text1"/>
                                <w:kern w:val="24"/>
                              </w:rPr>
                              <w:t>A Repatriation Handbook: A Guide to Repatria</w:t>
                            </w:r>
                            <w:r>
                              <w:rPr>
                                <w:rFonts w:cstheme="minorBidi"/>
                                <w:b/>
                                <w:bCs/>
                                <w:color w:val="000000" w:themeColor="text1"/>
                                <w:kern w:val="24"/>
                              </w:rPr>
                              <w:t>tion</w:t>
                            </w:r>
                          </w:p>
                          <w:p w14:paraId="1C57376A" w14:textId="77777777" w:rsidR="002B32A0" w:rsidRDefault="002B32A0" w:rsidP="002B32A0">
                            <w:pPr>
                              <w:spacing w:line="204" w:lineRule="auto"/>
                              <w:rPr>
                                <w:rFonts w:cstheme="minorBidi"/>
                                <w:b/>
                                <w:bCs/>
                                <w:color w:val="000000" w:themeColor="text1"/>
                                <w:kern w:val="24"/>
                              </w:rPr>
                            </w:pPr>
                            <w:r>
                              <w:rPr>
                                <w:rFonts w:cstheme="minorBidi"/>
                                <w:b/>
                                <w:bCs/>
                                <w:color w:val="000000" w:themeColor="text1"/>
                                <w:kern w:val="24"/>
                              </w:rPr>
                              <w:t xml:space="preserve">- </w:t>
                            </w:r>
                            <w:r w:rsidRPr="00B823A1">
                              <w:rPr>
                                <w:rFonts w:cstheme="minorBidi"/>
                                <w:b/>
                                <w:bCs/>
                                <w:color w:val="000000" w:themeColor="text1"/>
                                <w:kern w:val="24"/>
                              </w:rPr>
                              <w:t>Science, Museums and Collecting the Indigenous Dead in Colonial Australia</w:t>
                            </w:r>
                          </w:p>
                          <w:p w14:paraId="58F5A85C" w14:textId="77777777" w:rsidR="002B32A0" w:rsidRPr="00826506" w:rsidRDefault="002B32A0" w:rsidP="002B32A0">
                            <w:pPr>
                              <w:spacing w:line="204" w:lineRule="auto"/>
                              <w:rPr>
                                <w:rFonts w:cstheme="minorBidi"/>
                                <w:b/>
                                <w:bCs/>
                                <w:color w:val="000000" w:themeColor="text1"/>
                                <w:kern w:val="24"/>
                              </w:rPr>
                            </w:pPr>
                            <w:r>
                              <w:rPr>
                                <w:rFonts w:cstheme="minorBidi"/>
                                <w:b/>
                                <w:bCs/>
                                <w:color w:val="000000" w:themeColor="text1"/>
                                <w:kern w:val="24"/>
                              </w:rPr>
                              <w:t>- A mass of community reports and non-traditional research outputs</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86B5C73" id="Text Box 240" o:spid="_x0000_s1085" type="#_x0000_t202" alt="&quot;&quot;" style="position:absolute;margin-left:-21.35pt;margin-top:8pt;width:176.05pt;height:249.8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" filled="f" stroked="f">
                <v:textbox>
                  <w:txbxContent>
                    <w:p w14:paraId="3DCDD926" w14:textId="77777777" w:rsidR="002B32A0" w:rsidRDefault="002B32A0" w:rsidP="002B32A0">
                      <w:pPr>
                        <w:spacing w:line="204" w:lineRule="auto"/>
                        <w:rPr>
                          <w:rFonts w:cstheme="minorBidi"/>
                          <w:b/>
                          <w:bCs/>
                          <w:color w:val="000000" w:themeColor="text1"/>
                          <w:kern w:val="24"/>
                        </w:rPr>
                      </w:pPr>
                      <w:r>
                        <w:rPr>
                          <w:rFonts w:cstheme="minorBidi"/>
                          <w:color w:val="000000" w:themeColor="text1"/>
                          <w:kern w:val="24"/>
                        </w:rPr>
                        <w:t xml:space="preserve">The project has produced </w:t>
                      </w:r>
                      <w:r>
                        <w:rPr>
                          <w:rFonts w:cstheme="minorBidi"/>
                          <w:color w:val="000000" w:themeColor="text1"/>
                          <w:kern w:val="24"/>
                        </w:rPr>
                        <w:br/>
                      </w:r>
                      <w:r>
                        <w:rPr>
                          <w:rFonts w:cstheme="minorBidi"/>
                          <w:b/>
                          <w:bCs/>
                          <w:color w:val="000000" w:themeColor="text1"/>
                          <w:kern w:val="24"/>
                        </w:rPr>
                        <w:t>- The Return Reconcile Renew (RRR) website, Digital Archive and global network</w:t>
                      </w:r>
                    </w:p>
                    <w:p w14:paraId="1D105AF4" w14:textId="77777777" w:rsidR="002B32A0" w:rsidRDefault="002B32A0" w:rsidP="002B32A0">
                      <w:pPr>
                        <w:spacing w:line="204" w:lineRule="auto"/>
                        <w:rPr>
                          <w:rFonts w:cstheme="minorBidi"/>
                          <w:b/>
                          <w:bCs/>
                          <w:color w:val="000000" w:themeColor="text1"/>
                          <w:kern w:val="24"/>
                        </w:rPr>
                      </w:pPr>
                      <w:r>
                        <w:rPr>
                          <w:rFonts w:cstheme="minorBidi"/>
                          <w:b/>
                          <w:bCs/>
                          <w:color w:val="000000" w:themeColor="text1"/>
                          <w:kern w:val="24"/>
                        </w:rPr>
                        <w:t>- ‘</w:t>
                      </w:r>
                      <w:r w:rsidRPr="00826506">
                        <w:rPr>
                          <w:rFonts w:cstheme="minorBidi"/>
                          <w:b/>
                          <w:bCs/>
                          <w:color w:val="000000" w:themeColor="text1"/>
                          <w:kern w:val="24"/>
                        </w:rPr>
                        <w:t>Introduction to Repatriation: Principles, Policy and Practice’</w:t>
                      </w:r>
                      <w:r>
                        <w:rPr>
                          <w:rFonts w:cstheme="minorBidi"/>
                          <w:b/>
                          <w:bCs/>
                          <w:color w:val="000000" w:themeColor="text1"/>
                          <w:kern w:val="24"/>
                        </w:rPr>
                        <w:t xml:space="preserve"> course at The Australian National University</w:t>
                      </w:r>
                    </w:p>
                    <w:p w14:paraId="177DF572" w14:textId="77777777" w:rsidR="002B32A0" w:rsidRDefault="002B32A0" w:rsidP="002B32A0">
                      <w:pPr>
                        <w:spacing w:line="204" w:lineRule="auto"/>
                        <w:rPr>
                          <w:rFonts w:cstheme="minorBidi"/>
                          <w:b/>
                          <w:bCs/>
                          <w:color w:val="000000" w:themeColor="text1"/>
                          <w:kern w:val="24"/>
                        </w:rPr>
                      </w:pPr>
                      <w:r>
                        <w:rPr>
                          <w:rFonts w:cstheme="minorBidi"/>
                          <w:color w:val="000000" w:themeColor="text1"/>
                          <w:kern w:val="24"/>
                        </w:rPr>
                        <w:t>Major publications include</w:t>
                      </w:r>
                      <w:r>
                        <w:rPr>
                          <w:rFonts w:cstheme="minorBidi"/>
                          <w:b/>
                          <w:bCs/>
                          <w:color w:val="000000" w:themeColor="text1"/>
                          <w:kern w:val="24"/>
                        </w:rPr>
                        <w:br/>
                        <w:t xml:space="preserve">- </w:t>
                      </w:r>
                      <w:r w:rsidRPr="00826506">
                        <w:rPr>
                          <w:rFonts w:cstheme="minorBidi"/>
                          <w:b/>
                          <w:bCs/>
                          <w:color w:val="000000" w:themeColor="text1"/>
                          <w:kern w:val="24"/>
                        </w:rPr>
                        <w:t>The Routledge Companion to Indigenous Repatriation</w:t>
                      </w:r>
                    </w:p>
                    <w:p w14:paraId="563DCFBC" w14:textId="77777777" w:rsidR="002B32A0" w:rsidRDefault="002B32A0" w:rsidP="002B32A0">
                      <w:pPr>
                        <w:spacing w:line="204" w:lineRule="auto"/>
                        <w:rPr>
                          <w:rFonts w:cstheme="minorBidi"/>
                          <w:b/>
                          <w:bCs/>
                          <w:color w:val="000000" w:themeColor="text1"/>
                          <w:kern w:val="24"/>
                        </w:rPr>
                      </w:pPr>
                      <w:r w:rsidRPr="00826506">
                        <w:rPr>
                          <w:rFonts w:cstheme="minorBidi"/>
                          <w:b/>
                          <w:bCs/>
                          <w:color w:val="000000" w:themeColor="text1"/>
                          <w:kern w:val="24"/>
                        </w:rPr>
                        <w:t>-</w:t>
                      </w:r>
                      <w:r>
                        <w:rPr>
                          <w:rFonts w:cstheme="minorBidi"/>
                          <w:b/>
                          <w:bCs/>
                          <w:color w:val="000000" w:themeColor="text1"/>
                          <w:kern w:val="24"/>
                        </w:rPr>
                        <w:t xml:space="preserve"> </w:t>
                      </w:r>
                      <w:r w:rsidRPr="00826506">
                        <w:rPr>
                          <w:rFonts w:cstheme="minorBidi"/>
                          <w:b/>
                          <w:bCs/>
                          <w:color w:val="000000" w:themeColor="text1"/>
                          <w:kern w:val="24"/>
                        </w:rPr>
                        <w:t>A Repatriation Handbook: A Guide to Repatria</w:t>
                      </w:r>
                      <w:r>
                        <w:rPr>
                          <w:rFonts w:cstheme="minorBidi"/>
                          <w:b/>
                          <w:bCs/>
                          <w:color w:val="000000" w:themeColor="text1"/>
                          <w:kern w:val="24"/>
                        </w:rPr>
                        <w:t>tion</w:t>
                      </w:r>
                    </w:p>
                    <w:p w14:paraId="1C57376A" w14:textId="77777777" w:rsidR="002B32A0" w:rsidRDefault="002B32A0" w:rsidP="002B32A0">
                      <w:pPr>
                        <w:spacing w:line="204" w:lineRule="auto"/>
                        <w:rPr>
                          <w:rFonts w:cstheme="minorBidi"/>
                          <w:b/>
                          <w:bCs/>
                          <w:color w:val="000000" w:themeColor="text1"/>
                          <w:kern w:val="24"/>
                        </w:rPr>
                      </w:pPr>
                      <w:r>
                        <w:rPr>
                          <w:rFonts w:cstheme="minorBidi"/>
                          <w:b/>
                          <w:bCs/>
                          <w:color w:val="000000" w:themeColor="text1"/>
                          <w:kern w:val="24"/>
                        </w:rPr>
                        <w:t xml:space="preserve">- </w:t>
                      </w:r>
                      <w:r w:rsidRPr="00B823A1">
                        <w:rPr>
                          <w:rFonts w:cstheme="minorBidi"/>
                          <w:b/>
                          <w:bCs/>
                          <w:color w:val="000000" w:themeColor="text1"/>
                          <w:kern w:val="24"/>
                        </w:rPr>
                        <w:t>Science, Museums and Collecting the Indigenous Dead in Colonial Australia</w:t>
                      </w:r>
                    </w:p>
                    <w:p w14:paraId="58F5A85C" w14:textId="77777777" w:rsidR="002B32A0" w:rsidRPr="00826506" w:rsidRDefault="002B32A0" w:rsidP="002B32A0">
                      <w:pPr>
                        <w:spacing w:line="204" w:lineRule="auto"/>
                        <w:rPr>
                          <w:rFonts w:cstheme="minorBidi"/>
                          <w:b/>
                          <w:bCs/>
                          <w:color w:val="000000" w:themeColor="text1"/>
                          <w:kern w:val="24"/>
                        </w:rPr>
                      </w:pPr>
                      <w:r>
                        <w:rPr>
                          <w:rFonts w:cstheme="minorBidi"/>
                          <w:b/>
                          <w:bCs/>
                          <w:color w:val="000000" w:themeColor="text1"/>
                          <w:kern w:val="24"/>
                        </w:rPr>
                        <w:t>- A mass of community reports and non-traditional research outputs</w:t>
                      </w:r>
                    </w:p>
                  </w:txbxContent>
                </v:textbox>
              </v:shape>
            </w:pict>
          </mc:Fallback>
        </mc:AlternateContent>
      </w:r>
    </w:p>
    <w:p w14:paraId="4D37B6A9" w14:textId="77777777" w:rsidR="002B32A0" w:rsidRPr="00CE1D7F" w:rsidRDefault="002B32A0" w:rsidP="002B32A0">
      <w:pPr>
        <w:pStyle w:val="BodyText"/>
      </w:pPr>
    </w:p>
    <w:p w14:paraId="6D674443" w14:textId="77777777" w:rsidR="002B32A0" w:rsidRPr="00CE1D7F" w:rsidRDefault="002B32A0" w:rsidP="002B32A0">
      <w:pPr>
        <w:pStyle w:val="BodyText"/>
      </w:pPr>
    </w:p>
    <w:p w14:paraId="2DB2BA7F" w14:textId="77777777" w:rsidR="002B32A0" w:rsidRPr="00CE1D7F" w:rsidRDefault="002B32A0" w:rsidP="002B32A0">
      <w:pPr>
        <w:pStyle w:val="BodyText"/>
      </w:pPr>
    </w:p>
    <w:p w14:paraId="3CA9733A" w14:textId="77777777" w:rsidR="002B32A0" w:rsidRPr="00CE1D7F" w:rsidRDefault="002B32A0" w:rsidP="002B32A0">
      <w:pPr>
        <w:pStyle w:val="BodyText"/>
      </w:pPr>
      <w:r w:rsidRPr="00CE1D7F">
        <w:rPr>
          <w:noProof/>
        </w:rPr>
        <mc:AlternateContent>
          <mc:Choice Requires="wps">
            <w:drawing>
              <wp:anchor distT="0" distB="0" distL="114300" distR="114300" simplePos="0" relativeHeight="251703296" behindDoc="0" locked="0" layoutInCell="1" allowOverlap="1" wp14:anchorId="0E7E868D" wp14:editId="26FC76C9">
                <wp:simplePos x="0" y="0"/>
                <wp:positionH relativeFrom="column">
                  <wp:posOffset>2600960</wp:posOffset>
                </wp:positionH>
                <wp:positionV relativeFrom="paragraph">
                  <wp:posOffset>95885</wp:posOffset>
                </wp:positionV>
                <wp:extent cx="2235200" cy="1543050"/>
                <wp:effectExtent l="0" t="0" r="0" b="0"/>
                <wp:wrapNone/>
                <wp:docPr id="241" name="Text Box 2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235200" cy="1543050"/>
                        </a:xfrm>
                        <a:prstGeom prst="rect">
                          <a:avLst/>
                        </a:prstGeom>
                        <a:noFill/>
                      </wps:spPr>
                      <wps:txbx>
                        <w:txbxContent>
                          <w:p w14:paraId="78827C9E" w14:textId="77777777" w:rsidR="002B32A0" w:rsidRDefault="002B32A0" w:rsidP="002B32A0">
                            <w:pPr>
                              <w:spacing w:line="204" w:lineRule="auto"/>
                              <w:rPr>
                                <w:rFonts w:asciiTheme="minorHAnsi" w:eastAsia="Yu Gothic UI Semibold" w:cstheme="minorBidi"/>
                                <w:b/>
                                <w:bCs/>
                                <w:color w:val="000000" w:themeColor="text1"/>
                                <w:kern w:val="24"/>
                                <w:lang w:val="en-US"/>
                              </w:rPr>
                            </w:pPr>
                            <w:r w:rsidRPr="00E36638">
                              <w:rPr>
                                <w:rFonts w:asciiTheme="minorHAnsi" w:eastAsia="Yu Gothic UI Semibold" w:cstheme="minorBidi"/>
                                <w:b/>
                                <w:bCs/>
                                <w:color w:val="000000" w:themeColor="text1"/>
                                <w:kern w:val="24"/>
                                <w:lang w:val="en-US"/>
                              </w:rPr>
                              <w:t xml:space="preserve">Alignment with Government </w:t>
                            </w:r>
                            <w:r>
                              <w:rPr>
                                <w:rFonts w:asciiTheme="minorHAnsi" w:eastAsia="Yu Gothic UI Semibold" w:cstheme="minorBidi"/>
                                <w:b/>
                                <w:bCs/>
                                <w:color w:val="000000" w:themeColor="text1"/>
                                <w:kern w:val="24"/>
                                <w:lang w:val="en-US"/>
                              </w:rPr>
                              <w:t>priorities</w:t>
                            </w:r>
                          </w:p>
                          <w:p w14:paraId="40F3AFC9" w14:textId="77777777" w:rsidR="002B32A0" w:rsidRDefault="002B32A0" w:rsidP="002B32A0">
                            <w:pPr>
                              <w:spacing w:line="204" w:lineRule="auto"/>
                              <w:rPr>
                                <w:rFonts w:asciiTheme="minorHAnsi" w:eastAsia="Yu Gothic UI Semibold" w:cstheme="minorBidi"/>
                                <w:b/>
                                <w:bCs/>
                                <w:color w:val="000000" w:themeColor="text1"/>
                                <w:kern w:val="24"/>
                                <w:lang w:val="en-US"/>
                              </w:rPr>
                            </w:pPr>
                            <w:r>
                              <w:rPr>
                                <w:rFonts w:asciiTheme="minorHAnsi" w:eastAsia="Yu Gothic UI Semibold" w:cstheme="minorBidi"/>
                                <w:b/>
                                <w:bCs/>
                                <w:color w:val="000000" w:themeColor="text1"/>
                                <w:kern w:val="24"/>
                                <w:lang w:val="en-US"/>
                              </w:rPr>
                              <w:t>‘</w:t>
                            </w:r>
                            <w:r>
                              <w:rPr>
                                <w:rFonts w:asciiTheme="minorHAnsi" w:eastAsia="Yu Gothic UI Semibold" w:cstheme="minorBidi"/>
                                <w:b/>
                                <w:bCs/>
                                <w:color w:val="000000" w:themeColor="text1"/>
                                <w:kern w:val="24"/>
                                <w:lang w:val="en-US"/>
                              </w:rPr>
                              <w:t>B</w:t>
                            </w:r>
                            <w:r w:rsidRPr="003E505B">
                              <w:rPr>
                                <w:rFonts w:asciiTheme="minorHAnsi" w:eastAsia="Yu Gothic UI Semibold" w:cstheme="minorBidi"/>
                                <w:b/>
                                <w:bCs/>
                                <w:color w:val="000000" w:themeColor="text1"/>
                                <w:kern w:val="24"/>
                                <w:lang w:val="en-US"/>
                              </w:rPr>
                              <w:t>etter health outcomes for Indigenous people</w:t>
                            </w:r>
                            <w:r>
                              <w:rPr>
                                <w:rFonts w:asciiTheme="minorHAnsi" w:eastAsia="Yu Gothic UI Semibold" w:cstheme="minorBidi"/>
                                <w:b/>
                                <w:bCs/>
                                <w:color w:val="000000" w:themeColor="text1"/>
                                <w:kern w:val="24"/>
                                <w:lang w:val="en-US"/>
                              </w:rPr>
                              <w:t>’</w:t>
                            </w:r>
                          </w:p>
                          <w:p w14:paraId="5FAB8B8F" w14:textId="77777777" w:rsidR="002B32A0" w:rsidRPr="00826506" w:rsidRDefault="002B32A0" w:rsidP="002B32A0">
                            <w:pPr>
                              <w:spacing w:line="204" w:lineRule="auto"/>
                              <w:rPr>
                                <w:rFonts w:asciiTheme="minorHAnsi" w:eastAsia="Yu Gothic UI Semibold" w:cstheme="minorBidi"/>
                                <w:b/>
                                <w:bCs/>
                                <w:color w:val="000000" w:themeColor="text1"/>
                                <w:kern w:val="24"/>
                                <w:highlight w:val="yellow"/>
                                <w:lang w:val="en-US"/>
                              </w:rPr>
                            </w:pPr>
                            <w:r w:rsidRPr="001D1896">
                              <w:rPr>
                                <w:rFonts w:asciiTheme="minorHAnsi" w:eastAsia="Yu Gothic UI Semibold" w:cstheme="minorBidi"/>
                                <w:b/>
                                <w:bCs/>
                                <w:color w:val="000000" w:themeColor="text1"/>
                                <w:kern w:val="24"/>
                                <w:lang w:val="en-US"/>
                              </w:rPr>
                              <w:t>“</w:t>
                            </w:r>
                            <w:r w:rsidRPr="001D1896">
                              <w:rPr>
                                <w:rFonts w:asciiTheme="minorHAnsi" w:eastAsia="Yu Gothic UI Semibold" w:cstheme="minorBidi"/>
                                <w:b/>
                                <w:bCs/>
                                <w:color w:val="000000" w:themeColor="text1"/>
                                <w:kern w:val="24"/>
                                <w:lang w:val="en-US"/>
                              </w:rPr>
                              <w:t>The Australian Government supports the repatriation of Aboriginal and Torres Strait Islander ancestral remains and secret sacred objects which contributes to healing and reconciliation</w:t>
                            </w:r>
                            <w:r>
                              <w:rPr>
                                <w:rFonts w:asciiTheme="minorHAnsi" w:eastAsia="Yu Gothic UI Semibold" w:cstheme="minorBidi"/>
                                <w:b/>
                                <w:bCs/>
                                <w:color w:val="000000" w:themeColor="text1"/>
                                <w:kern w:val="24"/>
                                <w:lang w:val="en-US"/>
                              </w:rPr>
                              <w:t>”</w:t>
                            </w:r>
                          </w:p>
                        </w:txbxContent>
                      </wps:txbx>
                      <wps:bodyPr wrap="square" rtlCol="0">
                        <a:noAutofit/>
                      </wps:bodyPr>
                    </wps:wsp>
                  </a:graphicData>
                </a:graphic>
                <wp14:sizeRelV relativeFrom="margin">
                  <wp14:pctHeight>0</wp14:pctHeight>
                </wp14:sizeRelV>
              </wp:anchor>
            </w:drawing>
          </mc:Choice>
          <mc:Fallback>
            <w:pict>
              <v:shape w14:anchorId="0E7E868D" id="Text Box 241" o:spid="_x0000_s1086" type="#_x0000_t202" alt="&quot;&quot;" style="position:absolute;margin-left:204.8pt;margin-top:7.55pt;width:176pt;height:121.5pt;z-index:251703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" filled="f" stroked="f">
                <v:textbox>
                  <w:txbxContent>
                    <w:p w14:paraId="78827C9E" w14:textId="77777777" w:rsidR="002B32A0" w:rsidRDefault="002B32A0" w:rsidP="002B32A0">
                      <w:pPr>
                        <w:spacing w:line="204" w:lineRule="auto"/>
                        <w:rPr>
                          <w:rFonts w:asciiTheme="minorHAnsi" w:eastAsia="Yu Gothic UI Semibold" w:cstheme="minorBidi"/>
                          <w:b/>
                          <w:bCs/>
                          <w:color w:val="000000" w:themeColor="text1"/>
                          <w:kern w:val="24"/>
                          <w:lang w:val="en-US"/>
                        </w:rPr>
                      </w:pPr>
                      <w:r w:rsidRPr="00E36638">
                        <w:rPr>
                          <w:rFonts w:asciiTheme="minorHAnsi" w:eastAsia="Yu Gothic UI Semibold" w:cstheme="minorBidi"/>
                          <w:b/>
                          <w:bCs/>
                          <w:color w:val="000000" w:themeColor="text1"/>
                          <w:kern w:val="24"/>
                          <w:lang w:val="en-US"/>
                        </w:rPr>
                        <w:t xml:space="preserve">Alignment with Government </w:t>
                      </w:r>
                      <w:r>
                        <w:rPr>
                          <w:rFonts w:asciiTheme="minorHAnsi" w:eastAsia="Yu Gothic UI Semibold" w:cstheme="minorBidi"/>
                          <w:b/>
                          <w:bCs/>
                          <w:color w:val="000000" w:themeColor="text1"/>
                          <w:kern w:val="24"/>
                          <w:lang w:val="en-US"/>
                        </w:rPr>
                        <w:t>priorities</w:t>
                      </w:r>
                    </w:p>
                    <w:p w14:paraId="40F3AFC9" w14:textId="77777777" w:rsidR="002B32A0" w:rsidRDefault="002B32A0" w:rsidP="002B32A0">
                      <w:pPr>
                        <w:spacing w:line="204" w:lineRule="auto"/>
                        <w:rPr>
                          <w:rFonts w:asciiTheme="minorHAnsi" w:eastAsia="Yu Gothic UI Semibold" w:cstheme="minorBidi"/>
                          <w:b/>
                          <w:bCs/>
                          <w:color w:val="000000" w:themeColor="text1"/>
                          <w:kern w:val="24"/>
                          <w:lang w:val="en-US"/>
                        </w:rPr>
                      </w:pPr>
                      <w:r>
                        <w:rPr>
                          <w:rFonts w:asciiTheme="minorHAnsi" w:eastAsia="Yu Gothic UI Semibold" w:cstheme="minorBidi"/>
                          <w:b/>
                          <w:bCs/>
                          <w:color w:val="000000" w:themeColor="text1"/>
                          <w:kern w:val="24"/>
                          <w:lang w:val="en-US"/>
                        </w:rPr>
                        <w:t>‘</w:t>
                      </w:r>
                      <w:r>
                        <w:rPr>
                          <w:rFonts w:asciiTheme="minorHAnsi" w:eastAsia="Yu Gothic UI Semibold" w:cstheme="minorBidi"/>
                          <w:b/>
                          <w:bCs/>
                          <w:color w:val="000000" w:themeColor="text1"/>
                          <w:kern w:val="24"/>
                          <w:lang w:val="en-US"/>
                        </w:rPr>
                        <w:t>B</w:t>
                      </w:r>
                      <w:r w:rsidRPr="003E505B">
                        <w:rPr>
                          <w:rFonts w:asciiTheme="minorHAnsi" w:eastAsia="Yu Gothic UI Semibold" w:cstheme="minorBidi"/>
                          <w:b/>
                          <w:bCs/>
                          <w:color w:val="000000" w:themeColor="text1"/>
                          <w:kern w:val="24"/>
                          <w:lang w:val="en-US"/>
                        </w:rPr>
                        <w:t>etter health outcomes for Indigenous people</w:t>
                      </w:r>
                      <w:r>
                        <w:rPr>
                          <w:rFonts w:asciiTheme="minorHAnsi" w:eastAsia="Yu Gothic UI Semibold" w:cstheme="minorBidi"/>
                          <w:b/>
                          <w:bCs/>
                          <w:color w:val="000000" w:themeColor="text1"/>
                          <w:kern w:val="24"/>
                          <w:lang w:val="en-US"/>
                        </w:rPr>
                        <w:t>’</w:t>
                      </w:r>
                    </w:p>
                    <w:p w14:paraId="5FAB8B8F" w14:textId="77777777" w:rsidR="002B32A0" w:rsidRPr="00826506" w:rsidRDefault="002B32A0" w:rsidP="002B32A0">
                      <w:pPr>
                        <w:spacing w:line="204" w:lineRule="auto"/>
                        <w:rPr>
                          <w:rFonts w:asciiTheme="minorHAnsi" w:eastAsia="Yu Gothic UI Semibold" w:cstheme="minorBidi"/>
                          <w:b/>
                          <w:bCs/>
                          <w:color w:val="000000" w:themeColor="text1"/>
                          <w:kern w:val="24"/>
                          <w:highlight w:val="yellow"/>
                          <w:lang w:val="en-US"/>
                        </w:rPr>
                      </w:pPr>
                      <w:r w:rsidRPr="001D1896">
                        <w:rPr>
                          <w:rFonts w:asciiTheme="minorHAnsi" w:eastAsia="Yu Gothic UI Semibold" w:cstheme="minorBidi"/>
                          <w:b/>
                          <w:bCs/>
                          <w:color w:val="000000" w:themeColor="text1"/>
                          <w:kern w:val="24"/>
                          <w:lang w:val="en-US"/>
                        </w:rPr>
                        <w:t>“</w:t>
                      </w:r>
                      <w:r w:rsidRPr="001D1896">
                        <w:rPr>
                          <w:rFonts w:asciiTheme="minorHAnsi" w:eastAsia="Yu Gothic UI Semibold" w:cstheme="minorBidi"/>
                          <w:b/>
                          <w:bCs/>
                          <w:color w:val="000000" w:themeColor="text1"/>
                          <w:kern w:val="24"/>
                          <w:lang w:val="en-US"/>
                        </w:rPr>
                        <w:t>The Australian Government supports the repatriation of Aboriginal and Torres Strait Islander ancestral remains and secret sacred objects which contributes to healing and reconciliation</w:t>
                      </w:r>
                      <w:r>
                        <w:rPr>
                          <w:rFonts w:asciiTheme="minorHAnsi" w:eastAsia="Yu Gothic UI Semibold" w:cstheme="minorBidi"/>
                          <w:b/>
                          <w:bCs/>
                          <w:color w:val="000000" w:themeColor="text1"/>
                          <w:kern w:val="24"/>
                          <w:lang w:val="en-US"/>
                        </w:rPr>
                        <w:t>”</w:t>
                      </w:r>
                    </w:p>
                  </w:txbxContent>
                </v:textbox>
              </v:shape>
            </w:pict>
          </mc:Fallback>
        </mc:AlternateContent>
      </w:r>
      <w:r w:rsidRPr="00CE1D7F">
        <w:rPr>
          <w:noProof/>
        </w:rPr>
        <w:drawing>
          <wp:anchor distT="0" distB="0" distL="114300" distR="114300" simplePos="0" relativeHeight="251702272" behindDoc="0" locked="0" layoutInCell="1" allowOverlap="1" wp14:anchorId="3E65D343" wp14:editId="63668DCD">
            <wp:simplePos x="0" y="0"/>
            <wp:positionH relativeFrom="column">
              <wp:posOffset>1907312</wp:posOffset>
            </wp:positionH>
            <wp:positionV relativeFrom="paragraph">
              <wp:posOffset>204755</wp:posOffset>
            </wp:positionV>
            <wp:extent cx="582295" cy="593725"/>
            <wp:effectExtent l="0" t="0" r="8255" b="0"/>
            <wp:wrapNone/>
            <wp:docPr id="41" name="Picture 4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Picture 555" descr="Icon&#10;&#10;Description automatically generated"/>
                    <pic:cNvPicPr>
                      <a:picLocks noChangeAspect="1"/>
                    </pic:cNvPicPr>
                  </pic:nvPicPr>
                  <pic:blipFill>
                    <a:blip r:embed="rId138" cstate="print">
                      <a:extLst>
                        <a:ext uri="{BEBA8EAE-BF5A-486C-A8C5-ECC9F3942E4B}">
                          <a14:imgProps xmlns:a14="http://schemas.microsoft.com/office/drawing/2010/main">
                            <a14:imgLayer r:embed="rId139">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582295" cy="593725"/>
                    </a:xfrm>
                    <a:prstGeom prst="rect">
                      <a:avLst/>
                    </a:prstGeom>
                  </pic:spPr>
                </pic:pic>
              </a:graphicData>
            </a:graphic>
          </wp:anchor>
        </w:drawing>
      </w:r>
    </w:p>
    <w:p w14:paraId="4BB650C9" w14:textId="77777777" w:rsidR="002B32A0" w:rsidRPr="00CE1D7F" w:rsidRDefault="002B32A0" w:rsidP="002B32A0">
      <w:pPr>
        <w:pStyle w:val="BodyText"/>
      </w:pPr>
    </w:p>
    <w:p w14:paraId="2C460B42" w14:textId="77777777" w:rsidR="002B32A0" w:rsidRPr="00CE1D7F" w:rsidRDefault="002B32A0" w:rsidP="002B32A0">
      <w:pPr>
        <w:pStyle w:val="BodyText"/>
      </w:pPr>
    </w:p>
    <w:p w14:paraId="162AAD75" w14:textId="77777777" w:rsidR="002B32A0" w:rsidRPr="00CE1D7F" w:rsidRDefault="002B32A0" w:rsidP="002B32A0">
      <w:pPr>
        <w:pStyle w:val="BodyText"/>
      </w:pPr>
    </w:p>
    <w:p w14:paraId="7E4D2A1B" w14:textId="77777777" w:rsidR="002B32A0" w:rsidRPr="00CE1D7F" w:rsidRDefault="002B32A0" w:rsidP="002B32A0">
      <w:pPr>
        <w:pStyle w:val="BodyText"/>
      </w:pPr>
    </w:p>
    <w:p w14:paraId="71554E62" w14:textId="77777777" w:rsidR="002B32A0" w:rsidRPr="00CE1D7F" w:rsidRDefault="002B32A0" w:rsidP="002B32A0">
      <w:pPr>
        <w:pStyle w:val="BodyText"/>
      </w:pPr>
    </w:p>
    <w:p w14:paraId="70ACFA1D" w14:textId="77777777" w:rsidR="002B32A0" w:rsidRPr="00CE1D7F" w:rsidRDefault="002B32A0" w:rsidP="002B32A0">
      <w:pPr>
        <w:pStyle w:val="BodyText"/>
      </w:pPr>
    </w:p>
    <w:p w14:paraId="370415C2" w14:textId="77777777" w:rsidR="002B32A0" w:rsidRPr="00CE1D7F" w:rsidRDefault="002B32A0" w:rsidP="002B32A0">
      <w:pPr>
        <w:pStyle w:val="BodyText"/>
      </w:pPr>
    </w:p>
    <w:p w14:paraId="32C38A9F" w14:textId="77777777" w:rsidR="002B32A0" w:rsidRPr="00CE1D7F" w:rsidRDefault="002B32A0" w:rsidP="002B32A0">
      <w:pPr>
        <w:pStyle w:val="BodyText"/>
      </w:pPr>
    </w:p>
    <w:p w14:paraId="12A9B2C2" w14:textId="77777777" w:rsidR="002B32A0" w:rsidRPr="00CE1D7F" w:rsidRDefault="002B32A0" w:rsidP="00BF7AEE">
      <w:pPr>
        <w:pStyle w:val="Heading2"/>
        <w:spacing w:before="360"/>
      </w:pPr>
      <w:bookmarkStart w:id="605" w:name="_Toc129964016"/>
      <w:bookmarkStart w:id="606" w:name="_Toc131174654"/>
      <w:bookmarkStart w:id="607" w:name="_Toc132970725"/>
      <w:bookmarkStart w:id="608" w:name="_Toc135323764"/>
      <w:r w:rsidRPr="00CE1D7F">
        <w:t>Case study framework</w:t>
      </w:r>
      <w:bookmarkEnd w:id="605"/>
      <w:bookmarkEnd w:id="606"/>
      <w:bookmarkEnd w:id="607"/>
      <w:bookmarkEnd w:id="608"/>
    </w:p>
    <w:p w14:paraId="133B6A69" w14:textId="1A453C60" w:rsidR="002B32A0" w:rsidRPr="00CE1D7F" w:rsidRDefault="002B32A0" w:rsidP="002B32A0">
      <w:pPr>
        <w:pStyle w:val="BodyText"/>
      </w:pPr>
      <w:r w:rsidRPr="00CE1D7F">
        <w:t>This case study uses an evaluation framework</w:t>
      </w:r>
      <w:r>
        <w:t xml:space="preserve"> that ACIL Allen has used</w:t>
      </w:r>
      <w:r w:rsidRPr="00CE1D7F">
        <w:t xml:space="preserve"> to assess the impact and value of research undertaken by many organisations.</w:t>
      </w:r>
      <w:r w:rsidRPr="00CE1D7F">
        <w:rPr>
          <w:rStyle w:val="FootnoteReference"/>
        </w:rPr>
        <w:footnoteReference w:id="283"/>
      </w:r>
      <w:r w:rsidRPr="00CE1D7F">
        <w:t xml:space="preserve"> The results from </w:t>
      </w:r>
      <w:r>
        <w:t>applying that</w:t>
      </w:r>
      <w:r w:rsidRPr="00CE1D7F">
        <w:t xml:space="preserve"> framework </w:t>
      </w:r>
      <w:r>
        <w:t xml:space="preserve">to the </w:t>
      </w:r>
      <w:r w:rsidRPr="00CE1D7F">
        <w:t>RRR: Indigenous Remains Repatriation</w:t>
      </w:r>
      <w:r w:rsidRPr="00CE1D7F" w:rsidDel="00BC7DB2">
        <w:t xml:space="preserve"> </w:t>
      </w:r>
      <w:r w:rsidRPr="00CE1D7F">
        <w:t xml:space="preserve">case study are summarised in </w:t>
      </w:r>
      <w:r w:rsidRPr="00F87D0E">
        <w:fldChar w:fldCharType="begin"/>
      </w:r>
      <w:r w:rsidRPr="00F87D0E">
        <w:instrText xml:space="preserve"> REF _Ref129339870 \h  \* MERGEFORMAT </w:instrText>
      </w:r>
      <w:r w:rsidRPr="00F87D0E">
        <w:fldChar w:fldCharType="separate"/>
      </w:r>
      <w:r w:rsidR="000B0AC7" w:rsidRPr="000B0AC7">
        <w:t>Figure 13.1</w:t>
      </w:r>
      <w:r w:rsidRPr="00F87D0E">
        <w:fldChar w:fldCharType="end"/>
      </w:r>
      <w:r w:rsidRPr="00CE1D7F">
        <w:t>.</w:t>
      </w:r>
    </w:p>
    <w:p w14:paraId="696DFEE1" w14:textId="304C7C81" w:rsidR="002B32A0" w:rsidRPr="00CE1D7F" w:rsidRDefault="002B32A0" w:rsidP="002B32A0">
      <w:pPr>
        <w:pStyle w:val="Caption"/>
        <w:ind w:left="-1202"/>
      </w:pPr>
      <w:bookmarkStart w:id="609" w:name="_Ref129339870"/>
      <w:r w:rsidRPr="00CE1D7F">
        <w:rPr>
          <w:rStyle w:val="CaptionLabel"/>
        </w:rPr>
        <w:t>Figure </w:t>
      </w:r>
      <w:r w:rsidRPr="00CE1D7F">
        <w:rPr>
          <w:rStyle w:val="CaptionLabel"/>
        </w:rPr>
        <w:fldChar w:fldCharType="begin"/>
      </w:r>
      <w:r w:rsidRPr="00CE1D7F">
        <w:rPr>
          <w:rStyle w:val="CaptionLabel"/>
        </w:rPr>
        <w:instrText xml:space="preserve"> STYLEREF 1 \S \* MERGEFORMAT </w:instrText>
      </w:r>
      <w:r w:rsidRPr="00CE1D7F">
        <w:rPr>
          <w:rStyle w:val="CaptionLabel"/>
        </w:rPr>
        <w:fldChar w:fldCharType="separate"/>
      </w:r>
      <w:r w:rsidR="000B0AC7">
        <w:rPr>
          <w:rStyle w:val="CaptionLabel"/>
          <w:noProof/>
        </w:rPr>
        <w:t>13</w:t>
      </w:r>
      <w:r w:rsidRPr="00CE1D7F">
        <w:rPr>
          <w:rStyle w:val="CaptionLabel"/>
        </w:rPr>
        <w:fldChar w:fldCharType="end"/>
      </w:r>
      <w:r w:rsidRPr="00CE1D7F">
        <w:rPr>
          <w:rStyle w:val="CaptionLabel"/>
        </w:rPr>
        <w:t>.</w:t>
      </w:r>
      <w:r w:rsidRPr="00CE1D7F">
        <w:rPr>
          <w:rStyle w:val="CaptionLabel"/>
        </w:rPr>
        <w:fldChar w:fldCharType="begin"/>
      </w:r>
      <w:r w:rsidRPr="00CE1D7F">
        <w:rPr>
          <w:rStyle w:val="CaptionLabel"/>
        </w:rPr>
        <w:instrText xml:space="preserve"> SEQ Figure \* ARABIC \S 1 \* MERGEFORMAT </w:instrText>
      </w:r>
      <w:r w:rsidRPr="00CE1D7F">
        <w:rPr>
          <w:rStyle w:val="CaptionLabel"/>
        </w:rPr>
        <w:fldChar w:fldCharType="separate"/>
      </w:r>
      <w:r w:rsidR="000B0AC7">
        <w:rPr>
          <w:rStyle w:val="CaptionLabel"/>
          <w:noProof/>
        </w:rPr>
        <w:t>1</w:t>
      </w:r>
      <w:r w:rsidRPr="00CE1D7F">
        <w:rPr>
          <w:rStyle w:val="CaptionLabel"/>
        </w:rPr>
        <w:fldChar w:fldCharType="end"/>
      </w:r>
      <w:bookmarkEnd w:id="609"/>
      <w:r w:rsidRPr="00CE1D7F">
        <w:tab/>
        <w:t>Repatriation of ancestral remains – Impact Framework Diagram</w:t>
      </w:r>
    </w:p>
    <w:tbl>
      <w:tblPr>
        <w:tblW w:w="6531" w:type="pct"/>
        <w:tblInd w:w="-2410" w:type="dxa"/>
        <w:tblBorders>
          <w:top w:val="single" w:sz="4" w:space="0" w:color="auto"/>
          <w:bottom w:val="single" w:sz="4" w:space="0" w:color="auto"/>
        </w:tblBorders>
        <w:tblLayout w:type="fixed"/>
        <w:tblCellMar>
          <w:left w:w="0" w:type="dxa"/>
          <w:right w:w="0" w:type="dxa"/>
        </w:tblCellMar>
        <w:tblLook w:val="0000" w:firstRow="0" w:lastRow="0" w:firstColumn="0" w:lastColumn="0" w:noHBand="0" w:noVBand="0"/>
        <w:tblCaption w:val="Figure 13.1"/>
        <w:tblDescription w:val="Repatriation of ancestral remains – Impact Framework Diagram"/>
      </w:tblPr>
      <w:tblGrid>
        <w:gridCol w:w="1700"/>
        <w:gridCol w:w="142"/>
        <w:gridCol w:w="2835"/>
        <w:gridCol w:w="142"/>
        <w:gridCol w:w="2126"/>
        <w:gridCol w:w="142"/>
        <w:gridCol w:w="1418"/>
        <w:gridCol w:w="141"/>
        <w:gridCol w:w="1720"/>
      </w:tblGrid>
      <w:tr w:rsidR="002B32A0" w:rsidRPr="00CE1D7F" w14:paraId="379EB382" w14:textId="77777777" w:rsidTr="00325D56">
        <w:trPr>
          <w:trHeight w:val="591"/>
        </w:trPr>
        <w:tc>
          <w:tcPr>
            <w:tcW w:w="1701" w:type="dxa"/>
            <w:tcBorders>
              <w:top w:val="nil"/>
              <w:left w:val="nil"/>
              <w:bottom w:val="nil"/>
              <w:right w:val="nil"/>
            </w:tcBorders>
            <w:shd w:val="clear" w:color="auto" w:fill="140034" w:themeFill="background2"/>
            <w:vAlign w:val="center"/>
          </w:tcPr>
          <w:p w14:paraId="3BD7FB8B" w14:textId="77777777" w:rsidR="002B32A0" w:rsidRPr="00CE1D7F" w:rsidRDefault="002B32A0" w:rsidP="006258ED">
            <w:pPr>
              <w:keepNext/>
              <w:spacing w:after="0" w:line="240" w:lineRule="auto"/>
              <w:jc w:val="center"/>
              <w:rPr>
                <w:rFonts w:cstheme="majorHAnsi"/>
                <w:b/>
                <w:color w:val="FFFFFF" w:themeColor="background1"/>
              </w:rPr>
            </w:pPr>
            <w:r w:rsidRPr="00CE1D7F">
              <w:rPr>
                <w:rFonts w:cstheme="majorHAnsi"/>
                <w:b/>
                <w:color w:val="FFFFFF" w:themeColor="background1"/>
              </w:rPr>
              <w:t>INPUTS</w:t>
            </w:r>
          </w:p>
        </w:tc>
        <w:tc>
          <w:tcPr>
            <w:tcW w:w="142" w:type="dxa"/>
            <w:tcBorders>
              <w:top w:val="nil"/>
              <w:left w:val="nil"/>
              <w:bottom w:val="nil"/>
              <w:right w:val="nil"/>
            </w:tcBorders>
            <w:shd w:val="clear" w:color="auto" w:fill="auto"/>
            <w:vAlign w:val="center"/>
          </w:tcPr>
          <w:p w14:paraId="67D9DC5C" w14:textId="77777777" w:rsidR="002B32A0" w:rsidRPr="00CE1D7F" w:rsidRDefault="002B32A0" w:rsidP="006258ED">
            <w:pPr>
              <w:keepNext/>
              <w:spacing w:after="0" w:line="240" w:lineRule="auto"/>
              <w:jc w:val="center"/>
              <w:rPr>
                <w:rFonts w:cstheme="majorHAnsi"/>
                <w:b/>
                <w:color w:val="FFFFFF" w:themeColor="background1"/>
              </w:rPr>
            </w:pPr>
          </w:p>
        </w:tc>
        <w:tc>
          <w:tcPr>
            <w:tcW w:w="2835" w:type="dxa"/>
            <w:tcBorders>
              <w:top w:val="nil"/>
              <w:left w:val="nil"/>
              <w:bottom w:val="nil"/>
              <w:right w:val="nil"/>
            </w:tcBorders>
            <w:shd w:val="clear" w:color="auto" w:fill="140034" w:themeFill="background2"/>
            <w:vAlign w:val="center"/>
          </w:tcPr>
          <w:p w14:paraId="2BE79F99" w14:textId="77777777" w:rsidR="002B32A0" w:rsidRPr="00CE1D7F" w:rsidRDefault="002B32A0" w:rsidP="006258ED">
            <w:pPr>
              <w:keepNext/>
              <w:spacing w:after="0" w:line="240" w:lineRule="auto"/>
              <w:jc w:val="center"/>
              <w:rPr>
                <w:rFonts w:cstheme="majorHAnsi"/>
                <w:b/>
                <w:color w:val="FFFFFF" w:themeColor="background1"/>
              </w:rPr>
            </w:pPr>
            <w:r w:rsidRPr="00CE1D7F">
              <w:rPr>
                <w:rFonts w:cstheme="majorHAnsi"/>
                <w:b/>
                <w:color w:val="FFFFFF" w:themeColor="background1"/>
              </w:rPr>
              <w:t>ACTIVITIES</w:t>
            </w:r>
          </w:p>
        </w:tc>
        <w:tc>
          <w:tcPr>
            <w:tcW w:w="142" w:type="dxa"/>
            <w:tcBorders>
              <w:top w:val="nil"/>
              <w:left w:val="nil"/>
              <w:bottom w:val="nil"/>
              <w:right w:val="nil"/>
            </w:tcBorders>
            <w:shd w:val="clear" w:color="auto" w:fill="auto"/>
            <w:vAlign w:val="center"/>
          </w:tcPr>
          <w:p w14:paraId="6FE272D1" w14:textId="77777777" w:rsidR="002B32A0" w:rsidRPr="00CE1D7F" w:rsidRDefault="002B32A0" w:rsidP="006258ED">
            <w:pPr>
              <w:keepNext/>
              <w:spacing w:after="0" w:line="240" w:lineRule="auto"/>
              <w:ind w:firstLine="34"/>
              <w:jc w:val="center"/>
              <w:rPr>
                <w:rFonts w:cstheme="majorHAnsi"/>
                <w:b/>
                <w:color w:val="FFFFFF" w:themeColor="background1"/>
              </w:rPr>
            </w:pPr>
          </w:p>
        </w:tc>
        <w:tc>
          <w:tcPr>
            <w:tcW w:w="2126" w:type="dxa"/>
            <w:tcBorders>
              <w:top w:val="nil"/>
              <w:left w:val="nil"/>
              <w:bottom w:val="nil"/>
              <w:right w:val="nil"/>
            </w:tcBorders>
            <w:shd w:val="clear" w:color="auto" w:fill="140034" w:themeFill="background2"/>
            <w:vAlign w:val="center"/>
          </w:tcPr>
          <w:p w14:paraId="5D5BABA4" w14:textId="77777777" w:rsidR="002B32A0" w:rsidRPr="00CE1D7F" w:rsidRDefault="002B32A0" w:rsidP="006258ED">
            <w:pPr>
              <w:keepNext/>
              <w:spacing w:after="0" w:line="240" w:lineRule="auto"/>
              <w:ind w:left="118"/>
              <w:jc w:val="center"/>
              <w:rPr>
                <w:rFonts w:cstheme="majorHAnsi"/>
                <w:b/>
                <w:color w:val="FFFFFF" w:themeColor="background1"/>
              </w:rPr>
            </w:pPr>
            <w:r w:rsidRPr="00CE1D7F">
              <w:rPr>
                <w:rFonts w:cstheme="majorHAnsi"/>
                <w:b/>
                <w:color w:val="FFFFFF" w:themeColor="background1"/>
              </w:rPr>
              <w:t>OUTPUTS</w:t>
            </w:r>
          </w:p>
        </w:tc>
        <w:tc>
          <w:tcPr>
            <w:tcW w:w="142" w:type="dxa"/>
            <w:tcBorders>
              <w:top w:val="nil"/>
              <w:left w:val="nil"/>
              <w:bottom w:val="nil"/>
              <w:right w:val="nil"/>
            </w:tcBorders>
            <w:shd w:val="clear" w:color="auto" w:fill="auto"/>
            <w:vAlign w:val="center"/>
          </w:tcPr>
          <w:p w14:paraId="20D4AC30" w14:textId="77777777" w:rsidR="002B32A0" w:rsidRPr="00CE1D7F" w:rsidRDefault="002B32A0" w:rsidP="006258ED">
            <w:pPr>
              <w:keepNext/>
              <w:spacing w:after="0" w:line="240" w:lineRule="auto"/>
              <w:ind w:firstLine="32"/>
              <w:jc w:val="center"/>
              <w:rPr>
                <w:rFonts w:cstheme="majorHAnsi"/>
                <w:b/>
                <w:color w:val="FFFFFF" w:themeColor="background1"/>
              </w:rPr>
            </w:pPr>
          </w:p>
        </w:tc>
        <w:tc>
          <w:tcPr>
            <w:tcW w:w="1418" w:type="dxa"/>
            <w:tcBorders>
              <w:top w:val="nil"/>
              <w:left w:val="nil"/>
              <w:bottom w:val="nil"/>
              <w:right w:val="nil"/>
            </w:tcBorders>
            <w:shd w:val="clear" w:color="auto" w:fill="140034" w:themeFill="background2"/>
            <w:vAlign w:val="center"/>
          </w:tcPr>
          <w:p w14:paraId="19DE7FB6" w14:textId="77777777" w:rsidR="002B32A0" w:rsidRPr="00CE1D7F" w:rsidRDefault="002B32A0" w:rsidP="006258ED">
            <w:pPr>
              <w:spacing w:after="0" w:line="240" w:lineRule="auto"/>
              <w:ind w:left="61"/>
              <w:jc w:val="center"/>
              <w:rPr>
                <w:rFonts w:cstheme="majorHAnsi"/>
                <w:b/>
                <w:color w:val="FFFFFF" w:themeColor="background1"/>
                <w:lang w:eastAsia="en-AU"/>
              </w:rPr>
            </w:pPr>
            <w:r w:rsidRPr="00CE1D7F">
              <w:rPr>
                <w:rFonts w:cstheme="majorHAnsi"/>
                <w:b/>
                <w:color w:val="FFFFFF" w:themeColor="background1"/>
                <w:lang w:eastAsia="en-AU"/>
              </w:rPr>
              <w:t>OUTCOMES</w:t>
            </w:r>
          </w:p>
        </w:tc>
        <w:tc>
          <w:tcPr>
            <w:tcW w:w="141" w:type="dxa"/>
            <w:tcBorders>
              <w:top w:val="nil"/>
              <w:left w:val="nil"/>
              <w:bottom w:val="nil"/>
              <w:right w:val="nil"/>
            </w:tcBorders>
            <w:shd w:val="clear" w:color="auto" w:fill="auto"/>
            <w:vAlign w:val="center"/>
          </w:tcPr>
          <w:p w14:paraId="07D62D88" w14:textId="77777777" w:rsidR="002B32A0" w:rsidRPr="00CE1D7F" w:rsidRDefault="002B32A0" w:rsidP="006258ED">
            <w:pPr>
              <w:keepNext/>
              <w:spacing w:after="0" w:line="240" w:lineRule="auto"/>
              <w:ind w:left="-65" w:firstLine="32"/>
              <w:jc w:val="center"/>
              <w:rPr>
                <w:rFonts w:cstheme="majorHAnsi"/>
                <w:b/>
                <w:color w:val="FFFFFF" w:themeColor="background1"/>
              </w:rPr>
            </w:pPr>
          </w:p>
        </w:tc>
        <w:tc>
          <w:tcPr>
            <w:tcW w:w="1720" w:type="dxa"/>
            <w:tcBorders>
              <w:top w:val="nil"/>
              <w:left w:val="nil"/>
              <w:bottom w:val="nil"/>
              <w:right w:val="nil"/>
            </w:tcBorders>
            <w:shd w:val="clear" w:color="auto" w:fill="140034" w:themeFill="background2"/>
            <w:vAlign w:val="center"/>
          </w:tcPr>
          <w:p w14:paraId="3E9D67AA" w14:textId="77777777" w:rsidR="002B32A0" w:rsidRPr="00CE1D7F" w:rsidRDefault="002B32A0" w:rsidP="006258ED">
            <w:pPr>
              <w:spacing w:after="0" w:line="240" w:lineRule="auto"/>
              <w:ind w:left="61"/>
              <w:jc w:val="center"/>
              <w:rPr>
                <w:rFonts w:cstheme="majorHAnsi"/>
                <w:b/>
                <w:color w:val="FFFFFF" w:themeColor="background1"/>
                <w:lang w:eastAsia="en-AU"/>
              </w:rPr>
            </w:pPr>
            <w:r w:rsidRPr="00CE1D7F">
              <w:rPr>
                <w:rFonts w:cstheme="majorHAnsi"/>
                <w:b/>
                <w:color w:val="FFFFFF" w:themeColor="background1"/>
                <w:lang w:eastAsia="en-AU"/>
              </w:rPr>
              <w:t>IMPACTS</w:t>
            </w:r>
          </w:p>
        </w:tc>
      </w:tr>
      <w:tr w:rsidR="002B32A0" w:rsidRPr="00CE1D7F" w14:paraId="3F1F8DE2" w14:textId="77777777" w:rsidTr="00325D56">
        <w:trPr>
          <w:trHeight w:hRule="exact" w:val="170"/>
        </w:trPr>
        <w:tc>
          <w:tcPr>
            <w:tcW w:w="1701" w:type="dxa"/>
            <w:tcBorders>
              <w:top w:val="nil"/>
              <w:bottom w:val="nil"/>
              <w:right w:val="single" w:sz="12" w:space="0" w:color="FFFFFF" w:themeColor="background1"/>
            </w:tcBorders>
          </w:tcPr>
          <w:p w14:paraId="5E595864" w14:textId="77777777" w:rsidR="002B32A0" w:rsidRPr="00CE1D7F" w:rsidRDefault="002B32A0" w:rsidP="006258ED">
            <w:pPr>
              <w:keepNext/>
              <w:spacing w:after="0" w:line="240" w:lineRule="auto"/>
              <w:ind w:hanging="3402"/>
              <w:jc w:val="center"/>
              <w:rPr>
                <w:rFonts w:ascii="Calibri" w:hAnsi="Calibri"/>
                <w:sz w:val="16"/>
                <w:szCs w:val="16"/>
              </w:rPr>
            </w:pPr>
          </w:p>
        </w:tc>
        <w:tc>
          <w:tcPr>
            <w:tcW w:w="142" w:type="dxa"/>
            <w:tcBorders>
              <w:top w:val="nil"/>
              <w:left w:val="single" w:sz="12" w:space="0" w:color="FFFFFF" w:themeColor="background1"/>
              <w:bottom w:val="single" w:sz="12" w:space="0" w:color="FFFFFF" w:themeColor="background1"/>
              <w:right w:val="single" w:sz="12" w:space="0" w:color="FFFFFF" w:themeColor="background1"/>
            </w:tcBorders>
          </w:tcPr>
          <w:p w14:paraId="24A0F030" w14:textId="77777777" w:rsidR="002B32A0" w:rsidRPr="00CE1D7F" w:rsidRDefault="002B32A0" w:rsidP="006258ED">
            <w:pPr>
              <w:keepNext/>
              <w:spacing w:after="0" w:line="240" w:lineRule="auto"/>
              <w:jc w:val="center"/>
              <w:rPr>
                <w:rFonts w:ascii="Calibri" w:hAnsi="Calibri"/>
                <w:sz w:val="16"/>
                <w:szCs w:val="16"/>
              </w:rPr>
            </w:pPr>
          </w:p>
        </w:tc>
        <w:tc>
          <w:tcPr>
            <w:tcW w:w="2835" w:type="dxa"/>
            <w:tcBorders>
              <w:top w:val="nil"/>
              <w:left w:val="single" w:sz="12" w:space="0" w:color="FFFFFF" w:themeColor="background1"/>
              <w:bottom w:val="nil"/>
              <w:right w:val="single" w:sz="12" w:space="0" w:color="FFFFFF" w:themeColor="background1"/>
            </w:tcBorders>
          </w:tcPr>
          <w:p w14:paraId="4D2B1E94" w14:textId="77777777" w:rsidR="002B32A0" w:rsidRPr="00CE1D7F" w:rsidRDefault="002B32A0" w:rsidP="006258ED">
            <w:pPr>
              <w:keepNext/>
              <w:spacing w:after="0" w:line="240" w:lineRule="auto"/>
              <w:ind w:left="-108"/>
              <w:jc w:val="center"/>
              <w:rPr>
                <w:rFonts w:ascii="Calibri" w:hAnsi="Calibri"/>
                <w:sz w:val="16"/>
                <w:szCs w:val="16"/>
              </w:rPr>
            </w:pPr>
          </w:p>
        </w:tc>
        <w:tc>
          <w:tcPr>
            <w:tcW w:w="142" w:type="dxa"/>
            <w:tcBorders>
              <w:top w:val="nil"/>
              <w:left w:val="single" w:sz="12" w:space="0" w:color="FFFFFF" w:themeColor="background1"/>
              <w:bottom w:val="nil"/>
              <w:right w:val="single" w:sz="12" w:space="0" w:color="FFFFFF" w:themeColor="background1"/>
            </w:tcBorders>
          </w:tcPr>
          <w:p w14:paraId="0A40F600" w14:textId="77777777" w:rsidR="002B32A0" w:rsidRPr="00CE1D7F" w:rsidRDefault="002B32A0" w:rsidP="006258ED">
            <w:pPr>
              <w:keepNext/>
              <w:spacing w:after="0" w:line="240" w:lineRule="auto"/>
              <w:ind w:firstLine="34"/>
              <w:jc w:val="center"/>
              <w:rPr>
                <w:rFonts w:ascii="Calibri" w:hAnsi="Calibri"/>
                <w:sz w:val="16"/>
                <w:szCs w:val="16"/>
              </w:rPr>
            </w:pPr>
          </w:p>
        </w:tc>
        <w:tc>
          <w:tcPr>
            <w:tcW w:w="2126" w:type="dxa"/>
            <w:tcBorders>
              <w:top w:val="nil"/>
              <w:left w:val="single" w:sz="12" w:space="0" w:color="FFFFFF" w:themeColor="background1"/>
              <w:bottom w:val="nil"/>
              <w:right w:val="single" w:sz="12" w:space="0" w:color="FFFFFF" w:themeColor="background1"/>
            </w:tcBorders>
          </w:tcPr>
          <w:p w14:paraId="792A167E" w14:textId="77777777" w:rsidR="002B32A0" w:rsidRPr="00CE1D7F" w:rsidRDefault="002B32A0" w:rsidP="006258ED">
            <w:pPr>
              <w:pStyle w:val="Tablelistbullet"/>
              <w:numPr>
                <w:ilvl w:val="0"/>
                <w:numId w:val="0"/>
              </w:numPr>
              <w:rPr>
                <w:rFonts w:ascii="Calibri" w:hAnsi="Calibri" w:cs="Arial"/>
                <w:sz w:val="16"/>
                <w:szCs w:val="16"/>
              </w:rPr>
            </w:pPr>
          </w:p>
        </w:tc>
        <w:tc>
          <w:tcPr>
            <w:tcW w:w="142" w:type="dxa"/>
            <w:tcBorders>
              <w:top w:val="nil"/>
              <w:left w:val="single" w:sz="12" w:space="0" w:color="FFFFFF" w:themeColor="background1"/>
              <w:bottom w:val="nil"/>
              <w:right w:val="single" w:sz="12" w:space="0" w:color="FFFFFF" w:themeColor="background1"/>
            </w:tcBorders>
          </w:tcPr>
          <w:p w14:paraId="5EADDE53" w14:textId="77777777" w:rsidR="002B32A0" w:rsidRPr="00CE1D7F" w:rsidRDefault="002B32A0" w:rsidP="006258ED">
            <w:pPr>
              <w:keepNext/>
              <w:spacing w:after="0" w:line="240" w:lineRule="auto"/>
              <w:ind w:hanging="3402"/>
              <w:jc w:val="center"/>
              <w:rPr>
                <w:rFonts w:ascii="Calibri" w:hAnsi="Calibri"/>
                <w:sz w:val="16"/>
                <w:szCs w:val="16"/>
              </w:rPr>
            </w:pPr>
          </w:p>
        </w:tc>
        <w:tc>
          <w:tcPr>
            <w:tcW w:w="1418" w:type="dxa"/>
            <w:tcBorders>
              <w:top w:val="nil"/>
              <w:left w:val="single" w:sz="12" w:space="0" w:color="FFFFFF" w:themeColor="background1"/>
              <w:bottom w:val="nil"/>
              <w:right w:val="single" w:sz="12" w:space="0" w:color="FFFFFF" w:themeColor="background1"/>
            </w:tcBorders>
          </w:tcPr>
          <w:p w14:paraId="4F370E69" w14:textId="77777777" w:rsidR="002B32A0" w:rsidRPr="00CE1D7F" w:rsidRDefault="002B32A0" w:rsidP="006258ED">
            <w:pPr>
              <w:keepNext/>
              <w:spacing w:after="0" w:line="240" w:lineRule="auto"/>
              <w:jc w:val="center"/>
              <w:rPr>
                <w:rFonts w:ascii="Calibri" w:hAnsi="Calibri"/>
                <w:sz w:val="16"/>
                <w:szCs w:val="16"/>
              </w:rPr>
            </w:pPr>
          </w:p>
        </w:tc>
        <w:tc>
          <w:tcPr>
            <w:tcW w:w="141" w:type="dxa"/>
            <w:tcBorders>
              <w:top w:val="nil"/>
              <w:left w:val="single" w:sz="12" w:space="0" w:color="FFFFFF" w:themeColor="background1"/>
              <w:bottom w:val="nil"/>
              <w:right w:val="single" w:sz="12" w:space="0" w:color="FFFFFF" w:themeColor="background1"/>
            </w:tcBorders>
          </w:tcPr>
          <w:p w14:paraId="0E30C071" w14:textId="77777777" w:rsidR="002B32A0" w:rsidRPr="00CE1D7F" w:rsidRDefault="002B32A0" w:rsidP="006258ED">
            <w:pPr>
              <w:keepNext/>
              <w:spacing w:after="0" w:line="240" w:lineRule="auto"/>
              <w:ind w:left="-17" w:firstLine="32"/>
              <w:jc w:val="center"/>
              <w:rPr>
                <w:rFonts w:ascii="Calibri" w:hAnsi="Calibri"/>
                <w:sz w:val="16"/>
                <w:szCs w:val="16"/>
              </w:rPr>
            </w:pPr>
          </w:p>
        </w:tc>
        <w:tc>
          <w:tcPr>
            <w:tcW w:w="1720" w:type="dxa"/>
            <w:tcBorders>
              <w:top w:val="nil"/>
              <w:left w:val="single" w:sz="12" w:space="0" w:color="FFFFFF" w:themeColor="background1"/>
              <w:bottom w:val="nil"/>
              <w:right w:val="single" w:sz="12" w:space="0" w:color="FFFFFF" w:themeColor="background1"/>
            </w:tcBorders>
          </w:tcPr>
          <w:p w14:paraId="7F5370E9" w14:textId="77777777" w:rsidR="002B32A0" w:rsidRPr="00CE1D7F" w:rsidRDefault="002B32A0" w:rsidP="006258ED">
            <w:pPr>
              <w:keepNext/>
              <w:spacing w:after="0" w:line="240" w:lineRule="auto"/>
              <w:ind w:left="96"/>
              <w:jc w:val="center"/>
              <w:rPr>
                <w:rFonts w:ascii="Calibri" w:hAnsi="Calibri"/>
                <w:sz w:val="16"/>
                <w:szCs w:val="16"/>
              </w:rPr>
            </w:pPr>
          </w:p>
        </w:tc>
      </w:tr>
      <w:tr w:rsidR="002B32A0" w:rsidRPr="00CE1D7F" w14:paraId="7E014E95" w14:textId="77777777" w:rsidTr="00325D56">
        <w:trPr>
          <w:trHeight w:val="4790"/>
        </w:trPr>
        <w:tc>
          <w:tcPr>
            <w:tcW w:w="1701" w:type="dxa"/>
            <w:tcBorders>
              <w:top w:val="nil"/>
              <w:left w:val="nil"/>
              <w:bottom w:val="nil"/>
              <w:right w:val="nil"/>
            </w:tcBorders>
            <w:shd w:val="clear" w:color="auto" w:fill="DEDEDE" w:themeFill="accent3" w:themeFillTint="99"/>
          </w:tcPr>
          <w:p w14:paraId="3892FF07" w14:textId="77777777" w:rsidR="002B32A0" w:rsidRPr="00CE1D7F" w:rsidRDefault="002B32A0" w:rsidP="002B32A0">
            <w:pPr>
              <w:pStyle w:val="Tablelistbullet"/>
              <w:numPr>
                <w:ilvl w:val="0"/>
                <w:numId w:val="64"/>
              </w:numPr>
              <w:spacing w:before="60" w:after="0"/>
              <w:ind w:right="120"/>
            </w:pPr>
            <w:r w:rsidRPr="00CE1D7F">
              <w:t>$3</w:t>
            </w:r>
            <w:r>
              <w:t> million</w:t>
            </w:r>
            <w:r w:rsidRPr="00CE1D7F">
              <w:t xml:space="preserve"> in funding from the ARC</w:t>
            </w:r>
          </w:p>
          <w:p w14:paraId="7A4E86E8" w14:textId="77777777" w:rsidR="002B32A0" w:rsidRPr="00CE1D7F" w:rsidRDefault="002B32A0" w:rsidP="002B32A0">
            <w:pPr>
              <w:pStyle w:val="Tablelistbullet"/>
              <w:numPr>
                <w:ilvl w:val="0"/>
                <w:numId w:val="64"/>
              </w:numPr>
              <w:spacing w:before="60" w:after="0"/>
              <w:ind w:right="120"/>
            </w:pPr>
            <w:r w:rsidRPr="00CE1D7F">
              <w:t>$</w:t>
            </w:r>
            <w:r>
              <w:t>5.9 million</w:t>
            </w:r>
            <w:r w:rsidRPr="00CE1D7F">
              <w:t xml:space="preserve"> in </w:t>
            </w:r>
            <w:r>
              <w:t>cash and in-kind support from other organisations</w:t>
            </w:r>
          </w:p>
          <w:p w14:paraId="319A6A8B" w14:textId="77777777" w:rsidR="002B32A0" w:rsidRPr="00CE1D7F" w:rsidRDefault="002B32A0" w:rsidP="002B32A0">
            <w:pPr>
              <w:pStyle w:val="ListParagraph"/>
              <w:numPr>
                <w:ilvl w:val="0"/>
                <w:numId w:val="64"/>
              </w:numPr>
              <w:rPr>
                <w:rFonts w:cstheme="minorBidi"/>
                <w:color w:val="000100"/>
                <w:sz w:val="20"/>
              </w:rPr>
            </w:pPr>
            <w:r w:rsidRPr="00CE1D7F">
              <w:rPr>
                <w:sz w:val="20"/>
                <w:szCs w:val="20"/>
              </w:rPr>
              <w:t xml:space="preserve">Ongoing support and collaboration from founding partners the Ngarrindjeri Regional Authority, </w:t>
            </w:r>
            <w:r w:rsidRPr="00CE1D7F">
              <w:rPr>
                <w:rFonts w:cstheme="minorBidi"/>
                <w:color w:val="000100"/>
                <w:sz w:val="20"/>
              </w:rPr>
              <w:t>Kimberley Aboriginal Law and Culture Centre and the Gur A Baradharaw Kod Sea and Land Council Torres Strait Islander Corporation</w:t>
            </w:r>
          </w:p>
        </w:tc>
        <w:tc>
          <w:tcPr>
            <w:tcW w:w="142" w:type="dxa"/>
            <w:tcBorders>
              <w:top w:val="single" w:sz="12" w:space="0" w:color="FFFFFF" w:themeColor="background1"/>
              <w:left w:val="nil"/>
              <w:bottom w:val="nil"/>
              <w:right w:val="nil"/>
            </w:tcBorders>
          </w:tcPr>
          <w:p w14:paraId="0BF61E81" w14:textId="77777777" w:rsidR="002B32A0" w:rsidRPr="00CE1D7F" w:rsidRDefault="002B32A0" w:rsidP="006258ED">
            <w:pPr>
              <w:pStyle w:val="BodyText"/>
            </w:pPr>
          </w:p>
        </w:tc>
        <w:tc>
          <w:tcPr>
            <w:tcW w:w="2835" w:type="dxa"/>
            <w:tcBorders>
              <w:top w:val="nil"/>
              <w:left w:val="nil"/>
              <w:bottom w:val="nil"/>
              <w:right w:val="nil"/>
            </w:tcBorders>
            <w:shd w:val="clear" w:color="auto" w:fill="DEDEDE" w:themeFill="accent3" w:themeFillTint="99"/>
          </w:tcPr>
          <w:p w14:paraId="7BFD03B1" w14:textId="77777777" w:rsidR="002B32A0" w:rsidRPr="00CE1D7F" w:rsidRDefault="002B32A0" w:rsidP="002B32A0">
            <w:pPr>
              <w:pStyle w:val="Tablelistbullet"/>
              <w:numPr>
                <w:ilvl w:val="0"/>
                <w:numId w:val="64"/>
              </w:numPr>
              <w:spacing w:before="60" w:after="0"/>
              <w:ind w:right="120"/>
            </w:pPr>
            <w:r w:rsidRPr="00CE1D7F">
              <w:t>Historical research that identifies opportunities for repatriation and builds the evidence base for future practice</w:t>
            </w:r>
          </w:p>
          <w:p w14:paraId="34838C6C" w14:textId="77777777" w:rsidR="002B32A0" w:rsidRPr="00CE1D7F" w:rsidRDefault="002B32A0" w:rsidP="002B32A0">
            <w:pPr>
              <w:pStyle w:val="Tablelistbullet"/>
              <w:numPr>
                <w:ilvl w:val="0"/>
                <w:numId w:val="64"/>
              </w:numPr>
              <w:spacing w:before="60" w:after="0"/>
              <w:ind w:right="120"/>
            </w:pPr>
            <w:r w:rsidRPr="00CE1D7F">
              <w:t xml:space="preserve">The development of a website, a living Digital Archive and associated Indigenous governance arrangements which raise awareness of the meaning and value of repatriation and support an expanding national and international network of repatriation communities </w:t>
            </w:r>
          </w:p>
          <w:p w14:paraId="35AECD19" w14:textId="77777777" w:rsidR="002B32A0" w:rsidRPr="00CE1D7F" w:rsidRDefault="002B32A0" w:rsidP="002B32A0">
            <w:pPr>
              <w:pStyle w:val="Tablelistbullet"/>
              <w:numPr>
                <w:ilvl w:val="0"/>
                <w:numId w:val="64"/>
              </w:numPr>
              <w:spacing w:before="60" w:after="0"/>
              <w:ind w:right="120"/>
            </w:pPr>
            <w:r w:rsidRPr="00CE1D7F">
              <w:t xml:space="preserve">Community engaged theoretical and empirical research that has, for example, advanced understanding of the history of theft, search, and return; Indigenous Digital Archive governance, and the relationship between repatriation, healing, and reconciliation </w:t>
            </w:r>
          </w:p>
          <w:p w14:paraId="0DFF04F6" w14:textId="77777777" w:rsidR="002B32A0" w:rsidRPr="00CE1D7F" w:rsidRDefault="002B32A0" w:rsidP="002B32A0">
            <w:pPr>
              <w:pStyle w:val="Tablelistbullet"/>
              <w:numPr>
                <w:ilvl w:val="0"/>
                <w:numId w:val="64"/>
              </w:numPr>
              <w:spacing w:before="60" w:after="0"/>
              <w:ind w:right="120"/>
            </w:pPr>
            <w:r w:rsidRPr="00CE1D7F">
              <w:t>Empirical mapping of Indigenous ancestral remains around the world</w:t>
            </w:r>
          </w:p>
          <w:p w14:paraId="0B6E12C8" w14:textId="77777777" w:rsidR="002B32A0" w:rsidRPr="00CE1D7F" w:rsidRDefault="002B32A0" w:rsidP="002B32A0">
            <w:pPr>
              <w:pStyle w:val="Tablelistbullet"/>
              <w:numPr>
                <w:ilvl w:val="0"/>
                <w:numId w:val="64"/>
              </w:numPr>
              <w:spacing w:before="60" w:after="0"/>
              <w:ind w:right="120"/>
            </w:pPr>
            <w:r w:rsidRPr="00CE1D7F">
              <w:t>Collaboration exemplifying significant knowledge transfer between researchers, institutions, governments, and community in Australia and internationally</w:t>
            </w:r>
          </w:p>
        </w:tc>
        <w:tc>
          <w:tcPr>
            <w:tcW w:w="142" w:type="dxa"/>
            <w:tcBorders>
              <w:top w:val="nil"/>
              <w:left w:val="nil"/>
              <w:bottom w:val="nil"/>
              <w:right w:val="nil"/>
            </w:tcBorders>
          </w:tcPr>
          <w:p w14:paraId="18D34C17" w14:textId="77777777" w:rsidR="002B32A0" w:rsidRPr="00CE1D7F" w:rsidRDefault="002B32A0" w:rsidP="006258ED">
            <w:pPr>
              <w:pStyle w:val="Tabletext"/>
            </w:pPr>
          </w:p>
        </w:tc>
        <w:tc>
          <w:tcPr>
            <w:tcW w:w="2126" w:type="dxa"/>
            <w:tcBorders>
              <w:top w:val="nil"/>
              <w:left w:val="nil"/>
              <w:bottom w:val="nil"/>
              <w:right w:val="nil"/>
            </w:tcBorders>
            <w:shd w:val="clear" w:color="auto" w:fill="DEDEDE" w:themeFill="accent3" w:themeFillTint="99"/>
          </w:tcPr>
          <w:p w14:paraId="7D1AC221" w14:textId="77777777" w:rsidR="002B32A0" w:rsidRPr="00CE1D7F" w:rsidRDefault="002B32A0" w:rsidP="002B32A0">
            <w:pPr>
              <w:pStyle w:val="Tablelistbullet"/>
              <w:numPr>
                <w:ilvl w:val="0"/>
                <w:numId w:val="64"/>
              </w:numPr>
              <w:spacing w:before="60" w:after="0"/>
              <w:ind w:right="120"/>
            </w:pPr>
            <w:r w:rsidRPr="00CE1D7F">
              <w:t>Publications, conference papers and international symposiums</w:t>
            </w:r>
          </w:p>
          <w:p w14:paraId="0696598A" w14:textId="77777777" w:rsidR="002B32A0" w:rsidRPr="00CE1D7F" w:rsidRDefault="002B32A0" w:rsidP="002B32A0">
            <w:pPr>
              <w:pStyle w:val="Tablelistbullet"/>
              <w:numPr>
                <w:ilvl w:val="0"/>
                <w:numId w:val="64"/>
              </w:numPr>
              <w:spacing w:before="60" w:after="0"/>
              <w:ind w:right="120"/>
            </w:pPr>
            <w:r w:rsidRPr="00CE1D7F">
              <w:t>Practitioner handbooks and guidance material, tool kits, Country Reports and Community Reports</w:t>
            </w:r>
          </w:p>
          <w:p w14:paraId="50F5A5D3" w14:textId="77777777" w:rsidR="002B32A0" w:rsidRPr="00CE1D7F" w:rsidRDefault="002B32A0" w:rsidP="002B32A0">
            <w:pPr>
              <w:pStyle w:val="Tablelistbullet"/>
              <w:numPr>
                <w:ilvl w:val="0"/>
                <w:numId w:val="64"/>
              </w:numPr>
              <w:spacing w:before="60" w:after="0"/>
              <w:ind w:right="120"/>
            </w:pPr>
            <w:r w:rsidRPr="00CE1D7F">
              <w:t>National and internationally recognised Archive and e-research infrastructure</w:t>
            </w:r>
          </w:p>
          <w:p w14:paraId="7AE76D4F" w14:textId="77777777" w:rsidR="002B32A0" w:rsidRPr="00CE1D7F" w:rsidRDefault="002B32A0" w:rsidP="002B32A0">
            <w:pPr>
              <w:pStyle w:val="Tablelistbullet"/>
              <w:numPr>
                <w:ilvl w:val="0"/>
                <w:numId w:val="64"/>
              </w:numPr>
              <w:spacing w:before="60" w:after="0"/>
              <w:ind w:right="120"/>
            </w:pPr>
            <w:r w:rsidRPr="00CE1D7F">
              <w:t>Masters course and professional and practitioner training courses and micro-credentials</w:t>
            </w:r>
          </w:p>
          <w:p w14:paraId="1B5971DA" w14:textId="77777777" w:rsidR="002B32A0" w:rsidRPr="00CE1D7F" w:rsidRDefault="002B32A0" w:rsidP="002B32A0">
            <w:pPr>
              <w:pStyle w:val="Tablelistbullet"/>
              <w:numPr>
                <w:ilvl w:val="0"/>
                <w:numId w:val="64"/>
              </w:numPr>
              <w:spacing w:before="60" w:after="0"/>
              <w:ind w:right="120"/>
            </w:pPr>
            <w:r w:rsidRPr="00CE1D7F">
              <w:t>World first Graduate Certificate in Repatriation and Restitution planned for delivery at ANU in 2023</w:t>
            </w:r>
          </w:p>
          <w:p w14:paraId="51717F4D" w14:textId="77777777" w:rsidR="002B32A0" w:rsidRPr="00CE1D7F" w:rsidRDefault="002B32A0" w:rsidP="002B32A0">
            <w:pPr>
              <w:pStyle w:val="Tablelistbullet"/>
              <w:numPr>
                <w:ilvl w:val="0"/>
                <w:numId w:val="64"/>
              </w:numPr>
              <w:spacing w:before="60" w:after="0"/>
              <w:ind w:right="120"/>
            </w:pPr>
            <w:r w:rsidRPr="00CE1D7F">
              <w:t>The RRR website provides communities and the general public with access to information that supports repatriation research and repatriation outcomes</w:t>
            </w:r>
          </w:p>
        </w:tc>
        <w:tc>
          <w:tcPr>
            <w:tcW w:w="142" w:type="dxa"/>
            <w:tcBorders>
              <w:top w:val="nil"/>
              <w:left w:val="nil"/>
              <w:bottom w:val="nil"/>
              <w:right w:val="nil"/>
            </w:tcBorders>
          </w:tcPr>
          <w:p w14:paraId="0A2D9547" w14:textId="77777777" w:rsidR="002B32A0" w:rsidRPr="00CE1D7F" w:rsidRDefault="002B32A0" w:rsidP="006258ED">
            <w:pPr>
              <w:pStyle w:val="Tabletext"/>
            </w:pPr>
          </w:p>
        </w:tc>
        <w:tc>
          <w:tcPr>
            <w:tcW w:w="1418" w:type="dxa"/>
            <w:tcBorders>
              <w:top w:val="nil"/>
              <w:left w:val="nil"/>
              <w:bottom w:val="nil"/>
              <w:right w:val="nil"/>
            </w:tcBorders>
            <w:shd w:val="clear" w:color="auto" w:fill="DEDEDE" w:themeFill="accent3" w:themeFillTint="99"/>
          </w:tcPr>
          <w:p w14:paraId="11C47247" w14:textId="77777777" w:rsidR="002B32A0" w:rsidRPr="00CE1D7F" w:rsidRDefault="002B32A0" w:rsidP="002B32A0">
            <w:pPr>
              <w:pStyle w:val="Tablelistbullet"/>
              <w:numPr>
                <w:ilvl w:val="0"/>
                <w:numId w:val="64"/>
              </w:numPr>
              <w:spacing w:before="60" w:after="0"/>
              <w:ind w:right="120"/>
            </w:pPr>
            <w:r w:rsidRPr="00CE1D7F">
              <w:t>Extensive utilisation of archival information and research outputs</w:t>
            </w:r>
          </w:p>
          <w:p w14:paraId="3860CB16" w14:textId="77777777" w:rsidR="002B32A0" w:rsidRPr="00CE1D7F" w:rsidRDefault="002B32A0" w:rsidP="002B32A0">
            <w:pPr>
              <w:pStyle w:val="Tablelistbullet"/>
              <w:numPr>
                <w:ilvl w:val="0"/>
                <w:numId w:val="64"/>
              </w:numPr>
              <w:spacing w:before="60" w:after="0"/>
              <w:ind w:right="120"/>
            </w:pPr>
            <w:r w:rsidRPr="00CE1D7F">
              <w:t>The development of a national and international community of practice for repatriation</w:t>
            </w:r>
          </w:p>
          <w:p w14:paraId="745BD4CB" w14:textId="77777777" w:rsidR="002B32A0" w:rsidRPr="00CE1D7F" w:rsidRDefault="002B32A0" w:rsidP="002B32A0">
            <w:pPr>
              <w:pStyle w:val="Tablelistbullet"/>
              <w:numPr>
                <w:ilvl w:val="0"/>
                <w:numId w:val="64"/>
              </w:numPr>
              <w:spacing w:before="60" w:after="0"/>
              <w:ind w:right="120"/>
            </w:pPr>
            <w:r w:rsidRPr="00CE1D7F">
              <w:t>Alignment with Government support for the repatriation of Aboriginal and Torres Strait Islander ancestral remains and secret sacred objects, which contributes to healing and reconciliation</w:t>
            </w:r>
          </w:p>
        </w:tc>
        <w:tc>
          <w:tcPr>
            <w:tcW w:w="141" w:type="dxa"/>
            <w:tcBorders>
              <w:top w:val="nil"/>
              <w:left w:val="nil"/>
              <w:bottom w:val="nil"/>
              <w:right w:val="nil"/>
            </w:tcBorders>
          </w:tcPr>
          <w:p w14:paraId="01FF6CBB" w14:textId="77777777" w:rsidR="002B32A0" w:rsidRPr="00CE1D7F" w:rsidRDefault="002B32A0" w:rsidP="006258ED">
            <w:pPr>
              <w:pStyle w:val="Tabletext"/>
            </w:pPr>
          </w:p>
        </w:tc>
        <w:tc>
          <w:tcPr>
            <w:tcW w:w="1720" w:type="dxa"/>
            <w:tcBorders>
              <w:top w:val="nil"/>
              <w:left w:val="nil"/>
              <w:bottom w:val="nil"/>
              <w:right w:val="nil"/>
            </w:tcBorders>
            <w:shd w:val="clear" w:color="auto" w:fill="DEDEDE" w:themeFill="accent3" w:themeFillTint="99"/>
          </w:tcPr>
          <w:p w14:paraId="3EFAF483" w14:textId="77777777" w:rsidR="002B32A0" w:rsidRPr="00CE1D7F" w:rsidRDefault="002B32A0" w:rsidP="002B32A0">
            <w:pPr>
              <w:pStyle w:val="Tablelistbullet"/>
              <w:numPr>
                <w:ilvl w:val="0"/>
                <w:numId w:val="64"/>
              </w:numPr>
              <w:spacing w:before="60" w:after="0"/>
              <w:ind w:right="120"/>
            </w:pPr>
            <w:r w:rsidRPr="00CE1D7F">
              <w:t>Reduction in the search, research and administrative costs associated with repatriation for all stakeholders</w:t>
            </w:r>
          </w:p>
          <w:p w14:paraId="3C83105F" w14:textId="77777777" w:rsidR="002B32A0" w:rsidRPr="00CE1D7F" w:rsidRDefault="002B32A0" w:rsidP="002B32A0">
            <w:pPr>
              <w:pStyle w:val="Tablelistbullet"/>
              <w:numPr>
                <w:ilvl w:val="0"/>
                <w:numId w:val="64"/>
              </w:numPr>
              <w:spacing w:before="60" w:after="0"/>
              <w:ind w:right="120"/>
            </w:pPr>
            <w:r w:rsidRPr="00CE1D7F">
              <w:t xml:space="preserve">Years of pain and suffering avoided by communities involved in the repatriation of ancestral remains </w:t>
            </w:r>
          </w:p>
          <w:p w14:paraId="0B17E1A2" w14:textId="77777777" w:rsidR="002B32A0" w:rsidRPr="00CE1D7F" w:rsidRDefault="002B32A0" w:rsidP="002B32A0">
            <w:pPr>
              <w:pStyle w:val="Tablelistbullet"/>
              <w:numPr>
                <w:ilvl w:val="0"/>
                <w:numId w:val="64"/>
              </w:numPr>
              <w:spacing w:before="60" w:after="0"/>
              <w:ind w:right="120"/>
            </w:pPr>
            <w:r w:rsidRPr="00CE1D7F">
              <w:t xml:space="preserve">Professional development and training of practitioners </w:t>
            </w:r>
          </w:p>
          <w:p w14:paraId="2E37C484" w14:textId="77777777" w:rsidR="002B32A0" w:rsidRPr="00CE1D7F" w:rsidRDefault="002B32A0" w:rsidP="002B32A0">
            <w:pPr>
              <w:pStyle w:val="Tablelistbullet"/>
              <w:numPr>
                <w:ilvl w:val="0"/>
                <w:numId w:val="64"/>
              </w:numPr>
              <w:spacing w:before="60" w:after="0"/>
              <w:ind w:right="120"/>
            </w:pPr>
            <w:r w:rsidRPr="00CE1D7F">
              <w:t>An international community of practitioners, researchers and government officials</w:t>
            </w:r>
          </w:p>
          <w:p w14:paraId="2C7ACC6D" w14:textId="77777777" w:rsidR="002B32A0" w:rsidRPr="00CE1D7F" w:rsidRDefault="002B32A0" w:rsidP="002B32A0">
            <w:pPr>
              <w:pStyle w:val="Tablelistbullet"/>
              <w:numPr>
                <w:ilvl w:val="0"/>
                <w:numId w:val="64"/>
              </w:numPr>
              <w:spacing w:before="60" w:after="0"/>
              <w:ind w:right="120"/>
            </w:pPr>
            <w:r w:rsidRPr="00CE1D7F">
              <w:t xml:space="preserve">Critical support in the development of a National Resting Place for poorly provenanced ancestral remains </w:t>
            </w:r>
          </w:p>
        </w:tc>
      </w:tr>
      <w:tr w:rsidR="002B32A0" w:rsidRPr="00CE1D7F" w14:paraId="49A7D738" w14:textId="77777777" w:rsidTr="00325D56">
        <w:tblPrEx>
          <w:tblBorders>
            <w:top w:val="none" w:sz="0" w:space="0" w:color="auto"/>
            <w:bottom w:val="none" w:sz="0" w:space="0" w:color="auto"/>
          </w:tblBorders>
        </w:tblPrEx>
        <w:trPr>
          <w:trHeight w:val="135"/>
        </w:trPr>
        <w:tc>
          <w:tcPr>
            <w:tcW w:w="10367" w:type="dxa"/>
            <w:gridSpan w:val="9"/>
            <w:tcBorders>
              <w:bottom w:val="single" w:sz="4" w:space="0" w:color="000100"/>
            </w:tcBorders>
            <w:shd w:val="clear" w:color="auto" w:fill="auto"/>
            <w:tcMar>
              <w:top w:w="12" w:type="dxa"/>
              <w:bottom w:w="113" w:type="dxa"/>
            </w:tcMar>
          </w:tcPr>
          <w:p w14:paraId="133093EE" w14:textId="77777777" w:rsidR="002B32A0" w:rsidRPr="00CE1D7F" w:rsidRDefault="002B32A0" w:rsidP="006258ED">
            <w:pPr>
              <w:pStyle w:val="Source"/>
            </w:pPr>
            <w:r w:rsidRPr="00CE1D7F">
              <w:t>Source: ACIL Allen</w:t>
            </w:r>
          </w:p>
        </w:tc>
      </w:tr>
      <w:tr w:rsidR="002B32A0" w:rsidRPr="00CE1D7F" w14:paraId="41204AA2" w14:textId="77777777" w:rsidTr="00325D56">
        <w:tblPrEx>
          <w:tblBorders>
            <w:top w:val="none" w:sz="0" w:space="0" w:color="auto"/>
            <w:bottom w:val="none" w:sz="0" w:space="0" w:color="auto"/>
          </w:tblBorders>
        </w:tblPrEx>
        <w:trPr>
          <w:trHeight w:hRule="exact" w:val="160"/>
        </w:trPr>
        <w:tc>
          <w:tcPr>
            <w:tcW w:w="10367" w:type="dxa"/>
            <w:gridSpan w:val="9"/>
            <w:tcBorders>
              <w:top w:val="single" w:sz="4" w:space="0" w:color="000100"/>
            </w:tcBorders>
            <w:shd w:val="clear" w:color="auto" w:fill="auto"/>
            <w:tcMar>
              <w:top w:w="0" w:type="dxa"/>
              <w:bottom w:w="40" w:type="dxa"/>
            </w:tcMar>
          </w:tcPr>
          <w:p w14:paraId="46F85D4E" w14:textId="77777777" w:rsidR="002B32A0" w:rsidRPr="00CE1D7F" w:rsidRDefault="002B32A0" w:rsidP="006258ED">
            <w:pPr>
              <w:pStyle w:val="spacer"/>
            </w:pPr>
          </w:p>
        </w:tc>
      </w:tr>
    </w:tbl>
    <w:p w14:paraId="0EDC05C4" w14:textId="77777777" w:rsidR="002B32A0" w:rsidRPr="00CE1D7F" w:rsidRDefault="002B32A0" w:rsidP="002B32A0">
      <w:pPr>
        <w:pStyle w:val="Heading2"/>
      </w:pPr>
      <w:bookmarkStart w:id="610" w:name="_Toc129964017"/>
      <w:bookmarkStart w:id="611" w:name="_Toc131174655"/>
      <w:bookmarkStart w:id="612" w:name="_Toc132970726"/>
      <w:bookmarkStart w:id="613" w:name="_Toc135323765"/>
      <w:r w:rsidRPr="00CE1D7F">
        <w:t>Background</w:t>
      </w:r>
      <w:bookmarkEnd w:id="610"/>
      <w:bookmarkEnd w:id="611"/>
      <w:bookmarkEnd w:id="612"/>
      <w:bookmarkEnd w:id="613"/>
    </w:p>
    <w:p w14:paraId="29D5ECAC" w14:textId="77777777" w:rsidR="002B32A0" w:rsidRPr="00CE1D7F" w:rsidRDefault="002B32A0" w:rsidP="002B32A0">
      <w:pPr>
        <w:pStyle w:val="BodyText"/>
      </w:pPr>
      <w:r w:rsidRPr="00CE1D7F">
        <w:t xml:space="preserve">This case study relates to projects funded under the following </w:t>
      </w:r>
      <w:r>
        <w:t xml:space="preserve">ARC </w:t>
      </w:r>
      <w:r w:rsidRPr="00CE1D7F">
        <w:t>schemes:</w:t>
      </w:r>
    </w:p>
    <w:p w14:paraId="0EE54C5E" w14:textId="77777777" w:rsidR="002B32A0" w:rsidRPr="00CE1D7F" w:rsidRDefault="002B32A0" w:rsidP="000675C0">
      <w:pPr>
        <w:pStyle w:val="ListBullet"/>
      </w:pPr>
      <w:r w:rsidRPr="00CE1D7F">
        <w:t>Discovery Program</w:t>
      </w:r>
      <w:r>
        <w:t xml:space="preserve">: </w:t>
      </w:r>
      <w:r w:rsidRPr="00DD5811">
        <w:rPr>
          <w:b/>
          <w:bCs/>
        </w:rPr>
        <w:t>Discovery Projects</w:t>
      </w:r>
      <w:r w:rsidRPr="00CE1D7F">
        <w:t>.</w:t>
      </w:r>
    </w:p>
    <w:p w14:paraId="0DAF6960" w14:textId="77777777" w:rsidR="002B32A0" w:rsidRPr="00CE1D7F" w:rsidRDefault="002B32A0" w:rsidP="000675C0">
      <w:pPr>
        <w:pStyle w:val="ListBullet"/>
      </w:pPr>
      <w:r w:rsidRPr="00CE1D7F">
        <w:t>Linkage Program</w:t>
      </w:r>
      <w:r>
        <w:t xml:space="preserve">: </w:t>
      </w:r>
      <w:r w:rsidRPr="00DD5811">
        <w:t>Linkage Infrastructure, Equipment and Facilities</w:t>
      </w:r>
      <w:r w:rsidRPr="00CE1D7F">
        <w:t xml:space="preserve"> </w:t>
      </w:r>
      <w:r>
        <w:t xml:space="preserve">and </w:t>
      </w:r>
      <w:r w:rsidRPr="00DD5811">
        <w:t>Linkage Projects</w:t>
      </w:r>
      <w:r w:rsidRPr="00CE1D7F">
        <w:t>.</w:t>
      </w:r>
    </w:p>
    <w:p w14:paraId="1D6A3655" w14:textId="77777777" w:rsidR="002B32A0" w:rsidRPr="00CE1D7F" w:rsidRDefault="002B32A0" w:rsidP="002B32A0">
      <w:pPr>
        <w:pStyle w:val="Heading3"/>
      </w:pPr>
      <w:r w:rsidRPr="00CE1D7F">
        <w:t xml:space="preserve">Repatriation research and practice </w:t>
      </w:r>
    </w:p>
    <w:p w14:paraId="0EB32609" w14:textId="6900C72A" w:rsidR="002B32A0" w:rsidRPr="00CE1D7F" w:rsidRDefault="002B32A0" w:rsidP="002B32A0">
      <w:pPr>
        <w:pStyle w:val="BodyText"/>
      </w:pPr>
      <w:r w:rsidRPr="00CE1D7F">
        <w:t>For more than 2 centuries, Indigenous ancestral remains were removed from their communities of origin to be held in Australian and overseas universities, public museums and private collections.</w:t>
      </w:r>
      <w:r w:rsidRPr="00CE1D7F">
        <w:rPr>
          <w:rStyle w:val="FootnoteReference"/>
        </w:rPr>
        <w:footnoteReference w:id="284"/>
      </w:r>
      <w:r w:rsidR="00BA29E6" w:rsidRPr="00BA29E6">
        <w:rPr>
          <w:vertAlign w:val="superscript"/>
        </w:rPr>
        <w:t>,</w:t>
      </w:r>
      <w:r w:rsidRPr="00CE1D7F">
        <w:rPr>
          <w:rStyle w:val="FootnoteReference"/>
        </w:rPr>
        <w:footnoteReference w:id="285"/>
      </w:r>
      <w:r w:rsidRPr="00CE1D7F">
        <w:t xml:space="preserve"> These remains were collected for the purpose of sale and trade, exhibition, and ‘scientific’ research into human biological differences.</w:t>
      </w:r>
      <w:r w:rsidRPr="00CE1D7F">
        <w:rPr>
          <w:rStyle w:val="FootnoteReference"/>
        </w:rPr>
        <w:footnoteReference w:id="286"/>
      </w:r>
      <w:r w:rsidRPr="00CE1D7F">
        <w:t xml:space="preserve"> </w:t>
      </w:r>
    </w:p>
    <w:p w14:paraId="09C6E1DE" w14:textId="77777777" w:rsidR="002B32A0" w:rsidRPr="00CE1D7F" w:rsidRDefault="002B32A0" w:rsidP="002B32A0">
      <w:pPr>
        <w:pStyle w:val="BodyText"/>
      </w:pPr>
      <w:r w:rsidRPr="00CE1D7F">
        <w:t>Although evidence of Indigenous opposition and resistance to the removal of remains dates as far back as the early 19th Century, a global movement began in the 1970s to have them brought home.</w:t>
      </w:r>
      <w:r w:rsidRPr="00CE1D7F">
        <w:rPr>
          <w:rStyle w:val="FootnoteReference"/>
        </w:rPr>
        <w:footnoteReference w:id="287"/>
      </w:r>
      <w:r w:rsidRPr="00CE1D7F">
        <w:t xml:space="preserve"> </w:t>
      </w:r>
    </w:p>
    <w:p w14:paraId="2DD3B6C6" w14:textId="77777777" w:rsidR="002B32A0" w:rsidRPr="00CE1D7F" w:rsidRDefault="002B32A0" w:rsidP="002B32A0">
      <w:pPr>
        <w:pStyle w:val="BodyText"/>
      </w:pPr>
      <w:r w:rsidRPr="00CE1D7F">
        <w:t xml:space="preserve">The repatriation movement is now a coordinated global effort involving national and regional governments, cultural institutions, research organisations, private individuals and Indigenous communities. </w:t>
      </w:r>
    </w:p>
    <w:p w14:paraId="2E179B74" w14:textId="77777777" w:rsidR="002B32A0" w:rsidRPr="00CE1D7F" w:rsidRDefault="002B32A0" w:rsidP="002B32A0">
      <w:pPr>
        <w:pStyle w:val="BodyText"/>
      </w:pPr>
      <w:r w:rsidRPr="00CE1D7F">
        <w:t>Critical to successful repatriation is information concerning where ancestral remains are located and where they were originally taken from (their provenance). Spread across different archives and institutions and constituted in different types of archival and published resources, such information is hard to locate, particularly for source communities. Before the creation of the RRR Digital Archive (see below), no centralised resource of information was available to repatriation workers and critical questions being posed by Indigenous organisations were as yet unaddressed. Following consultation, recognition of the critical need for a centralised resource of information and identification of research questions about the removal and return of ancestral remains led to the program of work detailed in this impact case study.</w:t>
      </w:r>
    </w:p>
    <w:p w14:paraId="5AB37C98" w14:textId="77777777" w:rsidR="002B32A0" w:rsidRPr="00CE1D7F" w:rsidRDefault="002B32A0" w:rsidP="002B32A0">
      <w:pPr>
        <w:pStyle w:val="Heading4"/>
      </w:pPr>
      <w:r w:rsidRPr="00CE1D7F">
        <w:t xml:space="preserve">ARC-funded research </w:t>
      </w:r>
    </w:p>
    <w:p w14:paraId="32BFA9B0" w14:textId="77777777" w:rsidR="002B32A0" w:rsidRPr="00CE1D7F" w:rsidRDefault="002B32A0" w:rsidP="002B32A0">
      <w:pPr>
        <w:pStyle w:val="BodyText"/>
      </w:pPr>
      <w:r w:rsidRPr="00CE1D7F">
        <w:t xml:space="preserve">This case study focuses on the work of an international team of repatriation researchers and practitioners led by Professor Cressida Fforde. Since 2013, this work has contributed to the development of national and international capability (and interconnected communities of research and practice) in repatriation. </w:t>
      </w:r>
    </w:p>
    <w:p w14:paraId="7DDD8FF0" w14:textId="77777777" w:rsidR="002B32A0" w:rsidRPr="00A014AC" w:rsidRDefault="002B32A0" w:rsidP="002B32A0">
      <w:pPr>
        <w:pStyle w:val="BodyText"/>
      </w:pPr>
      <w:r w:rsidRPr="00CE1D7F">
        <w:t>Professor Fforde is Senior Research Fellow at the Centre for Heritage and Museum Studies at the Australian National University (ANU). Prof Fforde’s primary research area has been the repatriation of Indigenous human remains acquired by museums and other collecting institutions in the long 19</w:t>
      </w:r>
      <w:r w:rsidRPr="00CE1D7F">
        <w:rPr>
          <w:vertAlign w:val="superscript"/>
        </w:rPr>
        <w:t>th</w:t>
      </w:r>
      <w:r w:rsidRPr="00CE1D7F">
        <w:t xml:space="preserve"> Century. She undertakes applied and scholarly research in this field. She is particularly interested in advancing understanding of the history of the theft and scientific (mis)use of Indigenous ancestral remains, its continuing legacy, and the relationship between repatriation, healing and reconciliation. This work has been driven by the need to celebrate and develop a greater understanding of the efforts made by Indigenous peoples to locate the remains of their ancestors, as well as the need to improve the flow and management of information to support repatriation practice.</w:t>
      </w:r>
    </w:p>
    <w:p w14:paraId="37E7E392" w14:textId="77777777" w:rsidR="002B32A0" w:rsidRPr="00CE1D7F" w:rsidRDefault="002B32A0" w:rsidP="002B32A0">
      <w:pPr>
        <w:pStyle w:val="BodyText"/>
      </w:pPr>
      <w:r w:rsidRPr="00CE1D7F">
        <w:t xml:space="preserve">While Prof Fforde’s research dates to the 1990s with the completion of one of the UK’s first PhD on repatriation, our impact story begins with the awarding of the first ARC-funded research grant in 2013. Led by Prof. Fforde, the grant (a Linkage Project entitled </w:t>
      </w:r>
      <w:bookmarkStart w:id="614" w:name="_Hlk124686384"/>
      <w:r w:rsidRPr="00CE1D7F">
        <w:rPr>
          <w:i/>
          <w:iCs/>
        </w:rPr>
        <w:t>Return, Reconcile, Renew: understanding the history, effects and opportunities of repatriation and building an evidence base for the future</w:t>
      </w:r>
      <w:bookmarkEnd w:id="614"/>
      <w:r w:rsidRPr="00CE1D7F">
        <w:t>) brought together a multi-sector international team of repatriation researchers and practitioners, including 3 highly experienced Indigenous Australian Partner Organisations. The grant provided 3 years of funding to undertake extensive domestic and overseas research to better understand the history of removal and return of ancestral remains. This grant aimed to investigate the effects of repatriation and the opportunities it provides nation building, healing and reconciliation, whilst also providing a greater understanding of the history of Indigenous responses to the initial theft of their ancestors and their campaigns to locate and bring them home. This research, which also formed Stage I of the development of an online resource for the repatriation community, was a critical input to Prof Fforde’s second ARC-funded grant in 2017, which continued the collaborations commenced in the original Linkage. With the award of the next grant, a LIEF, the successful partnership in both grants re-conceptualised itself as the Return Reconcile Renew research network, which continues to undertake various repatriation projects funded through ARC and other research income.</w:t>
      </w:r>
    </w:p>
    <w:p w14:paraId="56123BC5" w14:textId="77777777" w:rsidR="002B32A0" w:rsidRPr="00CE1D7F" w:rsidRDefault="002B32A0" w:rsidP="002B32A0">
      <w:pPr>
        <w:pStyle w:val="BodyText"/>
      </w:pPr>
      <w:r w:rsidRPr="00CE1D7F">
        <w:t xml:space="preserve">The second grant (a Linkage Infrastructure, Equipment and Facilities (LIEF) grant entitled </w:t>
      </w:r>
      <w:r w:rsidRPr="00CE1D7F">
        <w:rPr>
          <w:i/>
          <w:iCs/>
        </w:rPr>
        <w:t>Restoring Dignity: Networked Knowledge for Repatriation Communities</w:t>
      </w:r>
      <w:r w:rsidRPr="00CE1D7F">
        <w:t>)</w:t>
      </w:r>
      <w:r w:rsidRPr="00CE1D7F">
        <w:rPr>
          <w:i/>
          <w:iCs/>
        </w:rPr>
        <w:t xml:space="preserve"> </w:t>
      </w:r>
      <w:r w:rsidRPr="00CE1D7F">
        <w:t>provided</w:t>
      </w:r>
      <w:r w:rsidRPr="00CE1D7F">
        <w:rPr>
          <w:i/>
          <w:iCs/>
        </w:rPr>
        <w:t xml:space="preserve"> </w:t>
      </w:r>
      <w:r w:rsidRPr="00CE1D7F">
        <w:t>2 years of funding (commencing in 2018) to build a unique digital facility that supports the repatriation of Indigenous human remains and future scholarship on the issue, in a way that would optimise the opportunities for repatriation to deliver social good. The grant provided opportunities to extend the research undertaken on the original Linkage to build major repatriation research infrastructure. The resulting Return Reconcile Renew (RRR) website and Digital Archive is a centralised resource of repatriation information to raise awareness of repatriation's meaning and value and support community-led repatriation practice. The primary objective of the LIEF grant was to develop a national and international resource for repatriation research and practice. This involved developing technical infrastructure, refining the Archive’s information management systems, and further developing the Archive’s Indigenous governance structure to ensure ethical data management. The grant also aimed to raise awareness of the Archive and increase the number of national and international Indigenous community stakeholders who could access it.</w:t>
      </w:r>
    </w:p>
    <w:p w14:paraId="148BC558" w14:textId="77777777" w:rsidR="002B32A0" w:rsidRPr="00CE1D7F" w:rsidRDefault="002B32A0" w:rsidP="002B32A0">
      <w:pPr>
        <w:pStyle w:val="BodyText"/>
      </w:pPr>
      <w:r w:rsidRPr="00CE1D7F">
        <w:t xml:space="preserve">After completing the LIEF grant, Prof Fforde was awarded 2 further ARC grants, this time under the Discovery Program. Both include members of the broader RRR network continuing the successful partnerships commenced in 2013, and explore new research avenues opened up by work undertaken as part of the Linkage and LIEF projects. The first, entitled </w:t>
      </w:r>
      <w:r w:rsidRPr="00CE1D7F">
        <w:rPr>
          <w:i/>
          <w:iCs/>
        </w:rPr>
        <w:t>Heritage and Reconciliation</w:t>
      </w:r>
      <w:r w:rsidRPr="00CE1D7F">
        <w:t xml:space="preserve"> (2020-2023) aims to rethink heritage from the standpoint of reconciliation/peacebuilding. One of its major case studies is repatriation. The project proposes using the term ‘reconciliation heritage’ as a tool to examine how heritage can contribute to reconciliation in settler-colonial contexts. The research involves the intellectual traditions of Aboriginal, Māori and Western cultures and aims to theorise the relationship between heritage and reconciliation to create a model for implementing outcomes in practice. </w:t>
      </w:r>
    </w:p>
    <w:p w14:paraId="511E6D1A" w14:textId="77777777" w:rsidR="002B32A0" w:rsidRPr="00CE1D7F" w:rsidRDefault="002B32A0" w:rsidP="002B32A0">
      <w:pPr>
        <w:pStyle w:val="BodyText"/>
      </w:pPr>
      <w:r w:rsidRPr="00CE1D7F">
        <w:t xml:space="preserve">Prof Fforde’s second Discovery Project entitled </w:t>
      </w:r>
      <w:r w:rsidRPr="00CE1D7F">
        <w:rPr>
          <w:i/>
          <w:iCs/>
        </w:rPr>
        <w:t xml:space="preserve">Profit and Loss: Understanding the global commercial trade in Indigenous human Remains, today and in the past </w:t>
      </w:r>
      <w:r w:rsidRPr="00CE1D7F">
        <w:rPr>
          <w:iCs/>
        </w:rPr>
        <w:t>(2020-2023), aims</w:t>
      </w:r>
      <w:r w:rsidRPr="00CE1D7F">
        <w:t xml:space="preserve"> to generate new knowledge of the global marketplace for Australian Indigenous human remains in the 19</w:t>
      </w:r>
      <w:r w:rsidRPr="00CE1D7F">
        <w:rPr>
          <w:vertAlign w:val="superscript"/>
        </w:rPr>
        <w:t>th</w:t>
      </w:r>
      <w:r w:rsidRPr="00CE1D7F">
        <w:t xml:space="preserve"> Century by gathering extensive data on all components, routes and actors in the trade and applying analytical frameworks from a range of disciplines, including data science and economic anthropology. This grant also supports investigation into the economics and valuation mechanisms of the modern commercial trade from the 1950s onwards and examines the broader implications of the commercialisation of Indigenous human remains in terms of moral economy, legality and power. </w:t>
      </w:r>
    </w:p>
    <w:p w14:paraId="174C57C3" w14:textId="30BB5F94" w:rsidR="002B32A0" w:rsidRPr="00CE1D7F" w:rsidRDefault="002B32A0" w:rsidP="004B1BB4">
      <w:pPr>
        <w:pStyle w:val="BodyText"/>
      </w:pPr>
      <w:r w:rsidRPr="00CE1D7F">
        <w:t xml:space="preserve">A timeline of the grants awarded, and the key events related to each grant is provided in </w:t>
      </w:r>
      <w:r w:rsidRPr="00F87D0E">
        <w:fldChar w:fldCharType="begin"/>
      </w:r>
      <w:r w:rsidRPr="00F87D0E">
        <w:instrText xml:space="preserve"> REF _Ref128145850 \h  \* MERGEFORMAT </w:instrText>
      </w:r>
      <w:r w:rsidRPr="00F87D0E">
        <w:fldChar w:fldCharType="separate"/>
      </w:r>
      <w:r w:rsidR="000B0AC7" w:rsidRPr="000B0AC7">
        <w:t>Figure 13.2</w:t>
      </w:r>
      <w:r w:rsidRPr="00F87D0E">
        <w:fldChar w:fldCharType="end"/>
      </w:r>
      <w:r w:rsidRPr="00CE1D7F">
        <w:t xml:space="preserve"> below.</w:t>
      </w:r>
    </w:p>
    <w:p w14:paraId="4A655E25" w14:textId="119D36F7" w:rsidR="000B0AC7" w:rsidRPr="00CE1D7F" w:rsidRDefault="000B0AC7" w:rsidP="000B0AC7">
      <w:pPr>
        <w:pStyle w:val="Caption"/>
        <w:ind w:left="1308" w:hanging="1308"/>
      </w:pPr>
      <w:bookmarkStart w:id="615" w:name="_Ref128145850"/>
      <w:r w:rsidRPr="00CE1D7F">
        <w:rPr>
          <w:rStyle w:val="CaptionLabel"/>
        </w:rPr>
        <w:t>Figure </w:t>
      </w:r>
      <w:r w:rsidRPr="00CE1D7F">
        <w:rPr>
          <w:rStyle w:val="CaptionLabel"/>
        </w:rPr>
        <w:fldChar w:fldCharType="begin"/>
      </w:r>
      <w:r w:rsidRPr="00CE1D7F">
        <w:rPr>
          <w:rStyle w:val="CaptionLabel"/>
        </w:rPr>
        <w:instrText xml:space="preserve"> STYLEREF 1 \S \* MERGEFORMAT </w:instrText>
      </w:r>
      <w:r w:rsidRPr="00CE1D7F">
        <w:rPr>
          <w:rStyle w:val="CaptionLabel"/>
        </w:rPr>
        <w:fldChar w:fldCharType="separate"/>
      </w:r>
      <w:r>
        <w:rPr>
          <w:rStyle w:val="CaptionLabel"/>
          <w:noProof/>
        </w:rPr>
        <w:t>13</w:t>
      </w:r>
      <w:r w:rsidRPr="00CE1D7F">
        <w:rPr>
          <w:rStyle w:val="CaptionLabel"/>
        </w:rPr>
        <w:fldChar w:fldCharType="end"/>
      </w:r>
      <w:r w:rsidRPr="00CE1D7F">
        <w:rPr>
          <w:rStyle w:val="CaptionLabel"/>
        </w:rPr>
        <w:t>.</w:t>
      </w:r>
      <w:r w:rsidRPr="00CE1D7F">
        <w:rPr>
          <w:rStyle w:val="CaptionLabel"/>
        </w:rPr>
        <w:fldChar w:fldCharType="begin"/>
      </w:r>
      <w:r w:rsidRPr="00CE1D7F">
        <w:rPr>
          <w:rStyle w:val="CaptionLabel"/>
        </w:rPr>
        <w:instrText xml:space="preserve"> SEQ Figure \* ARABIC \S 1 \* MERGEFORMAT </w:instrText>
      </w:r>
      <w:r w:rsidRPr="00CE1D7F">
        <w:rPr>
          <w:rStyle w:val="CaptionLabel"/>
        </w:rPr>
        <w:fldChar w:fldCharType="separate"/>
      </w:r>
      <w:r>
        <w:rPr>
          <w:rStyle w:val="CaptionLabel"/>
          <w:noProof/>
        </w:rPr>
        <w:t>2</w:t>
      </w:r>
      <w:r w:rsidRPr="00CE1D7F">
        <w:rPr>
          <w:rStyle w:val="CaptionLabel"/>
        </w:rPr>
        <w:fldChar w:fldCharType="end"/>
      </w:r>
      <w:bookmarkEnd w:id="615"/>
      <w:r w:rsidRPr="00CE1D7F">
        <w:tab/>
        <w:t>Timeline of ARC grant funding</w:t>
      </w:r>
    </w:p>
    <w:tbl>
      <w:tblPr>
        <w:tblStyle w:val="aacTableFigure"/>
        <w:tblW w:w="5000" w:type="pct"/>
        <w:tblBorders>
          <w:top w:val="single" w:sz="4" w:space="0" w:color="000000"/>
          <w:bottom w:val="single" w:sz="4" w:space="0" w:color="000000"/>
        </w:tblBorders>
        <w:tblLook w:val="04A0" w:firstRow="1" w:lastRow="0" w:firstColumn="1" w:lastColumn="0" w:noHBand="0" w:noVBand="1"/>
      </w:tblPr>
      <w:tblGrid>
        <w:gridCol w:w="7936"/>
      </w:tblGrid>
      <w:tr w:rsidR="002B32A0" w:rsidRPr="00CE1D7F" w14:paraId="3467DDB7" w14:textId="77777777" w:rsidTr="000B0AC7">
        <w:trPr>
          <w:trHeight w:val="5722"/>
        </w:trPr>
        <w:tc>
          <w:tcPr>
            <w:tcW w:w="5000" w:type="pct"/>
            <w:shd w:val="clear" w:color="auto" w:fill="auto"/>
          </w:tcPr>
          <w:p w14:paraId="08B8CB9C" w14:textId="77777777" w:rsidR="002B32A0" w:rsidRPr="00CE1D7F" w:rsidRDefault="002B32A0" w:rsidP="006258ED">
            <w:pPr>
              <w:pStyle w:val="Figure"/>
              <w:jc w:val="center"/>
            </w:pPr>
            <w:r w:rsidRPr="00CE1D7F">
              <w:rPr>
                <w:noProof/>
              </w:rPr>
              <w:drawing>
                <wp:inline distT="0" distB="0" distL="0" distR="0" wp14:anchorId="705AD0DB" wp14:editId="670B442A">
                  <wp:extent cx="5014362" cy="5237018"/>
                  <wp:effectExtent l="0" t="0" r="0" b="1905"/>
                  <wp:docPr id="46" name="Picture 46"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Diagram&#10;&#10;Description automatically generated with low confidence"/>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033374" cy="5256874"/>
                          </a:xfrm>
                          <a:prstGeom prst="rect">
                            <a:avLst/>
                          </a:prstGeom>
                          <a:noFill/>
                        </pic:spPr>
                      </pic:pic>
                    </a:graphicData>
                  </a:graphic>
                </wp:inline>
              </w:drawing>
            </w:r>
          </w:p>
        </w:tc>
      </w:tr>
    </w:tbl>
    <w:p w14:paraId="18A5F7E7" w14:textId="77777777" w:rsidR="000B0AC7" w:rsidRPr="00CE1D7F" w:rsidRDefault="000B0AC7" w:rsidP="000B0AC7">
      <w:pPr>
        <w:pStyle w:val="Source"/>
        <w:ind w:left="1308" w:hanging="1308"/>
      </w:pPr>
      <w:r w:rsidRPr="00CE1D7F">
        <w:t>Source: ARC grants, Prof Cressida Fforde</w:t>
      </w:r>
    </w:p>
    <w:p w14:paraId="1A8437EF" w14:textId="77777777" w:rsidR="002B32A0" w:rsidRPr="00CE1D7F" w:rsidRDefault="002B32A0" w:rsidP="002B32A0">
      <w:pPr>
        <w:pStyle w:val="Heading2"/>
      </w:pPr>
      <w:bookmarkStart w:id="616" w:name="_Toc129964018"/>
      <w:bookmarkStart w:id="617" w:name="_Toc131174656"/>
      <w:bookmarkStart w:id="618" w:name="_Toc132970727"/>
      <w:bookmarkStart w:id="619" w:name="_Toc135323766"/>
      <w:r w:rsidRPr="00CE1D7F">
        <w:t>Inputs</w:t>
      </w:r>
      <w:bookmarkEnd w:id="616"/>
      <w:bookmarkEnd w:id="617"/>
      <w:bookmarkEnd w:id="618"/>
      <w:bookmarkEnd w:id="619"/>
    </w:p>
    <w:p w14:paraId="5D6299C0" w14:textId="79F63DE8" w:rsidR="002B32A0" w:rsidRPr="00CE1D7F" w:rsidRDefault="002B32A0" w:rsidP="002B32A0">
      <w:pPr>
        <w:pStyle w:val="BodyText"/>
      </w:pPr>
      <w:r w:rsidRPr="00CE1D7F">
        <w:t xml:space="preserve">Between 2013 and 2022, the ARC-supported research attracted $8,937,692 in cash and in-kind contributions (see </w:t>
      </w:r>
      <w:r w:rsidRPr="00F87D0E">
        <w:fldChar w:fldCharType="begin"/>
      </w:r>
      <w:r w:rsidRPr="00F87D0E">
        <w:instrText xml:space="preserve"> REF _Ref129337768 \h  \* MERGEFORMAT </w:instrText>
      </w:r>
      <w:r w:rsidRPr="00F87D0E">
        <w:fldChar w:fldCharType="separate"/>
      </w:r>
      <w:r w:rsidR="000B0AC7" w:rsidRPr="000B0AC7">
        <w:t>Table 13.1</w:t>
      </w:r>
      <w:r w:rsidRPr="00F87D0E">
        <w:fldChar w:fldCharType="end"/>
      </w:r>
      <w:r w:rsidRPr="00CE1D7F">
        <w:t xml:space="preserve">). </w:t>
      </w:r>
    </w:p>
    <w:p w14:paraId="2AB130FE" w14:textId="77777777" w:rsidR="002B32A0" w:rsidRPr="00CE1D7F" w:rsidRDefault="002B32A0" w:rsidP="002B32A0">
      <w:pPr>
        <w:pStyle w:val="BodyText"/>
      </w:pPr>
      <w:r w:rsidRPr="00CE1D7F">
        <w:t>Prof Fforde’s first ARC-funded project (a Linkage Project) received $1,045,654 in total cash contributions. This included $629,533 in ARC funding between 2013 and 2016 and $20,121 from academic partners and $396,000 from non-academic partners over the same period</w:t>
      </w:r>
      <w:r>
        <w:t>.</w:t>
      </w:r>
      <w:r w:rsidRPr="009B6DB9">
        <w:footnoteReference w:id="288"/>
      </w:r>
      <w:r w:rsidRPr="00CE1D7F">
        <w:t xml:space="preserve"> In addition, the first project also received in-kind support from numerous sources. Between 2014 and 2019, the project received in-kind contributions equivalent to $2,200,133 from partner institutions</w:t>
      </w:r>
      <w:r>
        <w:t>.</w:t>
      </w:r>
      <w:r w:rsidRPr="009B6DB9">
        <w:footnoteReference w:id="289"/>
      </w:r>
      <w:r w:rsidRPr="00CE1D7F">
        <w:t xml:space="preserve"> This included $824,022 from academic partners and $1,376,111 from non-academic partners.</w:t>
      </w:r>
    </w:p>
    <w:p w14:paraId="6AB15CBC" w14:textId="77777777" w:rsidR="002B32A0" w:rsidRPr="00CE1D7F" w:rsidRDefault="002B32A0" w:rsidP="002B32A0">
      <w:pPr>
        <w:pStyle w:val="BodyText"/>
      </w:pPr>
      <w:r w:rsidRPr="00CE1D7F">
        <w:t>Prof Fforde’s second ARC-funded project (LIEF project) received $2,041,000 in total cash contributions, which stretched beyond the ARC funding period to 2022. This included $1,231,000 in ARC funding between 2017 and 2018 and $450,000 from academic partners and $360,000 from non-academic partners over the same period</w:t>
      </w:r>
      <w:r>
        <w:t>.</w:t>
      </w:r>
      <w:r w:rsidRPr="009B6DB9">
        <w:footnoteReference w:id="290"/>
      </w:r>
      <w:r w:rsidRPr="00CE1D7F">
        <w:t xml:space="preserve"> This project also received in-kind support from several sources, equivalent to $1,196,188 between 2014 and 2022. This support included $768,616 from academic partners and $427,572 from non-academic partners</w:t>
      </w:r>
      <w:r>
        <w:t>.</w:t>
      </w:r>
      <w:r w:rsidRPr="009B6DB9">
        <w:footnoteReference w:id="291"/>
      </w:r>
      <w:r w:rsidRPr="00CE1D7F">
        <w:t xml:space="preserve"> </w:t>
      </w:r>
    </w:p>
    <w:p w14:paraId="313F77AF" w14:textId="77777777" w:rsidR="002B32A0" w:rsidRPr="00CE1D7F" w:rsidRDefault="002B32A0" w:rsidP="002B32A0">
      <w:pPr>
        <w:pStyle w:val="BodyText"/>
      </w:pPr>
      <w:r w:rsidRPr="00CE1D7F">
        <w:t>Prof Fforde’s third ARC-funded project (a Discovery Project) received $379,392 in total cash contributions to 2023. This support includes $371,400 from the ARC between 2020 and 2023 and $7,992 of co-funding from the Australian National University between 2020 and 2023. In addition, between 2020 and 2023, the project received in-kind support from several academic partners to the value of $587,100</w:t>
      </w:r>
      <w:r>
        <w:t>.</w:t>
      </w:r>
      <w:r w:rsidRPr="009B6DB9">
        <w:footnoteReference w:id="292"/>
      </w:r>
      <w:r w:rsidRPr="00CE1D7F">
        <w:t>Prof Fforde’s fourth project (a Discovery Project) received $766,345 in total cash contributions to 2023. This included $748,829 from the ARC between 2020 and 2023 and $17,516 from the Australian National University between 2020 and 2023. Between 2020 and 2023, the project received in-kind support from several sources, equivalent to $721,882</w:t>
      </w:r>
      <w:r>
        <w:t>.</w:t>
      </w:r>
      <w:r w:rsidRPr="009B6DB9">
        <w:footnoteReference w:id="293"/>
      </w:r>
      <w:r w:rsidRPr="00CE1D7F">
        <w:t xml:space="preserve"> This support included $607,732 from academic partners and $114,150 from non-academic partners.</w:t>
      </w:r>
    </w:p>
    <w:p w14:paraId="6ADF30D0" w14:textId="16F62028" w:rsidR="002B32A0" w:rsidRPr="00CE1D7F" w:rsidRDefault="002B32A0" w:rsidP="000B0AC7">
      <w:pPr>
        <w:pStyle w:val="Caption"/>
        <w:ind w:left="-85" w:hanging="1308"/>
      </w:pPr>
      <w:bookmarkStart w:id="620" w:name="_Ref129337768"/>
      <w:r w:rsidRPr="00CE1D7F">
        <w:rPr>
          <w:rStyle w:val="CaptionLabel"/>
        </w:rPr>
        <w:t>Table </w:t>
      </w:r>
      <w:r w:rsidRPr="00CE1D7F">
        <w:rPr>
          <w:rStyle w:val="CaptionLabel"/>
        </w:rPr>
        <w:fldChar w:fldCharType="begin"/>
      </w:r>
      <w:r w:rsidRPr="00CE1D7F">
        <w:rPr>
          <w:rStyle w:val="CaptionLabel"/>
        </w:rPr>
        <w:instrText xml:space="preserve"> STYLEREF 1 \S \* MERGEFORMAT </w:instrText>
      </w:r>
      <w:r w:rsidRPr="00CE1D7F">
        <w:rPr>
          <w:rStyle w:val="CaptionLabel"/>
        </w:rPr>
        <w:fldChar w:fldCharType="separate"/>
      </w:r>
      <w:r w:rsidR="000B0AC7">
        <w:rPr>
          <w:rStyle w:val="CaptionLabel"/>
          <w:noProof/>
        </w:rPr>
        <w:t>13</w:t>
      </w:r>
      <w:r w:rsidRPr="00CE1D7F">
        <w:rPr>
          <w:rStyle w:val="CaptionLabel"/>
        </w:rPr>
        <w:fldChar w:fldCharType="end"/>
      </w:r>
      <w:r w:rsidRPr="00CE1D7F">
        <w:rPr>
          <w:rStyle w:val="CaptionLabel"/>
        </w:rPr>
        <w:t>.</w:t>
      </w:r>
      <w:r w:rsidRPr="00CE1D7F">
        <w:rPr>
          <w:rStyle w:val="CaptionLabel"/>
        </w:rPr>
        <w:fldChar w:fldCharType="begin"/>
      </w:r>
      <w:r w:rsidRPr="00CE1D7F">
        <w:rPr>
          <w:rStyle w:val="CaptionLabel"/>
        </w:rPr>
        <w:instrText xml:space="preserve"> SEQ Table \* ARABIC \S 1 \* MERGEFORMAT </w:instrText>
      </w:r>
      <w:r w:rsidRPr="00CE1D7F">
        <w:rPr>
          <w:rStyle w:val="CaptionLabel"/>
        </w:rPr>
        <w:fldChar w:fldCharType="separate"/>
      </w:r>
      <w:r w:rsidR="000B0AC7">
        <w:rPr>
          <w:rStyle w:val="CaptionLabel"/>
          <w:noProof/>
        </w:rPr>
        <w:t>1</w:t>
      </w:r>
      <w:r w:rsidRPr="00CE1D7F">
        <w:rPr>
          <w:rStyle w:val="CaptionLabel"/>
        </w:rPr>
        <w:fldChar w:fldCharType="end"/>
      </w:r>
      <w:bookmarkEnd w:id="620"/>
      <w:r w:rsidRPr="00CE1D7F">
        <w:tab/>
        <w:t>Research funding</w:t>
      </w:r>
    </w:p>
    <w:tbl>
      <w:tblPr>
        <w:tblStyle w:val="aacTableBasic"/>
        <w:tblW w:w="9329" w:type="dxa"/>
        <w:tblInd w:w="-1393" w:type="dxa"/>
        <w:tblLayout w:type="fixed"/>
        <w:tblLook w:val="04A0" w:firstRow="1" w:lastRow="0" w:firstColumn="1" w:lastColumn="0" w:noHBand="0" w:noVBand="1"/>
        <w:tblCaption w:val="Table 13.1"/>
        <w:tblDescription w:val="Research funding"/>
      </w:tblPr>
      <w:tblGrid>
        <w:gridCol w:w="2664"/>
        <w:gridCol w:w="1333"/>
        <w:gridCol w:w="1333"/>
        <w:gridCol w:w="1333"/>
        <w:gridCol w:w="1333"/>
        <w:gridCol w:w="1333"/>
      </w:tblGrid>
      <w:tr w:rsidR="002B32A0" w:rsidRPr="00CE1D7F" w14:paraId="2DAAC462" w14:textId="77777777" w:rsidTr="000B0AC7">
        <w:trPr>
          <w:cnfStyle w:val="100000000000" w:firstRow="1" w:lastRow="0" w:firstColumn="0" w:lastColumn="0" w:oddVBand="0" w:evenVBand="0" w:oddHBand="0" w:evenHBand="0" w:firstRowFirstColumn="0" w:firstRowLastColumn="0" w:lastRowFirstColumn="0" w:lastRowLastColumn="0"/>
          <w:trHeight w:val="20"/>
        </w:trPr>
        <w:tc>
          <w:tcPr>
            <w:tcW w:w="2664" w:type="dxa"/>
            <w:tcBorders>
              <w:top w:val="nil"/>
            </w:tcBorders>
            <w:shd w:val="solid" w:color="140034" w:fill="140034"/>
            <w:tcMar>
              <w:left w:w="80" w:type="dxa"/>
            </w:tcMar>
          </w:tcPr>
          <w:p w14:paraId="0F609D44" w14:textId="77777777" w:rsidR="002B32A0" w:rsidRPr="00CE1D7F" w:rsidRDefault="002B32A0" w:rsidP="006258ED">
            <w:pPr>
              <w:pStyle w:val="Tablecolumnheadings"/>
              <w:keepLines/>
              <w:jc w:val="center"/>
            </w:pPr>
            <w:r w:rsidRPr="00CE1D7F">
              <w:t>Contributor/Type of support</w:t>
            </w:r>
          </w:p>
        </w:tc>
        <w:tc>
          <w:tcPr>
            <w:tcW w:w="1333" w:type="dxa"/>
            <w:tcBorders>
              <w:top w:val="nil"/>
            </w:tcBorders>
            <w:shd w:val="solid" w:color="140034" w:fill="140034"/>
          </w:tcPr>
          <w:p w14:paraId="087DFD5E" w14:textId="77777777" w:rsidR="002B32A0" w:rsidRPr="00CE1D7F" w:rsidRDefault="002B32A0" w:rsidP="006258ED">
            <w:pPr>
              <w:pStyle w:val="Tablecolumnheadings"/>
              <w:keepLines/>
              <w:jc w:val="center"/>
            </w:pPr>
            <w:r w:rsidRPr="00CE1D7F">
              <w:t>2013-2015</w:t>
            </w:r>
          </w:p>
        </w:tc>
        <w:tc>
          <w:tcPr>
            <w:tcW w:w="1333" w:type="dxa"/>
            <w:tcBorders>
              <w:top w:val="nil"/>
            </w:tcBorders>
            <w:shd w:val="solid" w:color="140034" w:fill="140034"/>
          </w:tcPr>
          <w:p w14:paraId="646DB372" w14:textId="77777777" w:rsidR="002B32A0" w:rsidRPr="00CE1D7F" w:rsidRDefault="002B32A0" w:rsidP="006258ED">
            <w:pPr>
              <w:pStyle w:val="Tablecolumnheadings"/>
              <w:keepLines/>
              <w:jc w:val="center"/>
            </w:pPr>
            <w:r w:rsidRPr="00CE1D7F">
              <w:t>2016-2018</w:t>
            </w:r>
          </w:p>
        </w:tc>
        <w:tc>
          <w:tcPr>
            <w:tcW w:w="1333" w:type="dxa"/>
            <w:tcBorders>
              <w:top w:val="nil"/>
            </w:tcBorders>
            <w:shd w:val="solid" w:color="140034" w:fill="140034"/>
          </w:tcPr>
          <w:p w14:paraId="5F8A145F" w14:textId="77777777" w:rsidR="002B32A0" w:rsidRPr="00CE1D7F" w:rsidRDefault="002B32A0" w:rsidP="006258ED">
            <w:pPr>
              <w:pStyle w:val="Tablecolumnheadings"/>
              <w:keepLines/>
              <w:jc w:val="center"/>
            </w:pPr>
            <w:r w:rsidRPr="00CE1D7F">
              <w:t>2019-2021</w:t>
            </w:r>
          </w:p>
        </w:tc>
        <w:tc>
          <w:tcPr>
            <w:tcW w:w="1333" w:type="dxa"/>
            <w:tcBorders>
              <w:top w:val="nil"/>
            </w:tcBorders>
            <w:shd w:val="solid" w:color="140034" w:fill="140034"/>
          </w:tcPr>
          <w:p w14:paraId="4F3C794C" w14:textId="77777777" w:rsidR="002B32A0" w:rsidRPr="00CE1D7F" w:rsidRDefault="002B32A0" w:rsidP="006258ED">
            <w:pPr>
              <w:pStyle w:val="Tablecolumnheadings"/>
              <w:keepLines/>
              <w:jc w:val="center"/>
            </w:pPr>
            <w:r w:rsidRPr="00CE1D7F">
              <w:t>2022-2023</w:t>
            </w:r>
          </w:p>
        </w:tc>
        <w:tc>
          <w:tcPr>
            <w:tcW w:w="1333" w:type="dxa"/>
            <w:tcBorders>
              <w:top w:val="nil"/>
            </w:tcBorders>
            <w:shd w:val="solid" w:color="140034" w:fill="140034"/>
          </w:tcPr>
          <w:p w14:paraId="5E062AF4" w14:textId="77777777" w:rsidR="002B32A0" w:rsidRPr="00CE1D7F" w:rsidRDefault="002B32A0" w:rsidP="006258ED">
            <w:pPr>
              <w:pStyle w:val="Tablecolumnheadings"/>
              <w:keepLines/>
              <w:jc w:val="center"/>
            </w:pPr>
            <w:r w:rsidRPr="00CE1D7F">
              <w:t>Total Contributions</w:t>
            </w:r>
          </w:p>
        </w:tc>
      </w:tr>
      <w:tr w:rsidR="002B32A0" w:rsidRPr="00CE1D7F" w14:paraId="32AFBB92" w14:textId="77777777" w:rsidTr="000B0AC7">
        <w:trPr>
          <w:trHeight w:val="20"/>
        </w:trPr>
        <w:tc>
          <w:tcPr>
            <w:tcW w:w="9329" w:type="dxa"/>
            <w:gridSpan w:val="6"/>
            <w:tcMar>
              <w:left w:w="80" w:type="dxa"/>
            </w:tcMar>
          </w:tcPr>
          <w:p w14:paraId="0B3CB31B" w14:textId="77777777" w:rsidR="002B32A0" w:rsidRPr="00CE1D7F" w:rsidRDefault="002B32A0" w:rsidP="006258ED">
            <w:pPr>
              <w:pStyle w:val="Tabletext"/>
              <w:keepNext/>
              <w:keepLines/>
              <w:rPr>
                <w:b/>
                <w:bCs/>
              </w:rPr>
            </w:pPr>
            <w:r w:rsidRPr="00CE1D7F">
              <w:rPr>
                <w:b/>
                <w:bCs/>
              </w:rPr>
              <w:t>Cash</w:t>
            </w:r>
          </w:p>
        </w:tc>
      </w:tr>
      <w:tr w:rsidR="002B32A0" w:rsidRPr="00CE1D7F" w14:paraId="2B5CFAD4" w14:textId="77777777" w:rsidTr="000B0AC7">
        <w:trPr>
          <w:trHeight w:val="20"/>
        </w:trPr>
        <w:tc>
          <w:tcPr>
            <w:tcW w:w="9329" w:type="dxa"/>
            <w:gridSpan w:val="6"/>
            <w:tcMar>
              <w:left w:w="80" w:type="dxa"/>
            </w:tcMar>
          </w:tcPr>
          <w:p w14:paraId="1ABBA2B0" w14:textId="77777777" w:rsidR="002B32A0" w:rsidRPr="00CE1D7F" w:rsidRDefault="002B32A0" w:rsidP="006258ED">
            <w:pPr>
              <w:pStyle w:val="Tabletext"/>
              <w:keepNext/>
              <w:keepLines/>
              <w:rPr>
                <w:b/>
                <w:bCs/>
              </w:rPr>
            </w:pPr>
            <w:r w:rsidRPr="00CE1D7F">
              <w:rPr>
                <w:b/>
                <w:bCs/>
              </w:rPr>
              <w:t xml:space="preserve">LP130100131 – </w:t>
            </w:r>
            <w:r w:rsidRPr="00CE1D7F">
              <w:rPr>
                <w:b/>
                <w:bCs/>
                <w:i/>
                <w:iCs/>
              </w:rPr>
              <w:t>Return, Reconcile, Renew: understanding the history, effects and opportunities of repatriation and building an evidence base for the future</w:t>
            </w:r>
          </w:p>
        </w:tc>
      </w:tr>
      <w:tr w:rsidR="002B32A0" w:rsidRPr="00CE1D7F" w14:paraId="40C94656" w14:textId="77777777" w:rsidTr="000B0AC7">
        <w:trPr>
          <w:trHeight w:val="20"/>
        </w:trPr>
        <w:tc>
          <w:tcPr>
            <w:tcW w:w="2664" w:type="dxa"/>
            <w:tcMar>
              <w:left w:w="80" w:type="dxa"/>
            </w:tcMar>
          </w:tcPr>
          <w:p w14:paraId="290F5608" w14:textId="77777777" w:rsidR="002B32A0" w:rsidRPr="00CE1D7F" w:rsidRDefault="002B32A0" w:rsidP="006258ED">
            <w:pPr>
              <w:pStyle w:val="Tabletext"/>
              <w:keepNext/>
              <w:keepLines/>
            </w:pPr>
            <w:r w:rsidRPr="00CE1D7F">
              <w:t>ARC</w:t>
            </w:r>
          </w:p>
        </w:tc>
        <w:tc>
          <w:tcPr>
            <w:tcW w:w="1333" w:type="dxa"/>
          </w:tcPr>
          <w:p w14:paraId="4C644187" w14:textId="77777777" w:rsidR="002B32A0" w:rsidRPr="00CE1D7F" w:rsidRDefault="002B32A0" w:rsidP="006258ED">
            <w:pPr>
              <w:pStyle w:val="Tabletext"/>
              <w:keepNext/>
              <w:keepLines/>
            </w:pPr>
            <w:r w:rsidRPr="00CE1D7F">
              <w:t xml:space="preserve"> $524,683 </w:t>
            </w:r>
          </w:p>
        </w:tc>
        <w:tc>
          <w:tcPr>
            <w:tcW w:w="1333" w:type="dxa"/>
          </w:tcPr>
          <w:p w14:paraId="3D32C2F7" w14:textId="77777777" w:rsidR="002B32A0" w:rsidRPr="00CE1D7F" w:rsidRDefault="002B32A0" w:rsidP="006258ED">
            <w:pPr>
              <w:pStyle w:val="Tabletext"/>
              <w:keepNext/>
              <w:keepLines/>
            </w:pPr>
            <w:r w:rsidRPr="00CE1D7F">
              <w:t xml:space="preserve"> $104,850 </w:t>
            </w:r>
          </w:p>
        </w:tc>
        <w:tc>
          <w:tcPr>
            <w:tcW w:w="1333" w:type="dxa"/>
          </w:tcPr>
          <w:p w14:paraId="5F6E5F49" w14:textId="77777777" w:rsidR="002B32A0" w:rsidRPr="00CE1D7F" w:rsidRDefault="002B32A0" w:rsidP="006258ED">
            <w:pPr>
              <w:pStyle w:val="Tabletext"/>
              <w:keepNext/>
              <w:keepLines/>
            </w:pPr>
          </w:p>
        </w:tc>
        <w:tc>
          <w:tcPr>
            <w:tcW w:w="1333" w:type="dxa"/>
          </w:tcPr>
          <w:p w14:paraId="284A6064" w14:textId="77777777" w:rsidR="002B32A0" w:rsidRPr="00CE1D7F" w:rsidRDefault="002B32A0" w:rsidP="006258ED">
            <w:pPr>
              <w:pStyle w:val="Tabletext"/>
              <w:keepNext/>
              <w:keepLines/>
            </w:pPr>
          </w:p>
        </w:tc>
        <w:tc>
          <w:tcPr>
            <w:tcW w:w="1333" w:type="dxa"/>
          </w:tcPr>
          <w:p w14:paraId="4860B33F" w14:textId="77777777" w:rsidR="002B32A0" w:rsidRPr="00CE1D7F" w:rsidRDefault="002B32A0" w:rsidP="006258ED">
            <w:pPr>
              <w:pStyle w:val="Tabletext"/>
              <w:keepNext/>
              <w:keepLines/>
            </w:pPr>
            <w:r w:rsidRPr="00CE1D7F">
              <w:t xml:space="preserve">$629,533 </w:t>
            </w:r>
          </w:p>
        </w:tc>
      </w:tr>
      <w:tr w:rsidR="002B32A0" w:rsidRPr="00CE1D7F" w14:paraId="6216D79C" w14:textId="77777777" w:rsidTr="000B0AC7">
        <w:trPr>
          <w:trHeight w:val="20"/>
        </w:trPr>
        <w:tc>
          <w:tcPr>
            <w:tcW w:w="2664" w:type="dxa"/>
            <w:tcMar>
              <w:left w:w="80" w:type="dxa"/>
            </w:tcMar>
          </w:tcPr>
          <w:p w14:paraId="049C31E7" w14:textId="77777777" w:rsidR="002B32A0" w:rsidRPr="00CE1D7F" w:rsidRDefault="002B32A0" w:rsidP="006258ED">
            <w:pPr>
              <w:pStyle w:val="Tabletext"/>
              <w:keepNext/>
              <w:keepLines/>
            </w:pPr>
            <w:r w:rsidRPr="00CE1D7F">
              <w:t>Academic partners</w:t>
            </w:r>
          </w:p>
        </w:tc>
        <w:tc>
          <w:tcPr>
            <w:tcW w:w="1333" w:type="dxa"/>
          </w:tcPr>
          <w:p w14:paraId="77332A87" w14:textId="77777777" w:rsidR="002B32A0" w:rsidRPr="00CE1D7F" w:rsidRDefault="002B32A0" w:rsidP="006258ED">
            <w:pPr>
              <w:pStyle w:val="Tabletext"/>
              <w:keepNext/>
              <w:keepLines/>
            </w:pPr>
            <w:r w:rsidRPr="00CE1D7F">
              <w:t>$6,707</w:t>
            </w:r>
          </w:p>
        </w:tc>
        <w:tc>
          <w:tcPr>
            <w:tcW w:w="1333" w:type="dxa"/>
          </w:tcPr>
          <w:p w14:paraId="00F3856B" w14:textId="77777777" w:rsidR="002B32A0" w:rsidRPr="00CE1D7F" w:rsidRDefault="002B32A0" w:rsidP="006258ED">
            <w:pPr>
              <w:pStyle w:val="Tabletext"/>
              <w:keepNext/>
              <w:keepLines/>
            </w:pPr>
            <w:r w:rsidRPr="00CE1D7F">
              <w:t>$10,061</w:t>
            </w:r>
          </w:p>
        </w:tc>
        <w:tc>
          <w:tcPr>
            <w:tcW w:w="1333" w:type="dxa"/>
          </w:tcPr>
          <w:p w14:paraId="1951FD77" w14:textId="77777777" w:rsidR="002B32A0" w:rsidRPr="00CE1D7F" w:rsidRDefault="002B32A0" w:rsidP="006258ED">
            <w:pPr>
              <w:pStyle w:val="Tabletext"/>
              <w:keepNext/>
              <w:keepLines/>
            </w:pPr>
            <w:r w:rsidRPr="00CE1D7F">
              <w:t>$3,354</w:t>
            </w:r>
          </w:p>
        </w:tc>
        <w:tc>
          <w:tcPr>
            <w:tcW w:w="1333" w:type="dxa"/>
          </w:tcPr>
          <w:p w14:paraId="79757C6B" w14:textId="77777777" w:rsidR="002B32A0" w:rsidRPr="00CE1D7F" w:rsidRDefault="002B32A0" w:rsidP="006258ED">
            <w:pPr>
              <w:pStyle w:val="Tabletext"/>
              <w:keepNext/>
              <w:keepLines/>
            </w:pPr>
          </w:p>
        </w:tc>
        <w:tc>
          <w:tcPr>
            <w:tcW w:w="1333" w:type="dxa"/>
          </w:tcPr>
          <w:p w14:paraId="2B33176F" w14:textId="77777777" w:rsidR="002B32A0" w:rsidRPr="00CE1D7F" w:rsidRDefault="002B32A0" w:rsidP="006258ED">
            <w:pPr>
              <w:pStyle w:val="Tabletext"/>
              <w:keepNext/>
              <w:keepLines/>
            </w:pPr>
            <w:r w:rsidRPr="00CE1D7F">
              <w:t>$20,121</w:t>
            </w:r>
          </w:p>
        </w:tc>
      </w:tr>
      <w:tr w:rsidR="002B32A0" w:rsidRPr="00CE1D7F" w14:paraId="71DD2126" w14:textId="77777777" w:rsidTr="000B0AC7">
        <w:trPr>
          <w:trHeight w:val="20"/>
        </w:trPr>
        <w:tc>
          <w:tcPr>
            <w:tcW w:w="2664" w:type="dxa"/>
            <w:tcMar>
              <w:left w:w="80" w:type="dxa"/>
            </w:tcMar>
          </w:tcPr>
          <w:p w14:paraId="215A7728" w14:textId="77777777" w:rsidR="002B32A0" w:rsidRPr="00CE1D7F" w:rsidRDefault="002B32A0" w:rsidP="006258ED">
            <w:pPr>
              <w:pStyle w:val="Tabletext"/>
              <w:keepNext/>
              <w:keepLines/>
            </w:pPr>
            <w:r w:rsidRPr="00CE1D7F">
              <w:t>Non-academic partners</w:t>
            </w:r>
          </w:p>
        </w:tc>
        <w:tc>
          <w:tcPr>
            <w:tcW w:w="1333" w:type="dxa"/>
          </w:tcPr>
          <w:p w14:paraId="2699FA32" w14:textId="77777777" w:rsidR="002B32A0" w:rsidRPr="00CE1D7F" w:rsidRDefault="002B32A0" w:rsidP="006258ED">
            <w:pPr>
              <w:pStyle w:val="Tabletext"/>
              <w:keepNext/>
              <w:keepLines/>
            </w:pPr>
            <w:r w:rsidRPr="00CE1D7F">
              <w:t>$132,000</w:t>
            </w:r>
          </w:p>
        </w:tc>
        <w:tc>
          <w:tcPr>
            <w:tcW w:w="1333" w:type="dxa"/>
          </w:tcPr>
          <w:p w14:paraId="7C2020A2" w14:textId="77777777" w:rsidR="002B32A0" w:rsidRPr="00CE1D7F" w:rsidRDefault="002B32A0" w:rsidP="006258ED">
            <w:pPr>
              <w:pStyle w:val="Tabletext"/>
              <w:keepNext/>
              <w:keepLines/>
            </w:pPr>
            <w:r w:rsidRPr="00CE1D7F">
              <w:t>$198,000</w:t>
            </w:r>
          </w:p>
        </w:tc>
        <w:tc>
          <w:tcPr>
            <w:tcW w:w="1333" w:type="dxa"/>
          </w:tcPr>
          <w:p w14:paraId="7790EA33" w14:textId="77777777" w:rsidR="002B32A0" w:rsidRPr="00CE1D7F" w:rsidRDefault="002B32A0" w:rsidP="006258ED">
            <w:pPr>
              <w:pStyle w:val="Tabletext"/>
              <w:keepNext/>
              <w:keepLines/>
            </w:pPr>
            <w:r w:rsidRPr="00CE1D7F">
              <w:t>$66,000</w:t>
            </w:r>
          </w:p>
        </w:tc>
        <w:tc>
          <w:tcPr>
            <w:tcW w:w="1333" w:type="dxa"/>
          </w:tcPr>
          <w:p w14:paraId="0D759068" w14:textId="77777777" w:rsidR="002B32A0" w:rsidRPr="00CE1D7F" w:rsidRDefault="002B32A0" w:rsidP="006258ED">
            <w:pPr>
              <w:pStyle w:val="Tabletext"/>
              <w:keepNext/>
              <w:keepLines/>
            </w:pPr>
          </w:p>
        </w:tc>
        <w:tc>
          <w:tcPr>
            <w:tcW w:w="1333" w:type="dxa"/>
          </w:tcPr>
          <w:p w14:paraId="72318C37" w14:textId="77777777" w:rsidR="002B32A0" w:rsidRPr="00CE1D7F" w:rsidRDefault="002B32A0" w:rsidP="006258ED">
            <w:pPr>
              <w:pStyle w:val="Tabletext"/>
              <w:keepNext/>
              <w:keepLines/>
            </w:pPr>
            <w:r w:rsidRPr="00CE1D7F">
              <w:t>$396,000</w:t>
            </w:r>
          </w:p>
        </w:tc>
      </w:tr>
      <w:tr w:rsidR="002B32A0" w:rsidRPr="00CE1D7F" w14:paraId="7C6846AE" w14:textId="77777777" w:rsidTr="000B0AC7">
        <w:trPr>
          <w:trHeight w:val="20"/>
        </w:trPr>
        <w:tc>
          <w:tcPr>
            <w:tcW w:w="9329" w:type="dxa"/>
            <w:gridSpan w:val="6"/>
            <w:tcMar>
              <w:left w:w="80" w:type="dxa"/>
            </w:tcMar>
          </w:tcPr>
          <w:p w14:paraId="4B4DA2B8" w14:textId="77777777" w:rsidR="002B32A0" w:rsidRPr="00CE1D7F" w:rsidRDefault="002B32A0" w:rsidP="006258ED">
            <w:pPr>
              <w:pStyle w:val="Tabletext"/>
              <w:keepNext/>
              <w:keepLines/>
              <w:rPr>
                <w:b/>
                <w:bCs/>
              </w:rPr>
            </w:pPr>
            <w:r w:rsidRPr="00CE1D7F">
              <w:rPr>
                <w:b/>
                <w:bCs/>
              </w:rPr>
              <w:t xml:space="preserve">LE170100017 – </w:t>
            </w:r>
            <w:r w:rsidRPr="00CE1D7F">
              <w:rPr>
                <w:b/>
                <w:bCs/>
                <w:i/>
                <w:iCs/>
              </w:rPr>
              <w:t>Restoring Dignity: Networked Knowledge for Repatriation Communities</w:t>
            </w:r>
          </w:p>
        </w:tc>
      </w:tr>
      <w:tr w:rsidR="002B32A0" w:rsidRPr="00CE1D7F" w14:paraId="2B9A8093" w14:textId="77777777" w:rsidTr="000B0AC7">
        <w:trPr>
          <w:trHeight w:val="20"/>
        </w:trPr>
        <w:tc>
          <w:tcPr>
            <w:tcW w:w="2664" w:type="dxa"/>
            <w:tcMar>
              <w:left w:w="80" w:type="dxa"/>
            </w:tcMar>
          </w:tcPr>
          <w:p w14:paraId="476C793F" w14:textId="77777777" w:rsidR="002B32A0" w:rsidRPr="00CE1D7F" w:rsidRDefault="002B32A0" w:rsidP="006258ED">
            <w:pPr>
              <w:pStyle w:val="Tabletext"/>
              <w:keepNext/>
              <w:keepLines/>
            </w:pPr>
            <w:r w:rsidRPr="00CE1D7F">
              <w:t>ARC</w:t>
            </w:r>
          </w:p>
        </w:tc>
        <w:tc>
          <w:tcPr>
            <w:tcW w:w="1333" w:type="dxa"/>
          </w:tcPr>
          <w:p w14:paraId="27743F6E" w14:textId="77777777" w:rsidR="002B32A0" w:rsidRPr="00CE1D7F" w:rsidRDefault="002B32A0" w:rsidP="006258ED">
            <w:pPr>
              <w:pStyle w:val="Tabletext"/>
              <w:keepNext/>
              <w:keepLines/>
            </w:pPr>
          </w:p>
        </w:tc>
        <w:tc>
          <w:tcPr>
            <w:tcW w:w="1333" w:type="dxa"/>
          </w:tcPr>
          <w:p w14:paraId="31B214C3" w14:textId="77777777" w:rsidR="002B32A0" w:rsidRPr="00CE1D7F" w:rsidRDefault="002B32A0" w:rsidP="006258ED">
            <w:pPr>
              <w:pStyle w:val="Tabletext"/>
              <w:keepNext/>
              <w:keepLines/>
            </w:pPr>
            <w:r w:rsidRPr="00CE1D7F">
              <w:t>$1,231,000</w:t>
            </w:r>
          </w:p>
        </w:tc>
        <w:tc>
          <w:tcPr>
            <w:tcW w:w="1333" w:type="dxa"/>
          </w:tcPr>
          <w:p w14:paraId="17D3405A" w14:textId="77777777" w:rsidR="002B32A0" w:rsidRPr="00CE1D7F" w:rsidRDefault="002B32A0" w:rsidP="006258ED">
            <w:pPr>
              <w:pStyle w:val="Tabletext"/>
              <w:keepNext/>
              <w:keepLines/>
            </w:pPr>
          </w:p>
        </w:tc>
        <w:tc>
          <w:tcPr>
            <w:tcW w:w="1333" w:type="dxa"/>
          </w:tcPr>
          <w:p w14:paraId="1E58896D" w14:textId="77777777" w:rsidR="002B32A0" w:rsidRPr="00CE1D7F" w:rsidRDefault="002B32A0" w:rsidP="006258ED">
            <w:pPr>
              <w:pStyle w:val="Tabletext"/>
              <w:keepNext/>
              <w:keepLines/>
            </w:pPr>
          </w:p>
        </w:tc>
        <w:tc>
          <w:tcPr>
            <w:tcW w:w="1333" w:type="dxa"/>
          </w:tcPr>
          <w:p w14:paraId="459CCE13" w14:textId="77777777" w:rsidR="002B32A0" w:rsidRPr="00CE1D7F" w:rsidRDefault="002B32A0" w:rsidP="006258ED">
            <w:pPr>
              <w:pStyle w:val="Tabletext"/>
              <w:keepNext/>
              <w:keepLines/>
            </w:pPr>
            <w:r w:rsidRPr="00CE1D7F">
              <w:t>$1,231,000</w:t>
            </w:r>
          </w:p>
        </w:tc>
      </w:tr>
      <w:tr w:rsidR="002B32A0" w:rsidRPr="00CE1D7F" w14:paraId="786FB693" w14:textId="77777777" w:rsidTr="000B0AC7">
        <w:trPr>
          <w:trHeight w:val="20"/>
        </w:trPr>
        <w:tc>
          <w:tcPr>
            <w:tcW w:w="2664" w:type="dxa"/>
            <w:tcMar>
              <w:left w:w="80" w:type="dxa"/>
            </w:tcMar>
          </w:tcPr>
          <w:p w14:paraId="614360CA" w14:textId="77777777" w:rsidR="002B32A0" w:rsidRPr="00CE1D7F" w:rsidRDefault="002B32A0" w:rsidP="006258ED">
            <w:pPr>
              <w:pStyle w:val="Tabletext"/>
              <w:keepNext/>
              <w:keepLines/>
            </w:pPr>
            <w:r w:rsidRPr="00CE1D7F">
              <w:t>Academic partners</w:t>
            </w:r>
          </w:p>
        </w:tc>
        <w:tc>
          <w:tcPr>
            <w:tcW w:w="1333" w:type="dxa"/>
          </w:tcPr>
          <w:p w14:paraId="70E519F8" w14:textId="77777777" w:rsidR="002B32A0" w:rsidRPr="00CE1D7F" w:rsidRDefault="002B32A0" w:rsidP="006258ED">
            <w:pPr>
              <w:pStyle w:val="Tabletext"/>
              <w:keepNext/>
              <w:keepLines/>
            </w:pPr>
          </w:p>
        </w:tc>
        <w:tc>
          <w:tcPr>
            <w:tcW w:w="1333" w:type="dxa"/>
          </w:tcPr>
          <w:p w14:paraId="20223136" w14:textId="77777777" w:rsidR="002B32A0" w:rsidRPr="00CE1D7F" w:rsidRDefault="002B32A0" w:rsidP="006258ED">
            <w:pPr>
              <w:pStyle w:val="Tabletext"/>
              <w:keepNext/>
              <w:keepLines/>
            </w:pPr>
            <w:r w:rsidRPr="00CE1D7F">
              <w:t>$150,000</w:t>
            </w:r>
          </w:p>
        </w:tc>
        <w:tc>
          <w:tcPr>
            <w:tcW w:w="1333" w:type="dxa"/>
          </w:tcPr>
          <w:p w14:paraId="5AC6B0AB" w14:textId="77777777" w:rsidR="002B32A0" w:rsidRPr="00CE1D7F" w:rsidRDefault="002B32A0" w:rsidP="006258ED">
            <w:pPr>
              <w:pStyle w:val="Tabletext"/>
              <w:keepNext/>
              <w:keepLines/>
            </w:pPr>
            <w:r w:rsidRPr="00CE1D7F">
              <w:t>$225,000</w:t>
            </w:r>
          </w:p>
        </w:tc>
        <w:tc>
          <w:tcPr>
            <w:tcW w:w="1333" w:type="dxa"/>
          </w:tcPr>
          <w:p w14:paraId="137477FA" w14:textId="77777777" w:rsidR="002B32A0" w:rsidRPr="00CE1D7F" w:rsidRDefault="002B32A0" w:rsidP="006258ED">
            <w:pPr>
              <w:pStyle w:val="Tabletext"/>
              <w:keepNext/>
              <w:keepLines/>
            </w:pPr>
            <w:r w:rsidRPr="00CE1D7F">
              <w:t>$75,000</w:t>
            </w:r>
          </w:p>
        </w:tc>
        <w:tc>
          <w:tcPr>
            <w:tcW w:w="1333" w:type="dxa"/>
          </w:tcPr>
          <w:p w14:paraId="762B5BDA" w14:textId="77777777" w:rsidR="002B32A0" w:rsidRPr="00CE1D7F" w:rsidRDefault="002B32A0" w:rsidP="006258ED">
            <w:pPr>
              <w:pStyle w:val="Tabletext"/>
              <w:keepNext/>
              <w:keepLines/>
            </w:pPr>
            <w:r w:rsidRPr="00CE1D7F">
              <w:t>$450,000</w:t>
            </w:r>
          </w:p>
        </w:tc>
      </w:tr>
      <w:tr w:rsidR="002B32A0" w:rsidRPr="00CE1D7F" w14:paraId="1CD3E92D" w14:textId="77777777" w:rsidTr="000B0AC7">
        <w:trPr>
          <w:trHeight w:val="20"/>
        </w:trPr>
        <w:tc>
          <w:tcPr>
            <w:tcW w:w="2664" w:type="dxa"/>
            <w:tcMar>
              <w:left w:w="80" w:type="dxa"/>
            </w:tcMar>
          </w:tcPr>
          <w:p w14:paraId="70BC1352" w14:textId="77777777" w:rsidR="002B32A0" w:rsidRPr="00CE1D7F" w:rsidRDefault="002B32A0" w:rsidP="006258ED">
            <w:pPr>
              <w:pStyle w:val="Tabletext"/>
              <w:keepNext/>
              <w:keepLines/>
            </w:pPr>
            <w:r w:rsidRPr="00CE1D7F">
              <w:t>Non-academic partners</w:t>
            </w:r>
          </w:p>
        </w:tc>
        <w:tc>
          <w:tcPr>
            <w:tcW w:w="1333" w:type="dxa"/>
          </w:tcPr>
          <w:p w14:paraId="7A3E1C9C" w14:textId="77777777" w:rsidR="002B32A0" w:rsidRPr="00CE1D7F" w:rsidRDefault="002B32A0" w:rsidP="006258ED">
            <w:pPr>
              <w:pStyle w:val="Tabletext"/>
              <w:keepNext/>
              <w:keepLines/>
            </w:pPr>
          </w:p>
        </w:tc>
        <w:tc>
          <w:tcPr>
            <w:tcW w:w="1333" w:type="dxa"/>
          </w:tcPr>
          <w:p w14:paraId="3BDC7533" w14:textId="77777777" w:rsidR="002B32A0" w:rsidRPr="00CE1D7F" w:rsidRDefault="002B32A0" w:rsidP="006258ED">
            <w:pPr>
              <w:pStyle w:val="Tabletext"/>
              <w:keepNext/>
              <w:keepLines/>
            </w:pPr>
            <w:r w:rsidRPr="00CE1D7F">
              <w:t>$120,000</w:t>
            </w:r>
          </w:p>
        </w:tc>
        <w:tc>
          <w:tcPr>
            <w:tcW w:w="1333" w:type="dxa"/>
          </w:tcPr>
          <w:p w14:paraId="1388E7FE" w14:textId="77777777" w:rsidR="002B32A0" w:rsidRPr="00CE1D7F" w:rsidRDefault="002B32A0" w:rsidP="006258ED">
            <w:pPr>
              <w:pStyle w:val="Tabletext"/>
              <w:keepNext/>
              <w:keepLines/>
            </w:pPr>
            <w:r w:rsidRPr="00CE1D7F">
              <w:t>$180,000</w:t>
            </w:r>
          </w:p>
        </w:tc>
        <w:tc>
          <w:tcPr>
            <w:tcW w:w="1333" w:type="dxa"/>
          </w:tcPr>
          <w:p w14:paraId="0638B32C" w14:textId="77777777" w:rsidR="002B32A0" w:rsidRPr="00CE1D7F" w:rsidRDefault="002B32A0" w:rsidP="006258ED">
            <w:pPr>
              <w:pStyle w:val="Tabletext"/>
              <w:keepNext/>
              <w:keepLines/>
            </w:pPr>
            <w:r w:rsidRPr="00CE1D7F">
              <w:t>$60,000</w:t>
            </w:r>
          </w:p>
        </w:tc>
        <w:tc>
          <w:tcPr>
            <w:tcW w:w="1333" w:type="dxa"/>
          </w:tcPr>
          <w:p w14:paraId="483E65CB" w14:textId="77777777" w:rsidR="002B32A0" w:rsidRPr="00CE1D7F" w:rsidRDefault="002B32A0" w:rsidP="006258ED">
            <w:pPr>
              <w:pStyle w:val="Tabletext"/>
              <w:keepNext/>
              <w:keepLines/>
            </w:pPr>
            <w:r w:rsidRPr="00CE1D7F">
              <w:t>$360,000</w:t>
            </w:r>
          </w:p>
        </w:tc>
      </w:tr>
      <w:tr w:rsidR="002B32A0" w:rsidRPr="00CE1D7F" w14:paraId="41FBDC38" w14:textId="77777777" w:rsidTr="000B0AC7">
        <w:trPr>
          <w:trHeight w:val="20"/>
        </w:trPr>
        <w:tc>
          <w:tcPr>
            <w:tcW w:w="9329" w:type="dxa"/>
            <w:gridSpan w:val="6"/>
            <w:tcMar>
              <w:left w:w="80" w:type="dxa"/>
            </w:tcMar>
          </w:tcPr>
          <w:p w14:paraId="08A52151" w14:textId="77777777" w:rsidR="002B32A0" w:rsidRPr="00CE1D7F" w:rsidRDefault="002B32A0" w:rsidP="006258ED">
            <w:pPr>
              <w:pStyle w:val="Tabletext"/>
              <w:keepNext/>
              <w:keepLines/>
              <w:rPr>
                <w:b/>
                <w:bCs/>
              </w:rPr>
            </w:pPr>
            <w:r w:rsidRPr="00CE1D7F">
              <w:rPr>
                <w:b/>
                <w:bCs/>
              </w:rPr>
              <w:t>DP200102850 –</w:t>
            </w:r>
            <w:r w:rsidRPr="00CE1D7F">
              <w:rPr>
                <w:b/>
                <w:bCs/>
                <w:i/>
                <w:iCs/>
              </w:rPr>
              <w:t xml:space="preserve"> Heritage and Reconciliation</w:t>
            </w:r>
          </w:p>
        </w:tc>
      </w:tr>
      <w:tr w:rsidR="002B32A0" w:rsidRPr="00CE1D7F" w14:paraId="7B952318" w14:textId="77777777" w:rsidTr="000B0AC7">
        <w:trPr>
          <w:trHeight w:val="20"/>
        </w:trPr>
        <w:tc>
          <w:tcPr>
            <w:tcW w:w="2664" w:type="dxa"/>
            <w:tcMar>
              <w:left w:w="80" w:type="dxa"/>
            </w:tcMar>
          </w:tcPr>
          <w:p w14:paraId="763C283B" w14:textId="77777777" w:rsidR="002B32A0" w:rsidRPr="00CE1D7F" w:rsidRDefault="002B32A0" w:rsidP="006258ED">
            <w:pPr>
              <w:pStyle w:val="Tabletext"/>
              <w:keepNext/>
              <w:keepLines/>
            </w:pPr>
            <w:r w:rsidRPr="00CE1D7F">
              <w:t>ARC</w:t>
            </w:r>
          </w:p>
        </w:tc>
        <w:tc>
          <w:tcPr>
            <w:tcW w:w="1333" w:type="dxa"/>
          </w:tcPr>
          <w:p w14:paraId="7CE0621B" w14:textId="77777777" w:rsidR="002B32A0" w:rsidRPr="00CE1D7F" w:rsidRDefault="002B32A0" w:rsidP="006258ED">
            <w:pPr>
              <w:pStyle w:val="Tabletext"/>
              <w:keepNext/>
              <w:keepLines/>
            </w:pPr>
          </w:p>
        </w:tc>
        <w:tc>
          <w:tcPr>
            <w:tcW w:w="1333" w:type="dxa"/>
          </w:tcPr>
          <w:p w14:paraId="47209D9E" w14:textId="77777777" w:rsidR="002B32A0" w:rsidRPr="00CE1D7F" w:rsidRDefault="002B32A0" w:rsidP="006258ED">
            <w:pPr>
              <w:pStyle w:val="Tabletext"/>
              <w:keepNext/>
              <w:keepLines/>
            </w:pPr>
          </w:p>
        </w:tc>
        <w:tc>
          <w:tcPr>
            <w:tcW w:w="1333" w:type="dxa"/>
          </w:tcPr>
          <w:p w14:paraId="494BA152" w14:textId="77777777" w:rsidR="002B32A0" w:rsidRPr="00CE1D7F" w:rsidRDefault="002B32A0" w:rsidP="006258ED">
            <w:pPr>
              <w:pStyle w:val="Tabletext"/>
              <w:keepNext/>
              <w:keepLines/>
            </w:pPr>
            <w:r w:rsidRPr="00CE1D7F">
              <w:t>$266,400</w:t>
            </w:r>
          </w:p>
        </w:tc>
        <w:tc>
          <w:tcPr>
            <w:tcW w:w="1333" w:type="dxa"/>
          </w:tcPr>
          <w:p w14:paraId="7578A858" w14:textId="77777777" w:rsidR="002B32A0" w:rsidRPr="00CE1D7F" w:rsidRDefault="002B32A0" w:rsidP="006258ED">
            <w:pPr>
              <w:pStyle w:val="Tabletext"/>
              <w:keepNext/>
              <w:keepLines/>
            </w:pPr>
            <w:r w:rsidRPr="00CE1D7F">
              <w:t>$105,000</w:t>
            </w:r>
          </w:p>
        </w:tc>
        <w:tc>
          <w:tcPr>
            <w:tcW w:w="1333" w:type="dxa"/>
          </w:tcPr>
          <w:p w14:paraId="30DF24D7" w14:textId="77777777" w:rsidR="002B32A0" w:rsidRPr="00CE1D7F" w:rsidRDefault="002B32A0" w:rsidP="006258ED">
            <w:pPr>
              <w:pStyle w:val="Tabletext"/>
              <w:keepNext/>
              <w:keepLines/>
            </w:pPr>
            <w:r w:rsidRPr="00CE1D7F">
              <w:t>$371,400</w:t>
            </w:r>
          </w:p>
        </w:tc>
      </w:tr>
      <w:tr w:rsidR="002B32A0" w:rsidRPr="00CE1D7F" w14:paraId="1A8E4D2F" w14:textId="77777777" w:rsidTr="000B0AC7">
        <w:trPr>
          <w:trHeight w:val="20"/>
        </w:trPr>
        <w:tc>
          <w:tcPr>
            <w:tcW w:w="2664" w:type="dxa"/>
            <w:tcMar>
              <w:left w:w="80" w:type="dxa"/>
            </w:tcMar>
          </w:tcPr>
          <w:p w14:paraId="23704B81" w14:textId="77777777" w:rsidR="002B32A0" w:rsidRPr="00CE1D7F" w:rsidRDefault="002B32A0" w:rsidP="006258ED">
            <w:pPr>
              <w:pStyle w:val="Tabletext"/>
              <w:keepNext/>
              <w:keepLines/>
            </w:pPr>
            <w:r w:rsidRPr="00CE1D7F">
              <w:t>Academic partners</w:t>
            </w:r>
          </w:p>
        </w:tc>
        <w:tc>
          <w:tcPr>
            <w:tcW w:w="1333" w:type="dxa"/>
          </w:tcPr>
          <w:p w14:paraId="260D4A0A" w14:textId="77777777" w:rsidR="002B32A0" w:rsidRPr="00CE1D7F" w:rsidRDefault="002B32A0" w:rsidP="006258ED">
            <w:pPr>
              <w:pStyle w:val="Tabletext"/>
              <w:keepNext/>
              <w:keepLines/>
            </w:pPr>
          </w:p>
        </w:tc>
        <w:tc>
          <w:tcPr>
            <w:tcW w:w="1333" w:type="dxa"/>
          </w:tcPr>
          <w:p w14:paraId="66DE219F" w14:textId="77777777" w:rsidR="002B32A0" w:rsidRPr="00CE1D7F" w:rsidRDefault="002B32A0" w:rsidP="006258ED">
            <w:pPr>
              <w:pStyle w:val="Tabletext"/>
              <w:keepNext/>
              <w:keepLines/>
            </w:pPr>
          </w:p>
        </w:tc>
        <w:tc>
          <w:tcPr>
            <w:tcW w:w="1333" w:type="dxa"/>
          </w:tcPr>
          <w:p w14:paraId="72BCAF3E" w14:textId="77777777" w:rsidR="002B32A0" w:rsidRPr="00CE1D7F" w:rsidRDefault="002B32A0" w:rsidP="006258ED">
            <w:pPr>
              <w:pStyle w:val="Tabletext"/>
              <w:keepNext/>
              <w:keepLines/>
            </w:pPr>
            <w:r w:rsidRPr="00CE1D7F">
              <w:t>$3,996</w:t>
            </w:r>
          </w:p>
        </w:tc>
        <w:tc>
          <w:tcPr>
            <w:tcW w:w="1333" w:type="dxa"/>
          </w:tcPr>
          <w:p w14:paraId="4B9BDF99" w14:textId="77777777" w:rsidR="002B32A0" w:rsidRPr="00CE1D7F" w:rsidRDefault="002B32A0" w:rsidP="006258ED">
            <w:pPr>
              <w:pStyle w:val="Tabletext"/>
              <w:keepNext/>
              <w:keepLines/>
            </w:pPr>
            <w:r w:rsidRPr="00CE1D7F">
              <w:t>$3,996</w:t>
            </w:r>
          </w:p>
        </w:tc>
        <w:tc>
          <w:tcPr>
            <w:tcW w:w="1333" w:type="dxa"/>
          </w:tcPr>
          <w:p w14:paraId="35DDD703" w14:textId="77777777" w:rsidR="002B32A0" w:rsidRPr="00CE1D7F" w:rsidRDefault="002B32A0" w:rsidP="006258ED">
            <w:pPr>
              <w:pStyle w:val="Tabletext"/>
              <w:keepNext/>
              <w:keepLines/>
            </w:pPr>
            <w:r w:rsidRPr="00CE1D7F">
              <w:t>$7,992</w:t>
            </w:r>
          </w:p>
        </w:tc>
      </w:tr>
      <w:tr w:rsidR="002B32A0" w:rsidRPr="00CE1D7F" w14:paraId="3ABF31C6" w14:textId="77777777" w:rsidTr="000B0AC7">
        <w:trPr>
          <w:trHeight w:val="20"/>
        </w:trPr>
        <w:tc>
          <w:tcPr>
            <w:tcW w:w="9329" w:type="dxa"/>
            <w:gridSpan w:val="6"/>
            <w:tcMar>
              <w:left w:w="80" w:type="dxa"/>
            </w:tcMar>
          </w:tcPr>
          <w:p w14:paraId="6033B54D" w14:textId="77777777" w:rsidR="002B32A0" w:rsidRPr="00CE1D7F" w:rsidRDefault="002B32A0" w:rsidP="006258ED">
            <w:pPr>
              <w:pStyle w:val="Tabletext"/>
              <w:keepNext/>
              <w:keepLines/>
              <w:rPr>
                <w:b/>
                <w:bCs/>
              </w:rPr>
            </w:pPr>
            <w:r w:rsidRPr="00CE1D7F">
              <w:rPr>
                <w:b/>
                <w:bCs/>
              </w:rPr>
              <w:t xml:space="preserve">DP200101814 – </w:t>
            </w:r>
            <w:r w:rsidRPr="00CE1D7F">
              <w:rPr>
                <w:b/>
                <w:bCs/>
                <w:i/>
                <w:iCs/>
              </w:rPr>
              <w:t>Profit and Loss: The commercial trade in Indigenous human remains</w:t>
            </w:r>
          </w:p>
        </w:tc>
      </w:tr>
      <w:tr w:rsidR="002B32A0" w:rsidRPr="00CE1D7F" w14:paraId="19951E0A" w14:textId="77777777" w:rsidTr="000B0AC7">
        <w:trPr>
          <w:trHeight w:val="20"/>
        </w:trPr>
        <w:tc>
          <w:tcPr>
            <w:tcW w:w="2664" w:type="dxa"/>
            <w:tcMar>
              <w:left w:w="80" w:type="dxa"/>
            </w:tcMar>
          </w:tcPr>
          <w:p w14:paraId="53E55ADC" w14:textId="77777777" w:rsidR="002B32A0" w:rsidRPr="00CE1D7F" w:rsidRDefault="002B32A0" w:rsidP="006258ED">
            <w:pPr>
              <w:pStyle w:val="Tabletext"/>
              <w:keepNext/>
              <w:keepLines/>
            </w:pPr>
            <w:r w:rsidRPr="00CE1D7F">
              <w:t>ARC</w:t>
            </w:r>
          </w:p>
        </w:tc>
        <w:tc>
          <w:tcPr>
            <w:tcW w:w="1333" w:type="dxa"/>
          </w:tcPr>
          <w:p w14:paraId="20DB9346" w14:textId="77777777" w:rsidR="002B32A0" w:rsidRPr="00CE1D7F" w:rsidRDefault="002B32A0" w:rsidP="006258ED">
            <w:pPr>
              <w:pStyle w:val="Tabletext"/>
              <w:keepNext/>
              <w:keepLines/>
            </w:pPr>
          </w:p>
        </w:tc>
        <w:tc>
          <w:tcPr>
            <w:tcW w:w="1333" w:type="dxa"/>
          </w:tcPr>
          <w:p w14:paraId="22ADA6BE" w14:textId="77777777" w:rsidR="002B32A0" w:rsidRPr="00CE1D7F" w:rsidRDefault="002B32A0" w:rsidP="006258ED">
            <w:pPr>
              <w:pStyle w:val="Tabletext"/>
              <w:keepNext/>
              <w:keepLines/>
            </w:pPr>
          </w:p>
        </w:tc>
        <w:tc>
          <w:tcPr>
            <w:tcW w:w="1333" w:type="dxa"/>
          </w:tcPr>
          <w:p w14:paraId="7AE29758" w14:textId="77777777" w:rsidR="002B32A0" w:rsidRPr="00CE1D7F" w:rsidRDefault="002B32A0" w:rsidP="006258ED">
            <w:pPr>
              <w:pStyle w:val="Tabletext"/>
              <w:keepNext/>
              <w:keepLines/>
            </w:pPr>
            <w:r w:rsidRPr="00CE1D7F">
              <w:t>$509,591</w:t>
            </w:r>
          </w:p>
        </w:tc>
        <w:tc>
          <w:tcPr>
            <w:tcW w:w="1333" w:type="dxa"/>
          </w:tcPr>
          <w:p w14:paraId="61D50061" w14:textId="77777777" w:rsidR="002B32A0" w:rsidRPr="00CE1D7F" w:rsidRDefault="002B32A0" w:rsidP="006258ED">
            <w:pPr>
              <w:pStyle w:val="Tabletext"/>
              <w:keepNext/>
              <w:keepLines/>
            </w:pPr>
            <w:r w:rsidRPr="00CE1D7F">
              <w:t>$239,238</w:t>
            </w:r>
          </w:p>
        </w:tc>
        <w:tc>
          <w:tcPr>
            <w:tcW w:w="1333" w:type="dxa"/>
          </w:tcPr>
          <w:p w14:paraId="437C7B5B" w14:textId="77777777" w:rsidR="002B32A0" w:rsidRPr="00CE1D7F" w:rsidRDefault="002B32A0" w:rsidP="006258ED">
            <w:pPr>
              <w:pStyle w:val="Tabletext"/>
              <w:keepNext/>
              <w:keepLines/>
            </w:pPr>
            <w:r w:rsidRPr="00CE1D7F">
              <w:t>$748,829</w:t>
            </w:r>
          </w:p>
        </w:tc>
      </w:tr>
      <w:tr w:rsidR="002B32A0" w:rsidRPr="00CE1D7F" w14:paraId="62F19E48" w14:textId="77777777" w:rsidTr="000B0AC7">
        <w:trPr>
          <w:trHeight w:val="20"/>
        </w:trPr>
        <w:tc>
          <w:tcPr>
            <w:tcW w:w="2664" w:type="dxa"/>
            <w:tcMar>
              <w:left w:w="80" w:type="dxa"/>
            </w:tcMar>
          </w:tcPr>
          <w:p w14:paraId="08AE2028" w14:textId="77777777" w:rsidR="002B32A0" w:rsidRPr="00CE1D7F" w:rsidRDefault="002B32A0" w:rsidP="006258ED">
            <w:pPr>
              <w:pStyle w:val="Tabletext"/>
              <w:keepNext/>
              <w:keepLines/>
            </w:pPr>
            <w:r w:rsidRPr="00CE1D7F">
              <w:t>Academic partners</w:t>
            </w:r>
          </w:p>
        </w:tc>
        <w:tc>
          <w:tcPr>
            <w:tcW w:w="1333" w:type="dxa"/>
          </w:tcPr>
          <w:p w14:paraId="1B144CB1" w14:textId="77777777" w:rsidR="002B32A0" w:rsidRPr="00CE1D7F" w:rsidRDefault="002B32A0" w:rsidP="006258ED">
            <w:pPr>
              <w:pStyle w:val="Tabletext"/>
              <w:keepNext/>
              <w:keepLines/>
            </w:pPr>
          </w:p>
        </w:tc>
        <w:tc>
          <w:tcPr>
            <w:tcW w:w="1333" w:type="dxa"/>
          </w:tcPr>
          <w:p w14:paraId="74CED194" w14:textId="77777777" w:rsidR="002B32A0" w:rsidRPr="00CE1D7F" w:rsidRDefault="002B32A0" w:rsidP="006258ED">
            <w:pPr>
              <w:pStyle w:val="Tabletext"/>
              <w:keepNext/>
              <w:keepLines/>
            </w:pPr>
          </w:p>
        </w:tc>
        <w:tc>
          <w:tcPr>
            <w:tcW w:w="1333" w:type="dxa"/>
          </w:tcPr>
          <w:p w14:paraId="3D4B0C35" w14:textId="77777777" w:rsidR="002B32A0" w:rsidRPr="00CE1D7F" w:rsidRDefault="002B32A0" w:rsidP="006258ED">
            <w:pPr>
              <w:pStyle w:val="Tabletext"/>
              <w:keepNext/>
              <w:keepLines/>
            </w:pPr>
            <w:r w:rsidRPr="00CE1D7F">
              <w:t>$8,758</w:t>
            </w:r>
          </w:p>
        </w:tc>
        <w:tc>
          <w:tcPr>
            <w:tcW w:w="1333" w:type="dxa"/>
          </w:tcPr>
          <w:p w14:paraId="03202766" w14:textId="77777777" w:rsidR="002B32A0" w:rsidRPr="00CE1D7F" w:rsidRDefault="002B32A0" w:rsidP="006258ED">
            <w:pPr>
              <w:pStyle w:val="Tabletext"/>
              <w:keepNext/>
              <w:keepLines/>
            </w:pPr>
            <w:r w:rsidRPr="00CE1D7F">
              <w:t>$8,758</w:t>
            </w:r>
          </w:p>
        </w:tc>
        <w:tc>
          <w:tcPr>
            <w:tcW w:w="1333" w:type="dxa"/>
          </w:tcPr>
          <w:p w14:paraId="039414E1" w14:textId="77777777" w:rsidR="002B32A0" w:rsidRPr="00CE1D7F" w:rsidRDefault="002B32A0" w:rsidP="006258ED">
            <w:pPr>
              <w:pStyle w:val="Tabletext"/>
              <w:keepNext/>
              <w:keepLines/>
            </w:pPr>
            <w:r w:rsidRPr="00CE1D7F">
              <w:t>$17,516</w:t>
            </w:r>
          </w:p>
        </w:tc>
      </w:tr>
      <w:tr w:rsidR="002B32A0" w:rsidRPr="00CE1D7F" w14:paraId="6A445B0D" w14:textId="77777777" w:rsidTr="000B0AC7">
        <w:trPr>
          <w:trHeight w:val="20"/>
        </w:trPr>
        <w:tc>
          <w:tcPr>
            <w:tcW w:w="9329" w:type="dxa"/>
            <w:gridSpan w:val="6"/>
            <w:tcMar>
              <w:left w:w="80" w:type="dxa"/>
            </w:tcMar>
          </w:tcPr>
          <w:p w14:paraId="6A5216DF" w14:textId="77777777" w:rsidR="002B32A0" w:rsidRPr="00CE1D7F" w:rsidRDefault="002B32A0" w:rsidP="006258ED">
            <w:pPr>
              <w:pStyle w:val="Tabletext"/>
              <w:keepNext/>
              <w:keepLines/>
              <w:rPr>
                <w:b/>
                <w:bCs/>
              </w:rPr>
            </w:pPr>
            <w:r w:rsidRPr="00CE1D7F">
              <w:rPr>
                <w:b/>
                <w:bCs/>
              </w:rPr>
              <w:t>In-kind</w:t>
            </w:r>
          </w:p>
        </w:tc>
      </w:tr>
      <w:tr w:rsidR="002B32A0" w:rsidRPr="00CE1D7F" w14:paraId="704596B8" w14:textId="77777777" w:rsidTr="000B0AC7">
        <w:trPr>
          <w:trHeight w:val="20"/>
        </w:trPr>
        <w:tc>
          <w:tcPr>
            <w:tcW w:w="9329" w:type="dxa"/>
            <w:gridSpan w:val="6"/>
            <w:tcMar>
              <w:left w:w="80" w:type="dxa"/>
            </w:tcMar>
          </w:tcPr>
          <w:p w14:paraId="5B65ED18" w14:textId="77777777" w:rsidR="002B32A0" w:rsidRPr="00CE1D7F" w:rsidRDefault="002B32A0" w:rsidP="006258ED">
            <w:pPr>
              <w:pStyle w:val="Tabletext"/>
              <w:keepNext/>
              <w:keepLines/>
              <w:rPr>
                <w:b/>
                <w:bCs/>
              </w:rPr>
            </w:pPr>
            <w:r w:rsidRPr="00CE1D7F">
              <w:rPr>
                <w:b/>
                <w:bCs/>
              </w:rPr>
              <w:t xml:space="preserve">LP130100131 – </w:t>
            </w:r>
            <w:r w:rsidRPr="00CE1D7F">
              <w:rPr>
                <w:b/>
                <w:bCs/>
                <w:i/>
                <w:iCs/>
              </w:rPr>
              <w:t>Return, Reconcile, Renew: understanding the history, effects and opportunities of repatriation and building an evidence base for the future</w:t>
            </w:r>
          </w:p>
        </w:tc>
      </w:tr>
      <w:tr w:rsidR="002B32A0" w:rsidRPr="00CE1D7F" w14:paraId="36C6C24A" w14:textId="77777777" w:rsidTr="000B0AC7">
        <w:trPr>
          <w:trHeight w:val="20"/>
        </w:trPr>
        <w:tc>
          <w:tcPr>
            <w:tcW w:w="2664" w:type="dxa"/>
            <w:tcMar>
              <w:left w:w="80" w:type="dxa"/>
            </w:tcMar>
          </w:tcPr>
          <w:p w14:paraId="38B40B5A" w14:textId="77777777" w:rsidR="002B32A0" w:rsidRPr="00CE1D7F" w:rsidRDefault="002B32A0" w:rsidP="006258ED">
            <w:pPr>
              <w:pStyle w:val="Tabletext"/>
              <w:keepNext/>
              <w:keepLines/>
            </w:pPr>
            <w:r w:rsidRPr="00CE1D7F">
              <w:t>Academic partners</w:t>
            </w:r>
          </w:p>
        </w:tc>
        <w:tc>
          <w:tcPr>
            <w:tcW w:w="1333" w:type="dxa"/>
          </w:tcPr>
          <w:p w14:paraId="6E2454EF" w14:textId="77777777" w:rsidR="002B32A0" w:rsidRPr="00CE1D7F" w:rsidRDefault="002B32A0" w:rsidP="006258ED">
            <w:pPr>
              <w:pStyle w:val="Tabletext"/>
              <w:keepNext/>
              <w:keepLines/>
            </w:pPr>
            <w:r w:rsidRPr="00CE1D7F">
              <w:t>$274,674</w:t>
            </w:r>
          </w:p>
        </w:tc>
        <w:tc>
          <w:tcPr>
            <w:tcW w:w="1333" w:type="dxa"/>
          </w:tcPr>
          <w:p w14:paraId="02DB3B7B" w14:textId="77777777" w:rsidR="002B32A0" w:rsidRPr="00CE1D7F" w:rsidRDefault="002B32A0" w:rsidP="006258ED">
            <w:pPr>
              <w:pStyle w:val="Tabletext"/>
              <w:keepNext/>
              <w:keepLines/>
            </w:pPr>
            <w:r w:rsidRPr="00CE1D7F">
              <w:t>$412,011</w:t>
            </w:r>
          </w:p>
        </w:tc>
        <w:tc>
          <w:tcPr>
            <w:tcW w:w="1333" w:type="dxa"/>
          </w:tcPr>
          <w:p w14:paraId="2F858B77" w14:textId="77777777" w:rsidR="002B32A0" w:rsidRPr="00CE1D7F" w:rsidRDefault="002B32A0" w:rsidP="006258ED">
            <w:pPr>
              <w:pStyle w:val="Tabletext"/>
              <w:keepNext/>
              <w:keepLines/>
            </w:pPr>
            <w:r w:rsidRPr="00CE1D7F">
              <w:t>$137,337</w:t>
            </w:r>
          </w:p>
        </w:tc>
        <w:tc>
          <w:tcPr>
            <w:tcW w:w="1333" w:type="dxa"/>
          </w:tcPr>
          <w:p w14:paraId="31442D66" w14:textId="77777777" w:rsidR="002B32A0" w:rsidRPr="00CE1D7F" w:rsidRDefault="002B32A0" w:rsidP="006258ED">
            <w:pPr>
              <w:pStyle w:val="Tabletext"/>
              <w:keepNext/>
              <w:keepLines/>
            </w:pPr>
          </w:p>
        </w:tc>
        <w:tc>
          <w:tcPr>
            <w:tcW w:w="1333" w:type="dxa"/>
          </w:tcPr>
          <w:p w14:paraId="1F8E7261" w14:textId="77777777" w:rsidR="002B32A0" w:rsidRPr="00CE1D7F" w:rsidRDefault="002B32A0" w:rsidP="006258ED">
            <w:pPr>
              <w:pStyle w:val="Tabletext"/>
              <w:keepNext/>
              <w:keepLines/>
            </w:pPr>
            <w:r w:rsidRPr="00CE1D7F">
              <w:t>$824,022</w:t>
            </w:r>
          </w:p>
        </w:tc>
      </w:tr>
      <w:tr w:rsidR="002B32A0" w:rsidRPr="00CE1D7F" w14:paraId="2E876593" w14:textId="77777777" w:rsidTr="000B0AC7">
        <w:trPr>
          <w:trHeight w:val="20"/>
        </w:trPr>
        <w:tc>
          <w:tcPr>
            <w:tcW w:w="2664" w:type="dxa"/>
            <w:tcMar>
              <w:left w:w="80" w:type="dxa"/>
            </w:tcMar>
          </w:tcPr>
          <w:p w14:paraId="02185C91" w14:textId="77777777" w:rsidR="002B32A0" w:rsidRPr="00CE1D7F" w:rsidRDefault="002B32A0" w:rsidP="006258ED">
            <w:pPr>
              <w:pStyle w:val="Tabletext"/>
              <w:keepNext/>
              <w:keepLines/>
            </w:pPr>
            <w:r w:rsidRPr="00CE1D7F">
              <w:t>Non-academic partners</w:t>
            </w:r>
          </w:p>
        </w:tc>
        <w:tc>
          <w:tcPr>
            <w:tcW w:w="1333" w:type="dxa"/>
          </w:tcPr>
          <w:p w14:paraId="7BA3C551" w14:textId="77777777" w:rsidR="002B32A0" w:rsidRPr="00CE1D7F" w:rsidRDefault="002B32A0" w:rsidP="006258ED">
            <w:pPr>
              <w:pStyle w:val="Tabletext"/>
              <w:keepNext/>
              <w:keepLines/>
            </w:pPr>
            <w:r w:rsidRPr="00CE1D7F">
              <w:t>$458,704</w:t>
            </w:r>
          </w:p>
        </w:tc>
        <w:tc>
          <w:tcPr>
            <w:tcW w:w="1333" w:type="dxa"/>
          </w:tcPr>
          <w:p w14:paraId="54D5BFCB" w14:textId="77777777" w:rsidR="002B32A0" w:rsidRPr="00CE1D7F" w:rsidRDefault="002B32A0" w:rsidP="006258ED">
            <w:pPr>
              <w:pStyle w:val="Tabletext"/>
              <w:keepNext/>
              <w:keepLines/>
            </w:pPr>
            <w:r w:rsidRPr="00CE1D7F">
              <w:t>$688,056</w:t>
            </w:r>
          </w:p>
        </w:tc>
        <w:tc>
          <w:tcPr>
            <w:tcW w:w="1333" w:type="dxa"/>
          </w:tcPr>
          <w:p w14:paraId="272BB9F8" w14:textId="77777777" w:rsidR="002B32A0" w:rsidRPr="00CE1D7F" w:rsidRDefault="002B32A0" w:rsidP="006258ED">
            <w:pPr>
              <w:pStyle w:val="Tabletext"/>
              <w:keepNext/>
              <w:keepLines/>
            </w:pPr>
            <w:r w:rsidRPr="00CE1D7F">
              <w:t>$229,352</w:t>
            </w:r>
          </w:p>
        </w:tc>
        <w:tc>
          <w:tcPr>
            <w:tcW w:w="1333" w:type="dxa"/>
          </w:tcPr>
          <w:p w14:paraId="538A3629" w14:textId="77777777" w:rsidR="002B32A0" w:rsidRPr="00CE1D7F" w:rsidRDefault="002B32A0" w:rsidP="006258ED">
            <w:pPr>
              <w:pStyle w:val="Tabletext"/>
              <w:keepNext/>
              <w:keepLines/>
            </w:pPr>
          </w:p>
        </w:tc>
        <w:tc>
          <w:tcPr>
            <w:tcW w:w="1333" w:type="dxa"/>
          </w:tcPr>
          <w:p w14:paraId="784C9F47" w14:textId="77777777" w:rsidR="002B32A0" w:rsidRPr="00CE1D7F" w:rsidRDefault="002B32A0" w:rsidP="006258ED">
            <w:pPr>
              <w:pStyle w:val="Tabletext"/>
              <w:keepNext/>
              <w:keepLines/>
            </w:pPr>
            <w:r w:rsidRPr="00CE1D7F">
              <w:t>$1,376,111</w:t>
            </w:r>
          </w:p>
        </w:tc>
      </w:tr>
      <w:tr w:rsidR="002B32A0" w:rsidRPr="00CE1D7F" w14:paraId="7935D22A" w14:textId="77777777" w:rsidTr="000B0AC7">
        <w:trPr>
          <w:trHeight w:val="20"/>
        </w:trPr>
        <w:tc>
          <w:tcPr>
            <w:tcW w:w="9329" w:type="dxa"/>
            <w:gridSpan w:val="6"/>
            <w:tcMar>
              <w:left w:w="80" w:type="dxa"/>
            </w:tcMar>
          </w:tcPr>
          <w:p w14:paraId="1B5078C5" w14:textId="77777777" w:rsidR="002B32A0" w:rsidRPr="00CE1D7F" w:rsidRDefault="002B32A0" w:rsidP="006258ED">
            <w:pPr>
              <w:pStyle w:val="Tabletext"/>
              <w:keepNext/>
              <w:keepLines/>
            </w:pPr>
            <w:r w:rsidRPr="00CE1D7F">
              <w:rPr>
                <w:b/>
                <w:bCs/>
              </w:rPr>
              <w:t xml:space="preserve">LE170100017 – </w:t>
            </w:r>
            <w:r w:rsidRPr="00CE1D7F">
              <w:rPr>
                <w:b/>
                <w:bCs/>
                <w:i/>
                <w:iCs/>
              </w:rPr>
              <w:t>Restoring Dignity: Networked Knowledge for Repatriation Communities</w:t>
            </w:r>
          </w:p>
        </w:tc>
      </w:tr>
      <w:tr w:rsidR="002B32A0" w:rsidRPr="00CE1D7F" w14:paraId="5DAE1D0F" w14:textId="77777777" w:rsidTr="000B0AC7">
        <w:trPr>
          <w:trHeight w:val="20"/>
        </w:trPr>
        <w:tc>
          <w:tcPr>
            <w:tcW w:w="2664" w:type="dxa"/>
            <w:tcMar>
              <w:left w:w="80" w:type="dxa"/>
            </w:tcMar>
          </w:tcPr>
          <w:p w14:paraId="20CC82BB" w14:textId="77777777" w:rsidR="002B32A0" w:rsidRPr="00CE1D7F" w:rsidRDefault="002B32A0" w:rsidP="006258ED">
            <w:pPr>
              <w:pStyle w:val="Tabletext"/>
              <w:keepNext/>
              <w:keepLines/>
            </w:pPr>
            <w:r w:rsidRPr="00CE1D7F">
              <w:t>Academic partners</w:t>
            </w:r>
          </w:p>
        </w:tc>
        <w:tc>
          <w:tcPr>
            <w:tcW w:w="1333" w:type="dxa"/>
          </w:tcPr>
          <w:p w14:paraId="60C001F2" w14:textId="77777777" w:rsidR="002B32A0" w:rsidRPr="00CE1D7F" w:rsidRDefault="002B32A0" w:rsidP="006258ED">
            <w:pPr>
              <w:pStyle w:val="Tabletext"/>
              <w:keepNext/>
              <w:keepLines/>
            </w:pPr>
          </w:p>
        </w:tc>
        <w:tc>
          <w:tcPr>
            <w:tcW w:w="1333" w:type="dxa"/>
          </w:tcPr>
          <w:p w14:paraId="41177BBA" w14:textId="77777777" w:rsidR="002B32A0" w:rsidRPr="00CE1D7F" w:rsidRDefault="002B32A0" w:rsidP="006258ED">
            <w:pPr>
              <w:pStyle w:val="Tabletext"/>
              <w:keepNext/>
              <w:keepLines/>
            </w:pPr>
            <w:r w:rsidRPr="00CE1D7F">
              <w:t>$256,205</w:t>
            </w:r>
          </w:p>
        </w:tc>
        <w:tc>
          <w:tcPr>
            <w:tcW w:w="1333" w:type="dxa"/>
          </w:tcPr>
          <w:p w14:paraId="3CF26E1B" w14:textId="77777777" w:rsidR="002B32A0" w:rsidRPr="00CE1D7F" w:rsidRDefault="002B32A0" w:rsidP="006258ED">
            <w:pPr>
              <w:pStyle w:val="Tabletext"/>
              <w:keepNext/>
              <w:keepLines/>
            </w:pPr>
            <w:r w:rsidRPr="00CE1D7F">
              <w:t>$384,308</w:t>
            </w:r>
          </w:p>
        </w:tc>
        <w:tc>
          <w:tcPr>
            <w:tcW w:w="1333" w:type="dxa"/>
          </w:tcPr>
          <w:p w14:paraId="3B76CBFD" w14:textId="77777777" w:rsidR="002B32A0" w:rsidRPr="00CE1D7F" w:rsidRDefault="002B32A0" w:rsidP="006258ED">
            <w:pPr>
              <w:pStyle w:val="Tabletext"/>
              <w:keepNext/>
              <w:keepLines/>
            </w:pPr>
            <w:r w:rsidRPr="00CE1D7F">
              <w:t>$128,103</w:t>
            </w:r>
          </w:p>
        </w:tc>
        <w:tc>
          <w:tcPr>
            <w:tcW w:w="1333" w:type="dxa"/>
          </w:tcPr>
          <w:p w14:paraId="577C7C01" w14:textId="77777777" w:rsidR="002B32A0" w:rsidRPr="00CE1D7F" w:rsidRDefault="002B32A0" w:rsidP="006258ED">
            <w:pPr>
              <w:pStyle w:val="Tabletext"/>
              <w:keepNext/>
              <w:keepLines/>
            </w:pPr>
            <w:r w:rsidRPr="00CE1D7F">
              <w:t>$768,616</w:t>
            </w:r>
          </w:p>
        </w:tc>
      </w:tr>
      <w:tr w:rsidR="002B32A0" w:rsidRPr="00CE1D7F" w14:paraId="3655F40D" w14:textId="77777777" w:rsidTr="000B0AC7">
        <w:trPr>
          <w:trHeight w:val="20"/>
        </w:trPr>
        <w:tc>
          <w:tcPr>
            <w:tcW w:w="2664" w:type="dxa"/>
            <w:tcMar>
              <w:left w:w="80" w:type="dxa"/>
            </w:tcMar>
          </w:tcPr>
          <w:p w14:paraId="7B9DBB76" w14:textId="77777777" w:rsidR="002B32A0" w:rsidRPr="00CE1D7F" w:rsidRDefault="002B32A0" w:rsidP="006258ED">
            <w:pPr>
              <w:pStyle w:val="Tabletext"/>
              <w:keepNext/>
              <w:keepLines/>
            </w:pPr>
            <w:r w:rsidRPr="00CE1D7F">
              <w:t>Non-academic partners</w:t>
            </w:r>
          </w:p>
        </w:tc>
        <w:tc>
          <w:tcPr>
            <w:tcW w:w="1333" w:type="dxa"/>
          </w:tcPr>
          <w:p w14:paraId="6D2D9719" w14:textId="77777777" w:rsidR="002B32A0" w:rsidRPr="00CE1D7F" w:rsidRDefault="002B32A0" w:rsidP="006258ED">
            <w:pPr>
              <w:pStyle w:val="Tabletext"/>
              <w:keepNext/>
              <w:keepLines/>
            </w:pPr>
          </w:p>
        </w:tc>
        <w:tc>
          <w:tcPr>
            <w:tcW w:w="1333" w:type="dxa"/>
          </w:tcPr>
          <w:p w14:paraId="090A9664" w14:textId="77777777" w:rsidR="002B32A0" w:rsidRPr="00CE1D7F" w:rsidRDefault="002B32A0" w:rsidP="006258ED">
            <w:pPr>
              <w:pStyle w:val="Tabletext"/>
              <w:keepNext/>
              <w:keepLines/>
            </w:pPr>
            <w:r w:rsidRPr="00CE1D7F">
              <w:t>$142,524</w:t>
            </w:r>
          </w:p>
        </w:tc>
        <w:tc>
          <w:tcPr>
            <w:tcW w:w="1333" w:type="dxa"/>
          </w:tcPr>
          <w:p w14:paraId="76383AFD" w14:textId="77777777" w:rsidR="002B32A0" w:rsidRPr="00CE1D7F" w:rsidRDefault="002B32A0" w:rsidP="006258ED">
            <w:pPr>
              <w:pStyle w:val="Tabletext"/>
              <w:keepNext/>
              <w:keepLines/>
            </w:pPr>
            <w:r w:rsidRPr="00CE1D7F">
              <w:t>$213,786</w:t>
            </w:r>
          </w:p>
        </w:tc>
        <w:tc>
          <w:tcPr>
            <w:tcW w:w="1333" w:type="dxa"/>
          </w:tcPr>
          <w:p w14:paraId="663BF2BF" w14:textId="77777777" w:rsidR="002B32A0" w:rsidRPr="00CE1D7F" w:rsidRDefault="002B32A0" w:rsidP="006258ED">
            <w:pPr>
              <w:pStyle w:val="Tabletext"/>
              <w:keepNext/>
              <w:keepLines/>
            </w:pPr>
            <w:r w:rsidRPr="00CE1D7F">
              <w:t>$71,262</w:t>
            </w:r>
          </w:p>
        </w:tc>
        <w:tc>
          <w:tcPr>
            <w:tcW w:w="1333" w:type="dxa"/>
          </w:tcPr>
          <w:p w14:paraId="24DC6686" w14:textId="77777777" w:rsidR="002B32A0" w:rsidRPr="00CE1D7F" w:rsidRDefault="002B32A0" w:rsidP="006258ED">
            <w:pPr>
              <w:pStyle w:val="Tabletext"/>
              <w:keepNext/>
              <w:keepLines/>
            </w:pPr>
            <w:r w:rsidRPr="00CE1D7F">
              <w:t>$427,572</w:t>
            </w:r>
          </w:p>
        </w:tc>
      </w:tr>
      <w:tr w:rsidR="002B32A0" w:rsidRPr="00CE1D7F" w14:paraId="4DEC44A7" w14:textId="77777777" w:rsidTr="000B0AC7">
        <w:trPr>
          <w:trHeight w:val="20"/>
        </w:trPr>
        <w:tc>
          <w:tcPr>
            <w:tcW w:w="9329" w:type="dxa"/>
            <w:gridSpan w:val="6"/>
            <w:tcMar>
              <w:left w:w="80" w:type="dxa"/>
            </w:tcMar>
          </w:tcPr>
          <w:p w14:paraId="1A807A9B" w14:textId="77777777" w:rsidR="002B32A0" w:rsidRPr="00CE1D7F" w:rsidRDefault="002B32A0" w:rsidP="006258ED">
            <w:pPr>
              <w:pStyle w:val="Tabletext"/>
              <w:keepNext/>
              <w:keepLines/>
            </w:pPr>
            <w:r w:rsidRPr="00CE1D7F">
              <w:rPr>
                <w:b/>
                <w:bCs/>
                <w:iCs/>
              </w:rPr>
              <w:t>DP200102850</w:t>
            </w:r>
            <w:r w:rsidRPr="00CE1D7F">
              <w:rPr>
                <w:b/>
                <w:bCs/>
                <w:i/>
                <w:iCs/>
              </w:rPr>
              <w:t xml:space="preserve"> - Heritage and Reconciliation</w:t>
            </w:r>
          </w:p>
        </w:tc>
      </w:tr>
      <w:tr w:rsidR="002B32A0" w:rsidRPr="00CE1D7F" w14:paraId="5B0956D6" w14:textId="77777777" w:rsidTr="000B0AC7">
        <w:trPr>
          <w:trHeight w:val="20"/>
        </w:trPr>
        <w:tc>
          <w:tcPr>
            <w:tcW w:w="2664" w:type="dxa"/>
            <w:tcMar>
              <w:left w:w="80" w:type="dxa"/>
            </w:tcMar>
          </w:tcPr>
          <w:p w14:paraId="7C12AB48" w14:textId="77777777" w:rsidR="002B32A0" w:rsidRPr="00CE1D7F" w:rsidRDefault="002B32A0" w:rsidP="006258ED">
            <w:pPr>
              <w:pStyle w:val="Tabletext"/>
              <w:keepNext/>
              <w:keepLines/>
            </w:pPr>
            <w:r w:rsidRPr="00CE1D7F">
              <w:t>Academic partners</w:t>
            </w:r>
          </w:p>
        </w:tc>
        <w:tc>
          <w:tcPr>
            <w:tcW w:w="1333" w:type="dxa"/>
          </w:tcPr>
          <w:p w14:paraId="7341E995" w14:textId="77777777" w:rsidR="002B32A0" w:rsidRPr="00CE1D7F" w:rsidRDefault="002B32A0" w:rsidP="006258ED">
            <w:pPr>
              <w:pStyle w:val="Tabletext"/>
              <w:keepNext/>
              <w:keepLines/>
            </w:pPr>
          </w:p>
        </w:tc>
        <w:tc>
          <w:tcPr>
            <w:tcW w:w="1333" w:type="dxa"/>
          </w:tcPr>
          <w:p w14:paraId="42AADFDB" w14:textId="77777777" w:rsidR="002B32A0" w:rsidRPr="00CE1D7F" w:rsidRDefault="002B32A0" w:rsidP="006258ED">
            <w:pPr>
              <w:pStyle w:val="Tabletext"/>
              <w:keepNext/>
              <w:keepLines/>
            </w:pPr>
          </w:p>
        </w:tc>
        <w:tc>
          <w:tcPr>
            <w:tcW w:w="1333" w:type="dxa"/>
          </w:tcPr>
          <w:p w14:paraId="305AAF99" w14:textId="77777777" w:rsidR="002B32A0" w:rsidRPr="00CE1D7F" w:rsidRDefault="002B32A0" w:rsidP="006258ED">
            <w:pPr>
              <w:pStyle w:val="Tabletext"/>
              <w:keepNext/>
              <w:keepLines/>
            </w:pPr>
            <w:r w:rsidRPr="00CE1D7F">
              <w:t>$293,550</w:t>
            </w:r>
          </w:p>
        </w:tc>
        <w:tc>
          <w:tcPr>
            <w:tcW w:w="1333" w:type="dxa"/>
          </w:tcPr>
          <w:p w14:paraId="220F4EA9" w14:textId="77777777" w:rsidR="002B32A0" w:rsidRPr="00CE1D7F" w:rsidRDefault="002B32A0" w:rsidP="006258ED">
            <w:pPr>
              <w:pStyle w:val="Tabletext"/>
              <w:keepNext/>
              <w:keepLines/>
            </w:pPr>
            <w:r w:rsidRPr="00CE1D7F">
              <w:t>$293,550</w:t>
            </w:r>
          </w:p>
        </w:tc>
        <w:tc>
          <w:tcPr>
            <w:tcW w:w="1333" w:type="dxa"/>
          </w:tcPr>
          <w:p w14:paraId="40496736" w14:textId="77777777" w:rsidR="002B32A0" w:rsidRPr="00CE1D7F" w:rsidRDefault="002B32A0" w:rsidP="006258ED">
            <w:pPr>
              <w:pStyle w:val="Tabletext"/>
              <w:keepNext/>
              <w:keepLines/>
            </w:pPr>
            <w:r w:rsidRPr="00CE1D7F">
              <w:t>$587,100</w:t>
            </w:r>
          </w:p>
        </w:tc>
      </w:tr>
      <w:tr w:rsidR="002B32A0" w:rsidRPr="00CE1D7F" w14:paraId="2F1A7FF0" w14:textId="77777777" w:rsidTr="000B0AC7">
        <w:trPr>
          <w:trHeight w:val="20"/>
        </w:trPr>
        <w:tc>
          <w:tcPr>
            <w:tcW w:w="9329" w:type="dxa"/>
            <w:gridSpan w:val="6"/>
            <w:tcMar>
              <w:left w:w="80" w:type="dxa"/>
            </w:tcMar>
          </w:tcPr>
          <w:p w14:paraId="10552FE1" w14:textId="77777777" w:rsidR="002B32A0" w:rsidRPr="00CE1D7F" w:rsidRDefault="002B32A0" w:rsidP="006258ED">
            <w:pPr>
              <w:pStyle w:val="Tabletext"/>
              <w:keepNext/>
              <w:keepLines/>
              <w:rPr>
                <w:i/>
              </w:rPr>
            </w:pPr>
            <w:r w:rsidRPr="00CE1D7F">
              <w:rPr>
                <w:b/>
                <w:bCs/>
              </w:rPr>
              <w:t>DP200101814</w:t>
            </w:r>
            <w:r w:rsidRPr="00CE1D7F">
              <w:rPr>
                <w:b/>
                <w:bCs/>
                <w:i/>
              </w:rPr>
              <w:t xml:space="preserve"> – Profit and Loss: The commercial trade in Indigenous human remains</w:t>
            </w:r>
          </w:p>
        </w:tc>
      </w:tr>
      <w:tr w:rsidR="002B32A0" w:rsidRPr="00CE1D7F" w14:paraId="0CF80A27" w14:textId="77777777" w:rsidTr="000B0AC7">
        <w:trPr>
          <w:trHeight w:val="20"/>
        </w:trPr>
        <w:tc>
          <w:tcPr>
            <w:tcW w:w="2664" w:type="dxa"/>
            <w:tcMar>
              <w:left w:w="80" w:type="dxa"/>
            </w:tcMar>
          </w:tcPr>
          <w:p w14:paraId="26AAF2AE" w14:textId="77777777" w:rsidR="002B32A0" w:rsidRPr="00CE1D7F" w:rsidRDefault="002B32A0" w:rsidP="006258ED">
            <w:pPr>
              <w:pStyle w:val="Tabletext"/>
              <w:keepNext/>
              <w:keepLines/>
            </w:pPr>
            <w:r w:rsidRPr="00CE1D7F">
              <w:t>Academic partners</w:t>
            </w:r>
          </w:p>
        </w:tc>
        <w:tc>
          <w:tcPr>
            <w:tcW w:w="1333" w:type="dxa"/>
          </w:tcPr>
          <w:p w14:paraId="072CC48C" w14:textId="77777777" w:rsidR="002B32A0" w:rsidRPr="00CE1D7F" w:rsidRDefault="002B32A0" w:rsidP="006258ED">
            <w:pPr>
              <w:pStyle w:val="Tabletext"/>
              <w:keepNext/>
              <w:keepLines/>
            </w:pPr>
          </w:p>
        </w:tc>
        <w:tc>
          <w:tcPr>
            <w:tcW w:w="1333" w:type="dxa"/>
          </w:tcPr>
          <w:p w14:paraId="5B7CDF56" w14:textId="77777777" w:rsidR="002B32A0" w:rsidRPr="00CE1D7F" w:rsidRDefault="002B32A0" w:rsidP="006258ED">
            <w:pPr>
              <w:pStyle w:val="Tabletext"/>
              <w:keepNext/>
              <w:keepLines/>
            </w:pPr>
          </w:p>
        </w:tc>
        <w:tc>
          <w:tcPr>
            <w:tcW w:w="1333" w:type="dxa"/>
          </w:tcPr>
          <w:p w14:paraId="6090D416" w14:textId="77777777" w:rsidR="002B32A0" w:rsidRPr="00CE1D7F" w:rsidRDefault="002B32A0" w:rsidP="006258ED">
            <w:pPr>
              <w:pStyle w:val="Tabletext"/>
              <w:keepNext/>
              <w:keepLines/>
            </w:pPr>
            <w:r w:rsidRPr="00CE1D7F">
              <w:t>$303,866</w:t>
            </w:r>
          </w:p>
        </w:tc>
        <w:tc>
          <w:tcPr>
            <w:tcW w:w="1333" w:type="dxa"/>
          </w:tcPr>
          <w:p w14:paraId="2F2534C6" w14:textId="77777777" w:rsidR="002B32A0" w:rsidRPr="00CE1D7F" w:rsidRDefault="002B32A0" w:rsidP="006258ED">
            <w:pPr>
              <w:pStyle w:val="Tabletext"/>
              <w:keepNext/>
              <w:keepLines/>
            </w:pPr>
            <w:r w:rsidRPr="00CE1D7F">
              <w:t>$303,866</w:t>
            </w:r>
          </w:p>
        </w:tc>
        <w:tc>
          <w:tcPr>
            <w:tcW w:w="1333" w:type="dxa"/>
          </w:tcPr>
          <w:p w14:paraId="41664F2B" w14:textId="77777777" w:rsidR="002B32A0" w:rsidRPr="00CE1D7F" w:rsidRDefault="002B32A0" w:rsidP="006258ED">
            <w:pPr>
              <w:pStyle w:val="Tabletext"/>
              <w:keepNext/>
              <w:keepLines/>
            </w:pPr>
            <w:r w:rsidRPr="00CE1D7F">
              <w:t>$607,732</w:t>
            </w:r>
          </w:p>
        </w:tc>
      </w:tr>
      <w:tr w:rsidR="002B32A0" w:rsidRPr="00CE1D7F" w14:paraId="505BD717" w14:textId="77777777" w:rsidTr="000B0AC7">
        <w:trPr>
          <w:trHeight w:val="20"/>
        </w:trPr>
        <w:tc>
          <w:tcPr>
            <w:tcW w:w="2664" w:type="dxa"/>
            <w:tcMar>
              <w:left w:w="80" w:type="dxa"/>
            </w:tcMar>
          </w:tcPr>
          <w:p w14:paraId="22AA325E" w14:textId="77777777" w:rsidR="002B32A0" w:rsidRPr="00CE1D7F" w:rsidRDefault="002B32A0" w:rsidP="006258ED">
            <w:pPr>
              <w:pStyle w:val="Tabletext"/>
              <w:keepNext/>
              <w:keepLines/>
            </w:pPr>
            <w:r w:rsidRPr="00CE1D7F">
              <w:t>Non-academic partners</w:t>
            </w:r>
          </w:p>
        </w:tc>
        <w:tc>
          <w:tcPr>
            <w:tcW w:w="1333" w:type="dxa"/>
          </w:tcPr>
          <w:p w14:paraId="765AFC76" w14:textId="77777777" w:rsidR="002B32A0" w:rsidRPr="00CE1D7F" w:rsidRDefault="002B32A0" w:rsidP="006258ED">
            <w:pPr>
              <w:pStyle w:val="Tabletext"/>
              <w:keepNext/>
              <w:keepLines/>
            </w:pPr>
          </w:p>
        </w:tc>
        <w:tc>
          <w:tcPr>
            <w:tcW w:w="1333" w:type="dxa"/>
          </w:tcPr>
          <w:p w14:paraId="1B94438A" w14:textId="77777777" w:rsidR="002B32A0" w:rsidRPr="00CE1D7F" w:rsidRDefault="002B32A0" w:rsidP="006258ED">
            <w:pPr>
              <w:pStyle w:val="Tabletext"/>
              <w:keepNext/>
              <w:keepLines/>
            </w:pPr>
          </w:p>
        </w:tc>
        <w:tc>
          <w:tcPr>
            <w:tcW w:w="1333" w:type="dxa"/>
          </w:tcPr>
          <w:p w14:paraId="21EFC499" w14:textId="77777777" w:rsidR="002B32A0" w:rsidRPr="00CE1D7F" w:rsidRDefault="002B32A0" w:rsidP="006258ED">
            <w:pPr>
              <w:pStyle w:val="Tabletext"/>
              <w:keepNext/>
              <w:keepLines/>
            </w:pPr>
            <w:r w:rsidRPr="00CE1D7F">
              <w:t>$57,075</w:t>
            </w:r>
          </w:p>
        </w:tc>
        <w:tc>
          <w:tcPr>
            <w:tcW w:w="1333" w:type="dxa"/>
          </w:tcPr>
          <w:p w14:paraId="0655F5A8" w14:textId="77777777" w:rsidR="002B32A0" w:rsidRPr="00CE1D7F" w:rsidRDefault="002B32A0" w:rsidP="006258ED">
            <w:pPr>
              <w:pStyle w:val="Tabletext"/>
              <w:keepNext/>
              <w:keepLines/>
            </w:pPr>
            <w:r w:rsidRPr="00CE1D7F">
              <w:t>$57,075</w:t>
            </w:r>
          </w:p>
        </w:tc>
        <w:tc>
          <w:tcPr>
            <w:tcW w:w="1333" w:type="dxa"/>
          </w:tcPr>
          <w:p w14:paraId="2ABDD9DE" w14:textId="77777777" w:rsidR="002B32A0" w:rsidRPr="00CE1D7F" w:rsidRDefault="002B32A0" w:rsidP="006258ED">
            <w:pPr>
              <w:pStyle w:val="Tabletext"/>
              <w:keepNext/>
              <w:keepLines/>
            </w:pPr>
            <w:r w:rsidRPr="00CE1D7F">
              <w:t>$114,150</w:t>
            </w:r>
          </w:p>
        </w:tc>
      </w:tr>
      <w:tr w:rsidR="002B32A0" w:rsidRPr="00CE1D7F" w14:paraId="022B668C" w14:textId="77777777" w:rsidTr="000B0AC7">
        <w:trPr>
          <w:trHeight w:val="20"/>
        </w:trPr>
        <w:tc>
          <w:tcPr>
            <w:tcW w:w="2664" w:type="dxa"/>
            <w:tcMar>
              <w:left w:w="80" w:type="dxa"/>
            </w:tcMar>
          </w:tcPr>
          <w:p w14:paraId="6E576518" w14:textId="77777777" w:rsidR="002B32A0" w:rsidRPr="00CE1D7F" w:rsidRDefault="002B32A0" w:rsidP="006258ED">
            <w:pPr>
              <w:pStyle w:val="Tabletext"/>
              <w:keepNext/>
              <w:keepLines/>
              <w:rPr>
                <w:b/>
                <w:bCs/>
                <w:i/>
                <w:iCs/>
              </w:rPr>
            </w:pPr>
            <w:r w:rsidRPr="00CE1D7F">
              <w:rPr>
                <w:b/>
                <w:bCs/>
                <w:i/>
                <w:iCs/>
              </w:rPr>
              <w:t>Total</w:t>
            </w:r>
          </w:p>
        </w:tc>
        <w:tc>
          <w:tcPr>
            <w:tcW w:w="1333" w:type="dxa"/>
          </w:tcPr>
          <w:p w14:paraId="29CE3E75" w14:textId="77777777" w:rsidR="002B32A0" w:rsidRPr="00CE1D7F" w:rsidRDefault="002B32A0" w:rsidP="006258ED">
            <w:pPr>
              <w:pStyle w:val="Tabletext"/>
              <w:keepNext/>
              <w:keepLines/>
              <w:rPr>
                <w:b/>
                <w:bCs/>
                <w:i/>
                <w:iCs/>
              </w:rPr>
            </w:pPr>
            <w:r w:rsidRPr="00CE1D7F">
              <w:rPr>
                <w:b/>
                <w:bCs/>
                <w:i/>
                <w:iCs/>
              </w:rPr>
              <w:t>$1,396,768</w:t>
            </w:r>
          </w:p>
        </w:tc>
        <w:tc>
          <w:tcPr>
            <w:tcW w:w="1333" w:type="dxa"/>
          </w:tcPr>
          <w:p w14:paraId="683EE857" w14:textId="77777777" w:rsidR="002B32A0" w:rsidRPr="00CE1D7F" w:rsidRDefault="002B32A0" w:rsidP="006258ED">
            <w:pPr>
              <w:pStyle w:val="Tabletext"/>
              <w:keepNext/>
              <w:keepLines/>
              <w:rPr>
                <w:b/>
                <w:bCs/>
                <w:i/>
                <w:iCs/>
              </w:rPr>
            </w:pPr>
            <w:r w:rsidRPr="00CE1D7F">
              <w:rPr>
                <w:b/>
                <w:bCs/>
                <w:i/>
                <w:iCs/>
              </w:rPr>
              <w:t>$3,312,706</w:t>
            </w:r>
          </w:p>
        </w:tc>
        <w:tc>
          <w:tcPr>
            <w:tcW w:w="1333" w:type="dxa"/>
          </w:tcPr>
          <w:p w14:paraId="506449A4" w14:textId="77777777" w:rsidR="002B32A0" w:rsidRPr="00CE1D7F" w:rsidRDefault="002B32A0" w:rsidP="006258ED">
            <w:pPr>
              <w:pStyle w:val="Tabletext"/>
              <w:keepNext/>
              <w:keepLines/>
              <w:rPr>
                <w:b/>
                <w:bCs/>
                <w:i/>
                <w:iCs/>
              </w:rPr>
            </w:pPr>
            <w:r w:rsidRPr="00CE1D7F">
              <w:rPr>
                <w:b/>
                <w:bCs/>
                <w:i/>
                <w:iCs/>
              </w:rPr>
              <w:t>$2,882,371</w:t>
            </w:r>
          </w:p>
        </w:tc>
        <w:tc>
          <w:tcPr>
            <w:tcW w:w="1333" w:type="dxa"/>
          </w:tcPr>
          <w:p w14:paraId="3269F1F8" w14:textId="77777777" w:rsidR="002B32A0" w:rsidRPr="00CE1D7F" w:rsidRDefault="002B32A0" w:rsidP="006258ED">
            <w:pPr>
              <w:pStyle w:val="Tabletext"/>
              <w:keepNext/>
              <w:keepLines/>
              <w:rPr>
                <w:b/>
                <w:bCs/>
                <w:i/>
                <w:iCs/>
              </w:rPr>
            </w:pPr>
            <w:r w:rsidRPr="00CE1D7F">
              <w:rPr>
                <w:b/>
                <w:bCs/>
                <w:i/>
                <w:iCs/>
              </w:rPr>
              <w:t>$1,345,847</w:t>
            </w:r>
          </w:p>
        </w:tc>
        <w:tc>
          <w:tcPr>
            <w:tcW w:w="1333" w:type="dxa"/>
          </w:tcPr>
          <w:p w14:paraId="25748552" w14:textId="77777777" w:rsidR="002B32A0" w:rsidRPr="00CE1D7F" w:rsidRDefault="002B32A0" w:rsidP="006258ED">
            <w:pPr>
              <w:pStyle w:val="Tabletext"/>
              <w:keepNext/>
              <w:keepLines/>
              <w:rPr>
                <w:b/>
                <w:bCs/>
                <w:i/>
                <w:iCs/>
              </w:rPr>
            </w:pPr>
            <w:r w:rsidRPr="00CE1D7F">
              <w:rPr>
                <w:b/>
                <w:bCs/>
                <w:i/>
                <w:iCs/>
              </w:rPr>
              <w:t>$8,937,692</w:t>
            </w:r>
          </w:p>
        </w:tc>
      </w:tr>
    </w:tbl>
    <w:p w14:paraId="3B9A9487" w14:textId="77777777" w:rsidR="000B0AC7" w:rsidRPr="00CE1D7F" w:rsidRDefault="000B0AC7" w:rsidP="000B0AC7">
      <w:pPr>
        <w:pStyle w:val="Source"/>
        <w:keepLines/>
        <w:ind w:left="-1418"/>
      </w:pPr>
      <w:r w:rsidRPr="00CE1D7F">
        <w:t>Source: ACIL Allen, research project applications and personal communications with Prof Fforde</w:t>
      </w:r>
    </w:p>
    <w:p w14:paraId="3440C8C6" w14:textId="77777777" w:rsidR="000B0AC7" w:rsidRPr="00CE1D7F" w:rsidRDefault="000B0AC7" w:rsidP="000B0AC7">
      <w:pPr>
        <w:pStyle w:val="spacer"/>
        <w:ind w:left="-1418"/>
      </w:pPr>
    </w:p>
    <w:p w14:paraId="5D5DB65A" w14:textId="77777777" w:rsidR="002B32A0" w:rsidRPr="00CE1D7F" w:rsidRDefault="002B32A0" w:rsidP="002B32A0">
      <w:pPr>
        <w:pStyle w:val="Heading2"/>
      </w:pPr>
      <w:bookmarkStart w:id="621" w:name="_Toc131174657"/>
      <w:bookmarkStart w:id="622" w:name="_Toc132970728"/>
      <w:bookmarkStart w:id="623" w:name="_Toc135323767"/>
      <w:r w:rsidRPr="00CE1D7F">
        <w:t>Activities</w:t>
      </w:r>
      <w:bookmarkEnd w:id="621"/>
      <w:bookmarkEnd w:id="622"/>
      <w:bookmarkEnd w:id="623"/>
    </w:p>
    <w:p w14:paraId="6F2986F7" w14:textId="77777777" w:rsidR="002B32A0" w:rsidRPr="00CE1D7F" w:rsidRDefault="002B32A0" w:rsidP="002B32A0">
      <w:pPr>
        <w:pStyle w:val="BodyText"/>
      </w:pPr>
      <w:r w:rsidRPr="00CE1D7F">
        <w:t xml:space="preserve">The activities described in this </w:t>
      </w:r>
      <w:r>
        <w:t>section </w:t>
      </w:r>
      <w:r w:rsidRPr="00CE1D7F">
        <w:t>are central to the research projects funded by the ARC since 2013. They include:</w:t>
      </w:r>
    </w:p>
    <w:p w14:paraId="272B9DA1" w14:textId="77777777" w:rsidR="002B32A0" w:rsidRPr="00CE1D7F" w:rsidRDefault="002B32A0" w:rsidP="00ED5479">
      <w:pPr>
        <w:pStyle w:val="ListBullet"/>
      </w:pPr>
      <w:r w:rsidRPr="00CE1D7F">
        <w:t>Community engaged participatory research that advances understanding of the history of removal and return of ancestral remains and highlights Indigenous repatriation achievements that have changed disciplinary ideology,</w:t>
      </w:r>
      <w:r>
        <w:t xml:space="preserve"> </w:t>
      </w:r>
      <w:r w:rsidRPr="00CE1D7F">
        <w:t>policies and legislation in order to bring their ancestors home.</w:t>
      </w:r>
    </w:p>
    <w:p w14:paraId="4F4AF28B" w14:textId="77777777" w:rsidR="002B32A0" w:rsidRPr="00CE1D7F" w:rsidRDefault="002B32A0" w:rsidP="00ED5479">
      <w:pPr>
        <w:pStyle w:val="ListBullet"/>
      </w:pPr>
      <w:r w:rsidRPr="00CE1D7F">
        <w:t>Scholarly and applied research that empowers community-led repatriation practice, identifies opportunities for repatriation and builds the evidence base for future practice.</w:t>
      </w:r>
    </w:p>
    <w:p w14:paraId="09479C29" w14:textId="77777777" w:rsidR="002B32A0" w:rsidRPr="00CE1D7F" w:rsidRDefault="002B32A0" w:rsidP="00ED5479">
      <w:pPr>
        <w:pStyle w:val="ListBullet"/>
      </w:pPr>
      <w:r w:rsidRPr="00CE1D7F">
        <w:t>A website of repatriation information which forms a major public knowledge transfer platform that raises awareness of the meaning and value of repatriation.</w:t>
      </w:r>
    </w:p>
    <w:p w14:paraId="1B3E8652" w14:textId="77777777" w:rsidR="002B32A0" w:rsidRPr="00CE1D7F" w:rsidRDefault="002B32A0" w:rsidP="00ED5479">
      <w:pPr>
        <w:pStyle w:val="ListBullet"/>
      </w:pPr>
      <w:r w:rsidRPr="00CE1D7F">
        <w:t>A large and expanding Digital Archive of repatriation information with associated Indigenous governance arrangements that supports a growing national and international network of repatriation communities</w:t>
      </w:r>
    </w:p>
    <w:p w14:paraId="48B3BED2" w14:textId="77777777" w:rsidR="002B32A0" w:rsidRPr="00CE1D7F" w:rsidRDefault="002B32A0" w:rsidP="00ED5479">
      <w:pPr>
        <w:pStyle w:val="ListBullet"/>
      </w:pPr>
      <w:r w:rsidRPr="00CE1D7F">
        <w:t>An audio-visual record of Indigenous voices in repatriation which bears powerful witness to the social impact of removal and return, celebrating First Nations achievements.</w:t>
      </w:r>
    </w:p>
    <w:p w14:paraId="32AC5F9F" w14:textId="77777777" w:rsidR="002B32A0" w:rsidRPr="00CE1D7F" w:rsidRDefault="002B32A0" w:rsidP="00ED5479">
      <w:pPr>
        <w:pStyle w:val="ListBullet"/>
      </w:pPr>
      <w:r w:rsidRPr="00CE1D7F">
        <w:t>Theoretical research to explore the relationship between repatriation, healing, and reconciliation.</w:t>
      </w:r>
    </w:p>
    <w:p w14:paraId="19DD2EBB" w14:textId="77777777" w:rsidR="002B32A0" w:rsidRPr="00CE1D7F" w:rsidRDefault="002B32A0" w:rsidP="00ED5479">
      <w:pPr>
        <w:pStyle w:val="ListBullet"/>
      </w:pPr>
      <w:r w:rsidRPr="00CE1D7F">
        <w:t>Empirical mapping of Indigenous ancestral remains around the world.</w:t>
      </w:r>
    </w:p>
    <w:p w14:paraId="555678D9" w14:textId="77777777" w:rsidR="002B32A0" w:rsidRPr="00CE1D7F" w:rsidRDefault="002B32A0" w:rsidP="00ED5479">
      <w:pPr>
        <w:pStyle w:val="ListBullet"/>
      </w:pPr>
      <w:r w:rsidRPr="00CE1D7F">
        <w:t>Meaningful collaboration and partnerships.</w:t>
      </w:r>
    </w:p>
    <w:p w14:paraId="71671085" w14:textId="77777777" w:rsidR="002B32A0" w:rsidRPr="00CE1D7F" w:rsidRDefault="002B32A0" w:rsidP="00ED5479">
      <w:pPr>
        <w:pStyle w:val="ListBullet"/>
      </w:pPr>
      <w:r w:rsidRPr="00CE1D7F">
        <w:t>Forums for discussion, planning and debate.</w:t>
      </w:r>
    </w:p>
    <w:p w14:paraId="19F1A98B" w14:textId="77777777" w:rsidR="002B32A0" w:rsidRPr="00CE1D7F" w:rsidRDefault="002B32A0" w:rsidP="00ED5479">
      <w:pPr>
        <w:pStyle w:val="ListBullet"/>
      </w:pPr>
      <w:r w:rsidRPr="00CE1D7F">
        <w:t>Producing multiple scholarly and applied outputs for a variety of stakeholders.</w:t>
      </w:r>
    </w:p>
    <w:p w14:paraId="6701EA46" w14:textId="77777777" w:rsidR="002B32A0" w:rsidRPr="00CE1D7F" w:rsidRDefault="002B32A0" w:rsidP="002B32A0">
      <w:pPr>
        <w:pStyle w:val="BodyText"/>
      </w:pPr>
      <w:r w:rsidRPr="00CE1D7F">
        <w:t xml:space="preserve">While these activities reflect the work undertaken on ARC research projects, they are only a proportion of the repatriation research, work and effort that has been undertaken by the RRR team in Australia and overseas since 2013, much of which could not have occurred without the support the ARC has provided to activate this network. </w:t>
      </w:r>
    </w:p>
    <w:p w14:paraId="4F8562C9" w14:textId="77777777" w:rsidR="002B32A0" w:rsidRPr="00CE1D7F" w:rsidRDefault="002B32A0" w:rsidP="002B32A0">
      <w:pPr>
        <w:pStyle w:val="BodyText"/>
      </w:pPr>
      <w:r w:rsidRPr="00CE1D7F">
        <w:t>The RRR network has supported a deep and growing level of collaboration amongst researchers, Indigenous communities, museums, and governments to help find and return remains that were taken to museums worldwide. The research funding has helped these collaborators to raise awareness of the issues and importance of repatriation for Indigenous communities across the globe. In some instances, it has supported or contributed to the return of remains to Australia and elsewhere and the development of policy and legislation in several countries.</w:t>
      </w:r>
    </w:p>
    <w:p w14:paraId="4B2B8D50" w14:textId="77777777" w:rsidR="002B32A0" w:rsidRPr="00CE1D7F" w:rsidRDefault="002B32A0" w:rsidP="00ED5479">
      <w:pPr>
        <w:pStyle w:val="Heading3"/>
        <w:ind w:left="709" w:hanging="709"/>
      </w:pPr>
      <w:r w:rsidRPr="00CE1D7F">
        <w:t xml:space="preserve">Understanding the opportunities for repatriation and the evidence base needed for the future </w:t>
      </w:r>
    </w:p>
    <w:p w14:paraId="60D91D2A" w14:textId="77777777" w:rsidR="002B32A0" w:rsidRPr="00CE1D7F" w:rsidRDefault="002B32A0" w:rsidP="002B32A0">
      <w:pPr>
        <w:pStyle w:val="BodyText"/>
      </w:pPr>
      <w:r w:rsidRPr="00CE1D7F">
        <w:t xml:space="preserve">The first ARC-funded project (RRR) involved extensive research to advance knowledge on the removal and return of Indigenous ancestral remains and provided practical support to repatriation and burial practices. The research supported its community Partner Organisations in the Kimberley, Torres Strait and Ngarrindjeri Country, as well as the Federal Government’s Indigenous Repatriation Unit, the National Museum of Australia and the National Museum of New Zealand Te Papa Tongarewa. It was the foundation for the development of Indigenous-led protocols for accessing culturally sensitive digital information to be held in the RRR Digital Archive. </w:t>
      </w:r>
    </w:p>
    <w:p w14:paraId="0440ABB4" w14:textId="77777777" w:rsidR="002B32A0" w:rsidRPr="00CE1D7F" w:rsidRDefault="002B32A0" w:rsidP="002B32A0">
      <w:pPr>
        <w:pStyle w:val="BodyText"/>
      </w:pPr>
      <w:r w:rsidRPr="00CE1D7F">
        <w:t xml:space="preserve">The research activities provided important insights which supported developments in knowledge surrounding the effects of repatriation. In particular, they contributed to understanding the interconnection between repatriation, healing and reconciliation, and successful repatriation and cultural governance/nation building. They explored the means by which ancestral remains were taken and how they travelled between institutions. </w:t>
      </w:r>
    </w:p>
    <w:p w14:paraId="4007CAE5" w14:textId="77777777" w:rsidR="002B32A0" w:rsidRPr="00CE1D7F" w:rsidRDefault="002B32A0" w:rsidP="002B32A0">
      <w:pPr>
        <w:pStyle w:val="BodyText"/>
      </w:pPr>
      <w:r w:rsidRPr="00CE1D7F">
        <w:t xml:space="preserve">The research uncovered new collections of ancestral remains in countries such as Japan, India and South Africa. It involved the early-stage development of informatics, Indigenous governance protocols and content for the development of an online archive, ‘Return, Reconcile, Renew’ (RRR). The research established the foundations for major repatriation research infrastructure. It also conducted over 50 interviews with First Nations people, provided forums for discussion and supported local repatriation practice. Support for local repatriation practice included creating community reports, provenancing remains already returned to community-keeping places and located ancestral remains in domestic and overseas institutions. </w:t>
      </w:r>
    </w:p>
    <w:p w14:paraId="05FF7701" w14:textId="77777777" w:rsidR="002B32A0" w:rsidRPr="00CE1D7F" w:rsidRDefault="002B32A0" w:rsidP="002B32A0">
      <w:pPr>
        <w:pStyle w:val="BodyText"/>
      </w:pPr>
      <w:r w:rsidRPr="00CE1D7F">
        <w:t>The academic partners involved in this project were the Australian National University, the University of Melbourne, Flinders University, the University of Otago, and the University of Tasmania.</w:t>
      </w:r>
    </w:p>
    <w:p w14:paraId="3485239A" w14:textId="77777777" w:rsidR="002B32A0" w:rsidRPr="00CE1D7F" w:rsidRDefault="002B32A0" w:rsidP="002B32A0">
      <w:pPr>
        <w:pStyle w:val="BodyText"/>
      </w:pPr>
      <w:r w:rsidRPr="00CE1D7F">
        <w:t>Non-academic partner organisations were the Australian Institute of Aboriginal and Torres Strait Islander Studies (AIATSIS), National Museum of Australia, Office for the Arts, Ngarrindjeri Regional Authority Inc (NRA), Museum of New Zealand Te Papa Tongarewa, Kimberley Aboriginal Law and Culture Centre (KALACC), Gur A Baradharaw Kod Sea and Land Council Torres Strait Islander Corporation (GBK) and the Association on American Indian Affairs.</w:t>
      </w:r>
    </w:p>
    <w:p w14:paraId="72B3944C" w14:textId="77777777" w:rsidR="002B32A0" w:rsidRPr="00CE1D7F" w:rsidRDefault="002B32A0" w:rsidP="003703D7">
      <w:pPr>
        <w:pStyle w:val="Heading3"/>
        <w:ind w:left="709" w:hanging="709"/>
      </w:pPr>
      <w:r w:rsidRPr="00CE1D7F">
        <w:t>A network of knowledge to support repatriation communities in Australia and elsewhere</w:t>
      </w:r>
    </w:p>
    <w:p w14:paraId="6E4D2124" w14:textId="77777777" w:rsidR="002B32A0" w:rsidRPr="00CE1D7F" w:rsidRDefault="002B32A0" w:rsidP="002B32A0">
      <w:pPr>
        <w:pStyle w:val="BodyText"/>
      </w:pPr>
      <w:r w:rsidRPr="00CE1D7F">
        <w:t>The second project (</w:t>
      </w:r>
      <w:r w:rsidRPr="00CE1D7F">
        <w:rPr>
          <w:i/>
        </w:rPr>
        <w:t>Restoring Dignity: Networked knowledge for repatriation communities</w:t>
      </w:r>
      <w:r w:rsidRPr="00CE1D7F">
        <w:t>) was arranged into 3 programs informed by the work in the ‘Return, Reconcile, Renew’ project. The first program involved the development of the Indigenous data-governance framework, which is essential to the use, sustainability and growth of the Digital Archive. This was achieved by establishing a decision-making body and agreement on rules relating to decision-making, implementation, procedures and provisions. This program involved extensive community and stakeholder engagement, which raised awareness of the research infrastructure.</w:t>
      </w:r>
    </w:p>
    <w:p w14:paraId="1FFD53E6" w14:textId="77777777" w:rsidR="002B32A0" w:rsidRPr="00CE1D7F" w:rsidRDefault="002B32A0" w:rsidP="002B32A0">
      <w:pPr>
        <w:pStyle w:val="BodyText"/>
      </w:pPr>
      <w:r w:rsidRPr="00CE1D7F">
        <w:t xml:space="preserve">The second program involved building the Archive's content and was primarily focused on collecting museum information and recording Indigenous repatriation histories and voices. This program focused on overseas collections, particularly Europe and the USA, with some focus also on South America, Japan, India, New Zealand and Russia, undertaking extensive preparatory research and then on-site visits to key holding institutions to source content for the Archive. This process involved utilising </w:t>
      </w:r>
      <w:r w:rsidRPr="00CE1D7F">
        <w:rPr>
          <w:i/>
          <w:iCs/>
        </w:rPr>
        <w:t>Facility Advisory Group</w:t>
      </w:r>
      <w:r w:rsidRPr="00CE1D7F">
        <w:t xml:space="preserve"> knowledge and networks, scientific articles, online resources, diaries, museum correspondence, consultation with museums and discussions with relevant holding institutions. To capture Indigenous histories and voices, the program undertook further interviews with Indigenous people involved in repatriation in Australia and internationally. </w:t>
      </w:r>
    </w:p>
    <w:p w14:paraId="54884EBC" w14:textId="77777777" w:rsidR="002B32A0" w:rsidRPr="00CE1D7F" w:rsidRDefault="002B32A0" w:rsidP="002B32A0">
      <w:pPr>
        <w:pStyle w:val="BodyText"/>
      </w:pPr>
      <w:r w:rsidRPr="00CE1D7F">
        <w:t>The final program involved building the infrastructure and delivery platforms required for the Digital Archive. This process included uploading data and testing the access and use protocols of the Archive, in addition to the development of the technical infrastructure needed to optimise use and sustainability. The public website was launched at KALACC in September 2019 (www.returnreconcilerenew.info).</w:t>
      </w:r>
    </w:p>
    <w:p w14:paraId="0C415446" w14:textId="77777777" w:rsidR="002B32A0" w:rsidRPr="00CE1D7F" w:rsidRDefault="002B32A0" w:rsidP="002B32A0">
      <w:pPr>
        <w:pStyle w:val="BodyText"/>
      </w:pPr>
      <w:r w:rsidRPr="00CE1D7F">
        <w:t>Partner organisations on the project were KALACC, GBK, NRA, AIATSIS, The Australian National University, Flinders University, University of Technology Sydney, The University of Melbourne, the University of Tasmania, the University of Otago and the National Museum of Australia.</w:t>
      </w:r>
    </w:p>
    <w:p w14:paraId="414AA9F7" w14:textId="77777777" w:rsidR="002B32A0" w:rsidRPr="00CE1D7F" w:rsidRDefault="002B32A0" w:rsidP="002B32A0">
      <w:pPr>
        <w:pStyle w:val="Heading3"/>
      </w:pPr>
      <w:r w:rsidRPr="00CE1D7F">
        <w:t xml:space="preserve">Understanding the relationship between heritage and reconciliation </w:t>
      </w:r>
    </w:p>
    <w:p w14:paraId="68674CD5" w14:textId="77777777" w:rsidR="002B32A0" w:rsidRPr="00CE1D7F" w:rsidRDefault="002B32A0" w:rsidP="002B32A0">
      <w:pPr>
        <w:pStyle w:val="BodyText"/>
      </w:pPr>
      <w:r w:rsidRPr="00CE1D7F">
        <w:t>The third project (</w:t>
      </w:r>
      <w:r w:rsidRPr="00CE1D7F">
        <w:rPr>
          <w:i/>
        </w:rPr>
        <w:t>Heritage and Reconciliation</w:t>
      </w:r>
      <w:r w:rsidRPr="00CE1D7F">
        <w:t xml:space="preserve">) explores the interconnection between heritage and reconciliation. It aims to rethink heritage from the perspective of peacebuilding. Repatriation is one of 2 major case studies in this project. The project is organised into different programs of work (as described below) and is still being completed. </w:t>
      </w:r>
    </w:p>
    <w:p w14:paraId="5DFB7AFE" w14:textId="77777777" w:rsidR="002B32A0" w:rsidRPr="00CE1D7F" w:rsidRDefault="002B32A0" w:rsidP="002B32A0">
      <w:pPr>
        <w:pStyle w:val="BodyText"/>
      </w:pPr>
      <w:r w:rsidRPr="00CE1D7F">
        <w:t xml:space="preserve">The first program develops a theoretical understanding of heritage from the standpoint of reconciliation. A central (and new) concept being proposed in this project is ‘Reconciliation Heritage’, which is being trialled as a heuristic tool to enable critical analysis of heritage in which reconciliation is foregrounded. The program involves critical analysis of the proposed concept, which is broken down into 4 categories. The first category is heritage which has been the product of reconciliation. The second is heritage created by the reconciliation process. The third is heritage associated with reconciliation narratives and values and rituals associated with conflict resolution. The fourth is the heritage associated with the representation of Indigenous people. Data relating to these 4 categories is being collected and compared against the findings of existing scholarship that has understood the building blocks of reconciliation in a similar way. The program also identifies local heritage-making initiatives and explores their interconnection with peacebuilding approaches, with a particular focus on the work of Ngarrindjeri people in their efforts to be built just and peaceful relations with the nation-state. </w:t>
      </w:r>
    </w:p>
    <w:p w14:paraId="13AA4688" w14:textId="77777777" w:rsidR="002B32A0" w:rsidRPr="00CE1D7F" w:rsidRDefault="002B32A0" w:rsidP="002B32A0">
      <w:pPr>
        <w:pStyle w:val="BodyText"/>
      </w:pPr>
      <w:r w:rsidRPr="00CE1D7F">
        <w:t>The project’s second program focusses on whether and how World Heritage sites in settler-colonial states may become ambassadors for reconciliation. This involves analysis of visitor experience at World Heritage sites and interviews with staff, as well as analysis of related interpretations in local displays, websites and other forms of media to identify potential themes and values relating to reconciliation. In conjunction with this analysis, the program will involve staff and traditional owners from World Heritage sites in workshops that focus on if and how World Heritage communities can foster awareness of reconciliation. These workshops will involve discussion and questionnaires with broader staff cohorts as well as the co-creation of a low-cost exhibition that can travel to World Heritage sites.</w:t>
      </w:r>
    </w:p>
    <w:p w14:paraId="0660843C" w14:textId="77777777" w:rsidR="002B32A0" w:rsidRPr="00CE1D7F" w:rsidRDefault="002B32A0" w:rsidP="002B32A0">
      <w:pPr>
        <w:pStyle w:val="BodyText"/>
      </w:pPr>
      <w:r w:rsidRPr="00CE1D7F">
        <w:t xml:space="preserve">The project’s third program focusses on repatriation, and particularly the role of the concept of dignity in successful repatriation practices. It builds upon Prof Fforde’s preliminary research into the relationship between dignity and repatriation and draws upon ideas of dignity from Western, Māori and Aboriginal philosophies. It utilises extensive interview data on repatriation and applied literature on the role of dignity in conflict resolution and repatriation processes. In addition, an audit of the repatriation policies in Australia and New Zealand has been conducted to explore the values associated with such instruments through the authorisation process and examine the ways in which these values can initiate constructive dialogue. </w:t>
      </w:r>
    </w:p>
    <w:p w14:paraId="3FBDA772" w14:textId="77777777" w:rsidR="002B32A0" w:rsidRPr="00CE1D7F" w:rsidRDefault="002B32A0" w:rsidP="002B32A0">
      <w:pPr>
        <w:pStyle w:val="BodyText"/>
      </w:pPr>
      <w:r w:rsidRPr="00CE1D7F">
        <w:t xml:space="preserve">The academic partners involved in this project are The Australian National University, Flinders University, the University of Melbourne, the University of Newcastle Upon Tyne and the University of Otago. </w:t>
      </w:r>
    </w:p>
    <w:p w14:paraId="69CD9C59" w14:textId="77777777" w:rsidR="002B32A0" w:rsidRPr="00CE1D7F" w:rsidRDefault="002B32A0" w:rsidP="002B32A0">
      <w:pPr>
        <w:pStyle w:val="Heading3"/>
      </w:pPr>
      <w:r w:rsidRPr="00CE1D7F">
        <w:t>Analysing the commercial trade in Indigenous human remains</w:t>
      </w:r>
    </w:p>
    <w:p w14:paraId="0FF3FDAB" w14:textId="77777777" w:rsidR="002B32A0" w:rsidRPr="00CE1D7F" w:rsidRDefault="002B32A0" w:rsidP="002B32A0">
      <w:pPr>
        <w:pStyle w:val="BodyText"/>
      </w:pPr>
      <w:r w:rsidRPr="00CE1D7F">
        <w:t>The fourth project (</w:t>
      </w:r>
      <w:r w:rsidRPr="00CE1D7F">
        <w:rPr>
          <w:i/>
        </w:rPr>
        <w:t>Profit and Loss</w:t>
      </w:r>
      <w:r w:rsidRPr="00CE1D7F">
        <w:t>) is organised into different programs of work that run concurrently. Program 1 primarily focusses on the 19</w:t>
      </w:r>
      <w:r w:rsidRPr="00CE1D7F">
        <w:rPr>
          <w:vertAlign w:val="superscript"/>
        </w:rPr>
        <w:t>th</w:t>
      </w:r>
      <w:r w:rsidRPr="00CE1D7F">
        <w:t xml:space="preserve"> century trade in Indigenous ancestral remains and how the market operated. This program explores the sale and exchange of ancestral remains in Europe, Australia, New Zealand and the USA, employing a combination of historical research methods, data analytics, museum archives, newspaper reports, ledgers from relevant collectors and businesses, as well as archives of dealers and auction houses. These resources are being compiled to allow for analysis of the history of the trade, its pricing and valuation mechanisms and the influence of different market forces, providing a greater understanding of the economics at play.</w:t>
      </w:r>
    </w:p>
    <w:p w14:paraId="1E573BDA" w14:textId="77777777" w:rsidR="002B32A0" w:rsidRPr="00CE1D7F" w:rsidRDefault="002B32A0" w:rsidP="002B32A0">
      <w:pPr>
        <w:pStyle w:val="BodyText"/>
      </w:pPr>
      <w:r w:rsidRPr="00CE1D7F">
        <w:t>Program 1 also involves detailed investigations into the issue of legality, the creation of illicit trade and its impact on commerce, applying insights from empirical scholarship on the concept of ‘moral economy’. In addition, this program investigates the commodification of Māori remains, known as ‘Toi moko’. This involves consultation with leading Māori knowledge holders and philosophers to support the creation of biographical histories of Toi moko and a greater understanding of the deeper meanings surrounding their post-mortem genealogies. This program is also concerned with the global trade of replica remains and cast skulls and the ways in which they impact the broader market.</w:t>
      </w:r>
    </w:p>
    <w:p w14:paraId="139FCC8D" w14:textId="77777777" w:rsidR="002B32A0" w:rsidRPr="00CE1D7F" w:rsidRDefault="002B32A0" w:rsidP="002B32A0">
      <w:pPr>
        <w:pStyle w:val="BodyText"/>
      </w:pPr>
      <w:r w:rsidRPr="00CE1D7F">
        <w:t xml:space="preserve">Program 2 primarily focusses on mapping and analysing the range of exchange mechanisms and networks through which Indigenous human remains and their replicas were dispersed worldwide. This process involves extensive consultation with museum archives in ‘source’ countries to uncover the details of exchange, thereby informing the identification of institutions of future research. </w:t>
      </w:r>
    </w:p>
    <w:p w14:paraId="7476F318" w14:textId="77777777" w:rsidR="002B32A0" w:rsidRPr="00CE1D7F" w:rsidRDefault="002B32A0" w:rsidP="002B32A0">
      <w:pPr>
        <w:pStyle w:val="BodyText"/>
      </w:pPr>
      <w:r w:rsidRPr="00CE1D7F">
        <w:t>Program 3 investigates the nature and extent of the modern trade in Indigenous remains from 1950 to the present. This research element involves extensive analysis of web-based commerce to uncover the interests, motivations and emotions that influence the collectors involved with Indigenous human remains today. This program incorporates social science research and data-mining techniques to analyse information from various sources, including newspaper reports, sales catalogues, online salerooms and auction platforms, and relevant social media groups. The program will also involve interviews with both collectors and those pushing to end the trade, providing significant insight into its nature and extent.</w:t>
      </w:r>
    </w:p>
    <w:p w14:paraId="1258D090" w14:textId="77777777" w:rsidR="002B32A0" w:rsidRPr="00CE1D7F" w:rsidRDefault="002B32A0" w:rsidP="002B32A0">
      <w:pPr>
        <w:pStyle w:val="BodyText"/>
      </w:pPr>
      <w:r w:rsidRPr="00CE1D7F">
        <w:t>Partner organisations on the project are The Australian National University, The University of Tasmania, The University of Melbourne, Queensland University of Technology, the University of Virginia and the National Museum of Australia.</w:t>
      </w:r>
    </w:p>
    <w:p w14:paraId="7445ED11" w14:textId="77777777" w:rsidR="002B32A0" w:rsidRPr="00CE1D7F" w:rsidRDefault="002B32A0" w:rsidP="002B32A0">
      <w:pPr>
        <w:pStyle w:val="Heading2"/>
      </w:pPr>
      <w:bookmarkStart w:id="624" w:name="_Toc129964020"/>
      <w:bookmarkStart w:id="625" w:name="_Toc131174658"/>
      <w:bookmarkStart w:id="626" w:name="_Toc132970729"/>
      <w:bookmarkStart w:id="627" w:name="_Toc135323768"/>
      <w:r w:rsidRPr="00CE1D7F">
        <w:t>Outputs</w:t>
      </w:r>
      <w:bookmarkEnd w:id="624"/>
      <w:bookmarkEnd w:id="625"/>
      <w:bookmarkEnd w:id="626"/>
      <w:bookmarkEnd w:id="627"/>
    </w:p>
    <w:p w14:paraId="39A48D54" w14:textId="77777777" w:rsidR="002B32A0" w:rsidRPr="00CE1D7F" w:rsidRDefault="002B32A0" w:rsidP="002B32A0">
      <w:pPr>
        <w:pStyle w:val="Heading3"/>
      </w:pPr>
      <w:r w:rsidRPr="00CE1D7F">
        <w:t>Publications</w:t>
      </w:r>
    </w:p>
    <w:p w14:paraId="78CE9592" w14:textId="77777777" w:rsidR="002B32A0" w:rsidRPr="00CE1D7F" w:rsidRDefault="002B32A0" w:rsidP="002B32A0">
      <w:pPr>
        <w:pStyle w:val="BodyText"/>
      </w:pPr>
      <w:r w:rsidRPr="00CE1D7F">
        <w:t xml:space="preserve">The research supported by these 4 ARC grants has resulted in a significant number of publications, which include: </w:t>
      </w:r>
    </w:p>
    <w:p w14:paraId="284CFBE0" w14:textId="77777777" w:rsidR="002B32A0" w:rsidRPr="00CE1D7F" w:rsidRDefault="002B32A0" w:rsidP="003703D7">
      <w:pPr>
        <w:pStyle w:val="ListBullet"/>
      </w:pPr>
      <w:r w:rsidRPr="00CE1D7F">
        <w:t>3 books, titled Science, Museums and Collecting the Indigenous Dead in Colonial Australia (2017), The Routledge Companion to Indigenous Repatriation (2020), and A Repatriation Handbook: A guide to the repatriation of Australian Aboriginal and Torres Strait Islander Ancestral Remains. National Museum of Australia (2020). There were 55 book chapters published between 2015 and 2022 by the RRR team, as well as an additional 15 book chapters published by invited authors 2 further books resulting from the collaboration are to be submitted for publication in 2023, a book from each Discovery Project are contracted for delivery by the end of 2024, as well as a multi-authored publication on Dignity and Repatriation.</w:t>
      </w:r>
    </w:p>
    <w:p w14:paraId="2C678157" w14:textId="77777777" w:rsidR="002B32A0" w:rsidRPr="00CE1D7F" w:rsidRDefault="002B32A0" w:rsidP="003703D7">
      <w:pPr>
        <w:pStyle w:val="ListBullet"/>
        <w:rPr>
          <w:i/>
          <w:iCs/>
        </w:rPr>
      </w:pPr>
      <w:r w:rsidRPr="00CE1D7F">
        <w:t xml:space="preserve">A significant recent development has been the acceptance by Routledge of the first ever book series focused on repatriation matters, titled </w:t>
      </w:r>
      <w:r w:rsidRPr="00CE1D7F">
        <w:rPr>
          <w:i/>
          <w:iCs/>
        </w:rPr>
        <w:t>Routledge Studies in the Repatriation and Restitution of Human Remains and Cultural Objects</w:t>
      </w:r>
    </w:p>
    <w:p w14:paraId="19D9AC97" w14:textId="77777777" w:rsidR="002B32A0" w:rsidRPr="00CE1D7F" w:rsidRDefault="002B32A0" w:rsidP="003703D7">
      <w:pPr>
        <w:pStyle w:val="ListBullet"/>
        <w:rPr>
          <w:i/>
          <w:iCs/>
        </w:rPr>
      </w:pPr>
      <w:r w:rsidRPr="00CE1D7F">
        <w:t>Over 50 unpublished reports, toolkits and guidance materials available through the RRR Digital Archive including summaries of holdings in 40 countries, and 6 reports for RRR community organisations 12 non-traditional research outputs (NTROs), including several consultancy reports for the Australian Institute for Aboriginal and Torres Strait Islander Studies (AIATSIS)</w:t>
      </w:r>
    </w:p>
    <w:p w14:paraId="4EBEE95B" w14:textId="77777777" w:rsidR="002B32A0" w:rsidRPr="00CE1D7F" w:rsidRDefault="002B32A0" w:rsidP="003703D7">
      <w:pPr>
        <w:pStyle w:val="ListBullet"/>
        <w:rPr>
          <w:i/>
          <w:iCs/>
        </w:rPr>
      </w:pPr>
      <w:r w:rsidRPr="00CE1D7F">
        <w:t>3 media articles about the establishment of a new digital resource for repatriation</w:t>
      </w:r>
    </w:p>
    <w:p w14:paraId="0D0B335C" w14:textId="77777777" w:rsidR="002B32A0" w:rsidRPr="00CE1D7F" w:rsidRDefault="002B32A0" w:rsidP="003703D7">
      <w:pPr>
        <w:pStyle w:val="ListBullet"/>
        <w:rPr>
          <w:i/>
          <w:iCs/>
        </w:rPr>
      </w:pPr>
      <w:r w:rsidRPr="00CE1D7F">
        <w:t>63 conference papers and presentations</w:t>
      </w:r>
    </w:p>
    <w:p w14:paraId="01BE0819" w14:textId="77777777" w:rsidR="002B32A0" w:rsidRPr="00CE1D7F" w:rsidRDefault="002B32A0" w:rsidP="002B32A0">
      <w:pPr>
        <w:pStyle w:val="Heading3"/>
      </w:pPr>
      <w:r w:rsidRPr="00CE1D7F">
        <w:t>Major research infrastructure, models and tools</w:t>
      </w:r>
    </w:p>
    <w:p w14:paraId="724958FB" w14:textId="77777777" w:rsidR="002B32A0" w:rsidRPr="00CE1D7F" w:rsidRDefault="002B32A0" w:rsidP="002B32A0">
      <w:pPr>
        <w:pStyle w:val="BodyText"/>
      </w:pPr>
      <w:r w:rsidRPr="00CE1D7F">
        <w:t xml:space="preserve">One of the most significant outputs from this research program is the </w:t>
      </w:r>
      <w:bookmarkStart w:id="628" w:name="_Hlk129279363"/>
      <w:r w:rsidRPr="00CE1D7F">
        <w:t>RRR</w:t>
      </w:r>
      <w:r w:rsidRPr="00CE1D7F">
        <w:rPr>
          <w:i/>
          <w:iCs/>
        </w:rPr>
        <w:t xml:space="preserve"> </w:t>
      </w:r>
      <w:r w:rsidRPr="00CE1D7F">
        <w:t>website and Digital Archive. This Archive is a web-accessible centralised digital database of repatriation knowledge compiled through the Linkage and LIEF-funded grant (</w:t>
      </w:r>
      <w:r w:rsidRPr="00CE1D7F">
        <w:rPr>
          <w:i/>
        </w:rPr>
        <w:t>Restoring Dignity</w:t>
      </w:r>
      <w:r w:rsidRPr="00CE1D7F">
        <w:t xml:space="preserve"> project). It provides a system of information that can be shared sensitively and appropriately. It is underpinned by an Indigenous data governance framework that specifies the guiding principles and philosophies that provide the rationale for the way that data in the RRR Archive are accessed, used, stored and maintained.</w:t>
      </w:r>
      <w:bookmarkEnd w:id="628"/>
    </w:p>
    <w:p w14:paraId="02E79458" w14:textId="77777777" w:rsidR="002B32A0" w:rsidRPr="00CE1D7F" w:rsidRDefault="002B32A0" w:rsidP="002B32A0">
      <w:pPr>
        <w:pStyle w:val="BodyText"/>
      </w:pPr>
      <w:r w:rsidRPr="00CE1D7F">
        <w:t>The Archive has 3 tiers of information. Tier 1 is public-facing and is intended to raise awareness of the meaning and value of repatriation. Tier 2 provides restricted physical access to authorised users at the Australian Institute for Aboriginal and Torres Strait Islander Studies (AIATSIS). Functionality to provide remote access to this tier of RRR is currently under development. Tier 3 provides the 3 community partners who have been fundamental to the development of RRR with access to private information relating to their communities. Expansion of Tier 3 to other community organisations nationally and internationally is under development.</w:t>
      </w:r>
      <w:r>
        <w:t xml:space="preserve"> </w:t>
      </w:r>
      <w:r w:rsidRPr="00CE1D7F">
        <w:t>The public face of the website is www.returnreconcilerenew.info.</w:t>
      </w:r>
    </w:p>
    <w:p w14:paraId="0932A174" w14:textId="77777777" w:rsidR="002B32A0" w:rsidRPr="00CE1D7F" w:rsidRDefault="002B32A0" w:rsidP="002B32A0">
      <w:pPr>
        <w:pStyle w:val="Heading3"/>
      </w:pPr>
      <w:r w:rsidRPr="00CE1D7F">
        <w:t>Professional and practitioner training</w:t>
      </w:r>
    </w:p>
    <w:p w14:paraId="76689C6E" w14:textId="77777777" w:rsidR="002B32A0" w:rsidRPr="00CE1D7F" w:rsidRDefault="002B32A0" w:rsidP="002B32A0">
      <w:pPr>
        <w:pStyle w:val="BodyText"/>
      </w:pPr>
      <w:r w:rsidRPr="00CE1D7F">
        <w:t xml:space="preserve">Developing a practitioner-oriented course at The Australian National University (ANU) is another significant research output. Entitled ‘Introduction to Repatriation: Principles, Policy and Practice’, the course is delivered as a 5-day intensive course to a mixed cohort of masters, professional development, and micro-credential participants. This course has been delivered 6 times. </w:t>
      </w:r>
    </w:p>
    <w:p w14:paraId="26462F20" w14:textId="77777777" w:rsidR="002B32A0" w:rsidRPr="00CE1D7F" w:rsidRDefault="002B32A0" w:rsidP="002B32A0">
      <w:pPr>
        <w:pStyle w:val="BodyText"/>
      </w:pPr>
      <w:r w:rsidRPr="00CE1D7F">
        <w:t xml:space="preserve">It conceptualises the issues regarding repatriation and explores the interconnections with Indigenous law, ethics, Country and community development. In addition, the course considers the relationship between the reburial debate and museum practice and provides an interpretation of relevant institutional, agency and government policy regimes. </w:t>
      </w:r>
    </w:p>
    <w:p w14:paraId="6D8A9D0A" w14:textId="77777777" w:rsidR="002B32A0" w:rsidRPr="00CE1D7F" w:rsidRDefault="002B32A0" w:rsidP="002B32A0">
      <w:pPr>
        <w:pStyle w:val="BodyText"/>
      </w:pPr>
      <w:r w:rsidRPr="00CE1D7F">
        <w:t>The course was co-created by RRR collaboration and is team-taught by its members. Participants learn from a wide range of Indigenous and non-Indigenous expertise across the various sectors engaged in repatriation. As evidence of growth, is developing 3 further repatriation related masters courses for delivery in 2023 and 2024, each of which will also be available to a mixed cohort. In February 2023, Fforde has applied for these 4 courses to be available through the ANU as a Graduate Certification in Repatriation and Restitution, the first of its kind globally.</w:t>
      </w:r>
    </w:p>
    <w:p w14:paraId="79B76E3B" w14:textId="77777777" w:rsidR="002B32A0" w:rsidRPr="00CE1D7F" w:rsidRDefault="002B32A0" w:rsidP="002B32A0">
      <w:pPr>
        <w:pStyle w:val="Heading3"/>
      </w:pPr>
      <w:r w:rsidRPr="00CE1D7F">
        <w:t>Collaborations and partnerships</w:t>
      </w:r>
    </w:p>
    <w:p w14:paraId="0D0CD954" w14:textId="1A58757C" w:rsidR="002B32A0" w:rsidRPr="00CE1D7F" w:rsidRDefault="002B32A0" w:rsidP="002B32A0">
      <w:pPr>
        <w:pStyle w:val="BodyText"/>
      </w:pPr>
      <w:r w:rsidRPr="00CE1D7F">
        <w:t xml:space="preserve">ARC funding has enabled partnerships and fostered collaboration between a wide range of repatriation scholars, practitioners and communities both in Australia and globally. Since the original Linkage project in 2013, repatriation activity has grown and partnerships in the sector have strengthened. </w:t>
      </w:r>
      <w:r w:rsidRPr="00F87D0E">
        <w:fldChar w:fldCharType="begin"/>
      </w:r>
      <w:r w:rsidRPr="00F87D0E">
        <w:instrText xml:space="preserve"> REF _Ref129335997 \h  \* MERGEFORMAT </w:instrText>
      </w:r>
      <w:r w:rsidRPr="00F87D0E">
        <w:fldChar w:fldCharType="separate"/>
      </w:r>
      <w:r w:rsidR="000B0AC7" w:rsidRPr="000B0AC7">
        <w:t>Figure 13.3</w:t>
      </w:r>
      <w:r w:rsidRPr="00F87D0E">
        <w:fldChar w:fldCharType="end"/>
      </w:r>
      <w:r w:rsidRPr="00CE1D7F">
        <w:t xml:space="preserve"> is a visual representation of the core RRR network, which is comprised of more than 30 researchers and collaborators across 22 universities and organisations. This network spans more than 10 countries around the world. Again, it shows the global reach of a network that has been supported by ARC-funded research. ARC funding has enabled the establishment of this network, which has culminated in the 2022 setup of </w:t>
      </w:r>
      <w:r w:rsidRPr="00CE1D7F">
        <w:rPr>
          <w:i/>
        </w:rPr>
        <w:t xml:space="preserve">Return Reconcile Renew: an International Centre for Repatriation Training, Practice and Research, </w:t>
      </w:r>
      <w:r w:rsidRPr="00CE1D7F">
        <w:t>with the Co-ordinating hub at ANU, directed by Fforde. The new Centre has a 5 year plan for growth.</w:t>
      </w:r>
    </w:p>
    <w:p w14:paraId="2A73C6CE" w14:textId="0C4DFD86" w:rsidR="000B0AC7" w:rsidRPr="00CE1D7F" w:rsidRDefault="000B0AC7" w:rsidP="000B0AC7">
      <w:pPr>
        <w:pStyle w:val="Caption"/>
        <w:ind w:left="1308" w:hanging="1308"/>
      </w:pPr>
      <w:bookmarkStart w:id="629" w:name="_Ref129335997"/>
      <w:r w:rsidRPr="00CE1D7F">
        <w:rPr>
          <w:rStyle w:val="CaptionLabel"/>
        </w:rPr>
        <w:t xml:space="preserve">Figure </w:t>
      </w:r>
      <w:r w:rsidRPr="00CE1D7F">
        <w:rPr>
          <w:rStyle w:val="CaptionLabel"/>
        </w:rPr>
        <w:fldChar w:fldCharType="begin"/>
      </w:r>
      <w:r w:rsidRPr="00CE1D7F">
        <w:rPr>
          <w:rStyle w:val="CaptionLabel"/>
        </w:rPr>
        <w:instrText xml:space="preserve"> STYLEREF 1 \S \* MERGEFORMAT </w:instrText>
      </w:r>
      <w:r w:rsidRPr="00CE1D7F">
        <w:rPr>
          <w:rStyle w:val="CaptionLabel"/>
        </w:rPr>
        <w:fldChar w:fldCharType="separate"/>
      </w:r>
      <w:r>
        <w:rPr>
          <w:rStyle w:val="CaptionLabel"/>
          <w:noProof/>
        </w:rPr>
        <w:t>13</w:t>
      </w:r>
      <w:r w:rsidRPr="00CE1D7F">
        <w:rPr>
          <w:rStyle w:val="CaptionLabel"/>
        </w:rPr>
        <w:fldChar w:fldCharType="end"/>
      </w:r>
      <w:r w:rsidRPr="00CE1D7F">
        <w:rPr>
          <w:rStyle w:val="CaptionLabel"/>
        </w:rPr>
        <w:t>.</w:t>
      </w:r>
      <w:r w:rsidRPr="00CE1D7F">
        <w:rPr>
          <w:rStyle w:val="CaptionLabel"/>
        </w:rPr>
        <w:fldChar w:fldCharType="begin"/>
      </w:r>
      <w:r w:rsidRPr="00CE1D7F">
        <w:rPr>
          <w:rStyle w:val="CaptionLabel"/>
        </w:rPr>
        <w:instrText xml:space="preserve"> SEQ Figure \* ARABIC \S 1 \* MERGEFORMAT </w:instrText>
      </w:r>
      <w:r w:rsidRPr="00CE1D7F">
        <w:rPr>
          <w:rStyle w:val="CaptionLabel"/>
        </w:rPr>
        <w:fldChar w:fldCharType="separate"/>
      </w:r>
      <w:r>
        <w:rPr>
          <w:rStyle w:val="CaptionLabel"/>
          <w:noProof/>
        </w:rPr>
        <w:t>3</w:t>
      </w:r>
      <w:r w:rsidRPr="00CE1D7F">
        <w:rPr>
          <w:rStyle w:val="CaptionLabel"/>
        </w:rPr>
        <w:fldChar w:fldCharType="end"/>
      </w:r>
      <w:bookmarkEnd w:id="629"/>
      <w:r w:rsidRPr="00CE1D7F">
        <w:tab/>
        <w:t>Core network of professionals, practitioners and communities connected to RRR</w:t>
      </w:r>
    </w:p>
    <w:tbl>
      <w:tblPr>
        <w:tblStyle w:val="aacTableFigure"/>
        <w:tblW w:w="5000" w:type="pct"/>
        <w:tblBorders>
          <w:top w:val="single" w:sz="4" w:space="0" w:color="000000"/>
          <w:bottom w:val="single" w:sz="4" w:space="0" w:color="000000"/>
        </w:tblBorders>
        <w:tblLook w:val="04A0" w:firstRow="1" w:lastRow="0" w:firstColumn="1" w:lastColumn="0" w:noHBand="0" w:noVBand="1"/>
      </w:tblPr>
      <w:tblGrid>
        <w:gridCol w:w="7936"/>
      </w:tblGrid>
      <w:tr w:rsidR="002B32A0" w:rsidRPr="00CE1D7F" w14:paraId="49B4538A" w14:textId="77777777" w:rsidTr="000B0AC7">
        <w:tc>
          <w:tcPr>
            <w:tcW w:w="5000" w:type="pct"/>
            <w:shd w:val="clear" w:color="auto" w:fill="auto"/>
          </w:tcPr>
          <w:p w14:paraId="2A34E14F" w14:textId="77777777" w:rsidR="002B32A0" w:rsidRPr="00CE1D7F" w:rsidRDefault="002B32A0" w:rsidP="006258ED">
            <w:pPr>
              <w:pStyle w:val="Figure"/>
            </w:pPr>
            <w:r w:rsidRPr="00CE1D7F">
              <w:rPr>
                <w:noProof/>
              </w:rPr>
              <w:drawing>
                <wp:inline distT="0" distB="0" distL="0" distR="0" wp14:anchorId="3642DA99" wp14:editId="76F03007">
                  <wp:extent cx="5039995" cy="7463790"/>
                  <wp:effectExtent l="0" t="0" r="8255" b="3810"/>
                  <wp:docPr id="793" name="Picture 793" descr="Core network of professionals, practitioners and communities connected to RRR, see description in text abov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 name="Picture 793" descr="Core network of professionals, practitioners and communities connected to RRR, see description in text above figure."/>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5039995" cy="7463790"/>
                          </a:xfrm>
                          <a:prstGeom prst="rect">
                            <a:avLst/>
                          </a:prstGeom>
                          <a:noFill/>
                          <a:ln>
                            <a:noFill/>
                          </a:ln>
                        </pic:spPr>
                      </pic:pic>
                    </a:graphicData>
                  </a:graphic>
                </wp:inline>
              </w:drawing>
            </w:r>
          </w:p>
        </w:tc>
      </w:tr>
    </w:tbl>
    <w:p w14:paraId="5885431B" w14:textId="77777777" w:rsidR="000B0AC7" w:rsidRPr="00CE1D7F" w:rsidRDefault="000B0AC7" w:rsidP="000B0AC7">
      <w:pPr>
        <w:pStyle w:val="Source"/>
        <w:ind w:left="1308" w:hanging="1308"/>
      </w:pPr>
      <w:r w:rsidRPr="00CE1D7F">
        <w:t>Source: ANU</w:t>
      </w:r>
    </w:p>
    <w:p w14:paraId="0B6C50BB" w14:textId="77777777" w:rsidR="000B0AC7" w:rsidRDefault="000B0AC7" w:rsidP="006258ED">
      <w:pPr>
        <w:pStyle w:val="spacer"/>
      </w:pPr>
    </w:p>
    <w:p w14:paraId="6F0F1CF7" w14:textId="77777777" w:rsidR="00163772" w:rsidRDefault="00163772" w:rsidP="006258ED">
      <w:pPr>
        <w:pStyle w:val="spacer"/>
      </w:pPr>
    </w:p>
    <w:p w14:paraId="3A7B102A" w14:textId="0047BD24" w:rsidR="00163772" w:rsidRDefault="00163772">
      <w:pPr>
        <w:spacing w:before="0" w:after="160" w:line="259" w:lineRule="auto"/>
        <w:rPr>
          <w:sz w:val="4"/>
        </w:rPr>
      </w:pPr>
      <w:r>
        <w:br w:type="page"/>
      </w:r>
    </w:p>
    <w:p w14:paraId="75060539" w14:textId="48EE8ACE" w:rsidR="002B32A0" w:rsidRPr="00CE1D7F" w:rsidRDefault="002B32A0" w:rsidP="002B32A0">
      <w:pPr>
        <w:pStyle w:val="Heading2"/>
      </w:pPr>
      <w:bookmarkStart w:id="630" w:name="_Toc129964021"/>
      <w:bookmarkStart w:id="631" w:name="_Toc131174659"/>
      <w:bookmarkStart w:id="632" w:name="_Toc132970730"/>
      <w:bookmarkStart w:id="633" w:name="_Toc135323769"/>
      <w:r w:rsidRPr="00CE1D7F">
        <w:t>Outcomes</w:t>
      </w:r>
      <w:bookmarkEnd w:id="630"/>
      <w:bookmarkEnd w:id="631"/>
      <w:bookmarkEnd w:id="632"/>
      <w:bookmarkEnd w:id="633"/>
    </w:p>
    <w:p w14:paraId="03036521" w14:textId="77777777" w:rsidR="002B32A0" w:rsidRPr="00CE1D7F" w:rsidRDefault="002B32A0" w:rsidP="002B32A0">
      <w:pPr>
        <w:pStyle w:val="Heading3"/>
      </w:pPr>
      <w:r w:rsidRPr="00CE1D7F">
        <w:t>Adoption</w:t>
      </w:r>
    </w:p>
    <w:p w14:paraId="344B5B8F" w14:textId="77777777" w:rsidR="002B32A0" w:rsidRPr="00CE1D7F" w:rsidRDefault="002B32A0" w:rsidP="002B32A0">
      <w:pPr>
        <w:pStyle w:val="BodyText"/>
      </w:pPr>
      <w:r w:rsidRPr="00CE1D7F">
        <w:t xml:space="preserve">The outputs of this research have been adopted by repatriation practitioners and institutions in Australia and elsewhere. They have also assisted communities seeking repatriation outcomes to engage with an international network. Consultations with some participants and collaborators identify the significant benefits it has had on the practice of repatriation. </w:t>
      </w:r>
    </w:p>
    <w:p w14:paraId="4A045C1C" w14:textId="77777777" w:rsidR="002B32A0" w:rsidRPr="00CE1D7F" w:rsidRDefault="002B32A0" w:rsidP="002B32A0">
      <w:pPr>
        <w:pStyle w:val="BodyText"/>
      </w:pPr>
      <w:r w:rsidRPr="00CE1D7F">
        <w:t>In particular, the handbooks and guidance materials generated by participants in the research have informed how significant cultural institutions (namely, the National Museum of Australia) have approached repatriation.</w:t>
      </w:r>
      <w:r w:rsidRPr="00CE1D7F">
        <w:rPr>
          <w:rStyle w:val="FootnoteReference"/>
        </w:rPr>
        <w:footnoteReference w:id="294"/>
      </w:r>
      <w:r w:rsidRPr="00CE1D7F">
        <w:t xml:space="preserve"> This guidance has been adopted by institutions overseas and provides a common approach to repatriation that supports effective cross-national discussions between institutions, governments and communities.</w:t>
      </w:r>
    </w:p>
    <w:p w14:paraId="244E82E1" w14:textId="0DDF2091" w:rsidR="002B32A0" w:rsidRPr="00CE1D7F" w:rsidRDefault="002B32A0" w:rsidP="002B32A0">
      <w:pPr>
        <w:pStyle w:val="BodyText"/>
      </w:pPr>
      <w:r w:rsidRPr="00CE1D7F">
        <w:t xml:space="preserve">The RRR Digital Archive and website currently contains 4454 archival resources and published resources, 417 digital objects, 3964 entries for entities, and 2,333 separate pages for each ancestral remain associated with First Nations represented by 3 Community Partner Organisations. The Archive holds information on over 275 collections and holding institutions and societies across 24 countries, which together are known to have held human remains from at least 11,559 provenances in 165 countries which demonstrates its global relevance (see </w:t>
      </w:r>
      <w:r w:rsidRPr="00F87D0E">
        <w:fldChar w:fldCharType="begin"/>
      </w:r>
      <w:r w:rsidRPr="00F87D0E">
        <w:instrText xml:space="preserve"> REF _Ref129181286 \h  \* MERGEFORMAT </w:instrText>
      </w:r>
      <w:r w:rsidRPr="00F87D0E">
        <w:fldChar w:fldCharType="separate"/>
      </w:r>
      <w:r w:rsidR="000B0AC7" w:rsidRPr="000B0AC7">
        <w:t>Figure 13.4</w:t>
      </w:r>
      <w:r w:rsidRPr="00F87D0E">
        <w:fldChar w:fldCharType="end"/>
      </w:r>
      <w:r w:rsidRPr="00CE1D7F">
        <w:t>), and this number is growing. The Archive contains information relating to 172 repatriation-related policies (including museum collection and repatriation policies, as well as national and international guidelines and codes), 53 pieces of legislation and 191 entries related to repatriation events. The Archive contains 280 entries about people involved in the removal or return of ancestral remains. The Archive also contains information from over 70 interviews. The 3 Community Partner Organisations represent 61 Indigenous Nations.</w:t>
      </w:r>
    </w:p>
    <w:p w14:paraId="7705A803" w14:textId="1E2F0531" w:rsidR="000B0AC7" w:rsidRPr="00CE1D7F" w:rsidRDefault="000B0AC7" w:rsidP="000B0AC7">
      <w:pPr>
        <w:pStyle w:val="Caption"/>
        <w:ind w:left="315" w:hanging="1308"/>
      </w:pPr>
      <w:bookmarkStart w:id="634" w:name="_Ref129181286"/>
      <w:r w:rsidRPr="00CE1D7F">
        <w:rPr>
          <w:rStyle w:val="CaptionLabel"/>
        </w:rPr>
        <w:t xml:space="preserve">Figure </w:t>
      </w:r>
      <w:r w:rsidRPr="00CE1D7F">
        <w:rPr>
          <w:rStyle w:val="CaptionLabel"/>
        </w:rPr>
        <w:fldChar w:fldCharType="begin"/>
      </w:r>
      <w:r w:rsidRPr="00CE1D7F">
        <w:rPr>
          <w:rStyle w:val="CaptionLabel"/>
        </w:rPr>
        <w:instrText xml:space="preserve"> STYLEREF 1 \S \* MERGEFORMAT </w:instrText>
      </w:r>
      <w:r w:rsidRPr="00CE1D7F">
        <w:rPr>
          <w:rStyle w:val="CaptionLabel"/>
        </w:rPr>
        <w:fldChar w:fldCharType="separate"/>
      </w:r>
      <w:r>
        <w:rPr>
          <w:rStyle w:val="CaptionLabel"/>
          <w:noProof/>
        </w:rPr>
        <w:t>13</w:t>
      </w:r>
      <w:r w:rsidRPr="00CE1D7F">
        <w:rPr>
          <w:rStyle w:val="CaptionLabel"/>
        </w:rPr>
        <w:fldChar w:fldCharType="end"/>
      </w:r>
      <w:r w:rsidRPr="00CE1D7F">
        <w:rPr>
          <w:rStyle w:val="CaptionLabel"/>
        </w:rPr>
        <w:t>.</w:t>
      </w:r>
      <w:r w:rsidRPr="00CE1D7F">
        <w:rPr>
          <w:rStyle w:val="CaptionLabel"/>
        </w:rPr>
        <w:fldChar w:fldCharType="begin"/>
      </w:r>
      <w:r w:rsidRPr="00CE1D7F">
        <w:rPr>
          <w:rStyle w:val="CaptionLabel"/>
        </w:rPr>
        <w:instrText xml:space="preserve"> SEQ Figure \* ARABIC \S 1 \* MERGEFORMAT </w:instrText>
      </w:r>
      <w:r w:rsidRPr="00CE1D7F">
        <w:rPr>
          <w:rStyle w:val="CaptionLabel"/>
        </w:rPr>
        <w:fldChar w:fldCharType="separate"/>
      </w:r>
      <w:r>
        <w:rPr>
          <w:rStyle w:val="CaptionLabel"/>
          <w:noProof/>
        </w:rPr>
        <w:t>4</w:t>
      </w:r>
      <w:r w:rsidRPr="00CE1D7F">
        <w:rPr>
          <w:rStyle w:val="CaptionLabel"/>
        </w:rPr>
        <w:fldChar w:fldCharType="end"/>
      </w:r>
      <w:bookmarkEnd w:id="634"/>
      <w:r w:rsidRPr="00CE1D7F">
        <w:tab/>
        <w:t>Provenances and collecting institutions in the Return Reconcile Renew Digital Archive</w:t>
      </w:r>
    </w:p>
    <w:tbl>
      <w:tblPr>
        <w:tblStyle w:val="aacTableFigure-Wide"/>
        <w:tblW w:w="5650" w:type="pct"/>
        <w:tblBorders>
          <w:top w:val="single" w:sz="4" w:space="0" w:color="000000"/>
          <w:bottom w:val="single" w:sz="4" w:space="0" w:color="000000"/>
        </w:tblBorders>
        <w:tblLook w:val="04A0" w:firstRow="1" w:lastRow="0" w:firstColumn="1" w:lastColumn="0" w:noHBand="0" w:noVBand="1"/>
      </w:tblPr>
      <w:tblGrid>
        <w:gridCol w:w="8968"/>
      </w:tblGrid>
      <w:tr w:rsidR="002B32A0" w:rsidRPr="00CE1D7F" w14:paraId="61AD3A64" w14:textId="77777777" w:rsidTr="000B0AC7">
        <w:tc>
          <w:tcPr>
            <w:tcW w:w="5000" w:type="pct"/>
            <w:shd w:val="clear" w:color="auto" w:fill="auto"/>
          </w:tcPr>
          <w:p w14:paraId="462A5936" w14:textId="77777777" w:rsidR="002B32A0" w:rsidRPr="00CE1D7F" w:rsidRDefault="002B32A0" w:rsidP="003703D7">
            <w:pPr>
              <w:pStyle w:val="Figure"/>
              <w:spacing w:before="60"/>
            </w:pPr>
            <w:r w:rsidRPr="00CE1D7F">
              <w:rPr>
                <w:noProof/>
              </w:rPr>
              <w:drawing>
                <wp:inline distT="0" distB="0" distL="0" distR="0" wp14:anchorId="5EBFBC50" wp14:editId="7CA84524">
                  <wp:extent cx="5681500" cy="2695575"/>
                  <wp:effectExtent l="0" t="0" r="0" b="0"/>
                  <wp:docPr id="699" name="Picture 699" descr="Provenances and collecting institutions in the Return Reconcile Renew Digital Arch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 name="Picture 699" descr="Provenances and collecting institutions in the Return Reconcile Renew Digital Archive"/>
                          <pic:cNvPicPr/>
                        </pic:nvPicPr>
                        <pic:blipFill rotWithShape="1">
                          <a:blip r:embed="rId240" cstate="print">
                            <a:extLst>
                              <a:ext uri="{28A0092B-C50C-407E-A947-70E740481C1C}">
                                <a14:useLocalDpi xmlns:a14="http://schemas.microsoft.com/office/drawing/2010/main" val="0"/>
                              </a:ext>
                            </a:extLst>
                          </a:blip>
                          <a:srcRect/>
                          <a:stretch/>
                        </pic:blipFill>
                        <pic:spPr bwMode="auto">
                          <a:xfrm>
                            <a:off x="0" y="0"/>
                            <a:ext cx="5684107" cy="2696812"/>
                          </a:xfrm>
                          <a:prstGeom prst="rect">
                            <a:avLst/>
                          </a:prstGeom>
                          <a:ln>
                            <a:noFill/>
                          </a:ln>
                          <a:extLst>
                            <a:ext uri="{53640926-AAD7-44D8-BBD7-CCE9431645EC}">
                              <a14:shadowObscured xmlns:a14="http://schemas.microsoft.com/office/drawing/2010/main"/>
                            </a:ext>
                          </a:extLst>
                        </pic:spPr>
                      </pic:pic>
                    </a:graphicData>
                  </a:graphic>
                </wp:inline>
              </w:drawing>
            </w:r>
          </w:p>
        </w:tc>
      </w:tr>
    </w:tbl>
    <w:p w14:paraId="0FC44F16" w14:textId="77777777" w:rsidR="000B0AC7" w:rsidRPr="00CE1D7F" w:rsidRDefault="000B0AC7" w:rsidP="000B0AC7">
      <w:pPr>
        <w:pStyle w:val="Source"/>
        <w:ind w:left="315" w:hanging="1308"/>
      </w:pPr>
      <w:r w:rsidRPr="00CE1D7F">
        <w:t>Source: RRR Digital Archive</w:t>
      </w:r>
    </w:p>
    <w:p w14:paraId="791AB4DD" w14:textId="77777777" w:rsidR="000B0AC7" w:rsidRPr="00CE1D7F" w:rsidRDefault="000B0AC7" w:rsidP="006258ED">
      <w:pPr>
        <w:pStyle w:val="spacer"/>
      </w:pPr>
    </w:p>
    <w:p w14:paraId="1ABCE742" w14:textId="77777777" w:rsidR="002B32A0" w:rsidRPr="00CE1D7F" w:rsidRDefault="002B32A0" w:rsidP="002B32A0">
      <w:pPr>
        <w:pStyle w:val="Heading3"/>
      </w:pPr>
      <w:r w:rsidRPr="00CE1D7F">
        <w:t>Alignment with government strategic priorities</w:t>
      </w:r>
    </w:p>
    <w:p w14:paraId="5C008AD8" w14:textId="77777777" w:rsidR="002B32A0" w:rsidRPr="00CE1D7F" w:rsidRDefault="002B32A0" w:rsidP="002B32A0">
      <w:pPr>
        <w:pStyle w:val="BodyText"/>
      </w:pPr>
      <w:r w:rsidRPr="00CE1D7F">
        <w:t xml:space="preserve">All 4 of Prof Fforde’s ARC grants relate to Priority 9 of the </w:t>
      </w:r>
      <w:r>
        <w:rPr>
          <w:szCs w:val="24"/>
        </w:rPr>
        <w:t xml:space="preserve">National </w:t>
      </w:r>
      <w:r w:rsidRPr="00CE1D7F">
        <w:t>Science and Research Priorities: Practical Research Challenge and its associated challenge, ‘better health outcomes for Indigenous people’. A growing body of research and Indigenous testimony to a strong relationship between repatriation, healing and reconciliation. This research also aligns with the Australian Government Office of the Arts’ statement that “The Australian Government supports the repatriation of Aboriginal and Torres Strait Islander ancestral remains (ancestors) and secret sacred objects (objects) which contributes to healing and reconciliation.”</w:t>
      </w:r>
      <w:r w:rsidRPr="00CE1D7F">
        <w:rPr>
          <w:rStyle w:val="FootnoteReference"/>
        </w:rPr>
        <w:footnoteReference w:id="295"/>
      </w:r>
    </w:p>
    <w:p w14:paraId="1BDB5F55" w14:textId="77777777" w:rsidR="002B32A0" w:rsidRPr="00CE1D7F" w:rsidRDefault="002B32A0" w:rsidP="002B32A0">
      <w:pPr>
        <w:pStyle w:val="Heading3"/>
      </w:pPr>
      <w:r w:rsidRPr="00CE1D7F">
        <w:t>Counterfactual</w:t>
      </w:r>
    </w:p>
    <w:p w14:paraId="49E4F1B5" w14:textId="77777777" w:rsidR="002B32A0" w:rsidRPr="00CE1D7F" w:rsidRDefault="002B32A0" w:rsidP="002B32A0">
      <w:pPr>
        <w:pStyle w:val="BodyText"/>
      </w:pPr>
      <w:r w:rsidRPr="00CE1D7F">
        <w:t xml:space="preserve">Without ARC funding and support from research partners, the scale and scope of this research program would have been vastly reduced. The </w:t>
      </w:r>
      <w:r w:rsidRPr="00CE1D7F">
        <w:rPr>
          <w:i/>
          <w:iCs/>
        </w:rPr>
        <w:t>Return Reconcile Renew</w:t>
      </w:r>
      <w:r w:rsidRPr="00CE1D7F">
        <w:t xml:space="preserve"> network and now Centre would not have been established, and the Digital Archive would not exist. Without this funding, it is unlikely the ANU course on repatriation would have been established, at least not in the same impactful format, nor the current expansion to 4 repatriation related courses that are intended to form the new (and world first) Graduate Certificate in Repatriation and Restitution. The ARC funding enabled significant financial distribution to the 3 community partner organisations to facilitate their integral involvement in the initiative and all its outputs. The original thought, research, provenance research and partnerships would have been significantly restricted if ARC funding had not been received. The ARC funding has produced ground-breaking and internationally recognised outputs, most of which would not have been achieved without the ARC grants. </w:t>
      </w:r>
    </w:p>
    <w:p w14:paraId="6F197E93" w14:textId="77777777" w:rsidR="002B32A0" w:rsidRPr="00CE1D7F" w:rsidRDefault="002B32A0" w:rsidP="002B32A0">
      <w:pPr>
        <w:pStyle w:val="Heading3"/>
      </w:pPr>
      <w:r w:rsidRPr="00CE1D7F">
        <w:t>Attribution</w:t>
      </w:r>
    </w:p>
    <w:p w14:paraId="4019B4BB" w14:textId="77777777" w:rsidR="002B32A0" w:rsidRPr="00CE1D7F" w:rsidRDefault="002B32A0" w:rsidP="002B32A0">
      <w:pPr>
        <w:pStyle w:val="BodyText"/>
      </w:pPr>
      <w:r w:rsidRPr="00CE1D7F">
        <w:t xml:space="preserve">All stakeholders consulted for this case study place a high level of attribution on the ARC’s funding to the impacts outlined below. They believe that the funding was critical to developing the Archive (i.e., research infrastructure) that drives many of the impacts identified during consultations. </w:t>
      </w:r>
    </w:p>
    <w:p w14:paraId="35372FFE" w14:textId="3A557986" w:rsidR="002B32A0" w:rsidRPr="00CE1D7F" w:rsidRDefault="002B32A0" w:rsidP="002B32A0">
      <w:pPr>
        <w:pStyle w:val="BodyText"/>
      </w:pPr>
      <w:r w:rsidRPr="00CE1D7F">
        <w:t xml:space="preserve">The funding was also critical in providing the foundation and momentum for an international community of research and practice to emerge. This network undertakes vital applied research necessary for successful outcomes, supports resolution of repatriation cases, and provides an international network of support for communities navigating repatriation challenges overcoming the trauma of the theft and scientific misuse of their ancestors’ remains. The breadth and global reach of this network (in terms of countries, researcher partners, community organisations and practitioners involved) are illustrated in </w:t>
      </w:r>
      <w:r w:rsidRPr="00F87D0E">
        <w:fldChar w:fldCharType="begin"/>
      </w:r>
      <w:r w:rsidRPr="00F87D0E">
        <w:instrText xml:space="preserve"> REF _Ref129335997 \h  \* MERGEFORMAT </w:instrText>
      </w:r>
      <w:r w:rsidRPr="00F87D0E">
        <w:fldChar w:fldCharType="separate"/>
      </w:r>
      <w:r w:rsidR="000B0AC7" w:rsidRPr="000B0AC7">
        <w:t>Figure 13.3</w:t>
      </w:r>
      <w:r w:rsidRPr="00F87D0E">
        <w:fldChar w:fldCharType="end"/>
      </w:r>
      <w:r w:rsidRPr="00CE1D7F">
        <w:t xml:space="preserve">. </w:t>
      </w:r>
    </w:p>
    <w:p w14:paraId="2138F6BF" w14:textId="77777777" w:rsidR="002B32A0" w:rsidRPr="00CE1D7F" w:rsidRDefault="002B32A0" w:rsidP="002B32A0">
      <w:pPr>
        <w:pStyle w:val="BodyText"/>
      </w:pPr>
      <w:r w:rsidRPr="00CE1D7F">
        <w:t>Moreover, consultations with key stakeholders in Australia and overseas conducted for this case study identify that without funding to develop the RRR Archive and website, repatriation would have remained a highly fragmented eco-system that was difficult to navigate, costly, time-consuming, and did not support the needs of communities. These stakeholders firmly believe that many repatriation outcomes achieved in recent years would not have been possible without the investments in RRR and its associated capabilities and communities of practice.</w:t>
      </w:r>
    </w:p>
    <w:p w14:paraId="215EBE34" w14:textId="77777777" w:rsidR="002B32A0" w:rsidRPr="00CE1D7F" w:rsidRDefault="002B32A0" w:rsidP="003703D7">
      <w:pPr>
        <w:pStyle w:val="Heading2"/>
      </w:pPr>
      <w:bookmarkStart w:id="635" w:name="_Toc129964022"/>
      <w:bookmarkStart w:id="636" w:name="_Toc131174660"/>
      <w:bookmarkStart w:id="637" w:name="_Toc132970731"/>
      <w:bookmarkStart w:id="638" w:name="_Toc135323770"/>
      <w:r w:rsidRPr="00CE1D7F">
        <w:t>Impacts</w:t>
      </w:r>
      <w:bookmarkEnd w:id="635"/>
      <w:bookmarkEnd w:id="636"/>
      <w:bookmarkEnd w:id="637"/>
      <w:bookmarkEnd w:id="638"/>
    </w:p>
    <w:p w14:paraId="4AB388F0" w14:textId="77777777" w:rsidR="002B32A0" w:rsidRPr="00CE1D7F" w:rsidRDefault="002B32A0" w:rsidP="003703D7">
      <w:pPr>
        <w:pStyle w:val="Heading3"/>
      </w:pPr>
      <w:r w:rsidRPr="00CE1D7F">
        <w:t xml:space="preserve">Economic impacts </w:t>
      </w:r>
    </w:p>
    <w:p w14:paraId="649933EE" w14:textId="77777777" w:rsidR="002B32A0" w:rsidRPr="00CE1D7F" w:rsidRDefault="002B32A0" w:rsidP="003703D7">
      <w:pPr>
        <w:pStyle w:val="BodyText"/>
        <w:keepNext/>
        <w:keepLines/>
      </w:pPr>
      <w:r w:rsidRPr="00CE1D7F">
        <w:t>Ancestral remains cannot be reburied or returned to Country without accurate provenance information. Repatriation research methods refined (and now taught) by Fforde and the RRR team produce provenance information vital for informed decision making, and result in historical information about collecting and the post-mortem history of ancestral remains taken from Country that are constantly requested by community members.</w:t>
      </w:r>
    </w:p>
    <w:p w14:paraId="646A1C02" w14:textId="77777777" w:rsidR="002B32A0" w:rsidRPr="00CE1D7F" w:rsidRDefault="002B32A0" w:rsidP="002B32A0">
      <w:pPr>
        <w:pStyle w:val="BodyText"/>
      </w:pPr>
      <w:r w:rsidRPr="00CE1D7F">
        <w:t xml:space="preserve">If remains are poorly or incorrectly provenanced, institutions, governments and communities can make incorrect decisions about repatriation and reburial. This includes failing to identify that an individual’s body parts sent to an institution have been lost or transferred elsewhere. Thus resulting in only the partial return of an ancestors remains, or multiple returns after more remains are sequentially discovered in an institution. Such a lack of informed decision- making generates costs that are then borne by communities, institutions and governments seeking repatriation outcomes. </w:t>
      </w:r>
    </w:p>
    <w:p w14:paraId="55C15DCE" w14:textId="77777777" w:rsidR="002B32A0" w:rsidRPr="00CE1D7F" w:rsidRDefault="002B32A0" w:rsidP="002B32A0">
      <w:pPr>
        <w:pStyle w:val="BodyText"/>
      </w:pPr>
      <w:r w:rsidRPr="00CE1D7F">
        <w:t>Over the past 4 decades, provenance research has also revealed a history of colonial theft largely unknown in the Western canon, demonstrating how Indigenous efforts to secure the return of ancestral remains have also resulted in a greater understanding of colonial era practices and their impact. Without the truth-telling that accompanies the revealing of these type of silenced histories, and the way in which Indigenous people have laboured to address the wrongs of the past, reconciliation is hampered, which also has significant costs. The RRR Digital Archive bears witness to this history and is a significant public knowledge dissemination platform for truth-telling.</w:t>
      </w:r>
    </w:p>
    <w:p w14:paraId="763882F2" w14:textId="77777777" w:rsidR="002B32A0" w:rsidRPr="00CE1D7F" w:rsidRDefault="002B32A0" w:rsidP="002B32A0">
      <w:pPr>
        <w:pStyle w:val="BodyText"/>
      </w:pPr>
      <w:r w:rsidRPr="00CE1D7F">
        <w:t>Through Tier 3 of the RRR Digital Archive, 3 Indigenous partner organisations now each have access at no financial cost to a curated secure and private Digital Archive of critical information about their ancestors remains that is governed by them to support their repatriation work. This would have been impossible to achieve to this standard without ARC and partner funding, and now continues to be maintained without cost to communities through contractual agreement between ANU, AIATSIS, KALACC, NRA, and GBK. RRR is working to expand this Tier 3 option for other Indigenous organisations in Australian and internationally.</w:t>
      </w:r>
    </w:p>
    <w:p w14:paraId="71047951" w14:textId="77777777" w:rsidR="002B32A0" w:rsidRPr="00CE1D7F" w:rsidRDefault="002B32A0" w:rsidP="002B32A0">
      <w:pPr>
        <w:pStyle w:val="BodyText"/>
      </w:pPr>
      <w:r w:rsidRPr="00CE1D7F">
        <w:t>While it is difficult to quantify the economic impacts associated with undertaking provenance research, stakeholders have identified a range of financial benefits and cost savings that can be attributed to the presence of the RRR Digital Archive and website. These benefits relate to the operational and program costs associated with essential repatriation research and data management, managing repatriation programs and participating in repatriation events. These benefits include:</w:t>
      </w:r>
    </w:p>
    <w:p w14:paraId="53AF1EEC" w14:textId="77777777" w:rsidR="002B32A0" w:rsidRPr="00CE1D7F" w:rsidRDefault="002B32A0" w:rsidP="003703D7">
      <w:pPr>
        <w:pStyle w:val="ListBullet"/>
      </w:pPr>
      <w:r w:rsidRPr="00CE1D7F">
        <w:t>Reduced staffing costs within cultural institutions and Indigenous organisations associated with archival work for repatriation purposes.</w:t>
      </w:r>
    </w:p>
    <w:p w14:paraId="00421F60" w14:textId="77777777" w:rsidR="002B32A0" w:rsidRPr="00CE1D7F" w:rsidRDefault="002B32A0" w:rsidP="003703D7">
      <w:pPr>
        <w:pStyle w:val="ListBullet"/>
      </w:pPr>
      <w:r w:rsidRPr="00CE1D7F">
        <w:t>Reduced staffing and research costs as repatriation practitioners do not have to ‘reinvent the wheel’ or follow research paths already worked through by others.</w:t>
      </w:r>
    </w:p>
    <w:p w14:paraId="03BA5EF9" w14:textId="77777777" w:rsidR="002B32A0" w:rsidRPr="00CE1D7F" w:rsidRDefault="002B32A0" w:rsidP="003703D7">
      <w:pPr>
        <w:pStyle w:val="ListBullet"/>
      </w:pPr>
      <w:r w:rsidRPr="00CE1D7F">
        <w:t>Reduction in costs associated with IT environment and Archive curation of data essential for repatriation practice.</w:t>
      </w:r>
    </w:p>
    <w:p w14:paraId="1FDA39AC" w14:textId="77777777" w:rsidR="002B32A0" w:rsidRPr="00CE1D7F" w:rsidRDefault="002B32A0" w:rsidP="003703D7">
      <w:pPr>
        <w:pStyle w:val="ListBullet"/>
      </w:pPr>
      <w:r w:rsidRPr="00CE1D7F">
        <w:t>Reduced travel time and expenses for repatriation practitioners and community stakeholders. That is, the need for a practitioner or a community member to travel for a case to determine the provenance of a remain or cultural artifact may be reduced if there are significant digital records to substantiate a claim of provenance. In particular, stakeholder consultation has highlighted how the Archive reduces the time and resources required to provenance ancestral remains located overseas. Consultations have highlighted there is limited funding to support travel and accommodation costs associated with domestic or overseas repatriation research, so access to the Digital Archive and website is critical for some communities and practitioners.</w:t>
      </w:r>
    </w:p>
    <w:p w14:paraId="11E33AB7" w14:textId="77777777" w:rsidR="002B32A0" w:rsidRPr="00CE1D7F" w:rsidRDefault="002B32A0" w:rsidP="003703D7">
      <w:pPr>
        <w:pStyle w:val="ListBullet"/>
      </w:pPr>
      <w:r w:rsidRPr="00CE1D7F">
        <w:t>Reduction in costs associated with community and/or intergovernmental negotiations relating to the provenance of a claim or claims. This will be reflected in a reduction in the staffing and travel costs in Australia and overseas associated with a repatriation case.</w:t>
      </w:r>
    </w:p>
    <w:p w14:paraId="555026C1" w14:textId="77777777" w:rsidR="002B32A0" w:rsidRPr="00CE1D7F" w:rsidRDefault="002B32A0" w:rsidP="003703D7">
      <w:pPr>
        <w:pStyle w:val="ListBullet"/>
      </w:pPr>
      <w:r w:rsidRPr="00CE1D7F">
        <w:t>Reductions in the costs associated with providing interim resting places while remains are being provenanced by practitioners or communities.</w:t>
      </w:r>
    </w:p>
    <w:p w14:paraId="7EEB9902" w14:textId="77777777" w:rsidR="002B32A0" w:rsidRPr="00CE1D7F" w:rsidRDefault="002B32A0" w:rsidP="002B32A0">
      <w:pPr>
        <w:pStyle w:val="Heading3"/>
      </w:pPr>
      <w:r w:rsidRPr="00CE1D7F">
        <w:t xml:space="preserve">Social impacts </w:t>
      </w:r>
    </w:p>
    <w:p w14:paraId="2F59D09F" w14:textId="77777777" w:rsidR="002B32A0" w:rsidRPr="00CE1D7F" w:rsidRDefault="002B32A0" w:rsidP="002B32A0">
      <w:pPr>
        <w:pStyle w:val="BodyText"/>
      </w:pPr>
      <w:r w:rsidRPr="00CE1D7F">
        <w:t>The social and community benefits in Australia and overseas are the ultimate impacts generated by this ARC-funded research. These benefits can be summarised as a significant reduction in the pain, suffering and trauma experienced by communities seeking to resolve repatriation cases, and the impacts of the research and RRR on creating positive collaborative partnerships that continue to expand.</w:t>
      </w:r>
    </w:p>
    <w:p w14:paraId="23A53702" w14:textId="77777777" w:rsidR="002B32A0" w:rsidRPr="00CE1D7F" w:rsidRDefault="002B32A0" w:rsidP="002B32A0">
      <w:pPr>
        <w:pStyle w:val="Heading4"/>
      </w:pPr>
      <w:r w:rsidRPr="00CE1D7F">
        <w:t>Reduced pain, suffering and trauma</w:t>
      </w:r>
    </w:p>
    <w:p w14:paraId="143C1A00" w14:textId="77777777" w:rsidR="002B32A0" w:rsidRPr="00CE1D7F" w:rsidRDefault="002B32A0" w:rsidP="002B32A0">
      <w:pPr>
        <w:pStyle w:val="BodyText"/>
      </w:pPr>
      <w:r w:rsidRPr="00CE1D7F">
        <w:t xml:space="preserve">Stakeholders consulted for this case study have identified significant trauma, pain and suffering individuals and communities involved with repatriation cases experience. They identify the deep sorrow and significant emotional toll placed on individuals involved with repatriation, which can be decades long in some circumstances. </w:t>
      </w:r>
    </w:p>
    <w:p w14:paraId="60BE3668" w14:textId="77777777" w:rsidR="002B32A0" w:rsidRPr="00CE1D7F" w:rsidRDefault="002B32A0" w:rsidP="002B32A0">
      <w:pPr>
        <w:pStyle w:val="BodyText"/>
      </w:pPr>
      <w:r w:rsidRPr="00CE1D7F">
        <w:t>For example, ACIL Allen consulted with one stakeholder from North America who discussed cases that had been unresolved for nearly 30 years. However, with access to the Archive, stakeholders report the ability to progress a repatriation event that has been open for decades in a matter of months or years.</w:t>
      </w:r>
    </w:p>
    <w:p w14:paraId="7C3A2DC3" w14:textId="77777777" w:rsidR="002B32A0" w:rsidRPr="00CE1D7F" w:rsidRDefault="002B32A0" w:rsidP="002B32A0">
      <w:pPr>
        <w:pStyle w:val="BodyText"/>
      </w:pPr>
      <w:r w:rsidRPr="00CE1D7F">
        <w:t xml:space="preserve">Other stakeholders consulted also discussed “years of pain and suffering avoided” by communities who have benefited from the Archive’s presence and the ongoing research program. Again, while this pain is real, it is not quantifiable due to the unique nature of each repatriation and the considerable variance in the time taken to deliver human remains and cultural objects to their final resting places. </w:t>
      </w:r>
    </w:p>
    <w:p w14:paraId="5EFA86F4" w14:textId="77777777" w:rsidR="002B32A0" w:rsidRPr="00CE1D7F" w:rsidRDefault="002B32A0" w:rsidP="002B32A0">
      <w:pPr>
        <w:pStyle w:val="Heading4"/>
      </w:pPr>
      <w:r w:rsidRPr="00CE1D7F">
        <w:t xml:space="preserve">Professional development, practitioner and network impacts </w:t>
      </w:r>
    </w:p>
    <w:p w14:paraId="4C1814E2" w14:textId="77777777" w:rsidR="002B32A0" w:rsidRPr="00CE1D7F" w:rsidRDefault="002B32A0" w:rsidP="002B32A0">
      <w:pPr>
        <w:pStyle w:val="BodyText"/>
      </w:pPr>
      <w:r w:rsidRPr="00CE1D7F">
        <w:t>The Digital Archive developed by the RRR team serves as a resource for future scholarly work and training. Prof Fforde’s ARC research grants have supported 4 PhD students.</w:t>
      </w:r>
    </w:p>
    <w:p w14:paraId="52E5FE90" w14:textId="77777777" w:rsidR="002B32A0" w:rsidRPr="00CE1D7F" w:rsidRDefault="002B32A0" w:rsidP="002B32A0">
      <w:pPr>
        <w:pStyle w:val="BodyText"/>
      </w:pPr>
      <w:r w:rsidRPr="00CE1D7F">
        <w:t>The course delivered through ANU, ‘Introduction to Repatriation: Principles, Policy and Practice’ as masters and professional development, is committed to providing participants with a learning experience that benefits from extensive Indigenous expertise within the RRR network. The course was launched in 2015 and was first hosted by RRR partner organisation, the Ngarrindjeri Regional Authority on Ngarrindjeri Country. The second, in 2018, was hosted by the Kimberley Aboriginal Law and Culture Centre on Yawuru Country (Broome) and Bunuba Country (Fitzroy Crossing). The third, in 2019, returned to Ngarrindjeri Country and was again hosted by the Ngarrindjeri Regional Authority. The last 3 courses have been delivered online. While delivering the course online does not allow for teaching by community partner organisation personnel on their traditional Country, the format significantly increases global reach in teaching and participation. In 2022, a cohort of South American Indigenous participants took the course, with RRR employing a translator to make the course accessible to them.</w:t>
      </w:r>
    </w:p>
    <w:p w14:paraId="5C63B9B2" w14:textId="77777777" w:rsidR="002B32A0" w:rsidRPr="00CE1D7F" w:rsidRDefault="002B32A0" w:rsidP="002B32A0">
      <w:pPr>
        <w:pStyle w:val="BodyText"/>
      </w:pPr>
      <w:r w:rsidRPr="00CE1D7F">
        <w:t xml:space="preserve">The course was co-created by the RRR collaboration and is team-taught by its members. Participants learn from a wide range of Indigenous and non-Indigenous expertise across the various sectors engaged in repatriation. 3 additional repatriation courses will be offered in 2023 and 2024, with the total 4 courses being developed to become a graduate certificate in repatriation for delivery in 2023, which will be the first of its kind globally. </w:t>
      </w:r>
    </w:p>
    <w:p w14:paraId="78D7C444" w14:textId="77777777" w:rsidR="002B32A0" w:rsidRPr="00CE1D7F" w:rsidRDefault="002B32A0" w:rsidP="002B32A0">
      <w:pPr>
        <w:pStyle w:val="BodyText"/>
      </w:pPr>
      <w:r w:rsidRPr="00CE1D7F">
        <w:t>Student experiences in the course are highlighted in the testimonials below.</w:t>
      </w:r>
    </w:p>
    <w:p w14:paraId="7847252E" w14:textId="7BFEE916" w:rsidR="000B0AC7" w:rsidRPr="00CE1D7F" w:rsidRDefault="000B0AC7" w:rsidP="006258ED">
      <w:pPr>
        <w:pStyle w:val="Caption"/>
      </w:pPr>
      <w:r w:rsidRPr="00CE1D7F">
        <w:rPr>
          <w:rStyle w:val="CaptionLabel"/>
        </w:rPr>
        <w:t>Box </w:t>
      </w:r>
      <w:r w:rsidRPr="00CE1D7F">
        <w:rPr>
          <w:rStyle w:val="CaptionLabel"/>
        </w:rPr>
        <w:fldChar w:fldCharType="begin"/>
      </w:r>
      <w:r w:rsidRPr="00CE1D7F">
        <w:rPr>
          <w:rStyle w:val="CaptionLabel"/>
        </w:rPr>
        <w:instrText xml:space="preserve"> STYLEREF 1 \S \* MERGEFORMAT </w:instrText>
      </w:r>
      <w:r w:rsidRPr="00CE1D7F">
        <w:rPr>
          <w:rStyle w:val="CaptionLabel"/>
        </w:rPr>
        <w:fldChar w:fldCharType="separate"/>
      </w:r>
      <w:r>
        <w:rPr>
          <w:rStyle w:val="CaptionLabel"/>
          <w:noProof/>
        </w:rPr>
        <w:t>13</w:t>
      </w:r>
      <w:r w:rsidRPr="00CE1D7F">
        <w:rPr>
          <w:rStyle w:val="CaptionLabel"/>
        </w:rPr>
        <w:fldChar w:fldCharType="end"/>
      </w:r>
      <w:r w:rsidRPr="00CE1D7F">
        <w:rPr>
          <w:rStyle w:val="CaptionLabel"/>
        </w:rPr>
        <w:t>.</w:t>
      </w:r>
      <w:r w:rsidRPr="00CE1D7F">
        <w:rPr>
          <w:rStyle w:val="CaptionLabel"/>
        </w:rPr>
        <w:fldChar w:fldCharType="begin"/>
      </w:r>
      <w:r w:rsidRPr="00CE1D7F">
        <w:rPr>
          <w:rStyle w:val="CaptionLabel"/>
        </w:rPr>
        <w:instrText xml:space="preserve"> SEQ Box \* ARABIC \S 1 \* MERGEFORMAT </w:instrText>
      </w:r>
      <w:r w:rsidRPr="00CE1D7F">
        <w:rPr>
          <w:rStyle w:val="CaptionLabel"/>
        </w:rPr>
        <w:fldChar w:fldCharType="separate"/>
      </w:r>
      <w:r>
        <w:rPr>
          <w:rStyle w:val="CaptionLabel"/>
          <w:noProof/>
        </w:rPr>
        <w:t>1</w:t>
      </w:r>
      <w:r w:rsidRPr="00CE1D7F">
        <w:rPr>
          <w:rStyle w:val="CaptionLabel"/>
        </w:rPr>
        <w:fldChar w:fldCharType="end"/>
      </w:r>
      <w:r w:rsidRPr="00CE1D7F">
        <w:tab/>
        <w:t>Student testimonials</w:t>
      </w:r>
    </w:p>
    <w:tbl>
      <w:tblPr>
        <w:tblStyle w:val="aacTableBox"/>
        <w:tblW w:w="5000" w:type="pct"/>
        <w:tblLook w:val="04A0" w:firstRow="1" w:lastRow="0" w:firstColumn="1" w:lastColumn="0" w:noHBand="0" w:noVBand="1"/>
        <w:tblCaption w:val="Box 13.1 "/>
        <w:tblDescription w:val="Student testimonials"/>
      </w:tblPr>
      <w:tblGrid>
        <w:gridCol w:w="7936"/>
      </w:tblGrid>
      <w:tr w:rsidR="002B32A0" w:rsidRPr="00CE1D7F" w14:paraId="28129293" w14:textId="77777777" w:rsidTr="000B0AC7">
        <w:tc>
          <w:tcPr>
            <w:tcW w:w="5000" w:type="pct"/>
          </w:tcPr>
          <w:p w14:paraId="561734B7" w14:textId="77777777" w:rsidR="002B32A0" w:rsidRPr="00CE1D7F" w:rsidRDefault="002B32A0" w:rsidP="006258ED">
            <w:pPr>
              <w:pStyle w:val="BoxText"/>
            </w:pPr>
            <w:r w:rsidRPr="00CE1D7F">
              <w:t>“Participation in the Return, Reconcile, Renew 'Introduction to Repatriation' course was a key steppingstone in my career as cultural heritage professional. Having previously studied and worked in the ‘aftermath’ of repatriation activities, this course provided me with a myriad of practical tools, networks, and case studies that enabled me to more confidently begin work initiating provenance and repatriation projects, building meaningful relationships with recipient communities, proactively caring for material, and engaging in productive conversations with resistant parties.”</w:t>
            </w:r>
          </w:p>
          <w:p w14:paraId="534E2214" w14:textId="77777777" w:rsidR="002B32A0" w:rsidRPr="00CE1D7F" w:rsidRDefault="002B32A0" w:rsidP="006258ED">
            <w:pPr>
              <w:pStyle w:val="BoxText"/>
            </w:pPr>
            <w:r w:rsidRPr="00CE1D7F">
              <w:t xml:space="preserve">Madalyn Grant, Repatriation Manager at The University of Queensland </w:t>
            </w:r>
          </w:p>
          <w:p w14:paraId="777E2BAF" w14:textId="77777777" w:rsidR="002B32A0" w:rsidRPr="00CE1D7F" w:rsidRDefault="002B32A0" w:rsidP="006258ED">
            <w:pPr>
              <w:pStyle w:val="BoxText"/>
            </w:pPr>
          </w:p>
          <w:p w14:paraId="3E5ED149" w14:textId="77777777" w:rsidR="002B32A0" w:rsidRPr="00CE1D7F" w:rsidRDefault="002B32A0" w:rsidP="006258ED">
            <w:pPr>
              <w:pStyle w:val="BoxText"/>
            </w:pPr>
            <w:r w:rsidRPr="00CE1D7F">
              <w:t>“This course was very intensive and a thorough introduction to the issues surrounding the repatriation of skeletal remains and sacred objects. I was working on a repatriation project at the time and the course introduced me to the concepts of community reports and provenancing. Through this, and the support offered by the RRR team, I was able to get a much better outcome for the family involved and afford them a greater sense of closure. This course gave me confidence around ethical procedures when repatriating skeletal remains and in pursuing repatriation work in the future. I have since assisted in a second repatriation project involving cultural materials and look forward to more work in the repatriation field in the future.”</w:t>
            </w:r>
          </w:p>
          <w:p w14:paraId="568FA8F9" w14:textId="77777777" w:rsidR="002B32A0" w:rsidRPr="00CE1D7F" w:rsidRDefault="002B32A0" w:rsidP="006258ED">
            <w:pPr>
              <w:pStyle w:val="BoxText"/>
            </w:pPr>
            <w:r w:rsidRPr="00CE1D7F">
              <w:t>Anonymous, Australian Professional</w:t>
            </w:r>
          </w:p>
          <w:p w14:paraId="60522EEC" w14:textId="77777777" w:rsidR="002B32A0" w:rsidRPr="00CE1D7F" w:rsidRDefault="002B32A0" w:rsidP="006258ED">
            <w:pPr>
              <w:pStyle w:val="BoxText"/>
            </w:pPr>
          </w:p>
          <w:p w14:paraId="4BDF051A" w14:textId="77777777" w:rsidR="002B32A0" w:rsidRPr="00CE1D7F" w:rsidRDefault="002B32A0" w:rsidP="006258ED">
            <w:pPr>
              <w:pStyle w:val="BoxText"/>
            </w:pPr>
            <w:r w:rsidRPr="00CE1D7F">
              <w:t>“Repatriation can be very lonely work, full of uncertainties, soaring highs and deflating lows. Currently, there are no other training courses for repatriation in the world and the Return, Reconcile, Renew course provided me with a unique opportunity to connect with colleagues and swap notes. Hearing from repatriation practitioners from all over the world enabled you to place your work within a global context and I found great value in knowing that others are having a shared experience.</w:t>
            </w:r>
          </w:p>
          <w:p w14:paraId="45D38977" w14:textId="77777777" w:rsidR="002B32A0" w:rsidRPr="00CE1D7F" w:rsidRDefault="002B32A0" w:rsidP="006258ED">
            <w:pPr>
              <w:pStyle w:val="BoxText"/>
            </w:pPr>
            <w:r w:rsidRPr="00CE1D7F">
              <w:t>The focus given to developing robust provenance research skills was particularly useful as this isn’t taught anywhere else, it is something you need to learn on the job. I left feeling much more confident in my approach, the course validating and confirming my own thinking. It armed me with the right vocabulary and examples to advocate for repatriation in a more articulate way, commanding the space with more confidence.</w:t>
            </w:r>
          </w:p>
          <w:p w14:paraId="5F4D7DF5" w14:textId="77777777" w:rsidR="002B32A0" w:rsidRPr="00CE1D7F" w:rsidRDefault="002B32A0" w:rsidP="006258ED">
            <w:pPr>
              <w:pStyle w:val="BoxText"/>
            </w:pPr>
            <w:r w:rsidRPr="00CE1D7F">
              <w:t>This course is essential for anyone working in repatriation, and I will be recommending that members of the NZ Repatriation Research Network take this course as part of their own professional and personal development.”</w:t>
            </w:r>
          </w:p>
          <w:p w14:paraId="3AE61724" w14:textId="77777777" w:rsidR="002B32A0" w:rsidRPr="00CE1D7F" w:rsidRDefault="002B32A0" w:rsidP="006258ED">
            <w:pPr>
              <w:pStyle w:val="BoxText"/>
            </w:pPr>
            <w:r w:rsidRPr="00CE1D7F">
              <w:t>Jamie Metzger, Repatriation Project Lead at the Museum of New Zealand Te Papa Tongarewa</w:t>
            </w:r>
          </w:p>
        </w:tc>
      </w:tr>
    </w:tbl>
    <w:p w14:paraId="366A81DD" w14:textId="77777777" w:rsidR="000B0AC7" w:rsidRPr="00CE1D7F" w:rsidRDefault="000B0AC7" w:rsidP="006258ED">
      <w:pPr>
        <w:pStyle w:val="Source"/>
      </w:pPr>
      <w:r w:rsidRPr="00CE1D7F">
        <w:t>Source: Various</w:t>
      </w:r>
    </w:p>
    <w:p w14:paraId="44442165" w14:textId="4C20F119" w:rsidR="002B32A0" w:rsidRPr="00CE1D7F" w:rsidRDefault="002B32A0" w:rsidP="002B32A0">
      <w:r w:rsidRPr="00CE1D7F">
        <w:t xml:space="preserve">Since the course was launched in 2015, 32 students have enrolled as Masters students, and 108 students have enrolled in the professional development course. Of the 108 participants enrolled in the professional development course, c.65 were Indigenous (national and international). Details of enrolments are displayed in </w:t>
      </w:r>
      <w:r w:rsidRPr="00F87D0E">
        <w:fldChar w:fldCharType="begin"/>
      </w:r>
      <w:r w:rsidRPr="00F87D0E">
        <w:instrText xml:space="preserve"> REF _Ref129337794 \h  \* MERGEFORMAT </w:instrText>
      </w:r>
      <w:r w:rsidRPr="00F87D0E">
        <w:fldChar w:fldCharType="separate"/>
      </w:r>
      <w:r w:rsidR="000B0AC7" w:rsidRPr="000B0AC7">
        <w:t>Table 13.2</w:t>
      </w:r>
      <w:r w:rsidRPr="00F87D0E">
        <w:fldChar w:fldCharType="end"/>
      </w:r>
      <w:r w:rsidRPr="00CE1D7F">
        <w:t xml:space="preserve"> below. </w:t>
      </w:r>
    </w:p>
    <w:p w14:paraId="04C1F244" w14:textId="3C7F9A8D" w:rsidR="002B32A0" w:rsidRPr="00CE1D7F" w:rsidRDefault="002B32A0" w:rsidP="000B0AC7">
      <w:pPr>
        <w:pStyle w:val="Caption"/>
        <w:ind w:left="1257" w:hanging="1308"/>
      </w:pPr>
      <w:bookmarkStart w:id="639" w:name="_Ref129337794"/>
      <w:r w:rsidRPr="00CE1D7F">
        <w:rPr>
          <w:rStyle w:val="CaptionLabel"/>
        </w:rPr>
        <w:t>Table </w:t>
      </w:r>
      <w:r w:rsidRPr="00CE1D7F">
        <w:rPr>
          <w:rStyle w:val="CaptionLabel"/>
        </w:rPr>
        <w:fldChar w:fldCharType="begin"/>
      </w:r>
      <w:r w:rsidRPr="00CE1D7F">
        <w:rPr>
          <w:rStyle w:val="CaptionLabel"/>
        </w:rPr>
        <w:instrText xml:space="preserve"> STYLEREF 1 \S \* MERGEFORMAT </w:instrText>
      </w:r>
      <w:r w:rsidRPr="00CE1D7F">
        <w:rPr>
          <w:rStyle w:val="CaptionLabel"/>
        </w:rPr>
        <w:fldChar w:fldCharType="separate"/>
      </w:r>
      <w:r w:rsidR="000B0AC7">
        <w:rPr>
          <w:rStyle w:val="CaptionLabel"/>
          <w:noProof/>
        </w:rPr>
        <w:t>13</w:t>
      </w:r>
      <w:r w:rsidRPr="00CE1D7F">
        <w:rPr>
          <w:rStyle w:val="CaptionLabel"/>
        </w:rPr>
        <w:fldChar w:fldCharType="end"/>
      </w:r>
      <w:r w:rsidRPr="00CE1D7F">
        <w:rPr>
          <w:rStyle w:val="CaptionLabel"/>
        </w:rPr>
        <w:t>.</w:t>
      </w:r>
      <w:r w:rsidRPr="00CE1D7F">
        <w:rPr>
          <w:rStyle w:val="CaptionLabel"/>
        </w:rPr>
        <w:fldChar w:fldCharType="begin"/>
      </w:r>
      <w:r w:rsidRPr="00CE1D7F">
        <w:rPr>
          <w:rStyle w:val="CaptionLabel"/>
        </w:rPr>
        <w:instrText xml:space="preserve"> SEQ Table \* ARABIC \S 1 \* MERGEFORMAT </w:instrText>
      </w:r>
      <w:r w:rsidRPr="00CE1D7F">
        <w:rPr>
          <w:rStyle w:val="CaptionLabel"/>
        </w:rPr>
        <w:fldChar w:fldCharType="separate"/>
      </w:r>
      <w:r w:rsidR="000B0AC7">
        <w:rPr>
          <w:rStyle w:val="CaptionLabel"/>
          <w:noProof/>
        </w:rPr>
        <w:t>2</w:t>
      </w:r>
      <w:r w:rsidRPr="00CE1D7F">
        <w:rPr>
          <w:rStyle w:val="CaptionLabel"/>
        </w:rPr>
        <w:fldChar w:fldCharType="end"/>
      </w:r>
      <w:bookmarkEnd w:id="639"/>
      <w:r w:rsidRPr="00CE1D7F">
        <w:tab/>
        <w:t>Enrolment details for ‘Introduction to Repatriation: Principles, Policy and Practice’</w:t>
      </w:r>
    </w:p>
    <w:tbl>
      <w:tblPr>
        <w:tblStyle w:val="aacTableBasic"/>
        <w:tblW w:w="5042" w:type="pct"/>
        <w:tblInd w:w="-51" w:type="dxa"/>
        <w:tblLook w:val="04A0" w:firstRow="1" w:lastRow="0" w:firstColumn="1" w:lastColumn="0" w:noHBand="0" w:noVBand="1"/>
        <w:tblCaption w:val="Table 13.2"/>
        <w:tblDescription w:val="Enrolment details for ‘Introduction to Repatriation: Principles, Policy and Practice’"/>
      </w:tblPr>
      <w:tblGrid>
        <w:gridCol w:w="1168"/>
        <w:gridCol w:w="1098"/>
        <w:gridCol w:w="956"/>
        <w:gridCol w:w="792"/>
        <w:gridCol w:w="1785"/>
        <w:gridCol w:w="2204"/>
      </w:tblGrid>
      <w:tr w:rsidR="000B0AC7" w:rsidRPr="00CE1D7F" w14:paraId="34EA1806" w14:textId="77777777" w:rsidTr="000B0AC7">
        <w:trPr>
          <w:cnfStyle w:val="100000000000" w:firstRow="1" w:lastRow="0" w:firstColumn="0" w:lastColumn="0" w:oddVBand="0" w:evenVBand="0" w:oddHBand="0" w:evenHBand="0" w:firstRowFirstColumn="0" w:firstRowLastColumn="0" w:lastRowFirstColumn="0" w:lastRowLastColumn="0"/>
        </w:trPr>
        <w:tc>
          <w:tcPr>
            <w:tcW w:w="730" w:type="pct"/>
            <w:tcBorders>
              <w:top w:val="nil"/>
            </w:tcBorders>
            <w:shd w:val="solid" w:color="140034" w:fill="140034"/>
            <w:tcMar>
              <w:left w:w="80" w:type="dxa"/>
            </w:tcMar>
          </w:tcPr>
          <w:p w14:paraId="1F77D4A0" w14:textId="77777777" w:rsidR="002B32A0" w:rsidRPr="00CE1D7F" w:rsidRDefault="002B32A0" w:rsidP="006258ED">
            <w:pPr>
              <w:pStyle w:val="Tablecolumnheadings"/>
              <w:keepLines/>
            </w:pPr>
            <w:r w:rsidRPr="00CE1D7F">
              <w:t>Year</w:t>
            </w:r>
          </w:p>
        </w:tc>
        <w:tc>
          <w:tcPr>
            <w:tcW w:w="686" w:type="pct"/>
            <w:tcBorders>
              <w:top w:val="nil"/>
            </w:tcBorders>
            <w:shd w:val="solid" w:color="140034" w:fill="140034"/>
          </w:tcPr>
          <w:p w14:paraId="5324C143" w14:textId="77777777" w:rsidR="002B32A0" w:rsidRPr="00CE1D7F" w:rsidRDefault="002B32A0" w:rsidP="006258ED">
            <w:pPr>
              <w:pStyle w:val="Tablecolumnheadings"/>
              <w:keepLines/>
            </w:pPr>
            <w:r w:rsidRPr="00CE1D7F">
              <w:t>Combined</w:t>
            </w:r>
          </w:p>
        </w:tc>
        <w:tc>
          <w:tcPr>
            <w:tcW w:w="597" w:type="pct"/>
            <w:tcBorders>
              <w:top w:val="nil"/>
            </w:tcBorders>
            <w:shd w:val="solid" w:color="140034" w:fill="140034"/>
          </w:tcPr>
          <w:p w14:paraId="4416F797" w14:textId="77777777" w:rsidR="002B32A0" w:rsidRPr="00CE1D7F" w:rsidRDefault="002B32A0" w:rsidP="006258ED">
            <w:pPr>
              <w:pStyle w:val="Tablecolumnheadings"/>
              <w:keepLines/>
            </w:pPr>
            <w:r w:rsidRPr="00CE1D7F">
              <w:t>Masters students</w:t>
            </w:r>
          </w:p>
        </w:tc>
        <w:tc>
          <w:tcPr>
            <w:tcW w:w="495" w:type="pct"/>
            <w:tcBorders>
              <w:top w:val="nil"/>
            </w:tcBorders>
            <w:shd w:val="solid" w:color="140034" w:fill="140034"/>
          </w:tcPr>
          <w:p w14:paraId="402523F0" w14:textId="77777777" w:rsidR="002B32A0" w:rsidRPr="00CE1D7F" w:rsidRDefault="002B32A0" w:rsidP="006258ED">
            <w:pPr>
              <w:pStyle w:val="Tablecolumnheadings"/>
              <w:keepLines/>
            </w:pPr>
            <w:r w:rsidRPr="00CE1D7F">
              <w:t>PD total</w:t>
            </w:r>
          </w:p>
        </w:tc>
        <w:tc>
          <w:tcPr>
            <w:tcW w:w="1115" w:type="pct"/>
            <w:tcBorders>
              <w:top w:val="nil"/>
            </w:tcBorders>
            <w:shd w:val="solid" w:color="140034" w:fill="140034"/>
          </w:tcPr>
          <w:p w14:paraId="6BE07DFC" w14:textId="77777777" w:rsidR="002B32A0" w:rsidRPr="00CE1D7F" w:rsidRDefault="002B32A0" w:rsidP="006258ED">
            <w:pPr>
              <w:pStyle w:val="Tablecolumnheadings"/>
              <w:keepLines/>
            </w:pPr>
            <w:r w:rsidRPr="00CE1D7F">
              <w:t>Indigenous (national &amp; international) within PD cohort</w:t>
            </w:r>
          </w:p>
        </w:tc>
        <w:tc>
          <w:tcPr>
            <w:tcW w:w="1378" w:type="pct"/>
            <w:tcBorders>
              <w:top w:val="nil"/>
            </w:tcBorders>
            <w:shd w:val="solid" w:color="140034" w:fill="140034"/>
          </w:tcPr>
          <w:p w14:paraId="1E4E178C" w14:textId="77777777" w:rsidR="002B32A0" w:rsidRPr="00CE1D7F" w:rsidRDefault="002B32A0" w:rsidP="006258ED">
            <w:pPr>
              <w:pStyle w:val="Tablecolumnheadings"/>
              <w:keepLines/>
            </w:pPr>
            <w:r w:rsidRPr="00CE1D7F">
              <w:t>Countries</w:t>
            </w:r>
          </w:p>
        </w:tc>
      </w:tr>
      <w:tr w:rsidR="002B32A0" w:rsidRPr="00CE1D7F" w14:paraId="414E2A26" w14:textId="77777777" w:rsidTr="000B0AC7">
        <w:tc>
          <w:tcPr>
            <w:tcW w:w="730" w:type="pct"/>
            <w:tcMar>
              <w:left w:w="80" w:type="dxa"/>
            </w:tcMar>
          </w:tcPr>
          <w:p w14:paraId="13A86092" w14:textId="77777777" w:rsidR="002B32A0" w:rsidRPr="00CE1D7F" w:rsidRDefault="002B32A0" w:rsidP="006258ED">
            <w:pPr>
              <w:pStyle w:val="Tabletext"/>
              <w:keepNext/>
              <w:keepLines/>
            </w:pPr>
            <w:r w:rsidRPr="00CE1D7F">
              <w:t>2015 (hosted by NRA)</w:t>
            </w:r>
          </w:p>
        </w:tc>
        <w:tc>
          <w:tcPr>
            <w:tcW w:w="686" w:type="pct"/>
          </w:tcPr>
          <w:p w14:paraId="3D8D71F8" w14:textId="77777777" w:rsidR="002B32A0" w:rsidRPr="00CE1D7F" w:rsidRDefault="002B32A0" w:rsidP="006258ED">
            <w:pPr>
              <w:pStyle w:val="Tabletext"/>
              <w:keepNext/>
              <w:keepLines/>
            </w:pPr>
            <w:r w:rsidRPr="00CE1D7F">
              <w:t>16</w:t>
            </w:r>
          </w:p>
        </w:tc>
        <w:tc>
          <w:tcPr>
            <w:tcW w:w="597" w:type="pct"/>
          </w:tcPr>
          <w:p w14:paraId="765A0205" w14:textId="77777777" w:rsidR="002B32A0" w:rsidRPr="00CE1D7F" w:rsidRDefault="002B32A0" w:rsidP="006258ED">
            <w:pPr>
              <w:pStyle w:val="Tabletext"/>
              <w:keepNext/>
              <w:keepLines/>
            </w:pPr>
            <w:r w:rsidRPr="00CE1D7F">
              <w:t>1</w:t>
            </w:r>
          </w:p>
        </w:tc>
        <w:tc>
          <w:tcPr>
            <w:tcW w:w="495" w:type="pct"/>
          </w:tcPr>
          <w:p w14:paraId="760C6C3B" w14:textId="77777777" w:rsidR="002B32A0" w:rsidRPr="00CE1D7F" w:rsidRDefault="002B32A0" w:rsidP="006258ED">
            <w:pPr>
              <w:pStyle w:val="Tabletext"/>
              <w:keepNext/>
              <w:keepLines/>
            </w:pPr>
            <w:r w:rsidRPr="00CE1D7F">
              <w:t>c.15</w:t>
            </w:r>
          </w:p>
        </w:tc>
        <w:tc>
          <w:tcPr>
            <w:tcW w:w="1115" w:type="pct"/>
          </w:tcPr>
          <w:p w14:paraId="55A0FB5C" w14:textId="77777777" w:rsidR="002B32A0" w:rsidRPr="00CE1D7F" w:rsidRDefault="002B32A0" w:rsidP="006258ED">
            <w:pPr>
              <w:pStyle w:val="Tabletext"/>
              <w:keepNext/>
              <w:keepLines/>
            </w:pPr>
            <w:r w:rsidRPr="00CE1D7F">
              <w:t>c.15</w:t>
            </w:r>
          </w:p>
        </w:tc>
        <w:tc>
          <w:tcPr>
            <w:tcW w:w="1378" w:type="pct"/>
          </w:tcPr>
          <w:p w14:paraId="1BD7CFDE" w14:textId="77777777" w:rsidR="002B32A0" w:rsidRPr="00CE1D7F" w:rsidRDefault="002B32A0" w:rsidP="006258ED">
            <w:pPr>
              <w:pStyle w:val="Tabletext"/>
              <w:keepNext/>
              <w:keepLines/>
            </w:pPr>
          </w:p>
        </w:tc>
      </w:tr>
      <w:tr w:rsidR="002B32A0" w:rsidRPr="00CE1D7F" w14:paraId="34DCE61C" w14:textId="77777777" w:rsidTr="000B0AC7">
        <w:tc>
          <w:tcPr>
            <w:tcW w:w="730" w:type="pct"/>
            <w:tcMar>
              <w:left w:w="80" w:type="dxa"/>
            </w:tcMar>
          </w:tcPr>
          <w:p w14:paraId="6EB3DDFA" w14:textId="77777777" w:rsidR="002B32A0" w:rsidRPr="00CE1D7F" w:rsidRDefault="002B32A0" w:rsidP="006258ED">
            <w:pPr>
              <w:pStyle w:val="Tabletext"/>
              <w:keepNext/>
              <w:keepLines/>
            </w:pPr>
            <w:r w:rsidRPr="00CE1D7F">
              <w:t>2018 (hosted by KALACC)</w:t>
            </w:r>
          </w:p>
        </w:tc>
        <w:tc>
          <w:tcPr>
            <w:tcW w:w="686" w:type="pct"/>
          </w:tcPr>
          <w:p w14:paraId="0557A86D" w14:textId="77777777" w:rsidR="002B32A0" w:rsidRPr="00CE1D7F" w:rsidRDefault="002B32A0" w:rsidP="006258ED">
            <w:pPr>
              <w:pStyle w:val="Tabletext"/>
              <w:keepNext/>
              <w:keepLines/>
            </w:pPr>
            <w:r w:rsidRPr="00CE1D7F">
              <w:t>15</w:t>
            </w:r>
          </w:p>
        </w:tc>
        <w:tc>
          <w:tcPr>
            <w:tcW w:w="597" w:type="pct"/>
          </w:tcPr>
          <w:p w14:paraId="0EE50098" w14:textId="77777777" w:rsidR="002B32A0" w:rsidRPr="00CE1D7F" w:rsidRDefault="002B32A0" w:rsidP="006258ED">
            <w:pPr>
              <w:pStyle w:val="Tabletext"/>
              <w:keepNext/>
              <w:keepLines/>
            </w:pPr>
            <w:r w:rsidRPr="00CE1D7F">
              <w:t>5</w:t>
            </w:r>
          </w:p>
        </w:tc>
        <w:tc>
          <w:tcPr>
            <w:tcW w:w="495" w:type="pct"/>
          </w:tcPr>
          <w:p w14:paraId="02547408" w14:textId="77777777" w:rsidR="002B32A0" w:rsidRPr="00CE1D7F" w:rsidRDefault="002B32A0" w:rsidP="006258ED">
            <w:pPr>
              <w:pStyle w:val="Tabletext"/>
              <w:keepNext/>
              <w:keepLines/>
            </w:pPr>
            <w:r w:rsidRPr="00CE1D7F">
              <w:t>c.10</w:t>
            </w:r>
          </w:p>
        </w:tc>
        <w:tc>
          <w:tcPr>
            <w:tcW w:w="1115" w:type="pct"/>
          </w:tcPr>
          <w:p w14:paraId="7CF3FBD8" w14:textId="77777777" w:rsidR="002B32A0" w:rsidRPr="00CE1D7F" w:rsidRDefault="002B32A0" w:rsidP="006258ED">
            <w:pPr>
              <w:pStyle w:val="Tabletext"/>
              <w:keepNext/>
              <w:keepLines/>
            </w:pPr>
            <w:r w:rsidRPr="00CE1D7F">
              <w:t>c.7</w:t>
            </w:r>
          </w:p>
        </w:tc>
        <w:tc>
          <w:tcPr>
            <w:tcW w:w="1378" w:type="pct"/>
          </w:tcPr>
          <w:p w14:paraId="37117C5E" w14:textId="77777777" w:rsidR="002B32A0" w:rsidRPr="00CE1D7F" w:rsidRDefault="002B32A0" w:rsidP="006258ED">
            <w:pPr>
              <w:pStyle w:val="Tabletext"/>
              <w:keepNext/>
              <w:keepLines/>
            </w:pPr>
            <w:r w:rsidRPr="00CE1D7F">
              <w:t>Australia, Japan</w:t>
            </w:r>
          </w:p>
        </w:tc>
      </w:tr>
      <w:tr w:rsidR="002B32A0" w:rsidRPr="00CE1D7F" w14:paraId="4772AE9D" w14:textId="77777777" w:rsidTr="000B0AC7">
        <w:tc>
          <w:tcPr>
            <w:tcW w:w="730" w:type="pct"/>
            <w:tcMar>
              <w:left w:w="80" w:type="dxa"/>
            </w:tcMar>
          </w:tcPr>
          <w:p w14:paraId="19749059" w14:textId="77777777" w:rsidR="002B32A0" w:rsidRPr="00CE1D7F" w:rsidRDefault="002B32A0" w:rsidP="006258ED">
            <w:pPr>
              <w:pStyle w:val="Tabletext"/>
              <w:keepNext/>
              <w:keepLines/>
            </w:pPr>
            <w:r w:rsidRPr="00CE1D7F">
              <w:t>2019 (hosted by NRA)</w:t>
            </w:r>
          </w:p>
        </w:tc>
        <w:tc>
          <w:tcPr>
            <w:tcW w:w="686" w:type="pct"/>
          </w:tcPr>
          <w:p w14:paraId="27D26772" w14:textId="77777777" w:rsidR="002B32A0" w:rsidRPr="00CE1D7F" w:rsidRDefault="002B32A0" w:rsidP="006258ED">
            <w:pPr>
              <w:pStyle w:val="Tabletext"/>
              <w:keepNext/>
              <w:keepLines/>
            </w:pPr>
            <w:r w:rsidRPr="00CE1D7F">
              <w:t>30</w:t>
            </w:r>
          </w:p>
        </w:tc>
        <w:tc>
          <w:tcPr>
            <w:tcW w:w="597" w:type="pct"/>
          </w:tcPr>
          <w:p w14:paraId="4DD75455" w14:textId="77777777" w:rsidR="002B32A0" w:rsidRPr="00CE1D7F" w:rsidRDefault="002B32A0" w:rsidP="006258ED">
            <w:pPr>
              <w:pStyle w:val="Tabletext"/>
              <w:keepNext/>
              <w:keepLines/>
            </w:pPr>
            <w:r w:rsidRPr="00CE1D7F">
              <w:t>6</w:t>
            </w:r>
          </w:p>
        </w:tc>
        <w:tc>
          <w:tcPr>
            <w:tcW w:w="495" w:type="pct"/>
          </w:tcPr>
          <w:p w14:paraId="58CB2B80" w14:textId="77777777" w:rsidR="002B32A0" w:rsidRPr="00CE1D7F" w:rsidRDefault="002B32A0" w:rsidP="006258ED">
            <w:pPr>
              <w:pStyle w:val="Tabletext"/>
              <w:keepNext/>
              <w:keepLines/>
            </w:pPr>
            <w:r w:rsidRPr="00CE1D7F">
              <w:t>24</w:t>
            </w:r>
          </w:p>
        </w:tc>
        <w:tc>
          <w:tcPr>
            <w:tcW w:w="1115" w:type="pct"/>
          </w:tcPr>
          <w:p w14:paraId="0550B98D" w14:textId="77777777" w:rsidR="002B32A0" w:rsidRPr="00CE1D7F" w:rsidRDefault="002B32A0" w:rsidP="006258ED">
            <w:pPr>
              <w:pStyle w:val="Tabletext"/>
              <w:keepNext/>
              <w:keepLines/>
            </w:pPr>
            <w:r w:rsidRPr="00CE1D7F">
              <w:t>14</w:t>
            </w:r>
          </w:p>
        </w:tc>
        <w:tc>
          <w:tcPr>
            <w:tcW w:w="1378" w:type="pct"/>
          </w:tcPr>
          <w:p w14:paraId="04EB06DB" w14:textId="77777777" w:rsidR="002B32A0" w:rsidRPr="00CE1D7F" w:rsidRDefault="002B32A0" w:rsidP="006258ED">
            <w:pPr>
              <w:pStyle w:val="Tabletext"/>
              <w:keepNext/>
              <w:keepLines/>
            </w:pPr>
            <w:r w:rsidRPr="00CE1D7F">
              <w:t>Australia, Japan, China</w:t>
            </w:r>
          </w:p>
        </w:tc>
      </w:tr>
      <w:tr w:rsidR="002B32A0" w:rsidRPr="00CE1D7F" w14:paraId="47C819E2" w14:textId="77777777" w:rsidTr="000B0AC7">
        <w:tc>
          <w:tcPr>
            <w:tcW w:w="730" w:type="pct"/>
            <w:tcMar>
              <w:left w:w="80" w:type="dxa"/>
            </w:tcMar>
          </w:tcPr>
          <w:p w14:paraId="15A19993" w14:textId="77777777" w:rsidR="002B32A0" w:rsidRPr="00CE1D7F" w:rsidRDefault="002B32A0" w:rsidP="006258ED">
            <w:pPr>
              <w:pStyle w:val="Tabletext"/>
              <w:keepNext/>
              <w:keepLines/>
            </w:pPr>
            <w:r w:rsidRPr="00CE1D7F">
              <w:t>2020 (online)</w:t>
            </w:r>
          </w:p>
        </w:tc>
        <w:tc>
          <w:tcPr>
            <w:tcW w:w="686" w:type="pct"/>
          </w:tcPr>
          <w:p w14:paraId="738D5C63" w14:textId="77777777" w:rsidR="002B32A0" w:rsidRPr="00CE1D7F" w:rsidRDefault="002B32A0" w:rsidP="006258ED">
            <w:pPr>
              <w:pStyle w:val="Tabletext"/>
              <w:keepNext/>
              <w:keepLines/>
            </w:pPr>
            <w:r w:rsidRPr="00CE1D7F">
              <w:t>22</w:t>
            </w:r>
          </w:p>
        </w:tc>
        <w:tc>
          <w:tcPr>
            <w:tcW w:w="597" w:type="pct"/>
          </w:tcPr>
          <w:p w14:paraId="111E46D1" w14:textId="77777777" w:rsidR="002B32A0" w:rsidRPr="00CE1D7F" w:rsidRDefault="002B32A0" w:rsidP="006258ED">
            <w:pPr>
              <w:pStyle w:val="Tabletext"/>
              <w:keepNext/>
              <w:keepLines/>
            </w:pPr>
            <w:r w:rsidRPr="00CE1D7F">
              <w:t>6</w:t>
            </w:r>
          </w:p>
        </w:tc>
        <w:tc>
          <w:tcPr>
            <w:tcW w:w="495" w:type="pct"/>
          </w:tcPr>
          <w:p w14:paraId="518F7559" w14:textId="77777777" w:rsidR="002B32A0" w:rsidRPr="00CE1D7F" w:rsidRDefault="002B32A0" w:rsidP="006258ED">
            <w:pPr>
              <w:pStyle w:val="Tabletext"/>
              <w:keepNext/>
              <w:keepLines/>
            </w:pPr>
            <w:r w:rsidRPr="00CE1D7F">
              <w:t>16</w:t>
            </w:r>
          </w:p>
        </w:tc>
        <w:tc>
          <w:tcPr>
            <w:tcW w:w="1115" w:type="pct"/>
          </w:tcPr>
          <w:p w14:paraId="0795C4BB" w14:textId="77777777" w:rsidR="002B32A0" w:rsidRPr="00CE1D7F" w:rsidRDefault="002B32A0" w:rsidP="006258ED">
            <w:pPr>
              <w:pStyle w:val="Tabletext"/>
              <w:keepNext/>
              <w:keepLines/>
            </w:pPr>
            <w:r w:rsidRPr="00CE1D7F">
              <w:t>10</w:t>
            </w:r>
          </w:p>
        </w:tc>
        <w:tc>
          <w:tcPr>
            <w:tcW w:w="1378" w:type="pct"/>
          </w:tcPr>
          <w:p w14:paraId="17A8F4E8" w14:textId="77777777" w:rsidR="002B32A0" w:rsidRPr="00CE1D7F" w:rsidRDefault="002B32A0" w:rsidP="006258ED">
            <w:pPr>
              <w:pStyle w:val="Tabletext"/>
              <w:keepNext/>
              <w:keepLines/>
            </w:pPr>
            <w:r w:rsidRPr="00CE1D7F">
              <w:t>Australia, Canada, Chile, Japan, China</w:t>
            </w:r>
          </w:p>
        </w:tc>
      </w:tr>
      <w:tr w:rsidR="002B32A0" w:rsidRPr="00CE1D7F" w14:paraId="1C636F3F" w14:textId="77777777" w:rsidTr="000B0AC7">
        <w:tc>
          <w:tcPr>
            <w:tcW w:w="730" w:type="pct"/>
            <w:tcMar>
              <w:left w:w="80" w:type="dxa"/>
            </w:tcMar>
          </w:tcPr>
          <w:p w14:paraId="6295D661" w14:textId="77777777" w:rsidR="002B32A0" w:rsidRPr="00CE1D7F" w:rsidRDefault="002B32A0" w:rsidP="006258ED">
            <w:pPr>
              <w:pStyle w:val="Tabletext"/>
              <w:keepNext/>
              <w:keepLines/>
            </w:pPr>
            <w:r w:rsidRPr="00CE1D7F">
              <w:t>2021 (online)</w:t>
            </w:r>
          </w:p>
        </w:tc>
        <w:tc>
          <w:tcPr>
            <w:tcW w:w="686" w:type="pct"/>
          </w:tcPr>
          <w:p w14:paraId="294E3AEE" w14:textId="77777777" w:rsidR="002B32A0" w:rsidRPr="00CE1D7F" w:rsidRDefault="002B32A0" w:rsidP="006258ED">
            <w:pPr>
              <w:pStyle w:val="Tabletext"/>
              <w:keepNext/>
              <w:keepLines/>
            </w:pPr>
            <w:r w:rsidRPr="00CE1D7F">
              <w:t>25</w:t>
            </w:r>
          </w:p>
        </w:tc>
        <w:tc>
          <w:tcPr>
            <w:tcW w:w="597" w:type="pct"/>
          </w:tcPr>
          <w:p w14:paraId="39378152" w14:textId="77777777" w:rsidR="002B32A0" w:rsidRPr="00CE1D7F" w:rsidRDefault="002B32A0" w:rsidP="006258ED">
            <w:pPr>
              <w:pStyle w:val="Tabletext"/>
              <w:keepNext/>
              <w:keepLines/>
            </w:pPr>
            <w:r w:rsidRPr="00CE1D7F">
              <w:t>6</w:t>
            </w:r>
          </w:p>
        </w:tc>
        <w:tc>
          <w:tcPr>
            <w:tcW w:w="495" w:type="pct"/>
          </w:tcPr>
          <w:p w14:paraId="2168FDDC" w14:textId="77777777" w:rsidR="002B32A0" w:rsidRPr="00CE1D7F" w:rsidRDefault="002B32A0" w:rsidP="006258ED">
            <w:pPr>
              <w:pStyle w:val="Tabletext"/>
              <w:keepNext/>
              <w:keepLines/>
            </w:pPr>
            <w:r w:rsidRPr="00CE1D7F">
              <w:t>19</w:t>
            </w:r>
          </w:p>
        </w:tc>
        <w:tc>
          <w:tcPr>
            <w:tcW w:w="1115" w:type="pct"/>
          </w:tcPr>
          <w:p w14:paraId="53DF96F2" w14:textId="77777777" w:rsidR="002B32A0" w:rsidRPr="00CE1D7F" w:rsidRDefault="002B32A0" w:rsidP="006258ED">
            <w:pPr>
              <w:pStyle w:val="Tabletext"/>
              <w:keepNext/>
              <w:keepLines/>
            </w:pPr>
            <w:r w:rsidRPr="00CE1D7F">
              <w:t>6</w:t>
            </w:r>
          </w:p>
        </w:tc>
        <w:tc>
          <w:tcPr>
            <w:tcW w:w="1378" w:type="pct"/>
          </w:tcPr>
          <w:p w14:paraId="43AE9A54" w14:textId="77777777" w:rsidR="002B32A0" w:rsidRPr="00CE1D7F" w:rsidRDefault="002B32A0" w:rsidP="006258ED">
            <w:pPr>
              <w:pStyle w:val="Tabletext"/>
              <w:keepNext/>
              <w:keepLines/>
            </w:pPr>
            <w:r w:rsidRPr="00CE1D7F">
              <w:t>Australia, Nigeria, India, USA, New Zealand, UK, China, Taiwan</w:t>
            </w:r>
          </w:p>
        </w:tc>
      </w:tr>
      <w:tr w:rsidR="002B32A0" w:rsidRPr="00CE1D7F" w14:paraId="087982A6" w14:textId="77777777" w:rsidTr="000B0AC7">
        <w:tc>
          <w:tcPr>
            <w:tcW w:w="730" w:type="pct"/>
            <w:tcMar>
              <w:left w:w="80" w:type="dxa"/>
            </w:tcMar>
          </w:tcPr>
          <w:p w14:paraId="2DAF787D" w14:textId="77777777" w:rsidR="002B32A0" w:rsidRPr="00CE1D7F" w:rsidRDefault="002B32A0" w:rsidP="006258ED">
            <w:pPr>
              <w:pStyle w:val="Tabletext"/>
              <w:keepNext/>
              <w:keepLines/>
            </w:pPr>
            <w:r w:rsidRPr="00CE1D7F">
              <w:t>2022 (online)</w:t>
            </w:r>
          </w:p>
        </w:tc>
        <w:tc>
          <w:tcPr>
            <w:tcW w:w="686" w:type="pct"/>
          </w:tcPr>
          <w:p w14:paraId="3FAE1A84" w14:textId="77777777" w:rsidR="002B32A0" w:rsidRPr="00CE1D7F" w:rsidRDefault="002B32A0" w:rsidP="006258ED">
            <w:pPr>
              <w:pStyle w:val="Tabletext"/>
              <w:keepNext/>
              <w:keepLines/>
            </w:pPr>
            <w:r w:rsidRPr="00CE1D7F">
              <w:t>32</w:t>
            </w:r>
          </w:p>
        </w:tc>
        <w:tc>
          <w:tcPr>
            <w:tcW w:w="597" w:type="pct"/>
          </w:tcPr>
          <w:p w14:paraId="153C2242" w14:textId="77777777" w:rsidR="002B32A0" w:rsidRPr="00CE1D7F" w:rsidRDefault="002B32A0" w:rsidP="006258ED">
            <w:pPr>
              <w:pStyle w:val="Tabletext"/>
              <w:keepNext/>
              <w:keepLines/>
            </w:pPr>
            <w:r w:rsidRPr="00CE1D7F">
              <w:t>8</w:t>
            </w:r>
          </w:p>
        </w:tc>
        <w:tc>
          <w:tcPr>
            <w:tcW w:w="495" w:type="pct"/>
          </w:tcPr>
          <w:p w14:paraId="3EFAEB75" w14:textId="77777777" w:rsidR="002B32A0" w:rsidRPr="00CE1D7F" w:rsidRDefault="002B32A0" w:rsidP="006258ED">
            <w:pPr>
              <w:pStyle w:val="Tabletext"/>
              <w:keepNext/>
              <w:keepLines/>
            </w:pPr>
            <w:r w:rsidRPr="00CE1D7F">
              <w:t>24</w:t>
            </w:r>
          </w:p>
        </w:tc>
        <w:tc>
          <w:tcPr>
            <w:tcW w:w="1115" w:type="pct"/>
          </w:tcPr>
          <w:p w14:paraId="3B27CB29" w14:textId="77777777" w:rsidR="002B32A0" w:rsidRPr="00CE1D7F" w:rsidRDefault="002B32A0" w:rsidP="006258ED">
            <w:pPr>
              <w:pStyle w:val="Tabletext"/>
              <w:keepNext/>
              <w:keepLines/>
            </w:pPr>
            <w:r w:rsidRPr="00CE1D7F">
              <w:t>13</w:t>
            </w:r>
          </w:p>
        </w:tc>
        <w:tc>
          <w:tcPr>
            <w:tcW w:w="1378" w:type="pct"/>
          </w:tcPr>
          <w:p w14:paraId="00A9ADB4" w14:textId="77777777" w:rsidR="002B32A0" w:rsidRPr="00CE1D7F" w:rsidRDefault="002B32A0" w:rsidP="006258ED">
            <w:pPr>
              <w:pStyle w:val="Tabletext"/>
              <w:keepNext/>
              <w:keepLines/>
            </w:pPr>
            <w:r w:rsidRPr="00CE1D7F">
              <w:t>Argentina, Australia, Canada, Switzerland, Chile, Ireland, New Zealand, Germany, USA, Uruguay, Saudi Arabia</w:t>
            </w:r>
          </w:p>
        </w:tc>
      </w:tr>
      <w:tr w:rsidR="000B0AC7" w:rsidRPr="00CE1D7F" w14:paraId="539C111E" w14:textId="77777777" w:rsidTr="000B0AC7">
        <w:tc>
          <w:tcPr>
            <w:tcW w:w="730" w:type="pct"/>
            <w:tcMar>
              <w:left w:w="80" w:type="dxa"/>
            </w:tcMar>
          </w:tcPr>
          <w:p w14:paraId="3895CCE2" w14:textId="77777777" w:rsidR="002B32A0" w:rsidRPr="00CE1D7F" w:rsidRDefault="002B32A0" w:rsidP="006258ED">
            <w:pPr>
              <w:pStyle w:val="Tabletext"/>
              <w:keepNext/>
              <w:keepLines/>
              <w:rPr>
                <w:b/>
                <w:bCs/>
              </w:rPr>
            </w:pPr>
            <w:r w:rsidRPr="00CE1D7F">
              <w:rPr>
                <w:b/>
                <w:bCs/>
              </w:rPr>
              <w:t>Total</w:t>
            </w:r>
          </w:p>
        </w:tc>
        <w:tc>
          <w:tcPr>
            <w:tcW w:w="686" w:type="pct"/>
          </w:tcPr>
          <w:p w14:paraId="65E1D061" w14:textId="77777777" w:rsidR="002B32A0" w:rsidRPr="00CE1D7F" w:rsidRDefault="002B32A0" w:rsidP="006258ED">
            <w:pPr>
              <w:pStyle w:val="Tabletext"/>
              <w:keepNext/>
              <w:keepLines/>
              <w:rPr>
                <w:b/>
                <w:bCs/>
              </w:rPr>
            </w:pPr>
            <w:r w:rsidRPr="00CE1D7F">
              <w:rPr>
                <w:b/>
                <w:bCs/>
              </w:rPr>
              <w:t>c.140</w:t>
            </w:r>
          </w:p>
        </w:tc>
        <w:tc>
          <w:tcPr>
            <w:tcW w:w="597" w:type="pct"/>
          </w:tcPr>
          <w:p w14:paraId="23040C55" w14:textId="77777777" w:rsidR="002B32A0" w:rsidRPr="00CE1D7F" w:rsidRDefault="002B32A0" w:rsidP="006258ED">
            <w:pPr>
              <w:pStyle w:val="Tabletext"/>
              <w:keepNext/>
              <w:keepLines/>
              <w:rPr>
                <w:b/>
                <w:bCs/>
              </w:rPr>
            </w:pPr>
            <w:r w:rsidRPr="00CE1D7F">
              <w:rPr>
                <w:b/>
                <w:bCs/>
              </w:rPr>
              <w:t>32</w:t>
            </w:r>
          </w:p>
        </w:tc>
        <w:tc>
          <w:tcPr>
            <w:tcW w:w="495" w:type="pct"/>
          </w:tcPr>
          <w:p w14:paraId="6D59CC5A" w14:textId="77777777" w:rsidR="002B32A0" w:rsidRPr="00CE1D7F" w:rsidRDefault="002B32A0" w:rsidP="006258ED">
            <w:pPr>
              <w:pStyle w:val="Tabletext"/>
              <w:keepNext/>
              <w:keepLines/>
              <w:rPr>
                <w:b/>
                <w:bCs/>
              </w:rPr>
            </w:pPr>
            <w:r w:rsidRPr="00CE1D7F">
              <w:rPr>
                <w:b/>
                <w:bCs/>
              </w:rPr>
              <w:t>c.108</w:t>
            </w:r>
          </w:p>
        </w:tc>
        <w:tc>
          <w:tcPr>
            <w:tcW w:w="1115" w:type="pct"/>
          </w:tcPr>
          <w:p w14:paraId="290190BB" w14:textId="77777777" w:rsidR="002B32A0" w:rsidRPr="00CE1D7F" w:rsidRDefault="002B32A0" w:rsidP="006258ED">
            <w:pPr>
              <w:pStyle w:val="Tabletext"/>
              <w:keepNext/>
              <w:keepLines/>
              <w:rPr>
                <w:b/>
                <w:bCs/>
              </w:rPr>
            </w:pPr>
            <w:r w:rsidRPr="00CE1D7F">
              <w:rPr>
                <w:b/>
                <w:bCs/>
              </w:rPr>
              <w:t>65</w:t>
            </w:r>
          </w:p>
        </w:tc>
        <w:tc>
          <w:tcPr>
            <w:tcW w:w="1378" w:type="pct"/>
          </w:tcPr>
          <w:p w14:paraId="3C1A2F79" w14:textId="77777777" w:rsidR="002B32A0" w:rsidRPr="00CE1D7F" w:rsidRDefault="002B32A0" w:rsidP="006258ED">
            <w:pPr>
              <w:pStyle w:val="Tabletext"/>
              <w:keepNext/>
              <w:keepLines/>
              <w:rPr>
                <w:b/>
                <w:bCs/>
              </w:rPr>
            </w:pPr>
            <w:r w:rsidRPr="00CE1D7F">
              <w:rPr>
                <w:b/>
                <w:bCs/>
              </w:rPr>
              <w:t xml:space="preserve">17 countries </w:t>
            </w:r>
          </w:p>
        </w:tc>
      </w:tr>
    </w:tbl>
    <w:p w14:paraId="07A2E655" w14:textId="77777777" w:rsidR="000B0AC7" w:rsidRPr="00CE1D7F" w:rsidRDefault="000B0AC7" w:rsidP="000B0AC7">
      <w:pPr>
        <w:pStyle w:val="Source"/>
        <w:keepLines/>
        <w:ind w:left="-58"/>
      </w:pPr>
      <w:r w:rsidRPr="00CE1D7F">
        <w:t>Source: Prof Cressida Fforde</w:t>
      </w:r>
    </w:p>
    <w:p w14:paraId="0F6B0481" w14:textId="77777777" w:rsidR="000B0AC7" w:rsidRPr="00CE1D7F" w:rsidRDefault="000B0AC7" w:rsidP="000B0AC7">
      <w:pPr>
        <w:pStyle w:val="spacer"/>
        <w:ind w:left="-58"/>
      </w:pPr>
    </w:p>
    <w:p w14:paraId="7EBD91F6" w14:textId="77777777" w:rsidR="002B32A0" w:rsidRPr="00CE1D7F" w:rsidRDefault="002B32A0" w:rsidP="002B32A0">
      <w:pPr>
        <w:pStyle w:val="Heading3"/>
      </w:pPr>
      <w:r w:rsidRPr="00CE1D7F">
        <w:t>Other impacts</w:t>
      </w:r>
    </w:p>
    <w:p w14:paraId="49957EF5" w14:textId="77777777" w:rsidR="002B32A0" w:rsidRPr="00CE1D7F" w:rsidRDefault="002B32A0" w:rsidP="002B32A0">
      <w:pPr>
        <w:pStyle w:val="Heading4nonumber"/>
      </w:pPr>
      <w:r w:rsidRPr="00CE1D7F">
        <w:t>Advice</w:t>
      </w:r>
    </w:p>
    <w:p w14:paraId="073448C3" w14:textId="77777777" w:rsidR="002B32A0" w:rsidRPr="00CE1D7F" w:rsidRDefault="002B32A0" w:rsidP="002B32A0">
      <w:pPr>
        <w:pStyle w:val="BodyText"/>
      </w:pPr>
      <w:r w:rsidRPr="00CE1D7F">
        <w:t xml:space="preserve">The RRR team regularly provides advice to institutions, community organisations, and governments which includes information that has resulted from the work of the collective over the past 10 years. Examples include: the Indigenous Repatriation unit within Commonwealth Government’s Office of the Arts (OFTA) has consulted with RRR in relation to at least 6 institutions from who international repatriations have occurred or are part of ongoing discussions. The RRR Archive was used to produce information within a 24-hr turnaround that assisted the repatriation of a Native Hawaiian ancestor. Details of relevant resources within the RRR Archive has been provided to Indigenous organisations in Australia, South America and Africa. Austrian and German museums have benefitted from advice provided by RRR members, including into the review of German repatriation guidelines. Members of the RRR team are also founding members of a German repatriation provenancing network. </w:t>
      </w:r>
    </w:p>
    <w:p w14:paraId="7BD80673" w14:textId="77777777" w:rsidR="002B32A0" w:rsidRPr="00CE1D7F" w:rsidRDefault="002B32A0" w:rsidP="002B32A0">
      <w:pPr>
        <w:pStyle w:val="Heading4nonumber"/>
      </w:pPr>
      <w:r w:rsidRPr="00CE1D7F">
        <w:t>Halting the online sale of remains</w:t>
      </w:r>
    </w:p>
    <w:p w14:paraId="297C7106" w14:textId="77777777" w:rsidR="002B32A0" w:rsidRPr="00CE1D7F" w:rsidRDefault="002B32A0" w:rsidP="002B32A0">
      <w:r w:rsidRPr="00CE1D7F">
        <w:t>In May 2020, RRR Partner Investigator C. Timothy McKeown learned that a skull from the Torres Straits was being advertised for sale on eBay by a British Columbia, Canada seller. The skull was advertised as a Melanesian Torres Straits Islander Chief’s Ritual Skull from the 19th Century, with an asking price of US$17,500. McKeown contacted Catherine Bell, a law professor at the University of Calgary, to determine whether the sale violated Canadian law. Bell submitted a report to the Royal Canadian Mounted Police (RCMP), alleging that the sale violated several Canadian laws, including s.182(b) of the Canadian criminal code – improper or indecent interference or indignity to human remains – as well as Memorandum D19-9-3 importation and shipment of human body parts and organs. Bell provided the RCMP with an explanation of why the sale violated Canadian law and also provided a biography and contact information for Ned David, chairperson of the Gur a Baradharaw Kod Torres Strait Sea and Land Council. Ned David sent the RCMP a statement on the gross indignity associated with the sale of the remains of one of his ancestors, who made the statement below.</w:t>
      </w:r>
    </w:p>
    <w:p w14:paraId="2608C7C7" w14:textId="77777777" w:rsidR="002B32A0" w:rsidRPr="00CE1D7F" w:rsidRDefault="002B32A0" w:rsidP="002B32A0">
      <w:pPr>
        <w:pStyle w:val="Quote"/>
      </w:pPr>
      <w:r w:rsidRPr="00CE1D7F">
        <w:t>“The indignity is twofold: the first is the desecration of the ancestors themselves. These individuals were highly respected in life. To have their remains treated in this way – as just a thing to be bought and sold – is just appalling. The second is the violation of dignity experienced by Torres Strait Islander people and our culture when our ancestors are treated in this way. It is demeaning in the extreme to have one’s ancestors treated as commodities for financial gain.” – Ned David, chairperson of the Gur a Baradharaw Kod Torres Strait Sea and Land Council</w:t>
      </w:r>
    </w:p>
    <w:p w14:paraId="39E4D38B" w14:textId="77777777" w:rsidR="002B32A0" w:rsidRPr="00CE1D7F" w:rsidRDefault="002B32A0" w:rsidP="002B32A0">
      <w:r w:rsidRPr="00CE1D7F">
        <w:t>The RCMP forwarded the matter to the Crown Prosecutor, and the seller removed the listing when questioned.</w:t>
      </w:r>
    </w:p>
    <w:p w14:paraId="1A944275" w14:textId="77777777" w:rsidR="002B32A0" w:rsidRPr="00CE1D7F" w:rsidRDefault="002B32A0" w:rsidP="002B32A0">
      <w:r w:rsidRPr="00CE1D7F">
        <w:t>This case highlights the impact and reach of the global RRR network.</w:t>
      </w:r>
    </w:p>
    <w:p w14:paraId="44C63681" w14:textId="77777777" w:rsidR="002B32A0" w:rsidRPr="00CE1D7F" w:rsidRDefault="002B32A0" w:rsidP="002B32A0">
      <w:pPr>
        <w:pStyle w:val="Heading4nonumber"/>
      </w:pPr>
      <w:r w:rsidRPr="00CE1D7F">
        <w:t xml:space="preserve">Impact on </w:t>
      </w:r>
      <w:bookmarkStart w:id="640" w:name="_Hlk128489939"/>
      <w:r w:rsidRPr="00CE1D7F">
        <w:t>the Ngarrindjeri people</w:t>
      </w:r>
      <w:bookmarkEnd w:id="640"/>
    </w:p>
    <w:p w14:paraId="0325CEF4" w14:textId="77777777" w:rsidR="002B32A0" w:rsidRPr="00CE1D7F" w:rsidRDefault="002B32A0" w:rsidP="002B32A0">
      <w:pPr>
        <w:pStyle w:val="BodyText"/>
      </w:pPr>
      <w:r w:rsidRPr="00CE1D7F">
        <w:t xml:space="preserve">Information collected for this case study suggests that the RRR Archive has been particularly impactful for Ngarrindjeri people. Ngarrindjeri care for their repatriated ancestors in their Keeping Place before reburial. Before the RRR Archive, no centralised resource was available to tell them about their ancestors in the Keeping Place or in domestic and international museums. Such a lack of information seriously impacted Ngarrindjeri ability to make informed decisions about caring for their ancestors and planning for their final interment. Other than the funding distributed to the NRA through the RRR project, there has been no significant funding to support repatriation for the Ngarrindjeri. Through collaboration and audit of the Keeping Place, information on each ancestor has been collected and placed in the NRA’s private </w:t>
      </w:r>
      <w:r>
        <w:t>section </w:t>
      </w:r>
      <w:r w:rsidRPr="00CE1D7F">
        <w:t xml:space="preserve">of the Archive, called the ‘NRA Community Partner Extension’. </w:t>
      </w:r>
    </w:p>
    <w:p w14:paraId="5C81232E" w14:textId="77777777" w:rsidR="002B32A0" w:rsidRPr="00CE1D7F" w:rsidRDefault="002B32A0" w:rsidP="002B32A0">
      <w:pPr>
        <w:pStyle w:val="BodyText"/>
      </w:pPr>
      <w:r w:rsidRPr="00CE1D7F">
        <w:t xml:space="preserve">The Ngarrindjeri now have access to a secure Digital Archive that contains a breadth of information about their ancestors, including reports, images, publications, interviews, film, media, contracts and other forms of information. This information can be searched, sorted and filtered in ways useful for Ngarrindjeri repatriation work and reburial planning. The private area of the Archive also holds information about processes undertaken in past reburials, including photos of past reburials, previous planning documents, and records of conversations with state authorities and museums. This information can serve as a guide for the NRA in repatriating their ancestors. </w:t>
      </w:r>
    </w:p>
    <w:p w14:paraId="612F92EC" w14:textId="77777777" w:rsidR="002B32A0" w:rsidRPr="00CE1D7F" w:rsidRDefault="002B32A0" w:rsidP="002B32A0">
      <w:pPr>
        <w:pStyle w:val="BodyText"/>
      </w:pPr>
      <w:r w:rsidRPr="00CE1D7F">
        <w:t xml:space="preserve">The NRA Community Partner Extension contains information about at least 1,656 Ngarrindjeri Old People. Ngarrindjeri cares for at least 381 in their Keeping Place, and the rest are housed in domestic and international institutions. These Old People have been repatriated from 4 domestic and 4 international institutions, with some additional Old People handed in by the public. </w:t>
      </w:r>
    </w:p>
    <w:p w14:paraId="79245833" w14:textId="77777777" w:rsidR="002B32A0" w:rsidRPr="00CE1D7F" w:rsidRDefault="002B32A0" w:rsidP="002B32A0">
      <w:pPr>
        <w:pStyle w:val="Heading4nonumber"/>
      </w:pPr>
      <w:r w:rsidRPr="00CE1D7F">
        <w:t>Impact on the Kimberley Aboriginal Law and Culture Centre (KALACC)</w:t>
      </w:r>
    </w:p>
    <w:p w14:paraId="02588F06" w14:textId="77777777" w:rsidR="002B32A0" w:rsidRPr="00CE1D7F" w:rsidRDefault="002B32A0" w:rsidP="002B32A0">
      <w:pPr>
        <w:pStyle w:val="BodyText"/>
      </w:pPr>
      <w:r w:rsidRPr="00CE1D7F">
        <w:t>KALACC have a Keeping Place to care for repatriated Old People awaiting final interment, much like the Ngarrindjeri. Unlike the NRA who represent one Indigenous nation (Ngarrindjeri), KALACC represents 30 different language groups and is responsible for supporting the cultural practices and repatriation of each. Despite these significant responsibilities, KALACC had only one repatriation officer. This officer retired in 2022 and there has been no funding to support a replacement position. As with NRA and GBK, KALACC was a community partner on the 2013 Linkage grant and the 2017 LIEF. Funding, supported by the ARC, has enabled on the ground community consultations and repatriation work through engagement with RRR projects and information complied through RRR collaboration.</w:t>
      </w:r>
    </w:p>
    <w:p w14:paraId="1A737B46" w14:textId="77777777" w:rsidR="002B32A0" w:rsidRPr="00CE1D7F" w:rsidRDefault="002B32A0" w:rsidP="004F3CAB">
      <w:pPr>
        <w:pStyle w:val="BodyText"/>
        <w:keepNext/>
        <w:keepLines/>
      </w:pPr>
      <w:r w:rsidRPr="00CE1D7F">
        <w:t>Prior to collaboration with RRR, KALACC had only limited and paper-based information about the ancestral remains in its care. There was also very limited information related to ancestors from the Kimberley that were to Australian institutions or internationally. In recognition of this, an audit of the KALACC Keeping Place was undertaken by the RRR team to compile and effectively Archive all available information about each ancestor, which was then augmented by RRR provenance research.</w:t>
      </w:r>
    </w:p>
    <w:p w14:paraId="5B4CF8B5" w14:textId="77777777" w:rsidR="002B32A0" w:rsidRPr="00CE1D7F" w:rsidRDefault="002B32A0" w:rsidP="002B32A0">
      <w:pPr>
        <w:pStyle w:val="BodyText"/>
      </w:pPr>
      <w:r w:rsidRPr="00CE1D7F">
        <w:t>RRR has gathered a significant amount of information additional to that already held by KALACC for the majority of over 70 ancestral remains housed in its Keeping Place prior to the start of the RRR collaboration and located information for an additional 114 ancestors from the Kimberley that are known to have been sent to domestic or overseas institutions. This includes 6 detailed reports for ancestral remains repatriated from 4 domestic and 2 international institutions and one detailed report about ancestral remains still present in an overseas institution. By aggregating the information in these reports, it is evident that for a total of 29 ancestors in the KALACC Keeping Place, detailed archival research from RRR has increased the information available to KALACC in 27 of these cases. Since collaboration between RRR and KALACC initiated in 2013, all community repatriation consultations have made use of information located or consolidated through the RRR initiative.</w:t>
      </w:r>
    </w:p>
    <w:p w14:paraId="32EE2526" w14:textId="33A1787D" w:rsidR="002B32A0" w:rsidRPr="00CE1D7F" w:rsidRDefault="002B32A0" w:rsidP="002B32A0">
      <w:pPr>
        <w:pStyle w:val="BodyText"/>
      </w:pPr>
      <w:r w:rsidRPr="00CE1D7F">
        <w:t>A notable example of the impact of the RRR and KALACC collaboration was in the repatriation of remains from Vienna, Austria. In this example, KALACC had received information relating to Bardi Jawi ancestors held in a museum in Vienna. However, it was not known which individual related to which piece of information. RRR research was critical in the identification of the correct connection. This information was provided in a detailed provenance report to KALACC and it was used as part of community consultations by the KALACC repatriation officer, leading to the reburial of the 2 individuals on Country in 2015 (</w:t>
      </w:r>
      <w:r w:rsidRPr="00F87D0E">
        <w:fldChar w:fldCharType="begin"/>
      </w:r>
      <w:r w:rsidRPr="00F87D0E">
        <w:instrText xml:space="preserve"> REF _Ref129347979 \h  \* MERGEFORMAT </w:instrText>
      </w:r>
      <w:r w:rsidRPr="00F87D0E">
        <w:fldChar w:fldCharType="separate"/>
      </w:r>
      <w:r w:rsidR="000B0AC7" w:rsidRPr="000B0AC7">
        <w:t>Figure 13.5</w:t>
      </w:r>
      <w:r w:rsidRPr="00F87D0E">
        <w:fldChar w:fldCharType="end"/>
      </w:r>
      <w:r w:rsidRPr="00CE1D7F">
        <w:t>).</w:t>
      </w:r>
    </w:p>
    <w:p w14:paraId="45719D69" w14:textId="762CCF6B" w:rsidR="000B0AC7" w:rsidRPr="00CE1D7F" w:rsidRDefault="000B0AC7" w:rsidP="000B0AC7">
      <w:pPr>
        <w:pStyle w:val="Caption"/>
        <w:ind w:left="1308" w:hanging="1308"/>
      </w:pPr>
      <w:bookmarkStart w:id="641" w:name="_Ref129347979"/>
      <w:r w:rsidRPr="00CE1D7F">
        <w:rPr>
          <w:rStyle w:val="CaptionLabel"/>
        </w:rPr>
        <w:t>Figure </w:t>
      </w:r>
      <w:r w:rsidRPr="00CE1D7F">
        <w:rPr>
          <w:rStyle w:val="CaptionLabel"/>
        </w:rPr>
        <w:fldChar w:fldCharType="begin"/>
      </w:r>
      <w:r w:rsidRPr="00CE1D7F">
        <w:rPr>
          <w:rStyle w:val="CaptionLabel"/>
        </w:rPr>
        <w:instrText xml:space="preserve"> STYLEREF 1 \S \* MERGEFORMAT </w:instrText>
      </w:r>
      <w:r w:rsidRPr="00CE1D7F">
        <w:rPr>
          <w:rStyle w:val="CaptionLabel"/>
        </w:rPr>
        <w:fldChar w:fldCharType="separate"/>
      </w:r>
      <w:r>
        <w:rPr>
          <w:rStyle w:val="CaptionLabel"/>
          <w:noProof/>
        </w:rPr>
        <w:t>13</w:t>
      </w:r>
      <w:r w:rsidRPr="00CE1D7F">
        <w:rPr>
          <w:rStyle w:val="CaptionLabel"/>
        </w:rPr>
        <w:fldChar w:fldCharType="end"/>
      </w:r>
      <w:r w:rsidRPr="00CE1D7F">
        <w:rPr>
          <w:rStyle w:val="CaptionLabel"/>
        </w:rPr>
        <w:t>.</w:t>
      </w:r>
      <w:r w:rsidRPr="00CE1D7F">
        <w:rPr>
          <w:rStyle w:val="CaptionLabel"/>
        </w:rPr>
        <w:fldChar w:fldCharType="begin"/>
      </w:r>
      <w:r w:rsidRPr="00CE1D7F">
        <w:rPr>
          <w:rStyle w:val="CaptionLabel"/>
        </w:rPr>
        <w:instrText xml:space="preserve"> SEQ Figure \* ARABIC \S 1 \* MERGEFORMAT </w:instrText>
      </w:r>
      <w:r w:rsidRPr="00CE1D7F">
        <w:rPr>
          <w:rStyle w:val="CaptionLabel"/>
        </w:rPr>
        <w:fldChar w:fldCharType="separate"/>
      </w:r>
      <w:r>
        <w:rPr>
          <w:rStyle w:val="CaptionLabel"/>
          <w:noProof/>
        </w:rPr>
        <w:t>5</w:t>
      </w:r>
      <w:r w:rsidRPr="00CE1D7F">
        <w:rPr>
          <w:rStyle w:val="CaptionLabel"/>
        </w:rPr>
        <w:fldChar w:fldCharType="end"/>
      </w:r>
      <w:bookmarkEnd w:id="641"/>
      <w:r w:rsidRPr="00CE1D7F">
        <w:tab/>
        <w:t>Bardi Jawi repatriation on-Country, One Arm Point, Western Australia (2015)</w:t>
      </w:r>
    </w:p>
    <w:tbl>
      <w:tblPr>
        <w:tblStyle w:val="aacTableFigure"/>
        <w:tblW w:w="7927" w:type="dxa"/>
        <w:tblBorders>
          <w:top w:val="single" w:sz="4" w:space="0" w:color="000000"/>
          <w:bottom w:val="single" w:sz="4" w:space="0" w:color="000000"/>
        </w:tblBorders>
        <w:tblLayout w:type="fixed"/>
        <w:tblLook w:val="04A0" w:firstRow="1" w:lastRow="0" w:firstColumn="1" w:lastColumn="0" w:noHBand="0" w:noVBand="1"/>
      </w:tblPr>
      <w:tblGrid>
        <w:gridCol w:w="7927"/>
      </w:tblGrid>
      <w:tr w:rsidR="002B32A0" w:rsidRPr="00CE1D7F" w14:paraId="7EC626D6" w14:textId="77777777" w:rsidTr="000B0AC7">
        <w:trPr>
          <w:trHeight w:val="3405"/>
        </w:trPr>
        <w:tc>
          <w:tcPr>
            <w:tcW w:w="7927" w:type="dxa"/>
            <w:shd w:val="clear" w:color="auto" w:fill="auto"/>
          </w:tcPr>
          <w:p w14:paraId="4FA818A4" w14:textId="77777777" w:rsidR="002B32A0" w:rsidRPr="00CE1D7F" w:rsidRDefault="002B32A0" w:rsidP="006258ED">
            <w:pPr>
              <w:pStyle w:val="Figure"/>
            </w:pPr>
            <w:r w:rsidRPr="00CE1D7F">
              <w:rPr>
                <w:noProof/>
              </w:rPr>
              <w:drawing>
                <wp:inline distT="0" distB="0" distL="0" distR="0" wp14:anchorId="5E716E7D" wp14:editId="6F8E81B7">
                  <wp:extent cx="5007574" cy="3286125"/>
                  <wp:effectExtent l="0" t="0" r="3175" b="0"/>
                  <wp:docPr id="700" name="Picture 700" descr="Bardi Jawi repatriation on-Country, One Arm Point, Western Australia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 name="Picture 700" descr="Bardi Jawi repatriation on-Country, One Arm Point, Western Australia (2015)"/>
                          <pic:cNvPicPr/>
                        </pic:nvPicPr>
                        <pic:blipFill>
                          <a:blip r:embed="rId241"/>
                          <a:stretch>
                            <a:fillRect/>
                          </a:stretch>
                        </pic:blipFill>
                        <pic:spPr>
                          <a:xfrm>
                            <a:off x="0" y="0"/>
                            <a:ext cx="5007574" cy="3286125"/>
                          </a:xfrm>
                          <a:prstGeom prst="rect">
                            <a:avLst/>
                          </a:prstGeom>
                        </pic:spPr>
                      </pic:pic>
                    </a:graphicData>
                  </a:graphic>
                </wp:inline>
              </w:drawing>
            </w:r>
          </w:p>
        </w:tc>
      </w:tr>
    </w:tbl>
    <w:p w14:paraId="0509DE3E" w14:textId="77777777" w:rsidR="000B0AC7" w:rsidRPr="00CE1D7F" w:rsidRDefault="000B0AC7" w:rsidP="000B0AC7">
      <w:pPr>
        <w:pStyle w:val="Source"/>
        <w:ind w:left="1308" w:hanging="1308"/>
      </w:pPr>
      <w:r w:rsidRPr="00CE1D7F">
        <w:t>Source: Pickering, M (2020). A repatriation handbook: a guide to repatriating Australian Aboriginal and Torres Strait Islander Ancestral Remains</w:t>
      </w:r>
    </w:p>
    <w:p w14:paraId="669FA9B1" w14:textId="77777777" w:rsidR="000B0AC7" w:rsidRPr="00CE1D7F" w:rsidRDefault="000B0AC7" w:rsidP="006258ED">
      <w:pPr>
        <w:pStyle w:val="spacer"/>
      </w:pPr>
    </w:p>
    <w:p w14:paraId="3AE4747D" w14:textId="77777777" w:rsidR="002B32A0" w:rsidRPr="00CE1D7F" w:rsidRDefault="002B32A0" w:rsidP="002B32A0">
      <w:pPr>
        <w:pStyle w:val="Heading4nonumber"/>
      </w:pPr>
      <w:r w:rsidRPr="00CE1D7F">
        <w:t>Impact on the Gur a Baradharaw Kod Torres Strait Sea and Land Council (GBK)</w:t>
      </w:r>
    </w:p>
    <w:p w14:paraId="6955B9FF" w14:textId="77777777" w:rsidR="002B32A0" w:rsidRPr="00CE1D7F" w:rsidRDefault="002B32A0" w:rsidP="002B32A0">
      <w:pPr>
        <w:pStyle w:val="BodyText"/>
      </w:pPr>
      <w:r w:rsidRPr="00CE1D7F">
        <w:t xml:space="preserve">Alongside KALACC and the NRA, the Gur a Baradharaw Kod Torres Strait Sea and Land Council (GBK) is a founding community partner in the RRR initiative. The Digital Archive contains a dedicated GBK Community Partner Extension, with information organised with the same functionality, governance and security as the NRA and KALACC Partner Extensions. However, the GBK does not yet have a Keeping Place. Consultations across the Torres Strait decided that the initial focus should be on persuading museums to repatriate ancestral remains to Australia, whereby second round consultations would occur to organise the return to Country to the Torres Strait. The RRR initiative will support this process as it occurs. GBK has amassed information about Torres Strait ancestral remains in domestic museums and institutions, while RRR has brought the information together, synthesising and organising it in a manageable manner. </w:t>
      </w:r>
    </w:p>
    <w:p w14:paraId="18CD5CA2" w14:textId="77777777" w:rsidR="002B32A0" w:rsidRPr="00CE1D7F" w:rsidRDefault="002B32A0" w:rsidP="002B32A0">
      <w:pPr>
        <w:pStyle w:val="BodyText"/>
      </w:pPr>
      <w:r w:rsidRPr="00CE1D7F">
        <w:t xml:space="preserve">As of February 2023, there are 447 ancestral remains documented in the GBK Partner Extension of the RRR Archive. Of these remains, 129 are held in domestic institutions, 153 are held in overseas institutions and 165 are recorded as missing from collections or their whereabouts currently unknown. There are currently 2923 published resources and 458 archival resources in the GBK Partner Extension. There have been 47 ancestors that have been repatriated from overseas institutions. The information base contained in the GBK Partner Extension will continue to grow and assist in future GBK repatriation and provenance processes. </w:t>
      </w:r>
    </w:p>
    <w:p w14:paraId="19676308" w14:textId="77777777" w:rsidR="002B32A0" w:rsidRPr="00CE1D7F" w:rsidRDefault="002B32A0" w:rsidP="002B32A0">
      <w:pPr>
        <w:pStyle w:val="Heading4nonumber"/>
      </w:pPr>
      <w:r w:rsidRPr="00CE1D7F">
        <w:t>Ethical engagement and access to funding</w:t>
      </w:r>
    </w:p>
    <w:p w14:paraId="2E4EFBE1" w14:textId="77777777" w:rsidR="002B32A0" w:rsidRPr="00CE1D7F" w:rsidRDefault="002B32A0" w:rsidP="002B32A0">
      <w:pPr>
        <w:pStyle w:val="BodyText"/>
      </w:pPr>
      <w:r w:rsidRPr="00CE1D7F">
        <w:t>Another impact of the research program has been how it has demonstrated ethical engagement with Indigenous people and communities. Indigenous communities have been intimately involved in this program of work and have been key decision-makers. This research has supported and empowered Indigenous communities to undertake provenance research, particularly in the Kimberley, Ngarrindjeri Country and the Torres Strait. Training and step-by-step guides on provenance research are available to support communities to provenance ancestral remains and objects, which can be complex. In addition, this research program has set the bar regarding Indigenous community engagement and participation in research relating to repatriation.</w:t>
      </w:r>
    </w:p>
    <w:p w14:paraId="2721B5A4" w14:textId="77777777" w:rsidR="002B32A0" w:rsidRPr="00CE1D7F" w:rsidRDefault="002B32A0" w:rsidP="002B32A0">
      <w:pPr>
        <w:pStyle w:val="BodyText"/>
      </w:pPr>
      <w:r w:rsidRPr="00CE1D7F">
        <w:t xml:space="preserve">How this research program has empowered Indigenous communities to conduct provenance research has the potential to increase access to funding for the repatriation efforts of these organisations. Once provenance is established, these organisations will have a much stronger case to seek funding from government programs and agencies which support repatriation. These include the Department of Infrastructure, Transport, Regional Development, Communications and the Arts’ </w:t>
      </w:r>
      <w:r w:rsidRPr="00CE1D7F">
        <w:rPr>
          <w:i/>
          <w:iCs/>
        </w:rPr>
        <w:t>Indigenous Repatriation Program</w:t>
      </w:r>
      <w:r w:rsidRPr="00CE1D7F">
        <w:t xml:space="preserve"> and the AIATSIS-run </w:t>
      </w:r>
      <w:r w:rsidRPr="00CE1D7F">
        <w:rPr>
          <w:i/>
          <w:iCs/>
        </w:rPr>
        <w:t>Return of Cultural Heritage</w:t>
      </w:r>
      <w:r w:rsidRPr="00CE1D7F">
        <w:t xml:space="preserve"> initiative. The </w:t>
      </w:r>
      <w:r w:rsidRPr="00CE1D7F">
        <w:rPr>
          <w:i/>
          <w:iCs/>
        </w:rPr>
        <w:t>Indigenous Repatriation Program</w:t>
      </w:r>
      <w:r w:rsidRPr="00CE1D7F">
        <w:t xml:space="preserve"> facilitates the return of ancestral remains of Aboriginal and Torres Strait Islander origin, while the </w:t>
      </w:r>
      <w:r w:rsidRPr="00CE1D7F">
        <w:rPr>
          <w:i/>
          <w:iCs/>
        </w:rPr>
        <w:t>Return of Cultural Heritage</w:t>
      </w:r>
      <w:r w:rsidRPr="00CE1D7F">
        <w:t xml:space="preserve"> initiative is focused solely on the return of cultural objects. </w:t>
      </w:r>
    </w:p>
    <w:p w14:paraId="53421251" w14:textId="77777777" w:rsidR="002B32A0" w:rsidRPr="00CE1D7F" w:rsidRDefault="002B32A0" w:rsidP="002B32A0">
      <w:pPr>
        <w:pStyle w:val="Heading2"/>
      </w:pPr>
      <w:bookmarkStart w:id="642" w:name="_Toc129964023"/>
      <w:bookmarkStart w:id="643" w:name="_Toc131174661"/>
      <w:bookmarkStart w:id="644" w:name="_Toc132970732"/>
      <w:bookmarkStart w:id="645" w:name="_Toc135323771"/>
      <w:r w:rsidRPr="00CE1D7F">
        <w:t>Potential future impacts</w:t>
      </w:r>
      <w:bookmarkEnd w:id="642"/>
      <w:bookmarkEnd w:id="643"/>
      <w:bookmarkEnd w:id="644"/>
      <w:bookmarkEnd w:id="645"/>
      <w:r w:rsidRPr="00CE1D7F">
        <w:t xml:space="preserve"> </w:t>
      </w:r>
    </w:p>
    <w:p w14:paraId="28C5A10B" w14:textId="324AA9AE" w:rsidR="002B32A0" w:rsidRPr="00CE1D7F" w:rsidRDefault="002B32A0" w:rsidP="002B32A0">
      <w:pPr>
        <w:pStyle w:val="BodyText"/>
      </w:pPr>
      <w:r w:rsidRPr="00CE1D7F">
        <w:t xml:space="preserve">The </w:t>
      </w:r>
      <w:r w:rsidRPr="00CE1D7F">
        <w:rPr>
          <w:i/>
          <w:iCs/>
        </w:rPr>
        <w:t xml:space="preserve">RRR </w:t>
      </w:r>
      <w:r w:rsidRPr="00CE1D7F">
        <w:t xml:space="preserve">Archive is a living resource that will continue to grow and be used to support repatriation scholars and practitioners. The RRR team actively seeks funding from multiple sources to continue its content and functionality development and accessibility to repatriation communities globally (see </w:t>
      </w:r>
      <w:r w:rsidRPr="00F87D0E">
        <w:fldChar w:fldCharType="begin"/>
      </w:r>
      <w:r w:rsidRPr="00F87D0E">
        <w:instrText xml:space="preserve"> REF _Ref129335997 \h  \* MERGEFORMAT </w:instrText>
      </w:r>
      <w:r w:rsidRPr="00F87D0E">
        <w:fldChar w:fldCharType="separate"/>
      </w:r>
      <w:r w:rsidR="000B0AC7" w:rsidRPr="000B0AC7">
        <w:t>Figure 13.3</w:t>
      </w:r>
      <w:r w:rsidRPr="00F87D0E">
        <w:fldChar w:fldCharType="end"/>
      </w:r>
      <w:r w:rsidRPr="00CE1D7F">
        <w:t xml:space="preserve"> and </w:t>
      </w:r>
      <w:r w:rsidRPr="00F87D0E">
        <w:fldChar w:fldCharType="begin"/>
      </w:r>
      <w:r w:rsidRPr="00F87D0E">
        <w:instrText xml:space="preserve"> REF _Ref129181286 \h  \* MERGEFORMAT </w:instrText>
      </w:r>
      <w:r w:rsidRPr="00F87D0E">
        <w:fldChar w:fldCharType="separate"/>
      </w:r>
      <w:r w:rsidR="000B0AC7" w:rsidRPr="000B0AC7">
        <w:t>Figure 13.4</w:t>
      </w:r>
      <w:r w:rsidRPr="00F87D0E">
        <w:fldChar w:fldCharType="end"/>
      </w:r>
      <w:r w:rsidRPr="00CE1D7F">
        <w:t xml:space="preserve"> as an illustration of RRR’s future potential global impacts). This resource has significantly reduced the time required to provenance and repatriate remains and will be of significant future impact in the field. Future impacts could be realised by expanding the contents of the Archive to include details of the ancestral remains of other Indigenous nations throughout Australia. Detailed work in the RRR Archive has largely focused on the Kimberley, the Ngarrindjeri and the Torres Strait, compiled in areas private to each of the associated community partner organisations, aiding the repatriation processes for these groups. This work has drawn together a large amount of information and records relevant to other Indigenous nations. These records are housed in Tier 2 of the Archive (the Repatriation Extension) which makes them available through restricted access for genuine repatriation practitioners and researchers to do their own research. There are opportunities to expand the Archive, and RRR is actively seeking funding to increase the number of community partners in Australian and overseas because of its global relevance.</w:t>
      </w:r>
      <w:r>
        <w:t xml:space="preserve"> </w:t>
      </w:r>
    </w:p>
    <w:p w14:paraId="40BFE0E3" w14:textId="77777777" w:rsidR="002B32A0" w:rsidRPr="00CE1D7F" w:rsidRDefault="002B32A0" w:rsidP="002B32A0">
      <w:pPr>
        <w:pStyle w:val="BodyText"/>
      </w:pPr>
      <w:r w:rsidRPr="00CE1D7F">
        <w:t>This program of work has also improved the ability of partner organisations to secure government funding for different projects. The reputation built from participation and history of engagement with research and deliverables has resulted in an AIATSIS Research Exchange grant with Ngarrindjeri (completed Feb 2023), the Jan 2023 submission of a grant by the Council for Native Hawaiian Advancement (partnering with RRR) to a major US funder, and a number of small and large scale consultancies undertaken by the RRR team for OFTA and AIATSIS. Dr Hilary Howes worked with the RRR team as an ECR and was then successful in achieving an ARC DECRA on holdings of Indigenous ancestral remains in collections of the old Russian empire (DE210101721) that she undertakes at ANU as part of the RRR team. RRR is one case study within an ARC Discovery Indigenous Fellowship (IN220100008) currently being undertaken by Dr Lyndon Ormond-Parker, also at ANU. This research program can potentially influence similar funding decisions in the future.</w:t>
      </w:r>
    </w:p>
    <w:p w14:paraId="1C233FA8" w14:textId="77777777" w:rsidR="002B32A0" w:rsidRPr="00CE1D7F" w:rsidRDefault="002B32A0" w:rsidP="002B32A0">
      <w:pPr>
        <w:pStyle w:val="BodyText"/>
      </w:pPr>
      <w:r w:rsidRPr="00CE1D7F">
        <w:t xml:space="preserve">The RRR research program has been highly impactful for repatriation scholars, practitioners and Indigenous communities in Australia and abroad. However, once you build a national asset as valuable as the RRR Digital Archive, you cannot leave it stranded. This asset must receive ongoing support to exploit its benefits in the future. </w:t>
      </w:r>
    </w:p>
    <w:p w14:paraId="0F4DC5AF" w14:textId="77777777" w:rsidR="002B32A0" w:rsidRPr="00CE1D7F" w:rsidRDefault="002B32A0" w:rsidP="002B32A0">
      <w:pPr>
        <w:pStyle w:val="Heading4nonumber"/>
      </w:pPr>
      <w:r w:rsidRPr="00CE1D7F">
        <w:t>National Resting Place</w:t>
      </w:r>
    </w:p>
    <w:p w14:paraId="35A58026" w14:textId="77777777" w:rsidR="002B32A0" w:rsidRPr="00CE1D7F" w:rsidRDefault="002B32A0" w:rsidP="002B32A0">
      <w:pPr>
        <w:pStyle w:val="BodyText"/>
      </w:pPr>
      <w:r w:rsidRPr="00CE1D7F">
        <w:t>The RRR Archive may become an important underpinning digital infrastructure that supports a future ‘National Resting Place’. A future National Resting Place is planned to be a facility within Canberra's Aboriginal and Torres Strait Islander cultural precinct called 'Ngurra'. This facility will house and provide long-term care for limited-provenance ancestors returned from overseas.</w:t>
      </w:r>
      <w:r w:rsidRPr="00CE1D7F">
        <w:rPr>
          <w:rStyle w:val="FootnoteReference"/>
        </w:rPr>
        <w:footnoteReference w:id="296"/>
      </w:r>
      <w:r w:rsidRPr="00CE1D7F">
        <w:t xml:space="preserve"> This program is being led by AIATSIS and will be established alongside a Culture and Knowledge Centre. The RRR Digital Archive will be a critical source of information for the National Resting Place database, and the contents of the Archive could be used extensively, particularly for limited provenance ancestors.</w:t>
      </w:r>
    </w:p>
    <w:p w14:paraId="293206C6" w14:textId="77777777" w:rsidR="002B32A0" w:rsidRPr="00CE1D7F" w:rsidRDefault="002B32A0" w:rsidP="002B32A0">
      <w:pPr>
        <w:pStyle w:val="Quote"/>
      </w:pPr>
      <w:r w:rsidRPr="00CE1D7F">
        <w:t>“The National Resting Place will be a central place for commemoration, reflection and healing. A place for ancestral remains to rest in honour and peace, where all Australians can celebrate Aboriginal and Torres Strait Islander cultures”</w:t>
      </w:r>
      <w:r w:rsidRPr="00CE1D7F">
        <w:rPr>
          <w:rStyle w:val="FootnoteReference"/>
        </w:rPr>
        <w:footnoteReference w:id="297"/>
      </w:r>
      <w:r w:rsidRPr="00CE1D7F">
        <w:t xml:space="preserve"> – The Hon Ken Wyatt MP, Minister for Indigenous Affairs (2019-2022)</w:t>
      </w:r>
    </w:p>
    <w:p w14:paraId="7F3AB304" w14:textId="77777777" w:rsidR="002B32A0" w:rsidRPr="00CE1D7F" w:rsidRDefault="002B32A0" w:rsidP="002B32A0">
      <w:pPr>
        <w:pStyle w:val="BodyText"/>
      </w:pPr>
      <w:r w:rsidRPr="00CE1D7F">
        <w:t>The RRR team has undertaken consultancies for AIATSIS that have informed its business case for a future National Resting Place. Consultations undertaken for this case study suggest that the expertise provided by the RRR team was important in shaping the rationale for future government investment in National Resting Place.</w:t>
      </w:r>
    </w:p>
    <w:p w14:paraId="09F29F89" w14:textId="77777777" w:rsidR="002B32A0" w:rsidRPr="00CE1D7F" w:rsidRDefault="002B32A0" w:rsidP="002B32A0">
      <w:pPr>
        <w:pStyle w:val="BodyText"/>
      </w:pPr>
    </w:p>
    <w:p w14:paraId="3BDF00A5" w14:textId="77777777" w:rsidR="002B32A0" w:rsidRPr="00CE1D7F" w:rsidRDefault="002B32A0" w:rsidP="002B32A0">
      <w:pPr>
        <w:pStyle w:val="BodyText"/>
        <w:sectPr w:rsidR="002B32A0" w:rsidRPr="00CE1D7F" w:rsidSect="00327E78">
          <w:headerReference w:type="even" r:id="rId242"/>
          <w:headerReference w:type="default" r:id="rId243"/>
          <w:footerReference w:type="even" r:id="rId244"/>
          <w:footerReference w:type="default" r:id="rId245"/>
          <w:headerReference w:type="first" r:id="rId246"/>
          <w:footerReference w:type="first" r:id="rId247"/>
          <w:pgSz w:w="11906" w:h="16838" w:code="9"/>
          <w:pgMar w:top="1134" w:right="851" w:bottom="1134" w:left="3119" w:header="454" w:footer="159" w:gutter="0"/>
          <w:cols w:space="708"/>
          <w:docGrid w:linePitch="360"/>
        </w:sectPr>
      </w:pPr>
    </w:p>
    <w:p w14:paraId="45BFC4BF" w14:textId="77777777" w:rsidR="000B0AC7" w:rsidRPr="00CE1D7F" w:rsidRDefault="000B0AC7" w:rsidP="000B0AC7">
      <w:pPr>
        <w:pStyle w:val="Partxx"/>
      </w:pPr>
      <w:bookmarkStart w:id="646" w:name="_Toc135323772"/>
      <w:r w:rsidRPr="00CE1D7F">
        <w:t>Supporting information</w:t>
      </w:r>
      <w:bookmarkEnd w:id="646"/>
      <w:r w:rsidRPr="00CE1D7F">
        <w:t xml:space="preserve"> </w:t>
      </w:r>
    </w:p>
    <w:p w14:paraId="46522CCC" w14:textId="77777777" w:rsidR="002B32A0" w:rsidRPr="00CE1D7F" w:rsidRDefault="002B32A0" w:rsidP="002B32A0">
      <w:pPr>
        <w:pStyle w:val="BodyText"/>
      </w:pPr>
    </w:p>
    <w:p w14:paraId="598D5F68" w14:textId="77777777" w:rsidR="002B32A0" w:rsidRPr="00CE1D7F" w:rsidRDefault="002B32A0" w:rsidP="002B32A0">
      <w:pPr>
        <w:pStyle w:val="BodyText"/>
      </w:pPr>
    </w:p>
    <w:p w14:paraId="1F91F5B2" w14:textId="77777777" w:rsidR="002B32A0" w:rsidRPr="00CE1D7F" w:rsidRDefault="002B32A0" w:rsidP="002B32A0">
      <w:pPr>
        <w:pStyle w:val="BodyText"/>
      </w:pPr>
    </w:p>
    <w:p w14:paraId="3D8B6A22" w14:textId="77777777" w:rsidR="002B32A0" w:rsidRPr="00CE1D7F" w:rsidRDefault="002B32A0" w:rsidP="002B32A0">
      <w:pPr>
        <w:pStyle w:val="BodyText"/>
      </w:pPr>
    </w:p>
    <w:p w14:paraId="2873643C" w14:textId="77777777" w:rsidR="002B32A0" w:rsidRPr="00CE1D7F" w:rsidRDefault="002B32A0" w:rsidP="002B32A0">
      <w:pPr>
        <w:pStyle w:val="BodyText"/>
      </w:pPr>
    </w:p>
    <w:p w14:paraId="6DD90904" w14:textId="77777777" w:rsidR="002B32A0" w:rsidRPr="00CE1D7F" w:rsidRDefault="002B32A0" w:rsidP="002B32A0">
      <w:pPr>
        <w:pStyle w:val="BodyText"/>
      </w:pPr>
    </w:p>
    <w:p w14:paraId="3A3BD9A3" w14:textId="77777777" w:rsidR="002B32A0" w:rsidRPr="00CE1D7F" w:rsidRDefault="002B32A0" w:rsidP="002B32A0">
      <w:pPr>
        <w:pStyle w:val="BodyText"/>
      </w:pPr>
    </w:p>
    <w:p w14:paraId="25190D5F" w14:textId="77777777" w:rsidR="002B32A0" w:rsidRPr="00CE1D7F" w:rsidRDefault="002B32A0" w:rsidP="002B32A0">
      <w:pPr>
        <w:pStyle w:val="BodyText"/>
        <w:sectPr w:rsidR="002B32A0" w:rsidRPr="00CE1D7F" w:rsidSect="008A0C00">
          <w:headerReference w:type="even" r:id="rId248"/>
          <w:headerReference w:type="default" r:id="rId249"/>
          <w:footerReference w:type="even" r:id="rId250"/>
          <w:footerReference w:type="default" r:id="rId251"/>
          <w:headerReference w:type="first" r:id="rId252"/>
          <w:footerReference w:type="first" r:id="rId253"/>
          <w:pgSz w:w="11906" w:h="16838" w:code="9"/>
          <w:pgMar w:top="2760" w:right="720" w:bottom="1134" w:left="1134" w:header="454" w:footer="159" w:gutter="0"/>
          <w:cols w:space="708"/>
          <w:docGrid w:linePitch="360"/>
        </w:sectPr>
      </w:pPr>
    </w:p>
    <w:p w14:paraId="4B98C042" w14:textId="77777777" w:rsidR="000B0AC7" w:rsidRPr="000B0AC7" w:rsidRDefault="000B0AC7" w:rsidP="000B0AC7">
      <w:pPr>
        <w:pStyle w:val="Heading9"/>
        <w:ind w:left="0" w:hanging="600"/>
      </w:pPr>
      <w:bookmarkStart w:id="647" w:name="_Toc135323773"/>
      <w:r w:rsidRPr="000B0AC7">
        <w:t>Evaluation framing and terms of reference</w:t>
      </w:r>
      <w:bookmarkEnd w:id="647"/>
    </w:p>
    <w:p w14:paraId="58F73448" w14:textId="77777777" w:rsidR="002B32A0" w:rsidRPr="00CE1D7F" w:rsidRDefault="002B32A0" w:rsidP="002B32A0">
      <w:pPr>
        <w:pStyle w:val="Heading2AP"/>
      </w:pPr>
      <w:bookmarkStart w:id="648" w:name="_Toc129964046"/>
      <w:bookmarkStart w:id="649" w:name="_Toc131174684"/>
      <w:bookmarkStart w:id="650" w:name="_Toc132970735"/>
      <w:bookmarkStart w:id="651" w:name="_Toc135323774"/>
      <w:r w:rsidRPr="00CE1D7F">
        <w:t>Terms of reference</w:t>
      </w:r>
      <w:bookmarkEnd w:id="648"/>
      <w:bookmarkEnd w:id="649"/>
      <w:bookmarkEnd w:id="650"/>
      <w:bookmarkEnd w:id="651"/>
      <w:r w:rsidRPr="00CE1D7F">
        <w:t xml:space="preserve"> </w:t>
      </w:r>
    </w:p>
    <w:p w14:paraId="1E9D8959" w14:textId="77777777" w:rsidR="002B32A0" w:rsidRPr="00CE1D7F" w:rsidRDefault="002B32A0" w:rsidP="002B32A0">
      <w:pPr>
        <w:pStyle w:val="BodyText"/>
        <w:keepNext/>
      </w:pPr>
      <w:r w:rsidRPr="00CE1D7F">
        <w:t>The terms of reference for this evaluation require ACIL Allen to assess:</w:t>
      </w:r>
    </w:p>
    <w:p w14:paraId="1CAAD0FC" w14:textId="77777777" w:rsidR="002B32A0" w:rsidRPr="00CE1D7F" w:rsidRDefault="002B32A0" w:rsidP="002B32A0">
      <w:pPr>
        <w:pStyle w:val="ListBullet2"/>
        <w:numPr>
          <w:ilvl w:val="0"/>
          <w:numId w:val="9"/>
        </w:numPr>
      </w:pPr>
      <w:r w:rsidRPr="00CE1D7F">
        <w:t>the outcomes of NCGP-funded research, including those relevant to the Government’s broad strategic priorities</w:t>
      </w:r>
    </w:p>
    <w:p w14:paraId="6020091E" w14:textId="77777777" w:rsidR="002B32A0" w:rsidRPr="00CE1D7F" w:rsidRDefault="002B32A0" w:rsidP="002B32A0">
      <w:pPr>
        <w:pStyle w:val="ListBullet2"/>
        <w:numPr>
          <w:ilvl w:val="0"/>
          <w:numId w:val="9"/>
        </w:numPr>
      </w:pPr>
      <w:r w:rsidRPr="00CE1D7F">
        <w:t>the economic impact of NCGP-funded research</w:t>
      </w:r>
    </w:p>
    <w:p w14:paraId="480ABF3B" w14:textId="77777777" w:rsidR="002B32A0" w:rsidRPr="00CE1D7F" w:rsidRDefault="002B32A0" w:rsidP="002B32A0">
      <w:pPr>
        <w:pStyle w:val="ListBullet2"/>
        <w:numPr>
          <w:ilvl w:val="0"/>
          <w:numId w:val="9"/>
        </w:numPr>
      </w:pPr>
      <w:r w:rsidRPr="00CE1D7F">
        <w:t>the broader impacts of NCGP-funded research, including environmental, social and other impacts</w:t>
      </w:r>
    </w:p>
    <w:p w14:paraId="5F571386" w14:textId="77777777" w:rsidR="002B32A0" w:rsidRPr="00CE1D7F" w:rsidRDefault="002B32A0" w:rsidP="002B32A0">
      <w:pPr>
        <w:pStyle w:val="ListBullet2"/>
        <w:numPr>
          <w:ilvl w:val="0"/>
          <w:numId w:val="9"/>
        </w:numPr>
      </w:pPr>
      <w:r w:rsidRPr="00CE1D7F">
        <w:t>the effectiveness with which the ARC is supporting, monitoring and reporting on NCGP research impact.</w:t>
      </w:r>
    </w:p>
    <w:p w14:paraId="2A94D465" w14:textId="77777777" w:rsidR="002B32A0" w:rsidRPr="00CE1D7F" w:rsidRDefault="002B32A0" w:rsidP="00B92472">
      <w:pPr>
        <w:pStyle w:val="ListBullet"/>
      </w:pPr>
      <w:bookmarkStart w:id="652" w:name="_Hlk129948101"/>
      <w:r w:rsidRPr="00CE1D7F">
        <w:t>identify lessons and recommendations on how the impact of ARC-funded research could be better supported, monitored and communicated in the future</w:t>
      </w:r>
      <w:bookmarkEnd w:id="652"/>
      <w:r w:rsidRPr="00CE1D7F">
        <w:t>.</w:t>
      </w:r>
    </w:p>
    <w:p w14:paraId="2AA502EE" w14:textId="77777777" w:rsidR="002B32A0" w:rsidRPr="00CE1D7F" w:rsidRDefault="002B32A0" w:rsidP="002B32A0">
      <w:pPr>
        <w:pStyle w:val="Heading2AP"/>
      </w:pPr>
      <w:bookmarkStart w:id="653" w:name="_Toc129964047"/>
      <w:bookmarkStart w:id="654" w:name="_Toc131174685"/>
      <w:bookmarkStart w:id="655" w:name="_Toc132970736"/>
      <w:bookmarkStart w:id="656" w:name="_Toc135323775"/>
      <w:r w:rsidRPr="00CE1D7F">
        <w:t>Evaluation framing</w:t>
      </w:r>
      <w:bookmarkEnd w:id="653"/>
      <w:bookmarkEnd w:id="654"/>
      <w:bookmarkEnd w:id="655"/>
      <w:bookmarkEnd w:id="656"/>
      <w:r w:rsidRPr="00CE1D7F">
        <w:t xml:space="preserve"> </w:t>
      </w:r>
    </w:p>
    <w:p w14:paraId="176E2EF1" w14:textId="7396D0BB" w:rsidR="002B32A0" w:rsidRPr="00CE1D7F" w:rsidRDefault="002B32A0" w:rsidP="002B32A0">
      <w:pPr>
        <w:pStyle w:val="BodyText"/>
      </w:pPr>
      <w:r w:rsidRPr="00CE1D7F">
        <w:t xml:space="preserve">The evaluation framing is provided in </w:t>
      </w:r>
      <w:r w:rsidRPr="00F87D0E">
        <w:fldChar w:fldCharType="begin"/>
      </w:r>
      <w:r w:rsidRPr="00F87D0E">
        <w:instrText xml:space="preserve"> REF _Ref129354735 \h  \* MERGEFORMAT </w:instrText>
      </w:r>
      <w:r w:rsidRPr="00F87D0E">
        <w:fldChar w:fldCharType="separate"/>
      </w:r>
      <w:r w:rsidR="000B0AC7" w:rsidRPr="000B0AC7">
        <w:t>Table A.1</w:t>
      </w:r>
      <w:r w:rsidRPr="00F87D0E">
        <w:fldChar w:fldCharType="end"/>
      </w:r>
      <w:r w:rsidRPr="00CE1D7F">
        <w:t xml:space="preserve">. This presents the evaluation questions, areas of interest and potential data sources according to the evaluation focus areas of: </w:t>
      </w:r>
      <w:r w:rsidRPr="00CE1D7F">
        <w:rPr>
          <w:i/>
          <w:iCs/>
        </w:rPr>
        <w:t xml:space="preserve">outcomes and impacts of ARC-funded research </w:t>
      </w:r>
      <w:r w:rsidRPr="00CE1D7F">
        <w:t xml:space="preserve">and </w:t>
      </w:r>
      <w:r w:rsidRPr="00CE1D7F">
        <w:rPr>
          <w:i/>
          <w:iCs/>
        </w:rPr>
        <w:t>improving the delivery of research impacts and ongoing impact assessment</w:t>
      </w:r>
      <w:r w:rsidRPr="00CE1D7F">
        <w:t>.</w:t>
      </w:r>
    </w:p>
    <w:p w14:paraId="790B9C27" w14:textId="30FCBEA7" w:rsidR="002B32A0" w:rsidRPr="00CE1D7F" w:rsidRDefault="002B32A0" w:rsidP="000B0AC7">
      <w:pPr>
        <w:pStyle w:val="Caption"/>
        <w:ind w:left="-309" w:hanging="1308"/>
      </w:pPr>
      <w:bookmarkStart w:id="657" w:name="_Ref129354735"/>
      <w:r w:rsidRPr="00CE1D7F">
        <w:rPr>
          <w:rStyle w:val="CaptionLabel"/>
        </w:rPr>
        <w:t>Table </w:t>
      </w:r>
      <w:r>
        <w:rPr>
          <w:rStyle w:val="CaptionLabel"/>
        </w:rPr>
        <w:fldChar w:fldCharType="begin"/>
      </w:r>
      <w:r>
        <w:rPr>
          <w:rStyle w:val="CaptionLabel"/>
        </w:rPr>
        <w:instrText xml:space="preserve"> STYLEREF 9 \s </w:instrText>
      </w:r>
      <w:r>
        <w:rPr>
          <w:rStyle w:val="CaptionLabel"/>
        </w:rPr>
        <w:fldChar w:fldCharType="separate"/>
      </w:r>
      <w:r w:rsidR="000B0AC7">
        <w:rPr>
          <w:rStyle w:val="CaptionLabel"/>
          <w:noProof/>
        </w:rPr>
        <w:t>A</w:t>
      </w:r>
      <w:r>
        <w:rPr>
          <w:rStyle w:val="CaptionLabel"/>
        </w:rPr>
        <w:fldChar w:fldCharType="end"/>
      </w:r>
      <w:r>
        <w:rPr>
          <w:rStyle w:val="CaptionLabel"/>
        </w:rPr>
        <w:t>.</w:t>
      </w:r>
      <w:r>
        <w:rPr>
          <w:rStyle w:val="CaptionLabel"/>
        </w:rPr>
        <w:fldChar w:fldCharType="begin"/>
      </w:r>
      <w:r>
        <w:rPr>
          <w:rStyle w:val="CaptionLabel"/>
        </w:rPr>
        <w:instrText xml:space="preserve"> SEQ Table_AP \* ARABIC \s 9 </w:instrText>
      </w:r>
      <w:r>
        <w:rPr>
          <w:rStyle w:val="CaptionLabel"/>
        </w:rPr>
        <w:fldChar w:fldCharType="separate"/>
      </w:r>
      <w:r w:rsidR="000B0AC7">
        <w:rPr>
          <w:rStyle w:val="CaptionLabel"/>
          <w:noProof/>
        </w:rPr>
        <w:t>1</w:t>
      </w:r>
      <w:r>
        <w:rPr>
          <w:rStyle w:val="CaptionLabel"/>
        </w:rPr>
        <w:fldChar w:fldCharType="end"/>
      </w:r>
      <w:bookmarkEnd w:id="657"/>
      <w:r w:rsidRPr="00CE1D7F">
        <w:tab/>
        <w:t>Evaluation framing</w:t>
      </w:r>
    </w:p>
    <w:tbl>
      <w:tblPr>
        <w:tblStyle w:val="aacTableBasic"/>
        <w:tblW w:w="6025" w:type="pct"/>
        <w:tblInd w:w="-1617" w:type="dxa"/>
        <w:tblLook w:val="04A0" w:firstRow="1" w:lastRow="0" w:firstColumn="1" w:lastColumn="0" w:noHBand="0" w:noVBand="1"/>
        <w:tblCaption w:val="Table A.1"/>
        <w:tblDescription w:val="Evaluation framing"/>
      </w:tblPr>
      <w:tblGrid>
        <w:gridCol w:w="3841"/>
        <w:gridCol w:w="5722"/>
      </w:tblGrid>
      <w:tr w:rsidR="002B32A0" w:rsidRPr="00CE1D7F" w14:paraId="75B9AFEA" w14:textId="77777777" w:rsidTr="000B0AC7">
        <w:trPr>
          <w:cnfStyle w:val="100000000000" w:firstRow="1" w:lastRow="0" w:firstColumn="0" w:lastColumn="0" w:oddVBand="0" w:evenVBand="0" w:oddHBand="0" w:evenHBand="0" w:firstRowFirstColumn="0" w:firstRowLastColumn="0" w:lastRowFirstColumn="0" w:lastRowLastColumn="0"/>
          <w:trHeight w:val="95"/>
        </w:trPr>
        <w:tc>
          <w:tcPr>
            <w:tcW w:w="2008" w:type="pct"/>
            <w:tcBorders>
              <w:top w:val="nil"/>
            </w:tcBorders>
            <w:shd w:val="solid" w:color="140034" w:fill="140034"/>
            <w:tcMar>
              <w:left w:w="80" w:type="dxa"/>
            </w:tcMar>
          </w:tcPr>
          <w:p w14:paraId="4D7284BF" w14:textId="77777777" w:rsidR="002B32A0" w:rsidRPr="00CE1D7F" w:rsidRDefault="002B32A0" w:rsidP="006258ED">
            <w:pPr>
              <w:pStyle w:val="Tablecolumnheadings"/>
            </w:pPr>
            <w:r w:rsidRPr="00CE1D7F">
              <w:t>Evaluation questions</w:t>
            </w:r>
          </w:p>
        </w:tc>
        <w:tc>
          <w:tcPr>
            <w:tcW w:w="2992" w:type="pct"/>
            <w:tcBorders>
              <w:top w:val="nil"/>
            </w:tcBorders>
            <w:shd w:val="solid" w:color="140034" w:fill="140034"/>
          </w:tcPr>
          <w:p w14:paraId="3D5B618A" w14:textId="77777777" w:rsidR="002B32A0" w:rsidRPr="00CE1D7F" w:rsidRDefault="002B32A0" w:rsidP="006258ED">
            <w:pPr>
              <w:pStyle w:val="Tablecolumnheadings"/>
            </w:pPr>
            <w:r w:rsidRPr="00CE1D7F">
              <w:t>Indicators</w:t>
            </w:r>
          </w:p>
        </w:tc>
      </w:tr>
      <w:tr w:rsidR="002B32A0" w:rsidRPr="00CE1D7F" w14:paraId="3298CE2D" w14:textId="77777777" w:rsidTr="000B0AC7">
        <w:tc>
          <w:tcPr>
            <w:tcW w:w="5000" w:type="pct"/>
            <w:gridSpan w:val="2"/>
            <w:tcMar>
              <w:left w:w="80" w:type="dxa"/>
            </w:tcMar>
          </w:tcPr>
          <w:p w14:paraId="6F9E9A78" w14:textId="77777777" w:rsidR="002B32A0" w:rsidRPr="00CE1D7F" w:rsidRDefault="002B32A0" w:rsidP="006258ED">
            <w:pPr>
              <w:pStyle w:val="Tabletext"/>
              <w:keepNext/>
              <w:rPr>
                <w:b/>
                <w:bCs/>
              </w:rPr>
            </w:pPr>
            <w:bookmarkStart w:id="658" w:name="_Hlk129807990"/>
            <w:r w:rsidRPr="00CE1D7F">
              <w:rPr>
                <w:b/>
                <w:bCs/>
              </w:rPr>
              <w:t>Outcomes and impacts of ARC-funded research</w:t>
            </w:r>
          </w:p>
        </w:tc>
      </w:tr>
      <w:tr w:rsidR="002B32A0" w:rsidRPr="00CE1D7F" w14:paraId="2194DFFB" w14:textId="77777777" w:rsidTr="000B0AC7">
        <w:tc>
          <w:tcPr>
            <w:tcW w:w="2008" w:type="pct"/>
            <w:tcMar>
              <w:left w:w="80" w:type="dxa"/>
            </w:tcMar>
          </w:tcPr>
          <w:p w14:paraId="2B2A736F" w14:textId="56EEEB63" w:rsidR="002B32A0" w:rsidRPr="00CE1D7F" w:rsidRDefault="002B32A0" w:rsidP="00EA53FC">
            <w:pPr>
              <w:pStyle w:val="Tabletext"/>
              <w:ind w:left="297" w:hanging="283"/>
            </w:pPr>
            <w:r w:rsidRPr="00CE1D7F">
              <w:t xml:space="preserve">1. </w:t>
            </w:r>
            <w:r w:rsidR="00EA53FC">
              <w:tab/>
            </w:r>
            <w:r w:rsidRPr="00CE1D7F">
              <w:t xml:space="preserve">What are the short-, medium- and long-term outcomes and impacts of ARC-funded research? Is the NCGP achieving its intended outcomes? </w:t>
            </w:r>
          </w:p>
        </w:tc>
        <w:tc>
          <w:tcPr>
            <w:tcW w:w="2992" w:type="pct"/>
          </w:tcPr>
          <w:p w14:paraId="169B300F" w14:textId="77777777" w:rsidR="002B32A0" w:rsidRPr="00CE1D7F" w:rsidRDefault="002B32A0" w:rsidP="002B32A0">
            <w:pPr>
              <w:pStyle w:val="Tablelistbullet"/>
              <w:ind w:left="280" w:hanging="280"/>
            </w:pPr>
            <w:r w:rsidRPr="00CE1D7F">
              <w:t xml:space="preserve">Extent to which the research has contributed to (in the short-, medium- and long-term) </w:t>
            </w:r>
          </w:p>
          <w:p w14:paraId="5A8F74E8" w14:textId="77777777" w:rsidR="002B32A0" w:rsidRPr="00CE1D7F" w:rsidRDefault="002B32A0" w:rsidP="002B32A0">
            <w:pPr>
              <w:pStyle w:val="Tablelistbullet2"/>
              <w:ind w:left="520" w:hanging="240"/>
            </w:pPr>
            <w:r w:rsidRPr="00CE1D7F">
              <w:t xml:space="preserve">the economy </w:t>
            </w:r>
          </w:p>
          <w:p w14:paraId="4C84D0BB" w14:textId="77777777" w:rsidR="002B32A0" w:rsidRPr="00CE1D7F" w:rsidRDefault="002B32A0" w:rsidP="002B32A0">
            <w:pPr>
              <w:pStyle w:val="Tablelistbullet2"/>
              <w:ind w:left="520" w:hanging="240"/>
            </w:pPr>
            <w:r w:rsidRPr="00CE1D7F">
              <w:t xml:space="preserve">society </w:t>
            </w:r>
          </w:p>
          <w:p w14:paraId="1E4877B8" w14:textId="77777777" w:rsidR="002B32A0" w:rsidRPr="00CE1D7F" w:rsidRDefault="002B32A0" w:rsidP="002B32A0">
            <w:pPr>
              <w:pStyle w:val="Tablelistbullet2"/>
              <w:ind w:left="520" w:hanging="240"/>
            </w:pPr>
            <w:r w:rsidRPr="00CE1D7F">
              <w:t xml:space="preserve">the environment </w:t>
            </w:r>
          </w:p>
          <w:p w14:paraId="5D2582E4" w14:textId="77777777" w:rsidR="002B32A0" w:rsidRPr="00CE1D7F" w:rsidRDefault="002B32A0" w:rsidP="002B32A0">
            <w:pPr>
              <w:pStyle w:val="Tablelistbullet2"/>
              <w:ind w:left="520" w:hanging="240"/>
            </w:pPr>
            <w:r w:rsidRPr="00CE1D7F">
              <w:t xml:space="preserve">culture </w:t>
            </w:r>
          </w:p>
          <w:p w14:paraId="031B55C0" w14:textId="77777777" w:rsidR="002B32A0" w:rsidRPr="00CE1D7F" w:rsidRDefault="002B32A0" w:rsidP="002B32A0">
            <w:pPr>
              <w:pStyle w:val="Tablelistbullet"/>
              <w:ind w:left="280" w:hanging="280"/>
            </w:pPr>
            <w:r w:rsidRPr="00CE1D7F">
              <w:t>Extent to which NCGP research is:</w:t>
            </w:r>
          </w:p>
          <w:p w14:paraId="4AB54FF6" w14:textId="77777777" w:rsidR="002B32A0" w:rsidRPr="00CE1D7F" w:rsidRDefault="002B32A0" w:rsidP="002B32A0">
            <w:pPr>
              <w:pStyle w:val="Tablelistbullet2"/>
              <w:ind w:left="520" w:hanging="240"/>
            </w:pPr>
            <w:r w:rsidRPr="00CE1D7F">
              <w:t>applied to problems/opportunities</w:t>
            </w:r>
          </w:p>
          <w:p w14:paraId="28C96677" w14:textId="77777777" w:rsidR="002B32A0" w:rsidRPr="00CE1D7F" w:rsidRDefault="002B32A0" w:rsidP="002B32A0">
            <w:pPr>
              <w:pStyle w:val="Tablelistbullet2"/>
              <w:ind w:left="520" w:hanging="240"/>
            </w:pPr>
            <w:r w:rsidRPr="00CE1D7F">
              <w:t xml:space="preserve">licensed or under invention disclosures or patents </w:t>
            </w:r>
          </w:p>
          <w:p w14:paraId="516CA265" w14:textId="77777777" w:rsidR="002B32A0" w:rsidRPr="00CE1D7F" w:rsidRDefault="002B32A0" w:rsidP="002B32A0">
            <w:pPr>
              <w:pStyle w:val="Tablelistbullet2"/>
              <w:ind w:left="520" w:hanging="240"/>
            </w:pPr>
            <w:r w:rsidRPr="00CE1D7F">
              <w:t>used to form companies, spin-offs, start-ups or joint ventures</w:t>
            </w:r>
          </w:p>
          <w:p w14:paraId="4F9EDB40" w14:textId="77777777" w:rsidR="002B32A0" w:rsidRPr="00CE1D7F" w:rsidRDefault="002B32A0" w:rsidP="002B32A0">
            <w:pPr>
              <w:pStyle w:val="Tablelistbullet2"/>
              <w:ind w:left="520" w:hanging="240"/>
            </w:pPr>
            <w:r w:rsidRPr="00CE1D7F">
              <w:t>extending existing findings</w:t>
            </w:r>
          </w:p>
          <w:p w14:paraId="1C4E08EF" w14:textId="77777777" w:rsidR="002B32A0" w:rsidRPr="00CE1D7F" w:rsidRDefault="002B32A0" w:rsidP="002B32A0">
            <w:pPr>
              <w:pStyle w:val="Tablelistbullet"/>
              <w:ind w:left="280" w:hanging="280"/>
            </w:pPr>
            <w:r w:rsidRPr="00CE1D7F">
              <w:t>Extent to which the NCGP is contributing to:</w:t>
            </w:r>
          </w:p>
          <w:p w14:paraId="78B974C4" w14:textId="77777777" w:rsidR="002B32A0" w:rsidRPr="00CE1D7F" w:rsidRDefault="002B32A0" w:rsidP="002B32A0">
            <w:pPr>
              <w:pStyle w:val="Tablelistbullet2"/>
              <w:ind w:left="520" w:hanging="240"/>
            </w:pPr>
            <w:r w:rsidRPr="00CE1D7F">
              <w:t>a higher quality workforce</w:t>
            </w:r>
          </w:p>
          <w:p w14:paraId="7DC16907" w14:textId="77777777" w:rsidR="002B32A0" w:rsidRPr="00CE1D7F" w:rsidRDefault="002B32A0" w:rsidP="002B32A0">
            <w:pPr>
              <w:pStyle w:val="Tablelistbullet2"/>
              <w:ind w:left="520" w:hanging="240"/>
            </w:pPr>
            <w:r w:rsidRPr="00CE1D7F">
              <w:t>job creation</w:t>
            </w:r>
          </w:p>
          <w:p w14:paraId="7FE72C0C" w14:textId="77777777" w:rsidR="002B32A0" w:rsidRPr="00CE1D7F" w:rsidRDefault="002B32A0" w:rsidP="002B32A0">
            <w:pPr>
              <w:pStyle w:val="Tablelistbullet2"/>
              <w:ind w:left="520" w:hanging="240"/>
            </w:pPr>
            <w:r w:rsidRPr="00CE1D7F">
              <w:t xml:space="preserve">increased research capacity </w:t>
            </w:r>
          </w:p>
          <w:p w14:paraId="6291C7F6" w14:textId="77777777" w:rsidR="002B32A0" w:rsidRPr="00CE1D7F" w:rsidRDefault="002B32A0" w:rsidP="002B32A0">
            <w:pPr>
              <w:pStyle w:val="Tablelistbullet2"/>
              <w:ind w:left="520" w:hanging="240"/>
            </w:pPr>
            <w:r w:rsidRPr="00CE1D7F">
              <w:t>knowledge expansion</w:t>
            </w:r>
          </w:p>
          <w:p w14:paraId="0DB10F19" w14:textId="77777777" w:rsidR="002B32A0" w:rsidRPr="00CE1D7F" w:rsidRDefault="002B32A0" w:rsidP="002B32A0">
            <w:pPr>
              <w:pStyle w:val="Tablelistbullet2"/>
              <w:ind w:left="520" w:hanging="240"/>
            </w:pPr>
            <w:r w:rsidRPr="00CE1D7F">
              <w:t>development of new products</w:t>
            </w:r>
          </w:p>
          <w:p w14:paraId="5C9CE6AE" w14:textId="77777777" w:rsidR="002B32A0" w:rsidRPr="00CE1D7F" w:rsidRDefault="002B32A0" w:rsidP="002B32A0">
            <w:pPr>
              <w:pStyle w:val="Tablelistbullet2"/>
              <w:ind w:left="520" w:hanging="240"/>
            </w:pPr>
            <w:r w:rsidRPr="00CE1D7F">
              <w:t>development of improved processes or services</w:t>
            </w:r>
          </w:p>
          <w:p w14:paraId="0A4A8EAF" w14:textId="77777777" w:rsidR="002B32A0" w:rsidRPr="00CE1D7F" w:rsidRDefault="002B32A0" w:rsidP="002B32A0">
            <w:pPr>
              <w:pStyle w:val="Tablelistbullet2"/>
              <w:ind w:left="520" w:hanging="240"/>
            </w:pPr>
            <w:r w:rsidRPr="00CE1D7F">
              <w:t>trust in publicly funded research</w:t>
            </w:r>
          </w:p>
          <w:p w14:paraId="69509182" w14:textId="77777777" w:rsidR="002B32A0" w:rsidRPr="00CE1D7F" w:rsidRDefault="002B32A0" w:rsidP="002B32A0">
            <w:pPr>
              <w:pStyle w:val="Tablelistbullet2"/>
              <w:ind w:left="520" w:hanging="240"/>
            </w:pPr>
            <w:r w:rsidRPr="00CE1D7F">
              <w:t>perceptions of legitimacy of publicly funded research</w:t>
            </w:r>
          </w:p>
          <w:p w14:paraId="52EB226F" w14:textId="77777777" w:rsidR="002B32A0" w:rsidRPr="00CE1D7F" w:rsidRDefault="002B32A0" w:rsidP="002B32A0">
            <w:pPr>
              <w:pStyle w:val="Tablelistbullet2"/>
              <w:ind w:left="520" w:hanging="240"/>
            </w:pPr>
            <w:r w:rsidRPr="00CE1D7F">
              <w:t xml:space="preserve">satisfaction among the Australian public </w:t>
            </w:r>
          </w:p>
        </w:tc>
      </w:tr>
      <w:tr w:rsidR="002B32A0" w:rsidRPr="00CE1D7F" w14:paraId="721144FB" w14:textId="77777777" w:rsidTr="000B0AC7">
        <w:tc>
          <w:tcPr>
            <w:tcW w:w="2008" w:type="pct"/>
            <w:tcMar>
              <w:left w:w="80" w:type="dxa"/>
            </w:tcMar>
          </w:tcPr>
          <w:p w14:paraId="676169FC" w14:textId="485FB05D" w:rsidR="002B32A0" w:rsidRPr="00CE1D7F" w:rsidRDefault="002B32A0" w:rsidP="00EA53FC">
            <w:pPr>
              <w:pStyle w:val="Tabletext"/>
              <w:ind w:left="297" w:hanging="297"/>
            </w:pPr>
            <w:r w:rsidRPr="00CE1D7F">
              <w:t xml:space="preserve">2. </w:t>
            </w:r>
            <w:r w:rsidR="00EA53FC">
              <w:tab/>
            </w:r>
            <w:r w:rsidRPr="00CE1D7F">
              <w:t>Do the outcomes and impacts delivered by the NCGP align with the Government’s strategic priorities?</w:t>
            </w:r>
          </w:p>
        </w:tc>
        <w:tc>
          <w:tcPr>
            <w:tcW w:w="2992" w:type="pct"/>
          </w:tcPr>
          <w:p w14:paraId="1F2BE588" w14:textId="77777777" w:rsidR="002B32A0" w:rsidRPr="00CE1D7F" w:rsidRDefault="002B32A0" w:rsidP="002B32A0">
            <w:pPr>
              <w:pStyle w:val="Tablelistbullet"/>
              <w:ind w:left="280" w:hanging="280"/>
            </w:pPr>
            <w:r w:rsidRPr="00CE1D7F">
              <w:t>Extent to which the NCGP outcomes and impacts align with the Government’s strategic priorities</w:t>
            </w:r>
          </w:p>
        </w:tc>
      </w:tr>
      <w:tr w:rsidR="002B32A0" w:rsidRPr="00CE1D7F" w14:paraId="18D42653" w14:textId="77777777" w:rsidTr="000B0AC7">
        <w:tc>
          <w:tcPr>
            <w:tcW w:w="2008" w:type="pct"/>
            <w:tcMar>
              <w:left w:w="80" w:type="dxa"/>
            </w:tcMar>
          </w:tcPr>
          <w:p w14:paraId="1B904254" w14:textId="4F4C8619" w:rsidR="002B32A0" w:rsidRPr="00CE1D7F" w:rsidRDefault="002B32A0" w:rsidP="00EA53FC">
            <w:pPr>
              <w:pStyle w:val="Tabletext"/>
              <w:ind w:left="297" w:hanging="297"/>
            </w:pPr>
            <w:r w:rsidRPr="00CE1D7F">
              <w:t xml:space="preserve">3. </w:t>
            </w:r>
            <w:r w:rsidR="00EA53FC">
              <w:tab/>
            </w:r>
            <w:r w:rsidRPr="00CE1D7F">
              <w:t>What is the Government’s return on investment for the NCGP?</w:t>
            </w:r>
          </w:p>
        </w:tc>
        <w:tc>
          <w:tcPr>
            <w:tcW w:w="2992" w:type="pct"/>
          </w:tcPr>
          <w:p w14:paraId="084D4EC9" w14:textId="77777777" w:rsidR="002B32A0" w:rsidRPr="00CE1D7F" w:rsidRDefault="002B32A0" w:rsidP="002B32A0">
            <w:pPr>
              <w:pStyle w:val="Tablelistbullet"/>
              <w:ind w:left="280" w:hanging="280"/>
            </w:pPr>
            <w:r w:rsidRPr="00CE1D7F">
              <w:t>Extent to which the benefits of the NCGP outweigh the costs</w:t>
            </w:r>
          </w:p>
        </w:tc>
      </w:tr>
      <w:tr w:rsidR="002B32A0" w:rsidRPr="00CE1D7F" w14:paraId="393F224B" w14:textId="77777777" w:rsidTr="000B0AC7">
        <w:tc>
          <w:tcPr>
            <w:tcW w:w="2008" w:type="pct"/>
            <w:tcMar>
              <w:left w:w="80" w:type="dxa"/>
            </w:tcMar>
          </w:tcPr>
          <w:p w14:paraId="1DCF0590" w14:textId="50A11630" w:rsidR="002B32A0" w:rsidRPr="00CE1D7F" w:rsidRDefault="002B32A0" w:rsidP="00EA53FC">
            <w:pPr>
              <w:pStyle w:val="Tabletext"/>
              <w:ind w:left="297" w:hanging="297"/>
            </w:pPr>
            <w:r w:rsidRPr="00CE1D7F">
              <w:t xml:space="preserve">4. </w:t>
            </w:r>
            <w:r w:rsidR="00EA53FC">
              <w:tab/>
            </w:r>
            <w:r w:rsidRPr="00CE1D7F">
              <w:t>What are the main factors supporting the delivery of research outcomes and impacts? How does the ARC contribute to these factors? What roles do non-ARC funding sources play in pathways to impact for ARC-funded research?</w:t>
            </w:r>
          </w:p>
        </w:tc>
        <w:tc>
          <w:tcPr>
            <w:tcW w:w="2992" w:type="pct"/>
          </w:tcPr>
          <w:p w14:paraId="2A151CC3" w14:textId="77777777" w:rsidR="002B32A0" w:rsidRPr="00CE1D7F" w:rsidRDefault="002B32A0" w:rsidP="002B32A0">
            <w:pPr>
              <w:pStyle w:val="Tablelistbullet"/>
              <w:ind w:left="280" w:hanging="280"/>
            </w:pPr>
            <w:r w:rsidRPr="00CE1D7F">
              <w:t>Identification of factors supporting the delivery of research outcomes and impacts</w:t>
            </w:r>
          </w:p>
          <w:p w14:paraId="06FD2834" w14:textId="77777777" w:rsidR="002B32A0" w:rsidRPr="00CE1D7F" w:rsidRDefault="002B32A0" w:rsidP="002B32A0">
            <w:pPr>
              <w:pStyle w:val="Tablelistbullet"/>
              <w:ind w:left="280" w:hanging="280"/>
            </w:pPr>
            <w:r w:rsidRPr="00CE1D7F">
              <w:t>Extent to which the ARC contributes to these factors</w:t>
            </w:r>
          </w:p>
          <w:p w14:paraId="38FC11AE" w14:textId="77777777" w:rsidR="002B32A0" w:rsidRPr="00CE1D7F" w:rsidRDefault="002B32A0" w:rsidP="00EA53FC">
            <w:pPr>
              <w:pStyle w:val="Tablelistbullet"/>
            </w:pPr>
            <w:r w:rsidRPr="00CE1D7F">
              <w:t>Nature of the contribution of non-ARC funding sources on the pathways to impact for ARC-funded research</w:t>
            </w:r>
          </w:p>
        </w:tc>
      </w:tr>
      <w:tr w:rsidR="002B32A0" w:rsidRPr="00CE1D7F" w14:paraId="40445C29" w14:textId="77777777" w:rsidTr="000B0AC7">
        <w:tc>
          <w:tcPr>
            <w:tcW w:w="2008" w:type="pct"/>
            <w:tcMar>
              <w:left w:w="80" w:type="dxa"/>
            </w:tcMar>
          </w:tcPr>
          <w:p w14:paraId="4613682B" w14:textId="5D069B8C" w:rsidR="002B32A0" w:rsidRPr="00CE1D7F" w:rsidRDefault="002B32A0" w:rsidP="00EA53FC">
            <w:pPr>
              <w:pStyle w:val="Tabletext"/>
              <w:ind w:left="297" w:hanging="297"/>
            </w:pPr>
            <w:r w:rsidRPr="00CE1D7F">
              <w:t xml:space="preserve">5. </w:t>
            </w:r>
            <w:r w:rsidR="00EA53FC">
              <w:tab/>
            </w:r>
            <w:r w:rsidRPr="00CE1D7F">
              <w:t>How would the capacity of Australian research to support economic, environmental, social and other impacts be affected by the absence of the NCGP?</w:t>
            </w:r>
          </w:p>
        </w:tc>
        <w:tc>
          <w:tcPr>
            <w:tcW w:w="2992" w:type="pct"/>
          </w:tcPr>
          <w:p w14:paraId="71901A0D" w14:textId="77777777" w:rsidR="002B32A0" w:rsidRPr="00CE1D7F" w:rsidRDefault="002B32A0" w:rsidP="002B32A0">
            <w:pPr>
              <w:pStyle w:val="Tablelistbullet"/>
              <w:ind w:left="280" w:hanging="280"/>
            </w:pPr>
            <w:r w:rsidRPr="00CE1D7F">
              <w:t>Extent to which the capacity of Australian research to support economic, environmental, social and other impacts would be affected by the absence of the NCGP</w:t>
            </w:r>
          </w:p>
        </w:tc>
      </w:tr>
      <w:tr w:rsidR="002B32A0" w:rsidRPr="00CE1D7F" w14:paraId="2C5F884A" w14:textId="77777777" w:rsidTr="000B0AC7">
        <w:tc>
          <w:tcPr>
            <w:tcW w:w="2008" w:type="pct"/>
            <w:tcMar>
              <w:left w:w="80" w:type="dxa"/>
            </w:tcMar>
          </w:tcPr>
          <w:p w14:paraId="1990590E" w14:textId="1226D900" w:rsidR="002B32A0" w:rsidRPr="00CE1D7F" w:rsidRDefault="002B32A0" w:rsidP="00EA53FC">
            <w:pPr>
              <w:pStyle w:val="Tabletext"/>
              <w:ind w:left="297" w:hanging="297"/>
            </w:pPr>
            <w:r w:rsidRPr="00CE1D7F">
              <w:t xml:space="preserve">6. </w:t>
            </w:r>
            <w:r w:rsidR="00EA53FC">
              <w:tab/>
            </w:r>
            <w:r w:rsidRPr="00CE1D7F">
              <w:t>How would the level and nature of the economic, environmental, social and other impacts delivered through Australian research be affected if the level of funding administered through the NCGP were to change?</w:t>
            </w:r>
          </w:p>
        </w:tc>
        <w:tc>
          <w:tcPr>
            <w:tcW w:w="2992" w:type="pct"/>
          </w:tcPr>
          <w:p w14:paraId="51B51E7D" w14:textId="77777777" w:rsidR="002B32A0" w:rsidRPr="00CE1D7F" w:rsidRDefault="002B32A0" w:rsidP="002B32A0">
            <w:pPr>
              <w:pStyle w:val="Tablelistbullet"/>
              <w:ind w:left="280" w:hanging="280"/>
            </w:pPr>
            <w:r w:rsidRPr="00CE1D7F">
              <w:t>Extent to which the economic, environmental, social and other impacts would be affected by changes in NCGP funding levels</w:t>
            </w:r>
          </w:p>
        </w:tc>
      </w:tr>
      <w:tr w:rsidR="002B32A0" w:rsidRPr="00CE1D7F" w14:paraId="53668B19" w14:textId="77777777" w:rsidTr="000B0AC7">
        <w:tc>
          <w:tcPr>
            <w:tcW w:w="5000" w:type="pct"/>
            <w:gridSpan w:val="2"/>
            <w:tcMar>
              <w:left w:w="80" w:type="dxa"/>
            </w:tcMar>
          </w:tcPr>
          <w:p w14:paraId="67FC416B" w14:textId="77777777" w:rsidR="002B32A0" w:rsidRPr="00CE1D7F" w:rsidRDefault="002B32A0" w:rsidP="006258ED">
            <w:pPr>
              <w:pStyle w:val="Tabletext"/>
              <w:rPr>
                <w:b/>
                <w:bCs/>
              </w:rPr>
            </w:pPr>
            <w:r w:rsidRPr="00CE1D7F">
              <w:rPr>
                <w:b/>
                <w:bCs/>
              </w:rPr>
              <w:t>Improving the delivery of research impacts and ongoing impact assessment</w:t>
            </w:r>
          </w:p>
        </w:tc>
      </w:tr>
      <w:tr w:rsidR="002B32A0" w:rsidRPr="00CE1D7F" w14:paraId="4B4588FA" w14:textId="77777777" w:rsidTr="000B0AC7">
        <w:tc>
          <w:tcPr>
            <w:tcW w:w="2008" w:type="pct"/>
            <w:tcMar>
              <w:left w:w="80" w:type="dxa"/>
            </w:tcMar>
          </w:tcPr>
          <w:p w14:paraId="1FF32722" w14:textId="2962C147" w:rsidR="002B32A0" w:rsidRPr="00CE1D7F" w:rsidRDefault="002B32A0" w:rsidP="00EA53FC">
            <w:pPr>
              <w:pStyle w:val="Tabletext"/>
              <w:ind w:left="297" w:hanging="297"/>
            </w:pPr>
            <w:r w:rsidRPr="00CE1D7F">
              <w:t xml:space="preserve">7. </w:t>
            </w:r>
            <w:r w:rsidR="00EA53FC">
              <w:tab/>
            </w:r>
            <w:r w:rsidRPr="00CE1D7F">
              <w:t xml:space="preserve">What, if any, lessons can be learnt to improve the NCGP’s effectiveness in delivering outcomes and impacts from the research it funds? </w:t>
            </w:r>
          </w:p>
        </w:tc>
        <w:tc>
          <w:tcPr>
            <w:tcW w:w="2992" w:type="pct"/>
          </w:tcPr>
          <w:p w14:paraId="4E311027" w14:textId="77777777" w:rsidR="002B32A0" w:rsidRPr="00CE1D7F" w:rsidRDefault="002B32A0" w:rsidP="002B32A0">
            <w:pPr>
              <w:pStyle w:val="Tablelistbullet"/>
              <w:ind w:left="280" w:hanging="280"/>
            </w:pPr>
            <w:r w:rsidRPr="00CE1D7F">
              <w:t>Identification of lessons to improve the NCGP’s effectiveness in delivering outcomes and impacts from funded research</w:t>
            </w:r>
          </w:p>
        </w:tc>
      </w:tr>
      <w:tr w:rsidR="002B32A0" w:rsidRPr="00CE1D7F" w14:paraId="65107DA5" w14:textId="77777777" w:rsidTr="000B0AC7">
        <w:tc>
          <w:tcPr>
            <w:tcW w:w="2008" w:type="pct"/>
            <w:tcMar>
              <w:left w:w="80" w:type="dxa"/>
            </w:tcMar>
          </w:tcPr>
          <w:p w14:paraId="45A4AC5F" w14:textId="0FB7A408" w:rsidR="002B32A0" w:rsidRPr="00CE1D7F" w:rsidRDefault="002B32A0" w:rsidP="00EA53FC">
            <w:pPr>
              <w:pStyle w:val="Tabletext"/>
              <w:ind w:left="297" w:hanging="297"/>
            </w:pPr>
            <w:r w:rsidRPr="00CE1D7F">
              <w:t xml:space="preserve">8. </w:t>
            </w:r>
            <w:r w:rsidR="00EA53FC">
              <w:tab/>
            </w:r>
            <w:r w:rsidRPr="00CE1D7F">
              <w:t>What improvements, if any, could be made to the data and/or data collection methodologies the ARC uses to assess the outcomes and impacts of NCGP-funded research? What data points/metrics could the ARC collect to better inform future impact assessment work?</w:t>
            </w:r>
          </w:p>
        </w:tc>
        <w:tc>
          <w:tcPr>
            <w:tcW w:w="2992" w:type="pct"/>
          </w:tcPr>
          <w:p w14:paraId="59759246" w14:textId="77777777" w:rsidR="002B32A0" w:rsidRPr="00CE1D7F" w:rsidRDefault="002B32A0" w:rsidP="00EA53FC">
            <w:pPr>
              <w:pStyle w:val="Tablelistbullet"/>
            </w:pPr>
            <w:r w:rsidRPr="00CE1D7F">
              <w:t>Identification of improvements to data and/or data collection methodologies to assess the outcomes and impacts of NCGP-funded research</w:t>
            </w:r>
          </w:p>
          <w:p w14:paraId="0E797880" w14:textId="77777777" w:rsidR="002B32A0" w:rsidRPr="00CE1D7F" w:rsidRDefault="002B32A0" w:rsidP="00EA53FC">
            <w:pPr>
              <w:pStyle w:val="Tablelistbullet"/>
            </w:pPr>
            <w:r w:rsidRPr="00CE1D7F">
              <w:t>Identification of data points/metrics that the ARC could collect to better inform future impact assessment work</w:t>
            </w:r>
          </w:p>
        </w:tc>
      </w:tr>
      <w:tr w:rsidR="002B32A0" w:rsidRPr="00CE1D7F" w14:paraId="1174476C" w14:textId="77777777" w:rsidTr="000B0AC7">
        <w:tc>
          <w:tcPr>
            <w:tcW w:w="2008" w:type="pct"/>
            <w:tcMar>
              <w:left w:w="80" w:type="dxa"/>
            </w:tcMar>
          </w:tcPr>
          <w:p w14:paraId="44B11728" w14:textId="20FA5E5A" w:rsidR="002B32A0" w:rsidRPr="00CE1D7F" w:rsidRDefault="002B32A0" w:rsidP="00EA53FC">
            <w:pPr>
              <w:pStyle w:val="Tabletext"/>
              <w:ind w:left="297" w:hanging="297"/>
            </w:pPr>
            <w:r w:rsidRPr="00CE1D7F">
              <w:t xml:space="preserve">9. </w:t>
            </w:r>
            <w:r w:rsidR="00EA53FC">
              <w:tab/>
            </w:r>
            <w:r w:rsidRPr="00CE1D7F">
              <w:t>What improvements, if any, could be made to the ways the ARC communicates the outcomes and impacts of NCGP-funded research?</w:t>
            </w:r>
          </w:p>
        </w:tc>
        <w:tc>
          <w:tcPr>
            <w:tcW w:w="2992" w:type="pct"/>
          </w:tcPr>
          <w:p w14:paraId="58D228CE" w14:textId="77777777" w:rsidR="002B32A0" w:rsidRPr="00CE1D7F" w:rsidRDefault="002B32A0" w:rsidP="002B32A0">
            <w:pPr>
              <w:pStyle w:val="Tablelistbullet"/>
              <w:ind w:left="280" w:hanging="280"/>
            </w:pPr>
            <w:r w:rsidRPr="00CE1D7F">
              <w:t xml:space="preserve">Identification of improvements to ARC communication of the outcomes and impacts of NCGP-funded research </w:t>
            </w:r>
          </w:p>
        </w:tc>
      </w:tr>
    </w:tbl>
    <w:bookmarkEnd w:id="658"/>
    <w:p w14:paraId="57C375ED" w14:textId="77777777" w:rsidR="000B0AC7" w:rsidRPr="00CE1D7F" w:rsidRDefault="000B0AC7" w:rsidP="000B0AC7">
      <w:pPr>
        <w:pStyle w:val="Source"/>
        <w:ind w:left="-1710"/>
      </w:pPr>
      <w:r w:rsidRPr="00CE1D7F">
        <w:t>Source: ACIL Allen, RFQ</w:t>
      </w:r>
    </w:p>
    <w:p w14:paraId="1364D93B" w14:textId="77777777" w:rsidR="002B32A0" w:rsidRPr="00CE1D7F" w:rsidRDefault="002B32A0" w:rsidP="002B32A0">
      <w:pPr>
        <w:pStyle w:val="BodyText"/>
      </w:pPr>
    </w:p>
    <w:p w14:paraId="1EEE6E26" w14:textId="77777777" w:rsidR="002B32A0" w:rsidRPr="00CE1D7F" w:rsidRDefault="002B32A0" w:rsidP="002B32A0">
      <w:pPr>
        <w:pStyle w:val="BodyText"/>
      </w:pPr>
    </w:p>
    <w:p w14:paraId="3C0466BF" w14:textId="77777777" w:rsidR="002B32A0" w:rsidRPr="00CE1D7F" w:rsidRDefault="002B32A0" w:rsidP="002B32A0">
      <w:pPr>
        <w:pStyle w:val="BodyText"/>
        <w:sectPr w:rsidR="002B32A0" w:rsidRPr="00CE1D7F" w:rsidSect="00AA5E25">
          <w:headerReference w:type="even" r:id="rId254"/>
          <w:headerReference w:type="default" r:id="rId255"/>
          <w:footerReference w:type="even" r:id="rId256"/>
          <w:footerReference w:type="default" r:id="rId257"/>
          <w:headerReference w:type="first" r:id="rId258"/>
          <w:footerReference w:type="first" r:id="rId259"/>
          <w:pgSz w:w="11906" w:h="16838" w:code="9"/>
          <w:pgMar w:top="1134" w:right="851" w:bottom="1134" w:left="3119" w:header="454" w:footer="159" w:gutter="0"/>
          <w:pgNumType w:start="1" w:chapStyle="9"/>
          <w:cols w:space="708"/>
          <w:docGrid w:linePitch="360"/>
        </w:sectPr>
      </w:pPr>
    </w:p>
    <w:p w14:paraId="3A9D5947" w14:textId="77777777" w:rsidR="000B0AC7" w:rsidRPr="000B0AC7" w:rsidRDefault="000B0AC7" w:rsidP="000B0AC7">
      <w:pPr>
        <w:pStyle w:val="Heading9"/>
        <w:ind w:left="0" w:hanging="600"/>
      </w:pPr>
      <w:bookmarkStart w:id="659" w:name="_Toc135323776"/>
      <w:r w:rsidRPr="000B0AC7">
        <w:t>Beneficiaries of NCGP-funded research</w:t>
      </w:r>
      <w:bookmarkEnd w:id="659"/>
      <w:r w:rsidRPr="000B0AC7">
        <w:t xml:space="preserve"> </w:t>
      </w:r>
    </w:p>
    <w:p w14:paraId="23C8AF33" w14:textId="77777777" w:rsidR="002B32A0" w:rsidRPr="00CE1D7F" w:rsidRDefault="002B32A0" w:rsidP="002B32A0">
      <w:pPr>
        <w:pStyle w:val="Heading2AP"/>
      </w:pPr>
      <w:bookmarkStart w:id="660" w:name="_Toc129964049"/>
      <w:bookmarkStart w:id="661" w:name="_Toc131174687"/>
      <w:bookmarkStart w:id="662" w:name="_Toc132970738"/>
      <w:bookmarkStart w:id="663" w:name="_Toc135323777"/>
      <w:r w:rsidRPr="00CE1D7F">
        <w:t>Who benefits?</w:t>
      </w:r>
      <w:bookmarkEnd w:id="660"/>
      <w:bookmarkEnd w:id="661"/>
      <w:bookmarkEnd w:id="662"/>
      <w:bookmarkEnd w:id="663"/>
    </w:p>
    <w:p w14:paraId="64F60693" w14:textId="77777777" w:rsidR="002B32A0" w:rsidRPr="00CE1D7F" w:rsidRDefault="002B32A0" w:rsidP="002B32A0">
      <w:pPr>
        <w:pStyle w:val="BodyText"/>
      </w:pPr>
      <w:r w:rsidRPr="00CE1D7F">
        <w:t xml:space="preserve">Who benefits from ARC-funded research is a key consideration underpinning impact. Domestic </w:t>
      </w:r>
      <w:r w:rsidRPr="00CE1D7F">
        <w:rPr>
          <w:lang w:eastAsia="en-AU"/>
        </w:rPr>
        <w:t xml:space="preserve">stakeholders consulted for this </w:t>
      </w:r>
      <w:r w:rsidRPr="00CE1D7F">
        <w:t>considered that the research's end-users and beneficiaries included the government, research, industry, business and non-profit sectors. However, they could not meaningfully articulate the beneficiaries at an aggregate level due to the multitude of projects funded (approximately 29,000), the broad nature of the research conducted across the NCGP, and the diversity in research partners and end-users.</w:t>
      </w:r>
    </w:p>
    <w:p w14:paraId="4D672771" w14:textId="4DFA1812" w:rsidR="002B32A0" w:rsidRPr="00CE1D7F" w:rsidRDefault="002B32A0" w:rsidP="002B32A0">
      <w:pPr>
        <w:pStyle w:val="BodyText"/>
      </w:pPr>
      <w:r w:rsidRPr="00CE1D7F">
        <w:t xml:space="preserve">An analysis of final report data supports these stakeholder comments. </w:t>
      </w:r>
      <w:r w:rsidRPr="00F87D0E">
        <w:fldChar w:fldCharType="begin"/>
      </w:r>
      <w:r w:rsidRPr="00F87D0E">
        <w:instrText xml:space="preserve"> REF _Ref129855797 \h  \* MERGEFORMAT </w:instrText>
      </w:r>
      <w:r w:rsidRPr="00F87D0E">
        <w:fldChar w:fldCharType="separate"/>
      </w:r>
      <w:r w:rsidR="000B0AC7" w:rsidRPr="000B0AC7">
        <w:t>Figure B.1</w:t>
      </w:r>
      <w:r w:rsidRPr="00F87D0E">
        <w:fldChar w:fldCharType="end"/>
      </w:r>
      <w:r w:rsidRPr="00CE1D7F">
        <w:t xml:space="preserve"> provides a breakdown of beneficiaries for Discovery and Linkage Programs. Discovery Program projects commonly reported delivering impacts to recipients in the academic sector, general public and government. Linkage Program projects reported delivering impacts to the academic sector, partner organisations, and private sector companies. Linkage Program projects report a higher proportion of beneficiaries in almost all beneficiary types, except for the academic sector. This also aligns with the survey data discussed in </w:t>
      </w:r>
      <w:r>
        <w:t>section </w:t>
      </w:r>
      <w:r w:rsidRPr="00F87D0E">
        <w:fldChar w:fldCharType="begin"/>
      </w:r>
      <w:r w:rsidRPr="00F87D0E">
        <w:instrText xml:space="preserve"> REF _Ref129358438 \r \h  \* MERGEFORMAT </w:instrText>
      </w:r>
      <w:r w:rsidRPr="00F87D0E">
        <w:fldChar w:fldCharType="separate"/>
      </w:r>
      <w:r w:rsidR="000B0AC7">
        <w:t>2.2</w:t>
      </w:r>
      <w:r w:rsidRPr="00F87D0E">
        <w:fldChar w:fldCharType="end"/>
      </w:r>
      <w:r w:rsidRPr="00CE1D7F">
        <w:t xml:space="preserve">, which shows the breadth of sectors that have or are likely to experience commercial outcomes from NCGP-funded research. </w:t>
      </w:r>
    </w:p>
    <w:p w14:paraId="2CCE8650" w14:textId="640C8BB6" w:rsidR="000B0AC7" w:rsidRPr="00CE1D7F" w:rsidRDefault="000B0AC7" w:rsidP="000B0AC7">
      <w:pPr>
        <w:pStyle w:val="Caption"/>
        <w:ind w:left="1308" w:hanging="1308"/>
      </w:pPr>
      <w:bookmarkStart w:id="664" w:name="_Ref129855797"/>
      <w:r w:rsidRPr="00CE1D7F">
        <w:rPr>
          <w:rStyle w:val="CaptionLabel"/>
        </w:rPr>
        <w:t>Figure </w:t>
      </w:r>
      <w:r>
        <w:rPr>
          <w:rStyle w:val="CaptionLabel"/>
        </w:rPr>
        <w:fldChar w:fldCharType="begin"/>
      </w:r>
      <w:r>
        <w:rPr>
          <w:rStyle w:val="CaptionLabel"/>
        </w:rPr>
        <w:instrText xml:space="preserve"> STYLEREF 9 \s </w:instrText>
      </w:r>
      <w:r>
        <w:rPr>
          <w:rStyle w:val="CaptionLabel"/>
        </w:rPr>
        <w:fldChar w:fldCharType="separate"/>
      </w:r>
      <w:r>
        <w:rPr>
          <w:rStyle w:val="CaptionLabel"/>
          <w:noProof/>
        </w:rPr>
        <w:t>B</w:t>
      </w:r>
      <w:r>
        <w:rPr>
          <w:rStyle w:val="CaptionLabel"/>
        </w:rPr>
        <w:fldChar w:fldCharType="end"/>
      </w:r>
      <w:r>
        <w:rPr>
          <w:rStyle w:val="CaptionLabel"/>
        </w:rPr>
        <w:t>.</w:t>
      </w:r>
      <w:r>
        <w:rPr>
          <w:rStyle w:val="CaptionLabel"/>
        </w:rPr>
        <w:fldChar w:fldCharType="begin"/>
      </w:r>
      <w:r>
        <w:rPr>
          <w:rStyle w:val="CaptionLabel"/>
        </w:rPr>
        <w:instrText xml:space="preserve"> SEQ Figure_AP \* ARABIC \s 9 </w:instrText>
      </w:r>
      <w:r>
        <w:rPr>
          <w:rStyle w:val="CaptionLabel"/>
        </w:rPr>
        <w:fldChar w:fldCharType="separate"/>
      </w:r>
      <w:r>
        <w:rPr>
          <w:rStyle w:val="CaptionLabel"/>
          <w:noProof/>
        </w:rPr>
        <w:t>1</w:t>
      </w:r>
      <w:r>
        <w:rPr>
          <w:rStyle w:val="CaptionLabel"/>
        </w:rPr>
        <w:fldChar w:fldCharType="end"/>
      </w:r>
      <w:bookmarkEnd w:id="664"/>
      <w:r w:rsidRPr="00CE1D7F">
        <w:tab/>
        <w:t>Final report data on the type of beneficiary by Discovery and Linkage Programs</w:t>
      </w:r>
    </w:p>
    <w:tbl>
      <w:tblPr>
        <w:tblW w:w="0" w:type="auto"/>
        <w:tblLayout w:type="fixed"/>
        <w:tblLook w:val="0000" w:firstRow="0" w:lastRow="0" w:firstColumn="0" w:lastColumn="0" w:noHBand="0" w:noVBand="0"/>
      </w:tblPr>
      <w:tblGrid>
        <w:gridCol w:w="7936"/>
      </w:tblGrid>
      <w:tr w:rsidR="002B32A0" w:rsidRPr="00CE1D7F" w14:paraId="7C496E7F" w14:textId="77777777" w:rsidTr="006258ED">
        <w:tc>
          <w:tcPr>
            <w:tcW w:w="7936" w:type="dxa"/>
            <w:tcBorders>
              <w:top w:val="single" w:sz="4" w:space="0" w:color="000100"/>
            </w:tcBorders>
            <w:shd w:val="clear" w:color="auto" w:fill="auto"/>
          </w:tcPr>
          <w:p w14:paraId="7E7C294D" w14:textId="77777777" w:rsidR="002B32A0" w:rsidRPr="00CE1D7F" w:rsidRDefault="002B32A0" w:rsidP="006258ED">
            <w:pPr>
              <w:pStyle w:val="Figure"/>
              <w:jc w:val="center"/>
            </w:pPr>
            <w:r w:rsidRPr="00CE1D7F">
              <w:rPr>
                <w:noProof/>
              </w:rPr>
              <w:drawing>
                <wp:inline distT="0" distB="0" distL="0" distR="0" wp14:anchorId="3062481F" wp14:editId="746D7C40">
                  <wp:extent cx="5000112" cy="2777797"/>
                  <wp:effectExtent l="0" t="0" r="0" b="3810"/>
                  <wp:docPr id="616" name="Picture 616" descr="Final report data on the type of beneficiary by Discovery and Linkage Programs, see description in text abov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 name="Picture 616" descr="Final report data on the type of beneficiary by Discovery and Linkage Programs, see description in text above figure."/>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015542" cy="2786369"/>
                          </a:xfrm>
                          <a:prstGeom prst="rect">
                            <a:avLst/>
                          </a:prstGeom>
                          <a:noFill/>
                        </pic:spPr>
                      </pic:pic>
                    </a:graphicData>
                  </a:graphic>
                </wp:inline>
              </w:drawing>
            </w:r>
          </w:p>
        </w:tc>
      </w:tr>
      <w:tr w:rsidR="002B32A0" w:rsidRPr="00CE1D7F" w14:paraId="1F6F714F" w14:textId="77777777" w:rsidTr="006258ED">
        <w:tblPrEx>
          <w:tblCellMar>
            <w:left w:w="0" w:type="dxa"/>
            <w:right w:w="0" w:type="dxa"/>
          </w:tblCellMar>
        </w:tblPrEx>
        <w:trPr>
          <w:trHeight w:val="135"/>
        </w:trPr>
        <w:tc>
          <w:tcPr>
            <w:tcW w:w="7936" w:type="dxa"/>
            <w:tcBorders>
              <w:bottom w:val="single" w:sz="4" w:space="0" w:color="000100"/>
            </w:tcBorders>
            <w:shd w:val="clear" w:color="auto" w:fill="auto"/>
            <w:tcMar>
              <w:top w:w="12" w:type="dxa"/>
              <w:bottom w:w="113" w:type="dxa"/>
            </w:tcMar>
          </w:tcPr>
          <w:p w14:paraId="28210456" w14:textId="77777777" w:rsidR="002B32A0" w:rsidRPr="00CE1D7F" w:rsidRDefault="002B32A0" w:rsidP="006258ED">
            <w:pPr>
              <w:pStyle w:val="Source"/>
              <w:rPr>
                <w:i w:val="0"/>
                <w:iCs/>
              </w:rPr>
            </w:pPr>
            <w:r w:rsidRPr="00CE1D7F">
              <w:rPr>
                <w:i w:val="0"/>
                <w:iCs/>
              </w:rPr>
              <w:t>N=3,974 final reports. Note</w:t>
            </w:r>
            <w:r>
              <w:rPr>
                <w:i w:val="0"/>
                <w:iCs/>
              </w:rPr>
              <w:t xml:space="preserve"> is available from 2014 onwards</w:t>
            </w:r>
            <w:r w:rsidRPr="00CE1D7F">
              <w:rPr>
                <w:i w:val="0"/>
                <w:iCs/>
              </w:rPr>
              <w:t xml:space="preserve">. </w:t>
            </w:r>
          </w:p>
          <w:p w14:paraId="15B01702" w14:textId="77777777" w:rsidR="002B32A0" w:rsidRPr="00CE1D7F" w:rsidRDefault="002B32A0" w:rsidP="006258ED">
            <w:pPr>
              <w:pStyle w:val="Source"/>
            </w:pPr>
            <w:r w:rsidRPr="00CE1D7F">
              <w:t>Source: ACIL Allen’s analysis of ARC Final Reports for grants awarded between 2002 and 2021 (with an ARC-approved Final Report by 30 June 2022).</w:t>
            </w:r>
          </w:p>
        </w:tc>
      </w:tr>
      <w:tr w:rsidR="002B32A0" w:rsidRPr="00CE1D7F" w14:paraId="5D889272" w14:textId="77777777" w:rsidTr="006258ED">
        <w:tblPrEx>
          <w:tblCellMar>
            <w:left w:w="0" w:type="dxa"/>
            <w:right w:w="0" w:type="dxa"/>
          </w:tblCellMar>
        </w:tblPrEx>
        <w:trPr>
          <w:trHeight w:hRule="exact" w:val="160"/>
        </w:trPr>
        <w:tc>
          <w:tcPr>
            <w:tcW w:w="7936" w:type="dxa"/>
            <w:tcBorders>
              <w:top w:val="single" w:sz="4" w:space="0" w:color="000100"/>
            </w:tcBorders>
            <w:shd w:val="clear" w:color="auto" w:fill="auto"/>
            <w:tcMar>
              <w:top w:w="0" w:type="dxa"/>
              <w:bottom w:w="40" w:type="dxa"/>
            </w:tcMar>
          </w:tcPr>
          <w:p w14:paraId="115AA56A" w14:textId="77777777" w:rsidR="002B32A0" w:rsidRPr="00CE1D7F" w:rsidRDefault="002B32A0" w:rsidP="006258ED">
            <w:pPr>
              <w:pStyle w:val="spacer"/>
            </w:pPr>
          </w:p>
        </w:tc>
      </w:tr>
    </w:tbl>
    <w:p w14:paraId="5B670F6E" w14:textId="5808DD20" w:rsidR="002B32A0" w:rsidRPr="00CE1D7F" w:rsidRDefault="002B32A0" w:rsidP="002B32A0">
      <w:pPr>
        <w:pStyle w:val="BodyText"/>
      </w:pPr>
      <w:r w:rsidRPr="00CE1D7F">
        <w:t xml:space="preserve">End-users benefit from the research in a range of ways (see </w:t>
      </w:r>
      <w:bookmarkStart w:id="665" w:name="_Hlk122076100"/>
      <w:r w:rsidRPr="00F87D0E">
        <w:fldChar w:fldCharType="begin"/>
      </w:r>
      <w:r w:rsidRPr="00F87D0E">
        <w:instrText xml:space="preserve"> REF _Ref131079546 \h  \* MERGEFORMAT </w:instrText>
      </w:r>
      <w:r w:rsidRPr="00F87D0E">
        <w:fldChar w:fldCharType="separate"/>
      </w:r>
      <w:r w:rsidR="000B0AC7" w:rsidRPr="000B0AC7">
        <w:t>Figure B.2</w:t>
      </w:r>
      <w:r w:rsidRPr="00F87D0E">
        <w:fldChar w:fldCharType="end"/>
      </w:r>
      <w:r w:rsidRPr="00CE1D7F">
        <w:t xml:space="preserve">), including using Linkage Program results to advise decision makers (57% of </w:t>
      </w:r>
      <w:r>
        <w:t>partner organisations</w:t>
      </w:r>
      <w:r w:rsidRPr="00CE1D7F">
        <w:t xml:space="preserve">) and improve processes/services (44%). </w:t>
      </w:r>
    </w:p>
    <w:p w14:paraId="5D4A8119" w14:textId="6832674C" w:rsidR="000B0AC7" w:rsidRPr="00CE1D7F" w:rsidRDefault="000B0AC7" w:rsidP="000B0AC7">
      <w:pPr>
        <w:pStyle w:val="Caption"/>
        <w:ind w:left="1308" w:hanging="1308"/>
      </w:pPr>
      <w:bookmarkStart w:id="666" w:name="_Ref131079546"/>
      <w:bookmarkStart w:id="667" w:name="_Ref122596767"/>
      <w:r w:rsidRPr="00CE1D7F">
        <w:rPr>
          <w:rStyle w:val="CaptionLabel"/>
        </w:rPr>
        <w:t>Figure </w:t>
      </w:r>
      <w:r>
        <w:rPr>
          <w:rStyle w:val="CaptionLabel"/>
        </w:rPr>
        <w:fldChar w:fldCharType="begin"/>
      </w:r>
      <w:r>
        <w:rPr>
          <w:rStyle w:val="CaptionLabel"/>
        </w:rPr>
        <w:instrText xml:space="preserve"> STYLEREF 9 \s </w:instrText>
      </w:r>
      <w:r>
        <w:rPr>
          <w:rStyle w:val="CaptionLabel"/>
        </w:rPr>
        <w:fldChar w:fldCharType="separate"/>
      </w:r>
      <w:r>
        <w:rPr>
          <w:rStyle w:val="CaptionLabel"/>
          <w:noProof/>
        </w:rPr>
        <w:t>B</w:t>
      </w:r>
      <w:r>
        <w:rPr>
          <w:rStyle w:val="CaptionLabel"/>
        </w:rPr>
        <w:fldChar w:fldCharType="end"/>
      </w:r>
      <w:r>
        <w:rPr>
          <w:rStyle w:val="CaptionLabel"/>
        </w:rPr>
        <w:t>.</w:t>
      </w:r>
      <w:r>
        <w:rPr>
          <w:rStyle w:val="CaptionLabel"/>
        </w:rPr>
        <w:fldChar w:fldCharType="begin"/>
      </w:r>
      <w:r>
        <w:rPr>
          <w:rStyle w:val="CaptionLabel"/>
        </w:rPr>
        <w:instrText xml:space="preserve"> SEQ Figure_AP \* ARABIC \s 9 </w:instrText>
      </w:r>
      <w:r>
        <w:rPr>
          <w:rStyle w:val="CaptionLabel"/>
        </w:rPr>
        <w:fldChar w:fldCharType="separate"/>
      </w:r>
      <w:r>
        <w:rPr>
          <w:rStyle w:val="CaptionLabel"/>
          <w:noProof/>
        </w:rPr>
        <w:t>2</w:t>
      </w:r>
      <w:r>
        <w:rPr>
          <w:rStyle w:val="CaptionLabel"/>
        </w:rPr>
        <w:fldChar w:fldCharType="end"/>
      </w:r>
      <w:bookmarkEnd w:id="666"/>
      <w:bookmarkEnd w:id="667"/>
      <w:r w:rsidRPr="00CE1D7F">
        <w:tab/>
        <w:t xml:space="preserve">Final report data on the proportion of </w:t>
      </w:r>
      <w:r>
        <w:t>partner organisations</w:t>
      </w:r>
      <w:r w:rsidRPr="00CE1D7F">
        <w:t xml:space="preserve"> </w:t>
      </w:r>
      <w:r>
        <w:t xml:space="preserve">that </w:t>
      </w:r>
      <w:r w:rsidRPr="00CE1D7F">
        <w:t>used the results for developing products, training, providing advice, improving processes/services and other</w:t>
      </w:r>
    </w:p>
    <w:tbl>
      <w:tblPr>
        <w:tblW w:w="7936" w:type="dxa"/>
        <w:tblLayout w:type="fixed"/>
        <w:tblLook w:val="0000" w:firstRow="0" w:lastRow="0" w:firstColumn="0" w:lastColumn="0" w:noHBand="0" w:noVBand="0"/>
      </w:tblPr>
      <w:tblGrid>
        <w:gridCol w:w="7936"/>
      </w:tblGrid>
      <w:tr w:rsidR="002B32A0" w:rsidRPr="00CE1D7F" w14:paraId="3847F8FD" w14:textId="77777777" w:rsidTr="006258ED">
        <w:tc>
          <w:tcPr>
            <w:tcW w:w="7936" w:type="dxa"/>
            <w:tcBorders>
              <w:top w:val="single" w:sz="4" w:space="0" w:color="000100"/>
            </w:tcBorders>
            <w:shd w:val="clear" w:color="auto" w:fill="auto"/>
          </w:tcPr>
          <w:p w14:paraId="5EBA9DE3" w14:textId="77777777" w:rsidR="002B32A0" w:rsidRPr="00CE1D7F" w:rsidRDefault="002B32A0" w:rsidP="006258ED">
            <w:pPr>
              <w:pStyle w:val="Figure"/>
              <w:jc w:val="center"/>
            </w:pPr>
            <w:r>
              <w:rPr>
                <w:noProof/>
              </w:rPr>
              <w:drawing>
                <wp:inline distT="0" distB="0" distL="0" distR="0" wp14:anchorId="4B8D39A7" wp14:editId="4C05F714">
                  <wp:extent cx="4901565" cy="1804670"/>
                  <wp:effectExtent l="0" t="0" r="0" b="5080"/>
                  <wp:docPr id="830" name="Picture 830" descr="Final report data on the proportion of partner organisations that used the results for developing products, training, providing advice, improving processes/services and other, see description in text abov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 name="Picture 830" descr="Final report data on the proportion of partner organisations that used the results for developing products, training, providing advice, improving processes/services and other, see description in text above figure."/>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4901565" cy="1804670"/>
                          </a:xfrm>
                          <a:prstGeom prst="rect">
                            <a:avLst/>
                          </a:prstGeom>
                          <a:noFill/>
                        </pic:spPr>
                      </pic:pic>
                    </a:graphicData>
                  </a:graphic>
                </wp:inline>
              </w:drawing>
            </w:r>
          </w:p>
        </w:tc>
      </w:tr>
      <w:tr w:rsidR="002B32A0" w:rsidRPr="00CE1D7F" w14:paraId="73ED9FF9" w14:textId="77777777" w:rsidTr="006258ED">
        <w:tblPrEx>
          <w:tblCellMar>
            <w:left w:w="0" w:type="dxa"/>
            <w:right w:w="0" w:type="dxa"/>
          </w:tblCellMar>
        </w:tblPrEx>
        <w:trPr>
          <w:trHeight w:val="137"/>
        </w:trPr>
        <w:tc>
          <w:tcPr>
            <w:tcW w:w="7936" w:type="dxa"/>
            <w:tcBorders>
              <w:bottom w:val="single" w:sz="4" w:space="0" w:color="000100"/>
            </w:tcBorders>
            <w:shd w:val="clear" w:color="auto" w:fill="auto"/>
            <w:tcMar>
              <w:top w:w="12" w:type="dxa"/>
              <w:bottom w:w="113" w:type="dxa"/>
            </w:tcMar>
          </w:tcPr>
          <w:p w14:paraId="3C27CE7D" w14:textId="77777777" w:rsidR="002B32A0" w:rsidRPr="00CE1D7F" w:rsidRDefault="002B32A0" w:rsidP="006258ED">
            <w:pPr>
              <w:pStyle w:val="Source"/>
              <w:rPr>
                <w:i w:val="0"/>
                <w:iCs/>
              </w:rPr>
            </w:pPr>
            <w:r w:rsidRPr="00CE1D7F">
              <w:rPr>
                <w:i w:val="0"/>
                <w:iCs/>
              </w:rPr>
              <w:t>N=664 final reports. Data is only available for Linkage Program (ARC Centres of Excellence, Industrial Transformation Training Centres, Industrial Transformation Research Hubs, and Linkage Projects).</w:t>
            </w:r>
          </w:p>
          <w:p w14:paraId="5E295D50" w14:textId="77777777" w:rsidR="002B32A0" w:rsidRPr="00CE1D7F" w:rsidRDefault="002B32A0" w:rsidP="006258ED">
            <w:pPr>
              <w:pStyle w:val="Source"/>
            </w:pPr>
            <w:r w:rsidRPr="00CE1D7F">
              <w:t>Source: ACIL Allen’s analysis of ARC Final Reports for grants awarded between 2002 and 2021 (with an ARC-approved Final Report by 30 June 2022).</w:t>
            </w:r>
          </w:p>
        </w:tc>
      </w:tr>
      <w:tr w:rsidR="002B32A0" w:rsidRPr="00CE1D7F" w14:paraId="09140E37" w14:textId="77777777" w:rsidTr="006258ED">
        <w:tblPrEx>
          <w:tblCellMar>
            <w:left w:w="0" w:type="dxa"/>
            <w:right w:w="0" w:type="dxa"/>
          </w:tblCellMar>
        </w:tblPrEx>
        <w:trPr>
          <w:trHeight w:hRule="exact" w:val="160"/>
        </w:trPr>
        <w:tc>
          <w:tcPr>
            <w:tcW w:w="7936" w:type="dxa"/>
            <w:tcBorders>
              <w:top w:val="single" w:sz="4" w:space="0" w:color="000100"/>
            </w:tcBorders>
            <w:shd w:val="clear" w:color="auto" w:fill="auto"/>
            <w:tcMar>
              <w:top w:w="0" w:type="dxa"/>
              <w:bottom w:w="40" w:type="dxa"/>
            </w:tcMar>
          </w:tcPr>
          <w:p w14:paraId="7E1F1275" w14:textId="77777777" w:rsidR="002B32A0" w:rsidRPr="00CE1D7F" w:rsidRDefault="002B32A0" w:rsidP="006258ED">
            <w:pPr>
              <w:pStyle w:val="spacer"/>
            </w:pPr>
          </w:p>
        </w:tc>
      </w:tr>
    </w:tbl>
    <w:bookmarkEnd w:id="665"/>
    <w:p w14:paraId="61720342" w14:textId="2CBD7712" w:rsidR="002B32A0" w:rsidRPr="00CE1D7F" w:rsidRDefault="002B32A0" w:rsidP="002B32A0">
      <w:pPr>
        <w:pStyle w:val="BodyText"/>
      </w:pPr>
      <w:r w:rsidRPr="00F87D0E">
        <w:fldChar w:fldCharType="begin"/>
      </w:r>
      <w:r w:rsidRPr="00F87D0E">
        <w:instrText xml:space="preserve"> REF _Ref128987042 \h  \* MERGEFORMAT </w:instrText>
      </w:r>
      <w:r w:rsidRPr="00F87D0E">
        <w:fldChar w:fldCharType="separate"/>
      </w:r>
      <w:r w:rsidR="000B0AC7" w:rsidRPr="000B0AC7">
        <w:t>Figure B.3</w:t>
      </w:r>
      <w:r w:rsidRPr="00F87D0E">
        <w:fldChar w:fldCharType="end"/>
      </w:r>
      <w:r w:rsidRPr="00CE1D7F">
        <w:t xml:space="preserve"> details the usage of project results, by scheme. Note that data was only collected for 4 schemes. Linkage Projects were primarily used to develop advice for decision makers and improvements to processes and/or services, as were Industrial Transformation Research Hubs and Industrial Transformation Training Centres, while ARC Centres of Excellence projects were primarily used to develop advice and training.</w:t>
      </w:r>
    </w:p>
    <w:p w14:paraId="6C8E0561" w14:textId="3C7D34CF" w:rsidR="000B0AC7" w:rsidRPr="00CE1D7F" w:rsidRDefault="000B0AC7" w:rsidP="000B0AC7">
      <w:pPr>
        <w:pStyle w:val="Caption"/>
        <w:ind w:left="1308" w:hanging="1308"/>
      </w:pPr>
      <w:bookmarkStart w:id="668" w:name="_Ref128987042"/>
      <w:r w:rsidRPr="00CE1D7F">
        <w:rPr>
          <w:rStyle w:val="CaptionLabel"/>
        </w:rPr>
        <w:t>Figure </w:t>
      </w:r>
      <w:r>
        <w:rPr>
          <w:rStyle w:val="CaptionLabel"/>
        </w:rPr>
        <w:fldChar w:fldCharType="begin"/>
      </w:r>
      <w:r>
        <w:rPr>
          <w:rStyle w:val="CaptionLabel"/>
        </w:rPr>
        <w:instrText xml:space="preserve"> STYLEREF 9 \s </w:instrText>
      </w:r>
      <w:r>
        <w:rPr>
          <w:rStyle w:val="CaptionLabel"/>
        </w:rPr>
        <w:fldChar w:fldCharType="separate"/>
      </w:r>
      <w:r>
        <w:rPr>
          <w:rStyle w:val="CaptionLabel"/>
          <w:noProof/>
        </w:rPr>
        <w:t>B</w:t>
      </w:r>
      <w:r>
        <w:rPr>
          <w:rStyle w:val="CaptionLabel"/>
        </w:rPr>
        <w:fldChar w:fldCharType="end"/>
      </w:r>
      <w:r>
        <w:rPr>
          <w:rStyle w:val="CaptionLabel"/>
        </w:rPr>
        <w:t>.</w:t>
      </w:r>
      <w:r>
        <w:rPr>
          <w:rStyle w:val="CaptionLabel"/>
        </w:rPr>
        <w:fldChar w:fldCharType="begin"/>
      </w:r>
      <w:r>
        <w:rPr>
          <w:rStyle w:val="CaptionLabel"/>
        </w:rPr>
        <w:instrText xml:space="preserve"> SEQ Figure_AP \* ARABIC \s 9 </w:instrText>
      </w:r>
      <w:r>
        <w:rPr>
          <w:rStyle w:val="CaptionLabel"/>
        </w:rPr>
        <w:fldChar w:fldCharType="separate"/>
      </w:r>
      <w:r>
        <w:rPr>
          <w:rStyle w:val="CaptionLabel"/>
          <w:noProof/>
        </w:rPr>
        <w:t>3</w:t>
      </w:r>
      <w:r>
        <w:rPr>
          <w:rStyle w:val="CaptionLabel"/>
        </w:rPr>
        <w:fldChar w:fldCharType="end"/>
      </w:r>
      <w:bookmarkEnd w:id="668"/>
      <w:r w:rsidRPr="00CE1D7F">
        <w:tab/>
        <w:t>Final report data on the proportion of projects using the results for developing products, training, providing advice, improving processes/services and other by scheme</w:t>
      </w:r>
    </w:p>
    <w:tbl>
      <w:tblPr>
        <w:tblW w:w="0" w:type="auto"/>
        <w:tblLayout w:type="fixed"/>
        <w:tblLook w:val="0000" w:firstRow="0" w:lastRow="0" w:firstColumn="0" w:lastColumn="0" w:noHBand="0" w:noVBand="0"/>
      </w:tblPr>
      <w:tblGrid>
        <w:gridCol w:w="7936"/>
      </w:tblGrid>
      <w:tr w:rsidR="002B32A0" w:rsidRPr="00CE1D7F" w14:paraId="3D603B6D" w14:textId="77777777" w:rsidTr="006258ED">
        <w:tc>
          <w:tcPr>
            <w:tcW w:w="7936" w:type="dxa"/>
            <w:tcBorders>
              <w:top w:val="single" w:sz="4" w:space="0" w:color="000100"/>
            </w:tcBorders>
            <w:shd w:val="clear" w:color="auto" w:fill="auto"/>
          </w:tcPr>
          <w:p w14:paraId="3BF83D9B" w14:textId="77777777" w:rsidR="002B32A0" w:rsidRPr="00CE1D7F" w:rsidRDefault="002B32A0" w:rsidP="006258ED">
            <w:pPr>
              <w:pStyle w:val="Figure"/>
            </w:pPr>
            <w:r w:rsidRPr="00CE1D7F">
              <w:rPr>
                <w:noProof/>
              </w:rPr>
              <w:drawing>
                <wp:inline distT="0" distB="0" distL="0" distR="0" wp14:anchorId="3632CA35" wp14:editId="28428FA8">
                  <wp:extent cx="4901565" cy="2889885"/>
                  <wp:effectExtent l="0" t="0" r="0" b="5715"/>
                  <wp:docPr id="515" name="Picture 515" descr="Final report data on the proportion of projects using the results for developing products, training, providing advice, improving processes/services and other by scheme, see description in text abov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Picture 515" descr="Final report data on the proportion of projects using the results for developing products, training, providing advice, improving processes/services and other by scheme, see description in text above figure."/>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4901565" cy="2889885"/>
                          </a:xfrm>
                          <a:prstGeom prst="rect">
                            <a:avLst/>
                          </a:prstGeom>
                          <a:noFill/>
                        </pic:spPr>
                      </pic:pic>
                    </a:graphicData>
                  </a:graphic>
                </wp:inline>
              </w:drawing>
            </w:r>
          </w:p>
        </w:tc>
      </w:tr>
      <w:tr w:rsidR="002B32A0" w:rsidRPr="00CE1D7F" w14:paraId="1B4AE8AE" w14:textId="77777777" w:rsidTr="006258ED">
        <w:tblPrEx>
          <w:tblCellMar>
            <w:left w:w="0" w:type="dxa"/>
            <w:right w:w="0" w:type="dxa"/>
          </w:tblCellMar>
        </w:tblPrEx>
        <w:trPr>
          <w:trHeight w:val="137"/>
        </w:trPr>
        <w:tc>
          <w:tcPr>
            <w:tcW w:w="7936" w:type="dxa"/>
            <w:tcBorders>
              <w:bottom w:val="single" w:sz="4" w:space="0" w:color="000100"/>
            </w:tcBorders>
            <w:shd w:val="clear" w:color="auto" w:fill="auto"/>
            <w:tcMar>
              <w:top w:w="12" w:type="dxa"/>
              <w:bottom w:w="113" w:type="dxa"/>
            </w:tcMar>
          </w:tcPr>
          <w:p w14:paraId="2FD48F74" w14:textId="77777777" w:rsidR="002B32A0" w:rsidRPr="00CE1D7F" w:rsidRDefault="002B32A0" w:rsidP="006258ED">
            <w:pPr>
              <w:pStyle w:val="Source"/>
              <w:rPr>
                <w:i w:val="0"/>
                <w:iCs/>
              </w:rPr>
            </w:pPr>
            <w:r w:rsidRPr="00CE1D7F">
              <w:rPr>
                <w:i w:val="0"/>
                <w:iCs/>
              </w:rPr>
              <w:t>N=664 final reports</w:t>
            </w:r>
          </w:p>
          <w:p w14:paraId="08901A3A" w14:textId="77777777" w:rsidR="002B32A0" w:rsidRPr="00CE1D7F" w:rsidRDefault="002B32A0" w:rsidP="006258ED">
            <w:pPr>
              <w:pStyle w:val="Source"/>
            </w:pPr>
            <w:r w:rsidRPr="00CE1D7F">
              <w:t>Source: ACIL Allen’s analysis of ARC Final Reports for grants awarded between 2002 and 2021 (with an ARC-approved Final Report by 30 June 2022).</w:t>
            </w:r>
          </w:p>
        </w:tc>
      </w:tr>
      <w:tr w:rsidR="002B32A0" w:rsidRPr="00CE1D7F" w14:paraId="11007657" w14:textId="77777777" w:rsidTr="006258ED">
        <w:tblPrEx>
          <w:tblCellMar>
            <w:left w:w="0" w:type="dxa"/>
            <w:right w:w="0" w:type="dxa"/>
          </w:tblCellMar>
        </w:tblPrEx>
        <w:trPr>
          <w:trHeight w:hRule="exact" w:val="160"/>
        </w:trPr>
        <w:tc>
          <w:tcPr>
            <w:tcW w:w="7936" w:type="dxa"/>
            <w:tcBorders>
              <w:top w:val="single" w:sz="4" w:space="0" w:color="000100"/>
            </w:tcBorders>
            <w:shd w:val="clear" w:color="auto" w:fill="auto"/>
            <w:tcMar>
              <w:top w:w="0" w:type="dxa"/>
              <w:bottom w:w="40" w:type="dxa"/>
            </w:tcMar>
          </w:tcPr>
          <w:p w14:paraId="23CD2B3D" w14:textId="77777777" w:rsidR="002B32A0" w:rsidRPr="00CE1D7F" w:rsidRDefault="002B32A0" w:rsidP="006258ED">
            <w:pPr>
              <w:pStyle w:val="spacer"/>
            </w:pPr>
          </w:p>
        </w:tc>
      </w:tr>
    </w:tbl>
    <w:p w14:paraId="59C89D67" w14:textId="77777777" w:rsidR="002B32A0" w:rsidRDefault="002B32A0" w:rsidP="002B32A0">
      <w:pPr>
        <w:pStyle w:val="BodyText"/>
      </w:pPr>
      <w:r w:rsidRPr="00CE1D7F">
        <w:t xml:space="preserve">The case studies also highlight the breadth of beneficiaries and sectors benefiting from the research. 13 </w:t>
      </w:r>
      <w:r>
        <w:t>FoR</w:t>
      </w:r>
      <w:r w:rsidRPr="00CE1D7F">
        <w:t xml:space="preserve">s are represented across the 7 case studies, with several case studies having more than one </w:t>
      </w:r>
      <w:r>
        <w:t>FoR</w:t>
      </w:r>
      <w:r w:rsidRPr="00CE1D7F">
        <w:t xml:space="preserve">. End-users of the research include government, industry, community and not-for-profit organisations, the general public and the academic sector. The important point to note is that end-users are also often heavily involved in the conduct of research funded by the ARC. This is an excellent outcome for the research sector and the Australian community because it suggests that there is a strong relationship between the research and overall community need. </w:t>
      </w:r>
    </w:p>
    <w:p w14:paraId="004B624C" w14:textId="1542AF8C" w:rsidR="002B32A0" w:rsidRPr="00CE1D7F" w:rsidRDefault="002B32A0" w:rsidP="002B32A0">
      <w:pPr>
        <w:pStyle w:val="BodyText"/>
      </w:pPr>
      <w:r w:rsidRPr="00CE1D7F">
        <w:t xml:space="preserve">As shown in </w:t>
      </w:r>
      <w:r w:rsidRPr="00F87D0E">
        <w:fldChar w:fldCharType="begin"/>
      </w:r>
      <w:r w:rsidRPr="00F87D0E">
        <w:instrText xml:space="preserve"> REF _Ref129355539 \h  \* MERGEFORMAT </w:instrText>
      </w:r>
      <w:r w:rsidRPr="00F87D0E">
        <w:fldChar w:fldCharType="separate"/>
      </w:r>
      <w:r w:rsidR="000B0AC7" w:rsidRPr="000B0AC7">
        <w:t>Figure B.4</w:t>
      </w:r>
      <w:r w:rsidRPr="00F87D0E">
        <w:fldChar w:fldCharType="end"/>
      </w:r>
      <w:r w:rsidRPr="00CE1D7F">
        <w:t>, most of both Discovery and Linkage Programs respondents (71% and 79%, respectively) considered that the impacts of their research were intended, while only 3% and 2% reported that the impacts were unintended. 17% and 15% reported it that was a combination of both unintended and intended impacts.</w:t>
      </w:r>
    </w:p>
    <w:p w14:paraId="7D913821" w14:textId="7E028BB8" w:rsidR="000B0AC7" w:rsidRPr="00CE1D7F" w:rsidRDefault="000B0AC7" w:rsidP="000B0AC7">
      <w:pPr>
        <w:pStyle w:val="Caption"/>
        <w:ind w:left="1308" w:hanging="1308"/>
      </w:pPr>
      <w:bookmarkStart w:id="669" w:name="_Ref129355539"/>
      <w:r w:rsidRPr="00CE1D7F">
        <w:rPr>
          <w:rStyle w:val="CaptionLabel"/>
        </w:rPr>
        <w:t>Figure </w:t>
      </w:r>
      <w:r>
        <w:rPr>
          <w:rStyle w:val="CaptionLabel"/>
        </w:rPr>
        <w:fldChar w:fldCharType="begin"/>
      </w:r>
      <w:r>
        <w:rPr>
          <w:rStyle w:val="CaptionLabel"/>
        </w:rPr>
        <w:instrText xml:space="preserve"> STYLEREF 9 \s </w:instrText>
      </w:r>
      <w:r>
        <w:rPr>
          <w:rStyle w:val="CaptionLabel"/>
        </w:rPr>
        <w:fldChar w:fldCharType="separate"/>
      </w:r>
      <w:r>
        <w:rPr>
          <w:rStyle w:val="CaptionLabel"/>
          <w:noProof/>
        </w:rPr>
        <w:t>B</w:t>
      </w:r>
      <w:r>
        <w:rPr>
          <w:rStyle w:val="CaptionLabel"/>
        </w:rPr>
        <w:fldChar w:fldCharType="end"/>
      </w:r>
      <w:r>
        <w:rPr>
          <w:rStyle w:val="CaptionLabel"/>
        </w:rPr>
        <w:t>.</w:t>
      </w:r>
      <w:r>
        <w:rPr>
          <w:rStyle w:val="CaptionLabel"/>
        </w:rPr>
        <w:fldChar w:fldCharType="begin"/>
      </w:r>
      <w:r>
        <w:rPr>
          <w:rStyle w:val="CaptionLabel"/>
        </w:rPr>
        <w:instrText xml:space="preserve"> SEQ Figure_AP \* ARABIC \s 9 </w:instrText>
      </w:r>
      <w:r>
        <w:rPr>
          <w:rStyle w:val="CaptionLabel"/>
        </w:rPr>
        <w:fldChar w:fldCharType="separate"/>
      </w:r>
      <w:r>
        <w:rPr>
          <w:rStyle w:val="CaptionLabel"/>
          <w:noProof/>
        </w:rPr>
        <w:t>4</w:t>
      </w:r>
      <w:r>
        <w:rPr>
          <w:rStyle w:val="CaptionLabel"/>
        </w:rPr>
        <w:fldChar w:fldCharType="end"/>
      </w:r>
      <w:bookmarkEnd w:id="669"/>
      <w:r w:rsidRPr="00CE1D7F">
        <w:tab/>
        <w:t>Survey results on whether the research impact was intended</w:t>
      </w:r>
    </w:p>
    <w:tbl>
      <w:tblPr>
        <w:tblW w:w="0" w:type="auto"/>
        <w:tblLayout w:type="fixed"/>
        <w:tblLook w:val="0000" w:firstRow="0" w:lastRow="0" w:firstColumn="0" w:lastColumn="0" w:noHBand="0" w:noVBand="0"/>
      </w:tblPr>
      <w:tblGrid>
        <w:gridCol w:w="7936"/>
      </w:tblGrid>
      <w:tr w:rsidR="002B32A0" w:rsidRPr="00CE1D7F" w14:paraId="51C6F4B7" w14:textId="77777777" w:rsidTr="006258ED">
        <w:tc>
          <w:tcPr>
            <w:tcW w:w="7936" w:type="dxa"/>
            <w:tcBorders>
              <w:top w:val="single" w:sz="4" w:space="0" w:color="000100"/>
            </w:tcBorders>
            <w:shd w:val="clear" w:color="auto" w:fill="auto"/>
          </w:tcPr>
          <w:p w14:paraId="561A80AB" w14:textId="77777777" w:rsidR="002B32A0" w:rsidRPr="00CE1D7F" w:rsidRDefault="002B32A0" w:rsidP="006258ED">
            <w:pPr>
              <w:pStyle w:val="Figure"/>
            </w:pPr>
            <w:r w:rsidRPr="00CE1D7F">
              <w:rPr>
                <w:noProof/>
              </w:rPr>
              <w:drawing>
                <wp:inline distT="0" distB="0" distL="0" distR="0" wp14:anchorId="46F72F1A" wp14:editId="2220F756">
                  <wp:extent cx="4901565" cy="2091055"/>
                  <wp:effectExtent l="0" t="0" r="0" b="4445"/>
                  <wp:docPr id="827" name="Picture 827" descr="Survey results on whether the research impact was intended, see description in text above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 name="Picture 827" descr="Survey results on whether the research impact was intended, see description in text above figure."/>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4901565" cy="2091055"/>
                          </a:xfrm>
                          <a:prstGeom prst="rect">
                            <a:avLst/>
                          </a:prstGeom>
                          <a:noFill/>
                        </pic:spPr>
                      </pic:pic>
                    </a:graphicData>
                  </a:graphic>
                </wp:inline>
              </w:drawing>
            </w:r>
          </w:p>
        </w:tc>
      </w:tr>
      <w:tr w:rsidR="002B32A0" w:rsidRPr="00CE1D7F" w14:paraId="093C5F37" w14:textId="77777777" w:rsidTr="006258ED">
        <w:tblPrEx>
          <w:tblCellMar>
            <w:left w:w="0" w:type="dxa"/>
            <w:right w:w="0" w:type="dxa"/>
          </w:tblCellMar>
        </w:tblPrEx>
        <w:trPr>
          <w:trHeight w:val="137"/>
        </w:trPr>
        <w:tc>
          <w:tcPr>
            <w:tcW w:w="7936" w:type="dxa"/>
            <w:tcBorders>
              <w:bottom w:val="single" w:sz="4" w:space="0" w:color="000100"/>
            </w:tcBorders>
            <w:shd w:val="clear" w:color="auto" w:fill="auto"/>
            <w:tcMar>
              <w:top w:w="12" w:type="dxa"/>
              <w:bottom w:w="113" w:type="dxa"/>
            </w:tcMar>
          </w:tcPr>
          <w:p w14:paraId="58A6ED17" w14:textId="77777777" w:rsidR="002B32A0" w:rsidRPr="00CE1D7F" w:rsidRDefault="002B32A0" w:rsidP="006258ED">
            <w:pPr>
              <w:pStyle w:val="Source"/>
            </w:pPr>
            <w:r w:rsidRPr="00CE1D7F">
              <w:t>N=3,617</w:t>
            </w:r>
          </w:p>
          <w:p w14:paraId="16E278AE" w14:textId="77777777" w:rsidR="002B32A0" w:rsidRPr="00CE1D7F" w:rsidRDefault="002B32A0" w:rsidP="006258ED">
            <w:pPr>
              <w:pStyle w:val="Source"/>
            </w:pPr>
            <w:r w:rsidRPr="00CE1D7F">
              <w:t>Source: ACIL Allen survey of ARC funding recipients</w:t>
            </w:r>
          </w:p>
        </w:tc>
      </w:tr>
      <w:tr w:rsidR="002B32A0" w:rsidRPr="00CE1D7F" w14:paraId="415FBA4C" w14:textId="77777777" w:rsidTr="006258ED">
        <w:tblPrEx>
          <w:tblCellMar>
            <w:left w:w="0" w:type="dxa"/>
            <w:right w:w="0" w:type="dxa"/>
          </w:tblCellMar>
        </w:tblPrEx>
        <w:trPr>
          <w:trHeight w:hRule="exact" w:val="160"/>
        </w:trPr>
        <w:tc>
          <w:tcPr>
            <w:tcW w:w="7936" w:type="dxa"/>
            <w:tcBorders>
              <w:top w:val="single" w:sz="4" w:space="0" w:color="000100"/>
            </w:tcBorders>
            <w:shd w:val="clear" w:color="auto" w:fill="auto"/>
            <w:tcMar>
              <w:top w:w="0" w:type="dxa"/>
              <w:bottom w:w="40" w:type="dxa"/>
            </w:tcMar>
          </w:tcPr>
          <w:p w14:paraId="6C1D76B4" w14:textId="77777777" w:rsidR="002B32A0" w:rsidRPr="00CE1D7F" w:rsidRDefault="002B32A0" w:rsidP="006258ED">
            <w:pPr>
              <w:pStyle w:val="spacer"/>
            </w:pPr>
          </w:p>
        </w:tc>
      </w:tr>
    </w:tbl>
    <w:p w14:paraId="107AC676" w14:textId="374E5130" w:rsidR="002B32A0" w:rsidRPr="00CE1D7F" w:rsidRDefault="002B32A0" w:rsidP="002B32A0">
      <w:r w:rsidRPr="00CE1D7F">
        <w:t xml:space="preserve">Outcomes are most likely to be experienced by the Education and Training sector for both Discovery (22% of respondents) and Linkage (18%) Program projects. This was followed by Professional, Scientific and Technical Services (12% for both Discovery and Linkage Program respondents, see </w:t>
      </w:r>
      <w:r w:rsidRPr="00F87D0E">
        <w:fldChar w:fldCharType="begin"/>
      </w:r>
      <w:r w:rsidRPr="00F87D0E">
        <w:instrText xml:space="preserve"> REF _Ref129355577 \h  \* MERGEFORMAT </w:instrText>
      </w:r>
      <w:r w:rsidRPr="00F87D0E">
        <w:fldChar w:fldCharType="separate"/>
      </w:r>
      <w:r w:rsidR="000B0AC7" w:rsidRPr="000B0AC7">
        <w:t>Figure B.5</w:t>
      </w:r>
      <w:r w:rsidRPr="00F87D0E">
        <w:fldChar w:fldCharType="end"/>
      </w:r>
      <w:r w:rsidRPr="00CE1D7F">
        <w:t xml:space="preserve">). </w:t>
      </w:r>
    </w:p>
    <w:p w14:paraId="06342E08" w14:textId="23D39FBA" w:rsidR="000B0AC7" w:rsidRPr="00CE1D7F" w:rsidRDefault="000B0AC7" w:rsidP="000B0AC7">
      <w:pPr>
        <w:pStyle w:val="Caption"/>
        <w:ind w:left="1308" w:hanging="1308"/>
      </w:pPr>
      <w:bookmarkStart w:id="670" w:name="_Ref129355577"/>
      <w:r w:rsidRPr="00CE1D7F">
        <w:rPr>
          <w:rStyle w:val="CaptionLabel"/>
        </w:rPr>
        <w:t>Figure </w:t>
      </w:r>
      <w:r>
        <w:rPr>
          <w:rStyle w:val="CaptionLabel"/>
        </w:rPr>
        <w:fldChar w:fldCharType="begin"/>
      </w:r>
      <w:r>
        <w:rPr>
          <w:rStyle w:val="CaptionLabel"/>
        </w:rPr>
        <w:instrText xml:space="preserve"> STYLEREF 9 \s </w:instrText>
      </w:r>
      <w:r>
        <w:rPr>
          <w:rStyle w:val="CaptionLabel"/>
        </w:rPr>
        <w:fldChar w:fldCharType="separate"/>
      </w:r>
      <w:r>
        <w:rPr>
          <w:rStyle w:val="CaptionLabel"/>
          <w:noProof/>
        </w:rPr>
        <w:t>B</w:t>
      </w:r>
      <w:r>
        <w:rPr>
          <w:rStyle w:val="CaptionLabel"/>
        </w:rPr>
        <w:fldChar w:fldCharType="end"/>
      </w:r>
      <w:r>
        <w:rPr>
          <w:rStyle w:val="CaptionLabel"/>
        </w:rPr>
        <w:t>.</w:t>
      </w:r>
      <w:r>
        <w:rPr>
          <w:rStyle w:val="CaptionLabel"/>
        </w:rPr>
        <w:fldChar w:fldCharType="begin"/>
      </w:r>
      <w:r>
        <w:rPr>
          <w:rStyle w:val="CaptionLabel"/>
        </w:rPr>
        <w:instrText xml:space="preserve"> SEQ Figure_AP \* ARABIC \s 9 </w:instrText>
      </w:r>
      <w:r>
        <w:rPr>
          <w:rStyle w:val="CaptionLabel"/>
        </w:rPr>
        <w:fldChar w:fldCharType="separate"/>
      </w:r>
      <w:r>
        <w:rPr>
          <w:rStyle w:val="CaptionLabel"/>
          <w:noProof/>
        </w:rPr>
        <w:t>5</w:t>
      </w:r>
      <w:r>
        <w:rPr>
          <w:rStyle w:val="CaptionLabel"/>
        </w:rPr>
        <w:fldChar w:fldCharType="end"/>
      </w:r>
      <w:bookmarkEnd w:id="670"/>
      <w:r w:rsidRPr="00CE1D7F">
        <w:tab/>
        <w:t>Survey results on sectors likely to have experienced/to experience outcomes</w:t>
      </w:r>
    </w:p>
    <w:tbl>
      <w:tblPr>
        <w:tblW w:w="0" w:type="auto"/>
        <w:tblLayout w:type="fixed"/>
        <w:tblLook w:val="0000" w:firstRow="0" w:lastRow="0" w:firstColumn="0" w:lastColumn="0" w:noHBand="0" w:noVBand="0"/>
      </w:tblPr>
      <w:tblGrid>
        <w:gridCol w:w="7936"/>
      </w:tblGrid>
      <w:tr w:rsidR="002B32A0" w:rsidRPr="00CE1D7F" w14:paraId="5289FC4E" w14:textId="77777777" w:rsidTr="006258ED">
        <w:tc>
          <w:tcPr>
            <w:tcW w:w="7936" w:type="dxa"/>
            <w:tcBorders>
              <w:top w:val="single" w:sz="4" w:space="0" w:color="000100"/>
            </w:tcBorders>
            <w:shd w:val="clear" w:color="auto" w:fill="auto"/>
          </w:tcPr>
          <w:p w14:paraId="6EA88883" w14:textId="77777777" w:rsidR="002B32A0" w:rsidRPr="00CE1D7F" w:rsidRDefault="002B32A0" w:rsidP="006258ED">
            <w:pPr>
              <w:pStyle w:val="Figure"/>
            </w:pPr>
            <w:r w:rsidRPr="00CE1D7F">
              <w:rPr>
                <w:noProof/>
              </w:rPr>
              <w:drawing>
                <wp:inline distT="0" distB="0" distL="0" distR="0" wp14:anchorId="3502F889" wp14:editId="6AB0F05A">
                  <wp:extent cx="4899660" cy="5120640"/>
                  <wp:effectExtent l="0" t="0" r="0" b="3810"/>
                  <wp:docPr id="828" name="Picture 828" descr="Survey results on sectors likely to have experienced/to experience outco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 name="Picture 828" descr="Survey results on sectors likely to have experienced/to experience outcomes"/>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4899660" cy="5120640"/>
                          </a:xfrm>
                          <a:prstGeom prst="rect">
                            <a:avLst/>
                          </a:prstGeom>
                          <a:noFill/>
                        </pic:spPr>
                      </pic:pic>
                    </a:graphicData>
                  </a:graphic>
                </wp:inline>
              </w:drawing>
            </w:r>
          </w:p>
        </w:tc>
      </w:tr>
      <w:tr w:rsidR="002B32A0" w:rsidRPr="00CE1D7F" w14:paraId="7D7509F4" w14:textId="77777777" w:rsidTr="006258ED">
        <w:tblPrEx>
          <w:tblCellMar>
            <w:left w:w="0" w:type="dxa"/>
            <w:right w:w="0" w:type="dxa"/>
          </w:tblCellMar>
        </w:tblPrEx>
        <w:trPr>
          <w:trHeight w:val="137"/>
        </w:trPr>
        <w:tc>
          <w:tcPr>
            <w:tcW w:w="7936" w:type="dxa"/>
            <w:tcBorders>
              <w:bottom w:val="single" w:sz="4" w:space="0" w:color="000100"/>
            </w:tcBorders>
            <w:shd w:val="clear" w:color="auto" w:fill="auto"/>
            <w:tcMar>
              <w:top w:w="12" w:type="dxa"/>
              <w:bottom w:w="113" w:type="dxa"/>
            </w:tcMar>
          </w:tcPr>
          <w:p w14:paraId="12A119C6" w14:textId="77777777" w:rsidR="002B32A0" w:rsidRPr="00CE1D7F" w:rsidRDefault="002B32A0" w:rsidP="006258ED">
            <w:pPr>
              <w:pStyle w:val="Source"/>
            </w:pPr>
            <w:r w:rsidRPr="00CE1D7F">
              <w:t>N=3,651</w:t>
            </w:r>
          </w:p>
          <w:p w14:paraId="496687D0" w14:textId="77777777" w:rsidR="002B32A0" w:rsidRPr="00CE1D7F" w:rsidRDefault="002B32A0" w:rsidP="006258ED">
            <w:pPr>
              <w:pStyle w:val="Source"/>
            </w:pPr>
            <w:r w:rsidRPr="00CE1D7F">
              <w:t>Source: ACIL Allen survey of ARC funding recipients</w:t>
            </w:r>
          </w:p>
        </w:tc>
      </w:tr>
      <w:tr w:rsidR="002B32A0" w:rsidRPr="00CE1D7F" w14:paraId="780BE625" w14:textId="77777777" w:rsidTr="006258ED">
        <w:tblPrEx>
          <w:tblCellMar>
            <w:left w:w="0" w:type="dxa"/>
            <w:right w:w="0" w:type="dxa"/>
          </w:tblCellMar>
        </w:tblPrEx>
        <w:trPr>
          <w:trHeight w:hRule="exact" w:val="160"/>
        </w:trPr>
        <w:tc>
          <w:tcPr>
            <w:tcW w:w="7936" w:type="dxa"/>
            <w:tcBorders>
              <w:top w:val="single" w:sz="4" w:space="0" w:color="000100"/>
            </w:tcBorders>
            <w:shd w:val="clear" w:color="auto" w:fill="auto"/>
            <w:tcMar>
              <w:top w:w="0" w:type="dxa"/>
              <w:bottom w:w="40" w:type="dxa"/>
            </w:tcMar>
          </w:tcPr>
          <w:p w14:paraId="0E0BDC37" w14:textId="77777777" w:rsidR="002B32A0" w:rsidRPr="00CE1D7F" w:rsidRDefault="002B32A0" w:rsidP="006258ED">
            <w:pPr>
              <w:pStyle w:val="spacer"/>
            </w:pPr>
          </w:p>
        </w:tc>
      </w:tr>
    </w:tbl>
    <w:p w14:paraId="7B89142C" w14:textId="77777777" w:rsidR="002B32A0" w:rsidRPr="00CE1D7F" w:rsidRDefault="002B32A0" w:rsidP="002B32A0">
      <w:pPr>
        <w:pStyle w:val="Heading2AP"/>
      </w:pPr>
      <w:bookmarkStart w:id="671" w:name="_Toc129964050"/>
      <w:bookmarkStart w:id="672" w:name="_Toc131174688"/>
      <w:bookmarkStart w:id="673" w:name="_Toc132970739"/>
      <w:bookmarkStart w:id="674" w:name="_Toc135323778"/>
      <w:r w:rsidRPr="00CE1D7F">
        <w:t>Examples of excellent research involving end-users</w:t>
      </w:r>
      <w:bookmarkEnd w:id="671"/>
      <w:bookmarkEnd w:id="672"/>
      <w:bookmarkEnd w:id="673"/>
      <w:bookmarkEnd w:id="674"/>
    </w:p>
    <w:p w14:paraId="54D7CA34" w14:textId="77777777" w:rsidR="002B32A0" w:rsidRPr="00CE1D7F" w:rsidRDefault="002B32A0" w:rsidP="002B32A0">
      <w:pPr>
        <w:pStyle w:val="BodyText"/>
      </w:pPr>
      <w:r w:rsidRPr="00CE1D7F">
        <w:t xml:space="preserve">Insights from the case studies (see Part II) highlights the critical role of end-users in shaping research pathways and adopting research outputs and outcomes. </w:t>
      </w:r>
    </w:p>
    <w:p w14:paraId="75750E38" w14:textId="152CF16C" w:rsidR="002B32A0" w:rsidRPr="00CE1D7F" w:rsidRDefault="002B32A0" w:rsidP="002B32A0">
      <w:pPr>
        <w:pStyle w:val="BodyText"/>
        <w:rPr>
          <w:i/>
          <w:iCs/>
        </w:rPr>
      </w:pPr>
      <w:r w:rsidRPr="00CE1D7F">
        <w:rPr>
          <w:i/>
          <w:iCs/>
        </w:rPr>
        <w:t xml:space="preserve">Aquifer Reinjection </w:t>
      </w:r>
      <w:r w:rsidRPr="00CE1D7F">
        <w:t xml:space="preserve">describes the Curtin University-Water Corporation collaboration. As discussed further in </w:t>
      </w:r>
      <w:r>
        <w:t>section </w:t>
      </w:r>
      <w:r w:rsidRPr="00F87D0E">
        <w:fldChar w:fldCharType="begin"/>
      </w:r>
      <w:r w:rsidRPr="00F87D0E">
        <w:instrText xml:space="preserve"> REF _Ref129277657 \r \h  \* MERGEFORMAT </w:instrText>
      </w:r>
      <w:r w:rsidRPr="00F87D0E">
        <w:fldChar w:fldCharType="separate"/>
      </w:r>
      <w:r w:rsidR="000B0AC7">
        <w:t>3.2</w:t>
      </w:r>
      <w:r w:rsidRPr="00F87D0E">
        <w:fldChar w:fldCharType="end"/>
      </w:r>
      <w:r w:rsidRPr="00CE1D7F">
        <w:t xml:space="preserve">, as an end-user, Water Corporation was closely involved in the research and trialling the technology, to ensure that the Scheme would be accepted by state government and community stakeholders. As a result, Water Corporation established the Groundwater Replenishment Scheme in 2016. Similarly, </w:t>
      </w:r>
      <w:r w:rsidRPr="00CE1D7F">
        <w:rPr>
          <w:i/>
          <w:iCs/>
        </w:rPr>
        <w:t xml:space="preserve">Irrigation automation </w:t>
      </w:r>
      <w:r w:rsidRPr="00CE1D7F">
        <w:t>describes the collaboration</w:t>
      </w:r>
      <w:r w:rsidRPr="00CE1D7F">
        <w:rPr>
          <w:i/>
          <w:iCs/>
        </w:rPr>
        <w:t xml:space="preserve"> </w:t>
      </w:r>
      <w:r w:rsidRPr="00CE1D7F">
        <w:t xml:space="preserve">between University of Melbourne and Rubicon Water, where Rubicon Water incorporated the research into the Total Channel Control algorithm (part of their commercial irrigation automation). </w:t>
      </w:r>
    </w:p>
    <w:p w14:paraId="26AF78AD" w14:textId="77777777" w:rsidR="002B32A0" w:rsidRPr="00CE1D7F" w:rsidRDefault="002B32A0" w:rsidP="002B32A0">
      <w:pPr>
        <w:pStyle w:val="BodyText"/>
      </w:pPr>
      <w:r w:rsidRPr="00CE1D7F">
        <w:rPr>
          <w:i/>
          <w:iCs/>
        </w:rPr>
        <w:t xml:space="preserve">Indigenous persistence in formal learning </w:t>
      </w:r>
      <w:r w:rsidRPr="00CE1D7F">
        <w:t xml:space="preserve">involved end-users such as Edith Cowan University in trials, to explore the effectiveness of the student support model developed through the research. </w:t>
      </w:r>
    </w:p>
    <w:p w14:paraId="34B541EA" w14:textId="77777777" w:rsidR="002B32A0" w:rsidRPr="00CE1D7F" w:rsidRDefault="002B32A0" w:rsidP="00B31616">
      <w:pPr>
        <w:pStyle w:val="BodyText"/>
        <w:keepNext/>
        <w:keepLines/>
      </w:pPr>
      <w:r w:rsidRPr="00CE1D7F">
        <w:rPr>
          <w:i/>
          <w:iCs/>
        </w:rPr>
        <w:t>Onshore Lobster Aquaculture</w:t>
      </w:r>
      <w:r w:rsidRPr="00CE1D7F">
        <w:t xml:space="preserve"> end-user Ornatas, was specifically created as a start-up company to commercialise and use the technology developed by the University of Tasmania (UTAS) to operate a lobster aquaculture facility. Similarly, </w:t>
      </w:r>
      <w:r w:rsidRPr="00CE1D7F">
        <w:rPr>
          <w:i/>
          <w:iCs/>
        </w:rPr>
        <w:t>Quantum Computation and Communication Technology</w:t>
      </w:r>
      <w:r w:rsidRPr="00CE1D7F">
        <w:t xml:space="preserve"> shows that the CQC</w:t>
      </w:r>
      <w:r w:rsidRPr="00CE1D7F">
        <w:rPr>
          <w:vertAlign w:val="superscript"/>
        </w:rPr>
        <w:t>2</w:t>
      </w:r>
      <w:r w:rsidRPr="00CE1D7F">
        <w:t xml:space="preserve">T led to multiple spin-off companies who are end-users of the technology. </w:t>
      </w:r>
    </w:p>
    <w:p w14:paraId="28AE8946" w14:textId="77777777" w:rsidR="002B32A0" w:rsidRPr="00CE1D7F" w:rsidRDefault="002B32A0" w:rsidP="002B32A0">
      <w:pPr>
        <w:pStyle w:val="BodyText"/>
      </w:pPr>
      <w:r w:rsidRPr="00CE1D7F">
        <w:rPr>
          <w:i/>
          <w:iCs/>
        </w:rPr>
        <w:t>Changing the law to protect survivors of DFV</w:t>
      </w:r>
      <w:r w:rsidRPr="00CE1D7F">
        <w:t xml:space="preserve"> end-users Australian Institute of Judicial Administration (AIJA) and National Judicial Council (NJC) supported translation, by providing the opportunity, funding and support to develop a training resource and implement a training course.</w:t>
      </w:r>
    </w:p>
    <w:p w14:paraId="4AD4FF0C" w14:textId="77777777" w:rsidR="002B32A0" w:rsidRDefault="002B32A0" w:rsidP="002B32A0">
      <w:pPr>
        <w:pStyle w:val="BodyText"/>
      </w:pPr>
    </w:p>
    <w:p w14:paraId="6849472C" w14:textId="77777777" w:rsidR="002B32A0" w:rsidRPr="00CE1D7F" w:rsidRDefault="002B32A0" w:rsidP="002B32A0">
      <w:pPr>
        <w:pStyle w:val="BodyText"/>
        <w:sectPr w:rsidR="002B32A0" w:rsidRPr="00CE1D7F" w:rsidSect="00B52181">
          <w:headerReference w:type="even" r:id="rId265"/>
          <w:headerReference w:type="default" r:id="rId266"/>
          <w:footerReference w:type="even" r:id="rId267"/>
          <w:footerReference w:type="default" r:id="rId268"/>
          <w:headerReference w:type="first" r:id="rId269"/>
          <w:footerReference w:type="first" r:id="rId270"/>
          <w:pgSz w:w="11906" w:h="16838" w:code="9"/>
          <w:pgMar w:top="1134" w:right="851" w:bottom="1134" w:left="3119" w:header="454" w:footer="159" w:gutter="0"/>
          <w:pgNumType w:start="1" w:chapStyle="9"/>
          <w:cols w:space="708"/>
          <w:docGrid w:linePitch="360"/>
        </w:sectPr>
      </w:pPr>
    </w:p>
    <w:p w14:paraId="66D902C1" w14:textId="77777777" w:rsidR="000B0AC7" w:rsidRPr="000B0AC7" w:rsidRDefault="000B0AC7" w:rsidP="000B0AC7">
      <w:pPr>
        <w:pStyle w:val="Heading9"/>
        <w:ind w:left="0" w:hanging="600"/>
      </w:pPr>
      <w:bookmarkStart w:id="675" w:name="_Toc135323779"/>
      <w:r w:rsidRPr="000B0AC7">
        <w:t>Stakeholder survey additional information</w:t>
      </w:r>
      <w:bookmarkEnd w:id="675"/>
    </w:p>
    <w:p w14:paraId="33D651A1" w14:textId="77777777" w:rsidR="002B32A0" w:rsidRPr="00CE1D7F" w:rsidRDefault="002B32A0" w:rsidP="002B32A0">
      <w:pPr>
        <w:pStyle w:val="Heading2AP"/>
      </w:pPr>
      <w:bookmarkStart w:id="676" w:name="_Toc129964068"/>
      <w:bookmarkStart w:id="677" w:name="_Toc131174690"/>
      <w:bookmarkStart w:id="678" w:name="_Toc132970741"/>
      <w:bookmarkStart w:id="679" w:name="_Toc135323780"/>
      <w:bookmarkStart w:id="680" w:name="_Hlk129856985"/>
      <w:r w:rsidRPr="00CE1D7F">
        <w:t>Additional survey analysis</w:t>
      </w:r>
      <w:bookmarkEnd w:id="676"/>
      <w:bookmarkEnd w:id="677"/>
      <w:bookmarkEnd w:id="678"/>
      <w:bookmarkEnd w:id="679"/>
    </w:p>
    <w:p w14:paraId="40065F9C" w14:textId="77777777" w:rsidR="002B32A0" w:rsidRPr="00CE1D7F" w:rsidRDefault="002B32A0" w:rsidP="002B32A0">
      <w:pPr>
        <w:pStyle w:val="Heading3AP"/>
      </w:pPr>
      <w:r w:rsidRPr="00CE1D7F">
        <w:t xml:space="preserve">Impact analysis </w:t>
      </w:r>
    </w:p>
    <w:p w14:paraId="4F8EC082" w14:textId="69248F7E" w:rsidR="002B32A0" w:rsidRPr="00CE1D7F" w:rsidRDefault="002B32A0" w:rsidP="002B32A0">
      <w:pPr>
        <w:pStyle w:val="BodyText"/>
      </w:pPr>
      <w:r w:rsidRPr="00CE1D7F">
        <w:t xml:space="preserve">Survey data also highlights the broad purpose and contribution of NGCP-funded research in building Australia’s research and innovation capacity. Most agreed that the NCGPs’ primary role was to generate new knowledge (95% strongly agree/agree), foster new technologies, products and ideas (86%) and support an enhanced quality of life in Australia (78%) (see </w:t>
      </w:r>
      <w:r w:rsidRPr="00F87D0E">
        <w:fldChar w:fldCharType="begin"/>
      </w:r>
      <w:r w:rsidRPr="00F87D0E">
        <w:instrText xml:space="preserve"> REF _Ref129810323 \h  \* MERGEFORMAT </w:instrText>
      </w:r>
      <w:r w:rsidRPr="00F87D0E">
        <w:fldChar w:fldCharType="separate"/>
      </w:r>
      <w:r w:rsidR="000B0AC7" w:rsidRPr="000B0AC7">
        <w:t>Figure C.1</w:t>
      </w:r>
      <w:r w:rsidRPr="00F87D0E">
        <w:fldChar w:fldCharType="end"/>
      </w:r>
      <w:r w:rsidRPr="00CE1D7F">
        <w:t>).</w:t>
      </w:r>
    </w:p>
    <w:p w14:paraId="36A2BD5C" w14:textId="3295FC02" w:rsidR="000B0AC7" w:rsidRPr="00CE1D7F" w:rsidRDefault="000B0AC7" w:rsidP="000B0AC7">
      <w:pPr>
        <w:pStyle w:val="Caption"/>
        <w:ind w:left="1308" w:hanging="1308"/>
      </w:pPr>
      <w:bookmarkStart w:id="681" w:name="_Ref129810323"/>
      <w:r w:rsidRPr="00CE1D7F">
        <w:rPr>
          <w:rStyle w:val="CaptionLabel"/>
        </w:rPr>
        <w:t>Figure </w:t>
      </w:r>
      <w:r>
        <w:rPr>
          <w:rStyle w:val="CaptionLabel"/>
        </w:rPr>
        <w:fldChar w:fldCharType="begin"/>
      </w:r>
      <w:r>
        <w:rPr>
          <w:rStyle w:val="CaptionLabel"/>
        </w:rPr>
        <w:instrText xml:space="preserve"> STYLEREF 9 \s </w:instrText>
      </w:r>
      <w:r>
        <w:rPr>
          <w:rStyle w:val="CaptionLabel"/>
        </w:rPr>
        <w:fldChar w:fldCharType="separate"/>
      </w:r>
      <w:r>
        <w:rPr>
          <w:rStyle w:val="CaptionLabel"/>
          <w:noProof/>
        </w:rPr>
        <w:t>C</w:t>
      </w:r>
      <w:r>
        <w:rPr>
          <w:rStyle w:val="CaptionLabel"/>
        </w:rPr>
        <w:fldChar w:fldCharType="end"/>
      </w:r>
      <w:r>
        <w:rPr>
          <w:rStyle w:val="CaptionLabel"/>
        </w:rPr>
        <w:t>.</w:t>
      </w:r>
      <w:r>
        <w:rPr>
          <w:rStyle w:val="CaptionLabel"/>
        </w:rPr>
        <w:fldChar w:fldCharType="begin"/>
      </w:r>
      <w:r>
        <w:rPr>
          <w:rStyle w:val="CaptionLabel"/>
        </w:rPr>
        <w:instrText xml:space="preserve"> SEQ Figure_AP \* ARABIC \s 9 </w:instrText>
      </w:r>
      <w:r>
        <w:rPr>
          <w:rStyle w:val="CaptionLabel"/>
        </w:rPr>
        <w:fldChar w:fldCharType="separate"/>
      </w:r>
      <w:r>
        <w:rPr>
          <w:rStyle w:val="CaptionLabel"/>
          <w:noProof/>
        </w:rPr>
        <w:t>1</w:t>
      </w:r>
      <w:r>
        <w:rPr>
          <w:rStyle w:val="CaptionLabel"/>
        </w:rPr>
        <w:fldChar w:fldCharType="end"/>
      </w:r>
      <w:bookmarkEnd w:id="681"/>
      <w:r w:rsidRPr="00CE1D7F">
        <w:tab/>
        <w:t>Survey results on the role of NCGP in building Australia’s research and innovation capacity</w:t>
      </w:r>
    </w:p>
    <w:tbl>
      <w:tblPr>
        <w:tblStyle w:val="aacTableFigure"/>
        <w:tblW w:w="7937" w:type="dxa"/>
        <w:tblBorders>
          <w:top w:val="single" w:sz="4" w:space="0" w:color="000000"/>
          <w:bottom w:val="single" w:sz="4" w:space="0" w:color="000000"/>
        </w:tblBorders>
        <w:tblLayout w:type="fixed"/>
        <w:tblLook w:val="04A0" w:firstRow="1" w:lastRow="0" w:firstColumn="1" w:lastColumn="0" w:noHBand="0" w:noVBand="1"/>
      </w:tblPr>
      <w:tblGrid>
        <w:gridCol w:w="7937"/>
      </w:tblGrid>
      <w:tr w:rsidR="002B32A0" w:rsidRPr="00CE1D7F" w14:paraId="451E6268" w14:textId="77777777" w:rsidTr="000B0AC7">
        <w:tc>
          <w:tcPr>
            <w:tcW w:w="7937" w:type="dxa"/>
            <w:shd w:val="clear" w:color="auto" w:fill="auto"/>
          </w:tcPr>
          <w:p w14:paraId="42EACF45" w14:textId="77777777" w:rsidR="002B32A0" w:rsidRPr="00CE1D7F" w:rsidRDefault="002B32A0" w:rsidP="00A177FC">
            <w:pPr>
              <w:pStyle w:val="Figure"/>
              <w:ind w:left="-110"/>
            </w:pPr>
            <w:r w:rsidRPr="00CE1D7F">
              <w:rPr>
                <w:i/>
                <w:noProof/>
                <w:color w:val="7D7C7D"/>
                <w:sz w:val="24"/>
              </w:rPr>
              <w:drawing>
                <wp:inline distT="0" distB="0" distL="0" distR="0" wp14:anchorId="70FFF85D" wp14:editId="03C6814F">
                  <wp:extent cx="5054994" cy="2044065"/>
                  <wp:effectExtent l="0" t="0" r="0" b="0"/>
                  <wp:docPr id="228" name="Picture 228" descr="Survey results on the role of NCGP in building Australia’s research and innovation capa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8" descr="Survey results on the role of NCGP in building Australia’s research and innovation capacity"/>
                          <pic:cNvPicPr>
                            <a:picLocks noChangeAspect="1" noChangeArrowheads="1"/>
                          </pic:cNvPicPr>
                        </pic:nvPicPr>
                        <pic:blipFill rotWithShape="1">
                          <a:blip r:embed="rId271">
                            <a:extLst>
                              <a:ext uri="{28A0092B-C50C-407E-A947-70E740481C1C}">
                                <a14:useLocalDpi xmlns:a14="http://schemas.microsoft.com/office/drawing/2010/main" val="0"/>
                              </a:ext>
                            </a:extLst>
                          </a:blip>
                          <a:srcRect l="1426" t="2223" r="2208" b="5002"/>
                          <a:stretch/>
                        </pic:blipFill>
                        <pic:spPr bwMode="auto">
                          <a:xfrm>
                            <a:off x="0" y="0"/>
                            <a:ext cx="5078827" cy="2053702"/>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5A3276A0" w14:textId="77777777" w:rsidR="000B0AC7" w:rsidRPr="00CE1D7F" w:rsidRDefault="000B0AC7" w:rsidP="000B0AC7">
      <w:pPr>
        <w:pStyle w:val="Source"/>
        <w:ind w:left="1308" w:hanging="1308"/>
        <w:rPr>
          <w:i w:val="0"/>
          <w:iCs/>
        </w:rPr>
      </w:pPr>
      <w:r w:rsidRPr="00CE1D7F">
        <w:rPr>
          <w:i w:val="0"/>
          <w:iCs/>
        </w:rPr>
        <w:t>Note: respondents could select more than one answer for the following: Support an enhanced quality of life in Australia N=3,515, Support economic growth N=3,512, Create jobs N=3,508, Foster the development of new technologies, products and ideas N=3,517, Generate new knowledge N=3,524.</w:t>
      </w:r>
    </w:p>
    <w:p w14:paraId="5CFDB7F5" w14:textId="77777777" w:rsidR="000B0AC7" w:rsidRPr="00CE1D7F" w:rsidRDefault="000B0AC7" w:rsidP="006258ED">
      <w:pPr>
        <w:pStyle w:val="Source"/>
      </w:pPr>
      <w:r w:rsidRPr="00CE1D7F">
        <w:t>Source: ACIL Allen survey of ARC funding recipients</w:t>
      </w:r>
    </w:p>
    <w:p w14:paraId="0C87180F" w14:textId="77777777" w:rsidR="000B0AC7" w:rsidRPr="00CE1D7F" w:rsidRDefault="000B0AC7" w:rsidP="006258ED">
      <w:pPr>
        <w:pStyle w:val="spacer"/>
      </w:pPr>
    </w:p>
    <w:p w14:paraId="46E046F6" w14:textId="1471CD24" w:rsidR="002B32A0" w:rsidRPr="00CE1D7F" w:rsidRDefault="002B32A0" w:rsidP="002B32A0">
      <w:pPr>
        <w:pStyle w:val="BodyText"/>
      </w:pPr>
      <w:r w:rsidRPr="00F87D0E">
        <w:fldChar w:fldCharType="begin"/>
      </w:r>
      <w:r w:rsidRPr="00F87D0E">
        <w:instrText xml:space="preserve"> REF _Ref129355501 \h  \* MERGEFORMAT </w:instrText>
      </w:r>
      <w:r w:rsidRPr="00F87D0E">
        <w:fldChar w:fldCharType="separate"/>
      </w:r>
      <w:r w:rsidR="000B0AC7" w:rsidRPr="000B0AC7">
        <w:t>Figure C.2</w:t>
      </w:r>
      <w:r w:rsidRPr="00F87D0E">
        <w:fldChar w:fldCharType="end"/>
      </w:r>
      <w:r w:rsidRPr="00CE1D7F">
        <w:t xml:space="preserve"> reports survey respondents perspectives on the impacts that have been/are likely to be delivered </w:t>
      </w:r>
      <w:r>
        <w:t xml:space="preserve">by </w:t>
      </w:r>
      <w:r w:rsidRPr="00CE1D7F">
        <w:t>the projects across economic, social, environmental, cultural and other types of benefits.</w:t>
      </w:r>
    </w:p>
    <w:p w14:paraId="39C120BC" w14:textId="5F379C73" w:rsidR="000B0AC7" w:rsidRPr="00CE1D7F" w:rsidRDefault="000B0AC7" w:rsidP="000B0AC7">
      <w:pPr>
        <w:pStyle w:val="Caption"/>
        <w:ind w:left="1308" w:hanging="1308"/>
      </w:pPr>
      <w:bookmarkStart w:id="682" w:name="_Ref129355501"/>
      <w:r w:rsidRPr="00CE1D7F">
        <w:rPr>
          <w:rStyle w:val="CaptionLabel"/>
        </w:rPr>
        <w:t>Figure </w:t>
      </w:r>
      <w:r>
        <w:rPr>
          <w:rStyle w:val="CaptionLabel"/>
        </w:rPr>
        <w:fldChar w:fldCharType="begin"/>
      </w:r>
      <w:r>
        <w:rPr>
          <w:rStyle w:val="CaptionLabel"/>
        </w:rPr>
        <w:instrText xml:space="preserve"> STYLEREF 9 \s </w:instrText>
      </w:r>
      <w:r>
        <w:rPr>
          <w:rStyle w:val="CaptionLabel"/>
        </w:rPr>
        <w:fldChar w:fldCharType="separate"/>
      </w:r>
      <w:r>
        <w:rPr>
          <w:rStyle w:val="CaptionLabel"/>
          <w:noProof/>
        </w:rPr>
        <w:t>C</w:t>
      </w:r>
      <w:r>
        <w:rPr>
          <w:rStyle w:val="CaptionLabel"/>
        </w:rPr>
        <w:fldChar w:fldCharType="end"/>
      </w:r>
      <w:r>
        <w:rPr>
          <w:rStyle w:val="CaptionLabel"/>
        </w:rPr>
        <w:t>.</w:t>
      </w:r>
      <w:r>
        <w:rPr>
          <w:rStyle w:val="CaptionLabel"/>
        </w:rPr>
        <w:fldChar w:fldCharType="begin"/>
      </w:r>
      <w:r>
        <w:rPr>
          <w:rStyle w:val="CaptionLabel"/>
        </w:rPr>
        <w:instrText xml:space="preserve"> SEQ Figure_AP \* ARABIC \s 9 </w:instrText>
      </w:r>
      <w:r>
        <w:rPr>
          <w:rStyle w:val="CaptionLabel"/>
        </w:rPr>
        <w:fldChar w:fldCharType="separate"/>
      </w:r>
      <w:r>
        <w:rPr>
          <w:rStyle w:val="CaptionLabel"/>
          <w:noProof/>
        </w:rPr>
        <w:t>2</w:t>
      </w:r>
      <w:r>
        <w:rPr>
          <w:rStyle w:val="CaptionLabel"/>
        </w:rPr>
        <w:fldChar w:fldCharType="end"/>
      </w:r>
      <w:bookmarkEnd w:id="682"/>
      <w:r w:rsidRPr="00CE1D7F">
        <w:tab/>
        <w:t>Survey results on the impacts that have been/are likely to be delivered</w:t>
      </w:r>
      <w:r>
        <w:t xml:space="preserve"> by</w:t>
      </w:r>
      <w:r w:rsidRPr="00CE1D7F">
        <w:t xml:space="preserve"> the projects</w:t>
      </w:r>
    </w:p>
    <w:tbl>
      <w:tblPr>
        <w:tblW w:w="7937" w:type="dxa"/>
        <w:tblLayout w:type="fixed"/>
        <w:tblLook w:val="0000" w:firstRow="0" w:lastRow="0" w:firstColumn="0" w:lastColumn="0" w:noHBand="0" w:noVBand="0"/>
      </w:tblPr>
      <w:tblGrid>
        <w:gridCol w:w="7937"/>
      </w:tblGrid>
      <w:tr w:rsidR="002B32A0" w:rsidRPr="00CE1D7F" w14:paraId="35EE379C" w14:textId="77777777" w:rsidTr="006258ED">
        <w:tc>
          <w:tcPr>
            <w:tcW w:w="7937" w:type="dxa"/>
            <w:tcBorders>
              <w:top w:val="single" w:sz="4" w:space="0" w:color="000100"/>
            </w:tcBorders>
            <w:shd w:val="clear" w:color="auto" w:fill="auto"/>
          </w:tcPr>
          <w:p w14:paraId="13AB83DB" w14:textId="77777777" w:rsidR="002B32A0" w:rsidRPr="00CE1D7F" w:rsidRDefault="002B32A0" w:rsidP="006258ED">
            <w:pPr>
              <w:pStyle w:val="Figure"/>
            </w:pPr>
            <w:r w:rsidRPr="00CE1D7F">
              <w:rPr>
                <w:noProof/>
              </w:rPr>
              <w:drawing>
                <wp:inline distT="0" distB="0" distL="0" distR="0" wp14:anchorId="2C486086" wp14:editId="30379AC4">
                  <wp:extent cx="4901565" cy="3975100"/>
                  <wp:effectExtent l="0" t="0" r="0" b="6350"/>
                  <wp:docPr id="531" name="Picture 531" descr="Survey results on the impacts that have been/are likely to be delivered by the proj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Picture 531" descr="Survey results on the impacts that have been/are likely to be delivered by the projects"/>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4901565" cy="3975100"/>
                          </a:xfrm>
                          <a:prstGeom prst="rect">
                            <a:avLst/>
                          </a:prstGeom>
                          <a:noFill/>
                        </pic:spPr>
                      </pic:pic>
                    </a:graphicData>
                  </a:graphic>
                </wp:inline>
              </w:drawing>
            </w:r>
          </w:p>
        </w:tc>
      </w:tr>
      <w:tr w:rsidR="002B32A0" w:rsidRPr="00CE1D7F" w14:paraId="2ED91A65" w14:textId="77777777" w:rsidTr="006258ED">
        <w:tblPrEx>
          <w:tblCellMar>
            <w:left w:w="0" w:type="dxa"/>
            <w:right w:w="0" w:type="dxa"/>
          </w:tblCellMar>
        </w:tblPrEx>
        <w:trPr>
          <w:trHeight w:val="125"/>
        </w:trPr>
        <w:tc>
          <w:tcPr>
            <w:tcW w:w="7937" w:type="dxa"/>
            <w:tcBorders>
              <w:bottom w:val="single" w:sz="4" w:space="0" w:color="000100"/>
            </w:tcBorders>
            <w:shd w:val="clear" w:color="auto" w:fill="auto"/>
            <w:tcMar>
              <w:top w:w="12" w:type="dxa"/>
              <w:bottom w:w="113" w:type="dxa"/>
            </w:tcMar>
          </w:tcPr>
          <w:p w14:paraId="0ED8275A" w14:textId="77777777" w:rsidR="002B32A0" w:rsidRPr="00CE1D7F" w:rsidRDefault="002B32A0" w:rsidP="006258ED">
            <w:pPr>
              <w:pStyle w:val="Source"/>
            </w:pPr>
            <w:r w:rsidRPr="00CE1D7F">
              <w:t>Economic: Discovery N=2,454, Linkage N=1,331. Social: Discovery N=2,454, Linkage N=1,331. Environmental: Discovery N=2,452, Linkage N=1,328. Cultural: Discovery N=2,454, Linkage N=1,327. Other: Discovery N=2,446, Linkage N=1,317.</w:t>
            </w:r>
          </w:p>
          <w:p w14:paraId="156A6CB5" w14:textId="77777777" w:rsidR="002B32A0" w:rsidRPr="00CE1D7F" w:rsidRDefault="002B32A0" w:rsidP="006258ED">
            <w:pPr>
              <w:pStyle w:val="Source"/>
            </w:pPr>
            <w:r w:rsidRPr="00CE1D7F">
              <w:t>Source: ACIL Allen survey of ARC funding recipients</w:t>
            </w:r>
          </w:p>
        </w:tc>
      </w:tr>
      <w:tr w:rsidR="002B32A0" w:rsidRPr="00CE1D7F" w14:paraId="1180B2E9" w14:textId="77777777" w:rsidTr="006258ED">
        <w:tblPrEx>
          <w:tblCellMar>
            <w:left w:w="0" w:type="dxa"/>
            <w:right w:w="0" w:type="dxa"/>
          </w:tblCellMar>
        </w:tblPrEx>
        <w:trPr>
          <w:trHeight w:hRule="exact" w:val="160"/>
        </w:trPr>
        <w:tc>
          <w:tcPr>
            <w:tcW w:w="7937" w:type="dxa"/>
            <w:tcBorders>
              <w:top w:val="single" w:sz="4" w:space="0" w:color="000100"/>
            </w:tcBorders>
            <w:shd w:val="clear" w:color="auto" w:fill="auto"/>
            <w:tcMar>
              <w:top w:w="0" w:type="dxa"/>
              <w:bottom w:w="40" w:type="dxa"/>
            </w:tcMar>
          </w:tcPr>
          <w:p w14:paraId="59D668D6" w14:textId="77777777" w:rsidR="002B32A0" w:rsidRPr="00CE1D7F" w:rsidRDefault="002B32A0" w:rsidP="006258ED">
            <w:pPr>
              <w:pStyle w:val="spacer"/>
            </w:pPr>
          </w:p>
        </w:tc>
      </w:tr>
    </w:tbl>
    <w:p w14:paraId="115C4DF8" w14:textId="384101B5" w:rsidR="002B32A0" w:rsidRPr="00CE1D7F" w:rsidRDefault="002B32A0" w:rsidP="002B32A0">
      <w:pPr>
        <w:pStyle w:val="BodyText"/>
      </w:pPr>
      <w:r w:rsidRPr="00F87D0E">
        <w:fldChar w:fldCharType="begin"/>
      </w:r>
      <w:r w:rsidRPr="00F87D0E">
        <w:instrText xml:space="preserve"> REF _Ref129809607 \h  \* MERGEFORMAT </w:instrText>
      </w:r>
      <w:r w:rsidRPr="00F87D0E">
        <w:fldChar w:fldCharType="separate"/>
      </w:r>
      <w:r w:rsidR="000B0AC7" w:rsidRPr="000B0AC7">
        <w:t>Table C.1</w:t>
      </w:r>
      <w:r w:rsidRPr="00F87D0E">
        <w:fldChar w:fldCharType="end"/>
      </w:r>
      <w:r w:rsidRPr="00CE1D7F">
        <w:t xml:space="preserve"> shows respondents reports of the time lags taken to generate </w:t>
      </w:r>
      <w:r w:rsidRPr="00CE1D7F">
        <w:rPr>
          <w:rFonts w:hint="eastAsia"/>
          <w:lang w:val="en-US"/>
        </w:rPr>
        <w:t xml:space="preserve">returns on </w:t>
      </w:r>
      <w:r w:rsidRPr="00CE1D7F">
        <w:rPr>
          <w:lang w:val="en-US"/>
        </w:rPr>
        <w:t xml:space="preserve">the research </w:t>
      </w:r>
      <w:r w:rsidRPr="00CE1D7F">
        <w:rPr>
          <w:rFonts w:hint="eastAsia"/>
          <w:lang w:val="en-US"/>
        </w:rPr>
        <w:t>investment</w:t>
      </w:r>
      <w:r w:rsidRPr="00CE1D7F">
        <w:rPr>
          <w:lang w:val="en-US"/>
        </w:rPr>
        <w:t xml:space="preserve">. </w:t>
      </w:r>
    </w:p>
    <w:p w14:paraId="1D27D4D9" w14:textId="485F8AD6" w:rsidR="002B32A0" w:rsidRPr="00CE1D7F" w:rsidRDefault="002B32A0" w:rsidP="000B0AC7">
      <w:pPr>
        <w:pStyle w:val="Caption"/>
        <w:ind w:left="1308" w:hanging="1308"/>
      </w:pPr>
      <w:bookmarkStart w:id="683" w:name="_Ref129809607"/>
      <w:r w:rsidRPr="00CE1D7F">
        <w:rPr>
          <w:rStyle w:val="CaptionLabel"/>
        </w:rPr>
        <w:t>Table </w:t>
      </w:r>
      <w:r>
        <w:rPr>
          <w:rStyle w:val="CaptionLabel"/>
        </w:rPr>
        <w:fldChar w:fldCharType="begin"/>
      </w:r>
      <w:r>
        <w:rPr>
          <w:rStyle w:val="CaptionLabel"/>
        </w:rPr>
        <w:instrText xml:space="preserve"> STYLEREF 9 \s </w:instrText>
      </w:r>
      <w:r>
        <w:rPr>
          <w:rStyle w:val="CaptionLabel"/>
        </w:rPr>
        <w:fldChar w:fldCharType="separate"/>
      </w:r>
      <w:r w:rsidR="000B0AC7">
        <w:rPr>
          <w:rStyle w:val="CaptionLabel"/>
          <w:noProof/>
        </w:rPr>
        <w:t>C</w:t>
      </w:r>
      <w:r>
        <w:rPr>
          <w:rStyle w:val="CaptionLabel"/>
        </w:rPr>
        <w:fldChar w:fldCharType="end"/>
      </w:r>
      <w:r>
        <w:rPr>
          <w:rStyle w:val="CaptionLabel"/>
        </w:rPr>
        <w:t>.</w:t>
      </w:r>
      <w:r>
        <w:rPr>
          <w:rStyle w:val="CaptionLabel"/>
        </w:rPr>
        <w:fldChar w:fldCharType="begin"/>
      </w:r>
      <w:r>
        <w:rPr>
          <w:rStyle w:val="CaptionLabel"/>
        </w:rPr>
        <w:instrText xml:space="preserve"> SEQ Table_AP \* ARABIC \s 9 </w:instrText>
      </w:r>
      <w:r>
        <w:rPr>
          <w:rStyle w:val="CaptionLabel"/>
        </w:rPr>
        <w:fldChar w:fldCharType="separate"/>
      </w:r>
      <w:r w:rsidR="000B0AC7">
        <w:rPr>
          <w:rStyle w:val="CaptionLabel"/>
          <w:noProof/>
        </w:rPr>
        <w:t>1</w:t>
      </w:r>
      <w:r>
        <w:rPr>
          <w:rStyle w:val="CaptionLabel"/>
        </w:rPr>
        <w:fldChar w:fldCharType="end"/>
      </w:r>
      <w:bookmarkEnd w:id="683"/>
      <w:r w:rsidRPr="00CE1D7F">
        <w:tab/>
        <w:t xml:space="preserve">Survey results on the time lags taken to generate </w:t>
      </w:r>
      <w:r w:rsidRPr="00CE1D7F">
        <w:rPr>
          <w:rFonts w:hint="eastAsia"/>
          <w:lang w:val="en-US"/>
        </w:rPr>
        <w:t xml:space="preserve">returns on </w:t>
      </w:r>
      <w:r w:rsidRPr="00CE1D7F">
        <w:rPr>
          <w:lang w:val="en-US"/>
        </w:rPr>
        <w:t xml:space="preserve">the research </w:t>
      </w:r>
      <w:r w:rsidRPr="00CE1D7F">
        <w:rPr>
          <w:rFonts w:hint="eastAsia"/>
          <w:lang w:val="en-US"/>
        </w:rPr>
        <w:t>investment</w:t>
      </w:r>
    </w:p>
    <w:tbl>
      <w:tblPr>
        <w:tblStyle w:val="aacTableBasic"/>
        <w:tblW w:w="7936" w:type="dxa"/>
        <w:tblLayout w:type="fixed"/>
        <w:tblLook w:val="04A0" w:firstRow="1" w:lastRow="0" w:firstColumn="1" w:lastColumn="0" w:noHBand="0" w:noVBand="1"/>
        <w:tblCaption w:val="Table C.1 "/>
        <w:tblDescription w:val="Survey results on the time lags taken to generate returns on the research investment"/>
      </w:tblPr>
      <w:tblGrid>
        <w:gridCol w:w="3544"/>
        <w:gridCol w:w="1134"/>
        <w:gridCol w:w="992"/>
        <w:gridCol w:w="2266"/>
      </w:tblGrid>
      <w:tr w:rsidR="002B32A0" w:rsidRPr="00CE1D7F" w14:paraId="04DCCF53" w14:textId="77777777" w:rsidTr="000B0AC7">
        <w:trPr>
          <w:cnfStyle w:val="100000000000" w:firstRow="1" w:lastRow="0" w:firstColumn="0" w:lastColumn="0" w:oddVBand="0" w:evenVBand="0" w:oddHBand="0" w:evenHBand="0" w:firstRowFirstColumn="0" w:firstRowLastColumn="0" w:lastRowFirstColumn="0" w:lastRowLastColumn="0"/>
        </w:trPr>
        <w:tc>
          <w:tcPr>
            <w:tcW w:w="3544" w:type="dxa"/>
            <w:tcBorders>
              <w:top w:val="nil"/>
            </w:tcBorders>
            <w:shd w:val="solid" w:color="140034" w:fill="140034"/>
            <w:tcMar>
              <w:left w:w="80" w:type="dxa"/>
            </w:tcMar>
          </w:tcPr>
          <w:p w14:paraId="1C1D53B0" w14:textId="77777777" w:rsidR="002B32A0" w:rsidRPr="00CE1D7F" w:rsidRDefault="002B32A0" w:rsidP="006258ED">
            <w:pPr>
              <w:pStyle w:val="Tablecolumnheadings"/>
            </w:pPr>
          </w:p>
        </w:tc>
        <w:tc>
          <w:tcPr>
            <w:tcW w:w="1134" w:type="dxa"/>
            <w:tcBorders>
              <w:top w:val="nil"/>
            </w:tcBorders>
            <w:shd w:val="solid" w:color="140034" w:fill="140034"/>
          </w:tcPr>
          <w:p w14:paraId="2C204C06" w14:textId="77777777" w:rsidR="002B32A0" w:rsidRPr="00CE1D7F" w:rsidRDefault="002B32A0" w:rsidP="006258ED">
            <w:pPr>
              <w:pStyle w:val="Tablecolumnheadings"/>
            </w:pPr>
            <w:r w:rsidRPr="00CE1D7F">
              <w:t xml:space="preserve">Discovery </w:t>
            </w:r>
          </w:p>
        </w:tc>
        <w:tc>
          <w:tcPr>
            <w:tcW w:w="992" w:type="dxa"/>
            <w:tcBorders>
              <w:top w:val="nil"/>
            </w:tcBorders>
            <w:shd w:val="solid" w:color="140034" w:fill="140034"/>
          </w:tcPr>
          <w:p w14:paraId="6E1147C9" w14:textId="77777777" w:rsidR="002B32A0" w:rsidRPr="00CE1D7F" w:rsidRDefault="002B32A0" w:rsidP="006258ED">
            <w:pPr>
              <w:pStyle w:val="Tablecolumnheadings"/>
            </w:pPr>
            <w:r w:rsidRPr="00CE1D7F">
              <w:t>Linkage</w:t>
            </w:r>
          </w:p>
        </w:tc>
        <w:tc>
          <w:tcPr>
            <w:tcW w:w="2266" w:type="dxa"/>
            <w:tcBorders>
              <w:top w:val="nil"/>
            </w:tcBorders>
            <w:shd w:val="solid" w:color="140034" w:fill="140034"/>
          </w:tcPr>
          <w:p w14:paraId="27FBE068" w14:textId="77777777" w:rsidR="002B32A0" w:rsidRPr="00CE1D7F" w:rsidRDefault="002B32A0" w:rsidP="006258ED">
            <w:pPr>
              <w:pStyle w:val="Tablecolumnheadings"/>
            </w:pPr>
            <w:r w:rsidRPr="00CE1D7F">
              <w:t>Assumed midpoint (years)</w:t>
            </w:r>
          </w:p>
        </w:tc>
      </w:tr>
      <w:tr w:rsidR="002B32A0" w:rsidRPr="00CE1D7F" w14:paraId="61B9E3A7" w14:textId="77777777" w:rsidTr="000B0AC7">
        <w:tc>
          <w:tcPr>
            <w:tcW w:w="3544" w:type="dxa"/>
            <w:tcMar>
              <w:left w:w="80" w:type="dxa"/>
            </w:tcMar>
          </w:tcPr>
          <w:p w14:paraId="260A58F4" w14:textId="77777777" w:rsidR="002B32A0" w:rsidRPr="00CE1D7F" w:rsidRDefault="002B32A0" w:rsidP="006258ED">
            <w:pPr>
              <w:pStyle w:val="Tabletext"/>
            </w:pPr>
            <w:r w:rsidRPr="00CE1D7F">
              <w:t>During the project</w:t>
            </w:r>
          </w:p>
        </w:tc>
        <w:tc>
          <w:tcPr>
            <w:tcW w:w="1134" w:type="dxa"/>
          </w:tcPr>
          <w:p w14:paraId="76034C26" w14:textId="77777777" w:rsidR="002B32A0" w:rsidRPr="00CE1D7F" w:rsidRDefault="002B32A0" w:rsidP="006258ED">
            <w:pPr>
              <w:pStyle w:val="Tabletext"/>
            </w:pPr>
            <w:r w:rsidRPr="00CE1D7F">
              <w:t>10%</w:t>
            </w:r>
          </w:p>
        </w:tc>
        <w:tc>
          <w:tcPr>
            <w:tcW w:w="992" w:type="dxa"/>
          </w:tcPr>
          <w:p w14:paraId="778D40E4" w14:textId="77777777" w:rsidR="002B32A0" w:rsidRPr="00CE1D7F" w:rsidRDefault="002B32A0" w:rsidP="006258ED">
            <w:pPr>
              <w:pStyle w:val="Tabletext"/>
            </w:pPr>
            <w:r w:rsidRPr="00CE1D7F">
              <w:t>15%</w:t>
            </w:r>
          </w:p>
        </w:tc>
        <w:tc>
          <w:tcPr>
            <w:tcW w:w="2266" w:type="dxa"/>
          </w:tcPr>
          <w:p w14:paraId="00FF6B09" w14:textId="77777777" w:rsidR="002B32A0" w:rsidRPr="00CE1D7F" w:rsidRDefault="002B32A0" w:rsidP="006258ED">
            <w:pPr>
              <w:pStyle w:val="Tabletext"/>
            </w:pPr>
            <w:r w:rsidRPr="00CE1D7F">
              <w:t>0</w:t>
            </w:r>
          </w:p>
        </w:tc>
      </w:tr>
      <w:tr w:rsidR="002B32A0" w:rsidRPr="00CE1D7F" w14:paraId="07E80DD5" w14:textId="77777777" w:rsidTr="000B0AC7">
        <w:tc>
          <w:tcPr>
            <w:tcW w:w="3544" w:type="dxa"/>
            <w:tcMar>
              <w:left w:w="80" w:type="dxa"/>
            </w:tcMar>
          </w:tcPr>
          <w:p w14:paraId="335F5E07" w14:textId="77777777" w:rsidR="002B32A0" w:rsidRPr="00CE1D7F" w:rsidRDefault="002B32A0" w:rsidP="006258ED">
            <w:pPr>
              <w:pStyle w:val="Tabletext"/>
            </w:pPr>
            <w:r w:rsidRPr="00CE1D7F">
              <w:t>Within 1 year of project completion</w:t>
            </w:r>
          </w:p>
        </w:tc>
        <w:tc>
          <w:tcPr>
            <w:tcW w:w="1134" w:type="dxa"/>
          </w:tcPr>
          <w:p w14:paraId="6CA7081C" w14:textId="77777777" w:rsidR="002B32A0" w:rsidRPr="00CE1D7F" w:rsidRDefault="002B32A0" w:rsidP="006258ED">
            <w:pPr>
              <w:pStyle w:val="Tabletext"/>
            </w:pPr>
            <w:r w:rsidRPr="00CE1D7F">
              <w:t>6%</w:t>
            </w:r>
          </w:p>
        </w:tc>
        <w:tc>
          <w:tcPr>
            <w:tcW w:w="992" w:type="dxa"/>
          </w:tcPr>
          <w:p w14:paraId="5EEF04A5" w14:textId="77777777" w:rsidR="002B32A0" w:rsidRPr="00CE1D7F" w:rsidRDefault="002B32A0" w:rsidP="006258ED">
            <w:pPr>
              <w:pStyle w:val="Tabletext"/>
            </w:pPr>
            <w:r w:rsidRPr="00CE1D7F">
              <w:t>14%</w:t>
            </w:r>
          </w:p>
        </w:tc>
        <w:tc>
          <w:tcPr>
            <w:tcW w:w="2266" w:type="dxa"/>
          </w:tcPr>
          <w:p w14:paraId="12920C21" w14:textId="77777777" w:rsidR="002B32A0" w:rsidRPr="00CE1D7F" w:rsidRDefault="002B32A0" w:rsidP="006258ED">
            <w:pPr>
              <w:pStyle w:val="Tabletext"/>
            </w:pPr>
            <w:r w:rsidRPr="00CE1D7F">
              <w:t>1</w:t>
            </w:r>
          </w:p>
        </w:tc>
      </w:tr>
      <w:tr w:rsidR="002B32A0" w:rsidRPr="00CE1D7F" w14:paraId="4C90A784" w14:textId="77777777" w:rsidTr="000B0AC7">
        <w:tc>
          <w:tcPr>
            <w:tcW w:w="3544" w:type="dxa"/>
            <w:tcMar>
              <w:left w:w="80" w:type="dxa"/>
            </w:tcMar>
          </w:tcPr>
          <w:p w14:paraId="6C674E90" w14:textId="77777777" w:rsidR="002B32A0" w:rsidRPr="00CE1D7F" w:rsidRDefault="002B32A0" w:rsidP="006258ED">
            <w:pPr>
              <w:pStyle w:val="Tabletext"/>
            </w:pPr>
            <w:r w:rsidRPr="00CE1D7F">
              <w:t>2-5 years from project completion</w:t>
            </w:r>
          </w:p>
        </w:tc>
        <w:tc>
          <w:tcPr>
            <w:tcW w:w="1134" w:type="dxa"/>
          </w:tcPr>
          <w:p w14:paraId="523DCE44" w14:textId="77777777" w:rsidR="002B32A0" w:rsidRPr="00CE1D7F" w:rsidRDefault="002B32A0" w:rsidP="006258ED">
            <w:pPr>
              <w:pStyle w:val="Tabletext"/>
            </w:pPr>
            <w:r w:rsidRPr="00CE1D7F">
              <w:t>35%</w:t>
            </w:r>
          </w:p>
        </w:tc>
        <w:tc>
          <w:tcPr>
            <w:tcW w:w="992" w:type="dxa"/>
          </w:tcPr>
          <w:p w14:paraId="281EEC88" w14:textId="77777777" w:rsidR="002B32A0" w:rsidRPr="00CE1D7F" w:rsidRDefault="002B32A0" w:rsidP="006258ED">
            <w:pPr>
              <w:pStyle w:val="Tabletext"/>
            </w:pPr>
            <w:r w:rsidRPr="00CE1D7F">
              <w:t>38%</w:t>
            </w:r>
          </w:p>
        </w:tc>
        <w:tc>
          <w:tcPr>
            <w:tcW w:w="2266" w:type="dxa"/>
          </w:tcPr>
          <w:p w14:paraId="4564F17A" w14:textId="77777777" w:rsidR="002B32A0" w:rsidRPr="00CE1D7F" w:rsidRDefault="002B32A0" w:rsidP="006258ED">
            <w:pPr>
              <w:pStyle w:val="Tabletext"/>
            </w:pPr>
            <w:r w:rsidRPr="00CE1D7F">
              <w:t>3.5</w:t>
            </w:r>
          </w:p>
        </w:tc>
      </w:tr>
      <w:tr w:rsidR="002B32A0" w:rsidRPr="00CE1D7F" w14:paraId="1E0F9182" w14:textId="77777777" w:rsidTr="000B0AC7">
        <w:tc>
          <w:tcPr>
            <w:tcW w:w="3544" w:type="dxa"/>
            <w:tcMar>
              <w:left w:w="80" w:type="dxa"/>
            </w:tcMar>
          </w:tcPr>
          <w:p w14:paraId="647756C1" w14:textId="77777777" w:rsidR="002B32A0" w:rsidRPr="00CE1D7F" w:rsidRDefault="002B32A0" w:rsidP="006258ED">
            <w:pPr>
              <w:pStyle w:val="Tabletext"/>
            </w:pPr>
            <w:r w:rsidRPr="00CE1D7F">
              <w:t>5-10 years from project completion</w:t>
            </w:r>
          </w:p>
        </w:tc>
        <w:tc>
          <w:tcPr>
            <w:tcW w:w="1134" w:type="dxa"/>
          </w:tcPr>
          <w:p w14:paraId="51482838" w14:textId="77777777" w:rsidR="002B32A0" w:rsidRPr="00CE1D7F" w:rsidRDefault="002B32A0" w:rsidP="006258ED">
            <w:pPr>
              <w:pStyle w:val="Tabletext"/>
            </w:pPr>
            <w:r w:rsidRPr="00CE1D7F">
              <w:t>34%</w:t>
            </w:r>
          </w:p>
        </w:tc>
        <w:tc>
          <w:tcPr>
            <w:tcW w:w="992" w:type="dxa"/>
          </w:tcPr>
          <w:p w14:paraId="583BBAB8" w14:textId="77777777" w:rsidR="002B32A0" w:rsidRPr="00CE1D7F" w:rsidRDefault="002B32A0" w:rsidP="006258ED">
            <w:pPr>
              <w:pStyle w:val="Tabletext"/>
            </w:pPr>
            <w:r w:rsidRPr="00CE1D7F">
              <w:t>25%</w:t>
            </w:r>
          </w:p>
        </w:tc>
        <w:tc>
          <w:tcPr>
            <w:tcW w:w="2266" w:type="dxa"/>
          </w:tcPr>
          <w:p w14:paraId="0676FE89" w14:textId="77777777" w:rsidR="002B32A0" w:rsidRPr="00CE1D7F" w:rsidRDefault="002B32A0" w:rsidP="006258ED">
            <w:pPr>
              <w:pStyle w:val="Tabletext"/>
            </w:pPr>
            <w:r w:rsidRPr="00CE1D7F">
              <w:t>7.5</w:t>
            </w:r>
          </w:p>
        </w:tc>
      </w:tr>
      <w:tr w:rsidR="002B32A0" w:rsidRPr="00CE1D7F" w14:paraId="4B219707" w14:textId="77777777" w:rsidTr="000B0AC7">
        <w:tc>
          <w:tcPr>
            <w:tcW w:w="3544" w:type="dxa"/>
            <w:tcMar>
              <w:left w:w="80" w:type="dxa"/>
            </w:tcMar>
          </w:tcPr>
          <w:p w14:paraId="564DE37E" w14:textId="77777777" w:rsidR="002B32A0" w:rsidRPr="00CE1D7F" w:rsidRDefault="002B32A0" w:rsidP="006258ED">
            <w:pPr>
              <w:pStyle w:val="Tabletext"/>
            </w:pPr>
            <w:r w:rsidRPr="00CE1D7F">
              <w:t>Over 10 years from project completion</w:t>
            </w:r>
          </w:p>
        </w:tc>
        <w:tc>
          <w:tcPr>
            <w:tcW w:w="1134" w:type="dxa"/>
          </w:tcPr>
          <w:p w14:paraId="051D4C9E" w14:textId="77777777" w:rsidR="002B32A0" w:rsidRPr="00CE1D7F" w:rsidRDefault="002B32A0" w:rsidP="006258ED">
            <w:pPr>
              <w:pStyle w:val="Tabletext"/>
            </w:pPr>
            <w:r w:rsidRPr="00CE1D7F">
              <w:t>16%</w:t>
            </w:r>
          </w:p>
        </w:tc>
        <w:tc>
          <w:tcPr>
            <w:tcW w:w="992" w:type="dxa"/>
          </w:tcPr>
          <w:p w14:paraId="5010F5D5" w14:textId="77777777" w:rsidR="002B32A0" w:rsidRPr="00CE1D7F" w:rsidRDefault="002B32A0" w:rsidP="006258ED">
            <w:pPr>
              <w:pStyle w:val="Tabletext"/>
            </w:pPr>
            <w:r w:rsidRPr="00CE1D7F">
              <w:t>8%</w:t>
            </w:r>
          </w:p>
        </w:tc>
        <w:tc>
          <w:tcPr>
            <w:tcW w:w="2266" w:type="dxa"/>
          </w:tcPr>
          <w:p w14:paraId="35B3BB34" w14:textId="77777777" w:rsidR="002B32A0" w:rsidRPr="00CE1D7F" w:rsidRDefault="002B32A0" w:rsidP="006258ED">
            <w:pPr>
              <w:pStyle w:val="Tabletext"/>
            </w:pPr>
            <w:r w:rsidRPr="00CE1D7F">
              <w:t>11</w:t>
            </w:r>
          </w:p>
        </w:tc>
      </w:tr>
      <w:tr w:rsidR="002B32A0" w:rsidRPr="00CE1D7F" w14:paraId="699C8D02" w14:textId="77777777" w:rsidTr="000B0AC7">
        <w:tc>
          <w:tcPr>
            <w:tcW w:w="3544" w:type="dxa"/>
            <w:tcMar>
              <w:left w:w="80" w:type="dxa"/>
            </w:tcMar>
          </w:tcPr>
          <w:p w14:paraId="62ABB8EA" w14:textId="77777777" w:rsidR="002B32A0" w:rsidRPr="00CE1D7F" w:rsidRDefault="002B32A0" w:rsidP="006258ED">
            <w:pPr>
              <w:pStyle w:val="Tabletext"/>
              <w:rPr>
                <w:b/>
                <w:bCs/>
              </w:rPr>
            </w:pPr>
            <w:r w:rsidRPr="00CE1D7F">
              <w:rPr>
                <w:b/>
                <w:bCs/>
              </w:rPr>
              <w:t>Weighted average</w:t>
            </w:r>
          </w:p>
        </w:tc>
        <w:tc>
          <w:tcPr>
            <w:tcW w:w="1134" w:type="dxa"/>
          </w:tcPr>
          <w:p w14:paraId="70E1CCE2" w14:textId="77777777" w:rsidR="002B32A0" w:rsidRPr="00CE1D7F" w:rsidRDefault="002B32A0" w:rsidP="006258ED">
            <w:pPr>
              <w:pStyle w:val="Tabletext"/>
              <w:rPr>
                <w:b/>
                <w:bCs/>
              </w:rPr>
            </w:pPr>
            <w:r w:rsidRPr="00CE1D7F">
              <w:rPr>
                <w:b/>
                <w:bCs/>
              </w:rPr>
              <w:t>5.6</w:t>
            </w:r>
          </w:p>
        </w:tc>
        <w:tc>
          <w:tcPr>
            <w:tcW w:w="992" w:type="dxa"/>
          </w:tcPr>
          <w:p w14:paraId="217DFF2D" w14:textId="77777777" w:rsidR="002B32A0" w:rsidRPr="00CE1D7F" w:rsidRDefault="002B32A0" w:rsidP="006258ED">
            <w:pPr>
              <w:pStyle w:val="Tabletext"/>
              <w:rPr>
                <w:b/>
                <w:bCs/>
              </w:rPr>
            </w:pPr>
            <w:r w:rsidRPr="00CE1D7F">
              <w:rPr>
                <w:b/>
                <w:bCs/>
              </w:rPr>
              <w:t>4.2</w:t>
            </w:r>
          </w:p>
        </w:tc>
        <w:tc>
          <w:tcPr>
            <w:tcW w:w="2266" w:type="dxa"/>
          </w:tcPr>
          <w:p w14:paraId="79B32B99" w14:textId="77777777" w:rsidR="002B32A0" w:rsidRPr="00CE1D7F" w:rsidRDefault="002B32A0" w:rsidP="006258ED">
            <w:pPr>
              <w:pStyle w:val="Tabletext"/>
              <w:rPr>
                <w:b/>
                <w:bCs/>
              </w:rPr>
            </w:pPr>
          </w:p>
        </w:tc>
      </w:tr>
    </w:tbl>
    <w:p w14:paraId="77AA42EA" w14:textId="77777777" w:rsidR="000B0AC7" w:rsidRPr="00CE1D7F" w:rsidRDefault="000B0AC7" w:rsidP="000B0AC7">
      <w:pPr>
        <w:pStyle w:val="Source"/>
      </w:pPr>
      <w:r w:rsidRPr="00CE1D7F">
        <w:t>Source: ACIL Allen survey of ARC funding recipients</w:t>
      </w:r>
    </w:p>
    <w:p w14:paraId="59D60F1B" w14:textId="77777777" w:rsidR="000B0AC7" w:rsidRPr="00CE1D7F" w:rsidRDefault="000B0AC7" w:rsidP="000B0AC7">
      <w:pPr>
        <w:pStyle w:val="spacer"/>
      </w:pPr>
    </w:p>
    <w:p w14:paraId="3AC05E8B" w14:textId="367917DE" w:rsidR="002B32A0" w:rsidRPr="00CE1D7F" w:rsidRDefault="002B32A0" w:rsidP="002B32A0">
      <w:r w:rsidRPr="00F87D0E">
        <w:fldChar w:fldCharType="begin"/>
      </w:r>
      <w:r w:rsidRPr="00F87D0E">
        <w:instrText xml:space="preserve"> REF _Ref129615686 \h  \* MERGEFORMAT </w:instrText>
      </w:r>
      <w:r w:rsidRPr="00F87D0E">
        <w:fldChar w:fldCharType="separate"/>
      </w:r>
      <w:r w:rsidR="000B0AC7" w:rsidRPr="000B0AC7">
        <w:t>Table C.2</w:t>
      </w:r>
      <w:r w:rsidRPr="00F87D0E">
        <w:fldChar w:fldCharType="end"/>
      </w:r>
      <w:r w:rsidRPr="00CE1D7F">
        <w:t xml:space="preserve"> shows the results of the analysis to the question on the most significant impacts resulting from research projects.</w:t>
      </w:r>
    </w:p>
    <w:p w14:paraId="00F7DE28" w14:textId="174AAEFD" w:rsidR="002B32A0" w:rsidRPr="00CE1D7F" w:rsidRDefault="002B32A0" w:rsidP="002B32A0">
      <w:pPr>
        <w:pStyle w:val="Caption"/>
        <w:ind w:left="-784"/>
      </w:pPr>
      <w:bookmarkStart w:id="684" w:name="_Ref129615686"/>
      <w:r w:rsidRPr="00CE1D7F">
        <w:rPr>
          <w:rStyle w:val="CaptionLabel"/>
        </w:rPr>
        <w:t>Table </w:t>
      </w:r>
      <w:r>
        <w:rPr>
          <w:rStyle w:val="CaptionLabel"/>
        </w:rPr>
        <w:fldChar w:fldCharType="begin"/>
      </w:r>
      <w:r>
        <w:rPr>
          <w:rStyle w:val="CaptionLabel"/>
        </w:rPr>
        <w:instrText xml:space="preserve"> STYLEREF 9 \s </w:instrText>
      </w:r>
      <w:r>
        <w:rPr>
          <w:rStyle w:val="CaptionLabel"/>
        </w:rPr>
        <w:fldChar w:fldCharType="separate"/>
      </w:r>
      <w:r w:rsidR="000B0AC7">
        <w:rPr>
          <w:rStyle w:val="CaptionLabel"/>
          <w:noProof/>
        </w:rPr>
        <w:t>C</w:t>
      </w:r>
      <w:r>
        <w:rPr>
          <w:rStyle w:val="CaptionLabel"/>
        </w:rPr>
        <w:fldChar w:fldCharType="end"/>
      </w:r>
      <w:r>
        <w:rPr>
          <w:rStyle w:val="CaptionLabel"/>
        </w:rPr>
        <w:t>.</w:t>
      </w:r>
      <w:r>
        <w:rPr>
          <w:rStyle w:val="CaptionLabel"/>
        </w:rPr>
        <w:fldChar w:fldCharType="begin"/>
      </w:r>
      <w:r>
        <w:rPr>
          <w:rStyle w:val="CaptionLabel"/>
        </w:rPr>
        <w:instrText xml:space="preserve"> SEQ Table_AP \* ARABIC \s 9 </w:instrText>
      </w:r>
      <w:r>
        <w:rPr>
          <w:rStyle w:val="CaptionLabel"/>
        </w:rPr>
        <w:fldChar w:fldCharType="separate"/>
      </w:r>
      <w:r w:rsidR="000B0AC7">
        <w:rPr>
          <w:rStyle w:val="CaptionLabel"/>
          <w:noProof/>
        </w:rPr>
        <w:t>2</w:t>
      </w:r>
      <w:r>
        <w:rPr>
          <w:rStyle w:val="CaptionLabel"/>
        </w:rPr>
        <w:fldChar w:fldCharType="end"/>
      </w:r>
      <w:bookmarkEnd w:id="684"/>
      <w:r w:rsidRPr="00CE1D7F">
        <w:tab/>
      </w:r>
      <w:bookmarkStart w:id="685" w:name="_Hlk127801382"/>
      <w:r w:rsidRPr="00CE1D7F">
        <w:t xml:space="preserve">Qualitative analysis of survey results on the </w:t>
      </w:r>
      <w:bookmarkEnd w:id="685"/>
      <w:r w:rsidRPr="00CE1D7F">
        <w:t>significant impacts - top bigrams and trigrams by project type</w:t>
      </w:r>
    </w:p>
    <w:tbl>
      <w:tblPr>
        <w:tblW w:w="10352" w:type="dxa"/>
        <w:tblInd w:w="-2416" w:type="dxa"/>
        <w:tblBorders>
          <w:bottom w:val="single" w:sz="4" w:space="0" w:color="646464"/>
          <w:insideH w:val="single" w:sz="4" w:space="0" w:color="646464"/>
        </w:tblBorders>
        <w:tblLayout w:type="fixed"/>
        <w:tblCellMar>
          <w:left w:w="0" w:type="dxa"/>
          <w:bottom w:w="40" w:type="dxa"/>
          <w:right w:w="0" w:type="dxa"/>
        </w:tblCellMar>
        <w:tblLook w:val="0000" w:firstRow="0" w:lastRow="0" w:firstColumn="0" w:lastColumn="0" w:noHBand="0" w:noVBand="0"/>
        <w:tblCaption w:val="Table C.2 "/>
        <w:tblDescription w:val="Qualitative analysis of survey results on the significant impacts - top bigrams and trigrams by project type"/>
      </w:tblPr>
      <w:tblGrid>
        <w:gridCol w:w="454"/>
        <w:gridCol w:w="1111"/>
        <w:gridCol w:w="2196"/>
        <w:gridCol w:w="2197"/>
        <w:gridCol w:w="2197"/>
        <w:gridCol w:w="2197"/>
      </w:tblGrid>
      <w:tr w:rsidR="002B32A0" w:rsidRPr="00CE1D7F" w14:paraId="4CDD4476" w14:textId="77777777" w:rsidTr="006258ED">
        <w:trPr>
          <w:tblHeader/>
        </w:trPr>
        <w:tc>
          <w:tcPr>
            <w:tcW w:w="1565" w:type="dxa"/>
            <w:gridSpan w:val="2"/>
            <w:vMerge w:val="restart"/>
            <w:tcBorders>
              <w:top w:val="nil"/>
            </w:tcBorders>
            <w:shd w:val="clear" w:color="auto" w:fill="140034"/>
            <w:tcMar>
              <w:left w:w="454" w:type="dxa"/>
            </w:tcMar>
            <w:vAlign w:val="center"/>
          </w:tcPr>
          <w:p w14:paraId="401247F9" w14:textId="77777777" w:rsidR="002B32A0" w:rsidRPr="00CE1D7F" w:rsidRDefault="002B32A0" w:rsidP="006258ED">
            <w:pPr>
              <w:pStyle w:val="Tablecolumnheadings"/>
              <w:jc w:val="center"/>
            </w:pPr>
            <w:r w:rsidRPr="00CE1D7F">
              <w:t>Rank</w:t>
            </w:r>
          </w:p>
        </w:tc>
        <w:tc>
          <w:tcPr>
            <w:tcW w:w="4393" w:type="dxa"/>
            <w:gridSpan w:val="2"/>
            <w:tcBorders>
              <w:top w:val="nil"/>
              <w:bottom w:val="nil"/>
            </w:tcBorders>
            <w:shd w:val="clear" w:color="auto" w:fill="140034"/>
          </w:tcPr>
          <w:p w14:paraId="185FF214" w14:textId="77777777" w:rsidR="002B32A0" w:rsidRPr="00CE1D7F" w:rsidRDefault="002B32A0" w:rsidP="006258ED">
            <w:pPr>
              <w:pStyle w:val="Tablecolumnheadings"/>
              <w:jc w:val="center"/>
            </w:pPr>
            <w:r w:rsidRPr="00CE1D7F">
              <w:t>Discovery</w:t>
            </w:r>
          </w:p>
        </w:tc>
        <w:tc>
          <w:tcPr>
            <w:tcW w:w="4394" w:type="dxa"/>
            <w:gridSpan w:val="2"/>
            <w:tcBorders>
              <w:top w:val="nil"/>
              <w:bottom w:val="nil"/>
              <w:right w:val="single" w:sz="6" w:space="0" w:color="140034"/>
            </w:tcBorders>
            <w:shd w:val="clear" w:color="auto" w:fill="140034"/>
          </w:tcPr>
          <w:p w14:paraId="33D6A74F" w14:textId="77777777" w:rsidR="002B32A0" w:rsidRPr="00CE1D7F" w:rsidRDefault="002B32A0" w:rsidP="006258ED">
            <w:pPr>
              <w:pStyle w:val="Tablecolumnheadings"/>
              <w:jc w:val="center"/>
            </w:pPr>
            <w:r w:rsidRPr="00CE1D7F">
              <w:t>Linkage</w:t>
            </w:r>
          </w:p>
        </w:tc>
      </w:tr>
      <w:tr w:rsidR="002B32A0" w:rsidRPr="00CE1D7F" w14:paraId="798BE925" w14:textId="77777777" w:rsidTr="006258ED">
        <w:trPr>
          <w:tblHeader/>
        </w:trPr>
        <w:tc>
          <w:tcPr>
            <w:tcW w:w="1565" w:type="dxa"/>
            <w:gridSpan w:val="2"/>
            <w:vMerge/>
            <w:tcBorders>
              <w:bottom w:val="nil"/>
            </w:tcBorders>
            <w:shd w:val="clear" w:color="auto" w:fill="140034"/>
            <w:tcMar>
              <w:left w:w="454" w:type="dxa"/>
            </w:tcMar>
          </w:tcPr>
          <w:p w14:paraId="5F9836A3" w14:textId="77777777" w:rsidR="002B32A0" w:rsidRPr="00CE1D7F" w:rsidRDefault="002B32A0" w:rsidP="006258ED">
            <w:pPr>
              <w:pStyle w:val="Tablecolumnheadings"/>
            </w:pPr>
          </w:p>
        </w:tc>
        <w:tc>
          <w:tcPr>
            <w:tcW w:w="2196" w:type="dxa"/>
            <w:tcBorders>
              <w:top w:val="nil"/>
              <w:bottom w:val="nil"/>
            </w:tcBorders>
            <w:shd w:val="clear" w:color="auto" w:fill="72549D" w:themeFill="accent1" w:themeFillShade="BF"/>
          </w:tcPr>
          <w:p w14:paraId="6D74E7E6" w14:textId="77777777" w:rsidR="002B32A0" w:rsidRPr="00CE1D7F" w:rsidRDefault="002B32A0" w:rsidP="006258ED">
            <w:pPr>
              <w:pStyle w:val="Tablecolumnheadings"/>
              <w:jc w:val="center"/>
            </w:pPr>
            <w:r w:rsidRPr="00CE1D7F">
              <w:t>Bigram</w:t>
            </w:r>
          </w:p>
        </w:tc>
        <w:tc>
          <w:tcPr>
            <w:tcW w:w="2197" w:type="dxa"/>
            <w:tcBorders>
              <w:top w:val="nil"/>
              <w:bottom w:val="nil"/>
              <w:right w:val="single" w:sz="4" w:space="0" w:color="auto"/>
            </w:tcBorders>
            <w:shd w:val="clear" w:color="auto" w:fill="72549D" w:themeFill="accent1" w:themeFillShade="BF"/>
          </w:tcPr>
          <w:p w14:paraId="38F156D8" w14:textId="77777777" w:rsidR="002B32A0" w:rsidRPr="00CE1D7F" w:rsidRDefault="002B32A0" w:rsidP="006258ED">
            <w:pPr>
              <w:pStyle w:val="Tablecolumnheadings"/>
              <w:jc w:val="center"/>
            </w:pPr>
            <w:r w:rsidRPr="00CE1D7F">
              <w:t>Trigram</w:t>
            </w:r>
          </w:p>
        </w:tc>
        <w:tc>
          <w:tcPr>
            <w:tcW w:w="2197" w:type="dxa"/>
            <w:tcBorders>
              <w:top w:val="nil"/>
              <w:left w:val="single" w:sz="4" w:space="0" w:color="auto"/>
              <w:bottom w:val="nil"/>
            </w:tcBorders>
            <w:shd w:val="clear" w:color="auto" w:fill="72549D" w:themeFill="accent1" w:themeFillShade="BF"/>
          </w:tcPr>
          <w:p w14:paraId="1D9D72B7" w14:textId="77777777" w:rsidR="002B32A0" w:rsidRPr="00CE1D7F" w:rsidRDefault="002B32A0" w:rsidP="006258ED">
            <w:pPr>
              <w:pStyle w:val="Tablecolumnheadings"/>
              <w:jc w:val="center"/>
            </w:pPr>
            <w:r w:rsidRPr="00CE1D7F">
              <w:t>Bigram</w:t>
            </w:r>
          </w:p>
        </w:tc>
        <w:tc>
          <w:tcPr>
            <w:tcW w:w="2197" w:type="dxa"/>
            <w:tcBorders>
              <w:top w:val="nil"/>
              <w:bottom w:val="nil"/>
              <w:right w:val="single" w:sz="6" w:space="0" w:color="140034"/>
            </w:tcBorders>
            <w:shd w:val="clear" w:color="auto" w:fill="72549D" w:themeFill="accent1" w:themeFillShade="BF"/>
          </w:tcPr>
          <w:p w14:paraId="3C468C94" w14:textId="77777777" w:rsidR="002B32A0" w:rsidRPr="00CE1D7F" w:rsidRDefault="002B32A0" w:rsidP="006258ED">
            <w:pPr>
              <w:pStyle w:val="Tablecolumnheadings"/>
              <w:jc w:val="center"/>
            </w:pPr>
            <w:r w:rsidRPr="00CE1D7F">
              <w:t>Trigram</w:t>
            </w:r>
          </w:p>
        </w:tc>
      </w:tr>
      <w:tr w:rsidR="002B32A0" w:rsidRPr="00CE1D7F" w14:paraId="0AF0BDD1" w14:textId="77777777" w:rsidTr="000B260E">
        <w:trPr>
          <w:gridBefore w:val="1"/>
          <w:wBefore w:w="454" w:type="dxa"/>
        </w:trPr>
        <w:tc>
          <w:tcPr>
            <w:tcW w:w="1111" w:type="dxa"/>
            <w:tcBorders>
              <w:top w:val="nil"/>
            </w:tcBorders>
            <w:shd w:val="clear" w:color="auto" w:fill="auto"/>
            <w:vAlign w:val="center"/>
          </w:tcPr>
          <w:p w14:paraId="077C396A" w14:textId="77777777" w:rsidR="002B32A0" w:rsidRPr="00CE1D7F" w:rsidRDefault="002B32A0" w:rsidP="000B260E">
            <w:pPr>
              <w:pStyle w:val="Tabletext"/>
              <w:jc w:val="center"/>
            </w:pPr>
            <w:r w:rsidRPr="00CE1D7F">
              <w:t>1</w:t>
            </w:r>
          </w:p>
        </w:tc>
        <w:tc>
          <w:tcPr>
            <w:tcW w:w="2196" w:type="dxa"/>
            <w:tcBorders>
              <w:top w:val="nil"/>
            </w:tcBorders>
            <w:shd w:val="clear" w:color="auto" w:fill="auto"/>
          </w:tcPr>
          <w:p w14:paraId="43B34C7B" w14:textId="77777777" w:rsidR="002B32A0" w:rsidRPr="00CE1D7F" w:rsidRDefault="002B32A0" w:rsidP="006258ED">
            <w:pPr>
              <w:pStyle w:val="Tabletext"/>
              <w:ind w:left="136"/>
            </w:pPr>
            <w:r w:rsidRPr="00CE1D7F">
              <w:t>‘better understanding’</w:t>
            </w:r>
          </w:p>
        </w:tc>
        <w:tc>
          <w:tcPr>
            <w:tcW w:w="2197" w:type="dxa"/>
            <w:tcBorders>
              <w:top w:val="nil"/>
              <w:right w:val="single" w:sz="4" w:space="0" w:color="auto"/>
            </w:tcBorders>
            <w:shd w:val="clear" w:color="auto" w:fill="auto"/>
          </w:tcPr>
          <w:p w14:paraId="5089F4A2" w14:textId="77777777" w:rsidR="002B32A0" w:rsidRPr="00CE1D7F" w:rsidRDefault="002B32A0" w:rsidP="006258ED">
            <w:pPr>
              <w:pStyle w:val="Tabletext"/>
            </w:pPr>
            <w:r w:rsidRPr="00CE1D7F">
              <w:t>‘early career researchers’</w:t>
            </w:r>
          </w:p>
        </w:tc>
        <w:tc>
          <w:tcPr>
            <w:tcW w:w="2197" w:type="dxa"/>
            <w:tcBorders>
              <w:top w:val="nil"/>
              <w:left w:val="single" w:sz="4" w:space="0" w:color="auto"/>
            </w:tcBorders>
            <w:shd w:val="clear" w:color="auto" w:fill="auto"/>
          </w:tcPr>
          <w:p w14:paraId="577ABE8C" w14:textId="77777777" w:rsidR="002B32A0" w:rsidRPr="00CE1D7F" w:rsidRDefault="002B32A0" w:rsidP="006258ED">
            <w:pPr>
              <w:pStyle w:val="Tabletext"/>
              <w:ind w:left="141"/>
            </w:pPr>
            <w:r w:rsidRPr="00CE1D7F">
              <w:t>‘industry partners’</w:t>
            </w:r>
          </w:p>
        </w:tc>
        <w:tc>
          <w:tcPr>
            <w:tcW w:w="2197" w:type="dxa"/>
            <w:tcBorders>
              <w:top w:val="nil"/>
            </w:tcBorders>
            <w:shd w:val="clear" w:color="auto" w:fill="auto"/>
          </w:tcPr>
          <w:p w14:paraId="1AECD694" w14:textId="77777777" w:rsidR="002B32A0" w:rsidRPr="00CE1D7F" w:rsidRDefault="002B32A0" w:rsidP="006258ED">
            <w:pPr>
              <w:pStyle w:val="Tabletext"/>
            </w:pPr>
            <w:r w:rsidRPr="00CE1D7F">
              <w:t>‘early career researchers’</w:t>
            </w:r>
          </w:p>
        </w:tc>
      </w:tr>
      <w:tr w:rsidR="002B32A0" w:rsidRPr="00CE1D7F" w14:paraId="0B001431" w14:textId="77777777" w:rsidTr="000B260E">
        <w:trPr>
          <w:gridBefore w:val="1"/>
          <w:wBefore w:w="454" w:type="dxa"/>
        </w:trPr>
        <w:tc>
          <w:tcPr>
            <w:tcW w:w="1111" w:type="dxa"/>
            <w:shd w:val="clear" w:color="auto" w:fill="auto"/>
            <w:vAlign w:val="center"/>
          </w:tcPr>
          <w:p w14:paraId="50AEAA6E" w14:textId="77777777" w:rsidR="002B32A0" w:rsidRPr="00CE1D7F" w:rsidRDefault="002B32A0" w:rsidP="000B260E">
            <w:pPr>
              <w:pStyle w:val="Tabletext"/>
              <w:jc w:val="center"/>
            </w:pPr>
            <w:r w:rsidRPr="00CE1D7F">
              <w:t>2</w:t>
            </w:r>
          </w:p>
        </w:tc>
        <w:tc>
          <w:tcPr>
            <w:tcW w:w="2196" w:type="dxa"/>
            <w:shd w:val="clear" w:color="auto" w:fill="auto"/>
          </w:tcPr>
          <w:p w14:paraId="57CD1DF1" w14:textId="77777777" w:rsidR="002B32A0" w:rsidRPr="00CE1D7F" w:rsidRDefault="002B32A0" w:rsidP="006258ED">
            <w:pPr>
              <w:pStyle w:val="Tabletext"/>
              <w:ind w:left="136"/>
            </w:pPr>
            <w:r w:rsidRPr="00CE1D7F">
              <w:t>‘climate change’</w:t>
            </w:r>
          </w:p>
        </w:tc>
        <w:tc>
          <w:tcPr>
            <w:tcW w:w="2197" w:type="dxa"/>
            <w:tcBorders>
              <w:right w:val="single" w:sz="4" w:space="0" w:color="auto"/>
            </w:tcBorders>
            <w:shd w:val="clear" w:color="auto" w:fill="auto"/>
          </w:tcPr>
          <w:p w14:paraId="73029A89" w14:textId="77777777" w:rsidR="002B32A0" w:rsidRPr="00CE1D7F" w:rsidRDefault="002B32A0" w:rsidP="006258ED">
            <w:pPr>
              <w:pStyle w:val="Tabletext"/>
            </w:pPr>
            <w:r w:rsidRPr="00CE1D7F">
              <w:t>‘saved production costs’</w:t>
            </w:r>
          </w:p>
        </w:tc>
        <w:tc>
          <w:tcPr>
            <w:tcW w:w="2197" w:type="dxa"/>
            <w:tcBorders>
              <w:top w:val="single" w:sz="4" w:space="0" w:color="646464"/>
              <w:left w:val="single" w:sz="4" w:space="0" w:color="auto"/>
            </w:tcBorders>
            <w:shd w:val="clear" w:color="auto" w:fill="auto"/>
          </w:tcPr>
          <w:p w14:paraId="45EF80DD" w14:textId="77777777" w:rsidR="002B32A0" w:rsidRPr="00CE1D7F" w:rsidRDefault="002B32A0" w:rsidP="006258ED">
            <w:pPr>
              <w:pStyle w:val="Tabletext"/>
              <w:ind w:left="141"/>
            </w:pPr>
            <w:r w:rsidRPr="00CE1D7F">
              <w:t>‘difficult quantify’</w:t>
            </w:r>
          </w:p>
        </w:tc>
        <w:tc>
          <w:tcPr>
            <w:tcW w:w="2197" w:type="dxa"/>
            <w:shd w:val="clear" w:color="auto" w:fill="auto"/>
          </w:tcPr>
          <w:p w14:paraId="102F8B4F" w14:textId="77777777" w:rsidR="002B32A0" w:rsidRPr="00CE1D7F" w:rsidRDefault="002B32A0" w:rsidP="006258ED">
            <w:pPr>
              <w:pStyle w:val="Tabletext"/>
            </w:pPr>
            <w:r w:rsidRPr="00CE1D7F">
              <w:t>‘early childhood education’</w:t>
            </w:r>
          </w:p>
        </w:tc>
      </w:tr>
      <w:tr w:rsidR="002B32A0" w:rsidRPr="00CE1D7F" w14:paraId="1393D459" w14:textId="77777777" w:rsidTr="000B260E">
        <w:trPr>
          <w:gridBefore w:val="1"/>
          <w:wBefore w:w="454" w:type="dxa"/>
        </w:trPr>
        <w:tc>
          <w:tcPr>
            <w:tcW w:w="1111" w:type="dxa"/>
            <w:shd w:val="clear" w:color="auto" w:fill="auto"/>
            <w:vAlign w:val="center"/>
          </w:tcPr>
          <w:p w14:paraId="1D136203" w14:textId="77777777" w:rsidR="002B32A0" w:rsidRPr="00CE1D7F" w:rsidRDefault="002B32A0" w:rsidP="000B260E">
            <w:pPr>
              <w:pStyle w:val="Tabletext"/>
              <w:jc w:val="center"/>
            </w:pPr>
            <w:r w:rsidRPr="00CE1D7F">
              <w:t>3</w:t>
            </w:r>
          </w:p>
        </w:tc>
        <w:tc>
          <w:tcPr>
            <w:tcW w:w="2196" w:type="dxa"/>
            <w:shd w:val="clear" w:color="auto" w:fill="auto"/>
          </w:tcPr>
          <w:p w14:paraId="0BA3C823" w14:textId="77777777" w:rsidR="002B32A0" w:rsidRPr="00CE1D7F" w:rsidRDefault="002B32A0" w:rsidP="006258ED">
            <w:pPr>
              <w:pStyle w:val="Tabletext"/>
              <w:ind w:left="136"/>
            </w:pPr>
            <w:r w:rsidRPr="00CE1D7F">
              <w:t>‘new knowledge’</w:t>
            </w:r>
          </w:p>
        </w:tc>
        <w:tc>
          <w:tcPr>
            <w:tcW w:w="2197" w:type="dxa"/>
            <w:tcBorders>
              <w:right w:val="single" w:sz="4" w:space="0" w:color="auto"/>
            </w:tcBorders>
            <w:shd w:val="clear" w:color="auto" w:fill="auto"/>
          </w:tcPr>
          <w:p w14:paraId="25419F4A" w14:textId="77777777" w:rsidR="002B32A0" w:rsidRPr="00CE1D7F" w:rsidRDefault="002B32A0" w:rsidP="006258ED">
            <w:pPr>
              <w:pStyle w:val="Tabletext"/>
            </w:pPr>
            <w:r w:rsidRPr="00CE1D7F">
              <w:t>‘reduction carbon emissions’</w:t>
            </w:r>
          </w:p>
        </w:tc>
        <w:tc>
          <w:tcPr>
            <w:tcW w:w="2197" w:type="dxa"/>
            <w:tcBorders>
              <w:top w:val="single" w:sz="4" w:space="0" w:color="646464"/>
              <w:left w:val="single" w:sz="4" w:space="0" w:color="auto"/>
            </w:tcBorders>
            <w:shd w:val="clear" w:color="auto" w:fill="auto"/>
          </w:tcPr>
          <w:p w14:paraId="618892AD" w14:textId="77777777" w:rsidR="002B32A0" w:rsidRPr="00CE1D7F" w:rsidRDefault="002B32A0" w:rsidP="006258ED">
            <w:pPr>
              <w:pStyle w:val="Tabletext"/>
              <w:ind w:left="141"/>
            </w:pPr>
            <w:r w:rsidRPr="00CE1D7F">
              <w:t>‘young people’</w:t>
            </w:r>
          </w:p>
        </w:tc>
        <w:tc>
          <w:tcPr>
            <w:tcW w:w="2197" w:type="dxa"/>
            <w:shd w:val="clear" w:color="auto" w:fill="auto"/>
          </w:tcPr>
          <w:p w14:paraId="4F6FEAE9" w14:textId="77777777" w:rsidR="002B32A0" w:rsidRPr="00CE1D7F" w:rsidRDefault="002B32A0" w:rsidP="006258ED">
            <w:pPr>
              <w:pStyle w:val="Tabletext"/>
            </w:pPr>
            <w:r w:rsidRPr="00CE1D7F">
              <w:t>‘reduction carbon emissions’</w:t>
            </w:r>
          </w:p>
        </w:tc>
      </w:tr>
      <w:tr w:rsidR="002B32A0" w:rsidRPr="00CE1D7F" w14:paraId="0A665F1A" w14:textId="77777777" w:rsidTr="000B260E">
        <w:trPr>
          <w:gridBefore w:val="1"/>
          <w:wBefore w:w="454" w:type="dxa"/>
        </w:trPr>
        <w:tc>
          <w:tcPr>
            <w:tcW w:w="1111" w:type="dxa"/>
            <w:shd w:val="clear" w:color="auto" w:fill="auto"/>
            <w:vAlign w:val="center"/>
          </w:tcPr>
          <w:p w14:paraId="29461CCC" w14:textId="77777777" w:rsidR="002B32A0" w:rsidRPr="00CE1D7F" w:rsidRDefault="002B32A0" w:rsidP="000B260E">
            <w:pPr>
              <w:pStyle w:val="Tabletext"/>
              <w:jc w:val="center"/>
            </w:pPr>
            <w:r w:rsidRPr="00CE1D7F">
              <w:t>4</w:t>
            </w:r>
          </w:p>
        </w:tc>
        <w:tc>
          <w:tcPr>
            <w:tcW w:w="2196" w:type="dxa"/>
            <w:shd w:val="clear" w:color="auto" w:fill="auto"/>
          </w:tcPr>
          <w:p w14:paraId="01CB7603" w14:textId="77777777" w:rsidR="002B32A0" w:rsidRPr="00CE1D7F" w:rsidRDefault="002B32A0" w:rsidP="006258ED">
            <w:pPr>
              <w:pStyle w:val="Tabletext"/>
              <w:ind w:left="136"/>
            </w:pPr>
            <w:r w:rsidRPr="00CE1D7F">
              <w:t>‘phd students’</w:t>
            </w:r>
          </w:p>
        </w:tc>
        <w:tc>
          <w:tcPr>
            <w:tcW w:w="2197" w:type="dxa"/>
            <w:tcBorders>
              <w:right w:val="single" w:sz="4" w:space="0" w:color="auto"/>
            </w:tcBorders>
            <w:shd w:val="clear" w:color="auto" w:fill="auto"/>
          </w:tcPr>
          <w:p w14:paraId="757AF188" w14:textId="77777777" w:rsidR="002B32A0" w:rsidRPr="00CE1D7F" w:rsidRDefault="002B32A0" w:rsidP="006258ED">
            <w:pPr>
              <w:pStyle w:val="Tabletext"/>
            </w:pPr>
            <w:r w:rsidRPr="00CE1D7F">
              <w:t>‘great barrier reef’</w:t>
            </w:r>
          </w:p>
        </w:tc>
        <w:tc>
          <w:tcPr>
            <w:tcW w:w="2197" w:type="dxa"/>
            <w:tcBorders>
              <w:top w:val="single" w:sz="4" w:space="0" w:color="646464"/>
              <w:left w:val="single" w:sz="4" w:space="0" w:color="auto"/>
            </w:tcBorders>
            <w:shd w:val="clear" w:color="auto" w:fill="auto"/>
          </w:tcPr>
          <w:p w14:paraId="0890E134" w14:textId="77777777" w:rsidR="002B32A0" w:rsidRPr="00CE1D7F" w:rsidRDefault="002B32A0" w:rsidP="006258ED">
            <w:pPr>
              <w:pStyle w:val="Tabletext"/>
              <w:ind w:left="141"/>
            </w:pPr>
            <w:r w:rsidRPr="00CE1D7F">
              <w:t>‘better understanding’</w:t>
            </w:r>
          </w:p>
        </w:tc>
        <w:tc>
          <w:tcPr>
            <w:tcW w:w="2197" w:type="dxa"/>
            <w:shd w:val="clear" w:color="auto" w:fill="auto"/>
          </w:tcPr>
          <w:p w14:paraId="391C3692" w14:textId="77777777" w:rsidR="002B32A0" w:rsidRPr="00CE1D7F" w:rsidRDefault="002B32A0" w:rsidP="006258ED">
            <w:pPr>
              <w:pStyle w:val="Tabletext"/>
            </w:pPr>
            <w:r w:rsidRPr="00CE1D7F">
              <w:t>‘first nations people’</w:t>
            </w:r>
          </w:p>
        </w:tc>
      </w:tr>
      <w:tr w:rsidR="002B32A0" w:rsidRPr="00CE1D7F" w14:paraId="38A7D30A" w14:textId="77777777" w:rsidTr="000B260E">
        <w:trPr>
          <w:gridBefore w:val="1"/>
          <w:wBefore w:w="454" w:type="dxa"/>
        </w:trPr>
        <w:tc>
          <w:tcPr>
            <w:tcW w:w="1111" w:type="dxa"/>
            <w:shd w:val="clear" w:color="auto" w:fill="auto"/>
            <w:vAlign w:val="center"/>
          </w:tcPr>
          <w:p w14:paraId="145B16AE" w14:textId="77777777" w:rsidR="002B32A0" w:rsidRPr="00CE1D7F" w:rsidRDefault="002B32A0" w:rsidP="000B260E">
            <w:pPr>
              <w:pStyle w:val="Tabletext"/>
              <w:jc w:val="center"/>
            </w:pPr>
            <w:r w:rsidRPr="00CE1D7F">
              <w:t>5</w:t>
            </w:r>
          </w:p>
        </w:tc>
        <w:tc>
          <w:tcPr>
            <w:tcW w:w="2196" w:type="dxa"/>
            <w:shd w:val="clear" w:color="auto" w:fill="auto"/>
          </w:tcPr>
          <w:p w14:paraId="0581C777" w14:textId="77777777" w:rsidR="002B32A0" w:rsidRPr="00CE1D7F" w:rsidRDefault="002B32A0" w:rsidP="006258ED">
            <w:pPr>
              <w:pStyle w:val="Tabletext"/>
              <w:ind w:left="136"/>
            </w:pPr>
            <w:r w:rsidRPr="00CE1D7F">
              <w:t>‘improved understanding’</w:t>
            </w:r>
          </w:p>
        </w:tc>
        <w:tc>
          <w:tcPr>
            <w:tcW w:w="2197" w:type="dxa"/>
            <w:tcBorders>
              <w:right w:val="single" w:sz="4" w:space="0" w:color="auto"/>
            </w:tcBorders>
            <w:shd w:val="clear" w:color="auto" w:fill="auto"/>
          </w:tcPr>
          <w:p w14:paraId="5ECDC0D3" w14:textId="77777777" w:rsidR="002B32A0" w:rsidRPr="00CE1D7F" w:rsidRDefault="002B32A0" w:rsidP="006258ED">
            <w:pPr>
              <w:pStyle w:val="Tabletext"/>
            </w:pPr>
            <w:r w:rsidRPr="00CE1D7F">
              <w:t>‘sea level rise’</w:t>
            </w:r>
          </w:p>
        </w:tc>
        <w:tc>
          <w:tcPr>
            <w:tcW w:w="2197" w:type="dxa"/>
            <w:tcBorders>
              <w:top w:val="single" w:sz="4" w:space="0" w:color="646464"/>
              <w:left w:val="single" w:sz="4" w:space="0" w:color="auto"/>
            </w:tcBorders>
            <w:shd w:val="clear" w:color="auto" w:fill="auto"/>
          </w:tcPr>
          <w:p w14:paraId="166B3905" w14:textId="77777777" w:rsidR="002B32A0" w:rsidRPr="00CE1D7F" w:rsidRDefault="002B32A0" w:rsidP="006258ED">
            <w:pPr>
              <w:pStyle w:val="Tabletext"/>
              <w:ind w:left="141"/>
            </w:pPr>
            <w:r w:rsidRPr="00CE1D7F">
              <w:t>‘developed new’</w:t>
            </w:r>
          </w:p>
        </w:tc>
        <w:tc>
          <w:tcPr>
            <w:tcW w:w="2197" w:type="dxa"/>
            <w:shd w:val="clear" w:color="auto" w:fill="auto"/>
          </w:tcPr>
          <w:p w14:paraId="2A772A8B" w14:textId="77777777" w:rsidR="002B32A0" w:rsidRPr="00CE1D7F" w:rsidRDefault="002B32A0" w:rsidP="006258ED">
            <w:pPr>
              <w:pStyle w:val="Tabletext"/>
            </w:pPr>
            <w:r w:rsidRPr="00CE1D7F">
              <w:t>‘evidence based training’</w:t>
            </w:r>
          </w:p>
        </w:tc>
      </w:tr>
      <w:tr w:rsidR="002B32A0" w:rsidRPr="00CE1D7F" w14:paraId="0F7BE441" w14:textId="77777777" w:rsidTr="000B260E">
        <w:trPr>
          <w:gridBefore w:val="1"/>
          <w:wBefore w:w="454" w:type="dxa"/>
        </w:trPr>
        <w:tc>
          <w:tcPr>
            <w:tcW w:w="1111" w:type="dxa"/>
            <w:shd w:val="clear" w:color="auto" w:fill="auto"/>
            <w:vAlign w:val="center"/>
          </w:tcPr>
          <w:p w14:paraId="1957F77C" w14:textId="77777777" w:rsidR="002B32A0" w:rsidRPr="00CE1D7F" w:rsidRDefault="002B32A0" w:rsidP="000B260E">
            <w:pPr>
              <w:pStyle w:val="Tabletext"/>
              <w:jc w:val="center"/>
            </w:pPr>
            <w:r w:rsidRPr="00CE1D7F">
              <w:t>6</w:t>
            </w:r>
          </w:p>
        </w:tc>
        <w:tc>
          <w:tcPr>
            <w:tcW w:w="2196" w:type="dxa"/>
            <w:shd w:val="clear" w:color="auto" w:fill="auto"/>
          </w:tcPr>
          <w:p w14:paraId="5EBE0325" w14:textId="77777777" w:rsidR="002B32A0" w:rsidRPr="00CE1D7F" w:rsidRDefault="002B32A0" w:rsidP="006258ED">
            <w:pPr>
              <w:pStyle w:val="Tabletext"/>
              <w:ind w:left="136"/>
            </w:pPr>
            <w:r w:rsidRPr="00CE1D7F">
              <w:t>‘difficult quantify’</w:t>
            </w:r>
          </w:p>
        </w:tc>
        <w:tc>
          <w:tcPr>
            <w:tcW w:w="2197" w:type="dxa"/>
            <w:tcBorders>
              <w:right w:val="single" w:sz="4" w:space="0" w:color="auto"/>
            </w:tcBorders>
            <w:shd w:val="clear" w:color="auto" w:fill="auto"/>
          </w:tcPr>
          <w:p w14:paraId="3A8B9E00" w14:textId="77777777" w:rsidR="002B32A0" w:rsidRPr="00CE1D7F" w:rsidRDefault="002B32A0" w:rsidP="006258ED">
            <w:pPr>
              <w:pStyle w:val="Tabletext"/>
            </w:pPr>
            <w:r w:rsidRPr="00CE1D7F">
              <w:t>‘people benefited implementation’</w:t>
            </w:r>
          </w:p>
        </w:tc>
        <w:tc>
          <w:tcPr>
            <w:tcW w:w="2197" w:type="dxa"/>
            <w:tcBorders>
              <w:top w:val="single" w:sz="4" w:space="0" w:color="646464"/>
              <w:left w:val="single" w:sz="4" w:space="0" w:color="auto"/>
            </w:tcBorders>
            <w:shd w:val="clear" w:color="auto" w:fill="auto"/>
          </w:tcPr>
          <w:p w14:paraId="19392DA2" w14:textId="77777777" w:rsidR="002B32A0" w:rsidRPr="00CE1D7F" w:rsidRDefault="002B32A0" w:rsidP="006258ED">
            <w:pPr>
              <w:pStyle w:val="Tabletext"/>
              <w:ind w:left="141"/>
            </w:pPr>
            <w:r w:rsidRPr="00CE1D7F">
              <w:t>‘long term’</w:t>
            </w:r>
          </w:p>
        </w:tc>
        <w:tc>
          <w:tcPr>
            <w:tcW w:w="2197" w:type="dxa"/>
            <w:shd w:val="clear" w:color="auto" w:fill="auto"/>
          </w:tcPr>
          <w:p w14:paraId="41986C34" w14:textId="77777777" w:rsidR="002B32A0" w:rsidRPr="00CE1D7F" w:rsidRDefault="002B32A0" w:rsidP="006258ED">
            <w:pPr>
              <w:pStyle w:val="Tabletext"/>
            </w:pPr>
            <w:r w:rsidRPr="00CE1D7F">
              <w:t>‘children benefitted improved’</w:t>
            </w:r>
          </w:p>
        </w:tc>
      </w:tr>
      <w:tr w:rsidR="002B32A0" w:rsidRPr="00CE1D7F" w14:paraId="04747F90" w14:textId="77777777" w:rsidTr="006258ED">
        <w:trPr>
          <w:gridBefore w:val="1"/>
          <w:wBefore w:w="454" w:type="dxa"/>
        </w:trPr>
        <w:tc>
          <w:tcPr>
            <w:tcW w:w="9898" w:type="dxa"/>
            <w:gridSpan w:val="5"/>
            <w:tcBorders>
              <w:bottom w:val="single" w:sz="4" w:space="0" w:color="646464"/>
            </w:tcBorders>
            <w:shd w:val="clear" w:color="auto" w:fill="auto"/>
          </w:tcPr>
          <w:p w14:paraId="1EF05188" w14:textId="77777777" w:rsidR="002B32A0" w:rsidRPr="00CE1D7F" w:rsidRDefault="002B32A0" w:rsidP="006258ED">
            <w:pPr>
              <w:pStyle w:val="Source"/>
            </w:pPr>
            <w:r w:rsidRPr="00CE1D7F">
              <w:t>Source: ACIL Allen survey of ARC funding recipients</w:t>
            </w:r>
          </w:p>
        </w:tc>
      </w:tr>
      <w:tr w:rsidR="002B32A0" w:rsidRPr="00CE1D7F" w14:paraId="50498EB5" w14:textId="77777777" w:rsidTr="006258ED">
        <w:trPr>
          <w:gridBefore w:val="1"/>
          <w:wBefore w:w="454" w:type="dxa"/>
          <w:trHeight w:hRule="exact" w:val="160"/>
        </w:trPr>
        <w:tc>
          <w:tcPr>
            <w:tcW w:w="9898" w:type="dxa"/>
            <w:gridSpan w:val="5"/>
            <w:tcBorders>
              <w:top w:val="single" w:sz="4" w:space="0" w:color="646464"/>
              <w:bottom w:val="nil"/>
            </w:tcBorders>
            <w:shd w:val="clear" w:color="auto" w:fill="auto"/>
          </w:tcPr>
          <w:p w14:paraId="044E70C9" w14:textId="77777777" w:rsidR="002B32A0" w:rsidRPr="00CE1D7F" w:rsidRDefault="002B32A0" w:rsidP="006258ED">
            <w:pPr>
              <w:pStyle w:val="spacer"/>
            </w:pPr>
          </w:p>
        </w:tc>
      </w:tr>
    </w:tbl>
    <w:p w14:paraId="30F49EBB" w14:textId="77777777" w:rsidR="002B32A0" w:rsidRPr="00CE1D7F" w:rsidRDefault="002B32A0" w:rsidP="002B32A0">
      <w:pPr>
        <w:pStyle w:val="Heading3AP"/>
      </w:pPr>
      <w:r w:rsidRPr="00CE1D7F">
        <w:t xml:space="preserve">ARC and non-ARC funding sources </w:t>
      </w:r>
    </w:p>
    <w:p w14:paraId="337A31C5" w14:textId="1410DFA8" w:rsidR="002B32A0" w:rsidRPr="00CE1D7F" w:rsidRDefault="002B32A0" w:rsidP="002B32A0">
      <w:pPr>
        <w:pStyle w:val="BodyText"/>
      </w:pPr>
      <w:r>
        <w:t>When asked about non-ARC funding they received for their most impactful programs, respondents stated that t</w:t>
      </w:r>
      <w:r w:rsidRPr="00CE1D7F">
        <w:t xml:space="preserve">he Australian Federal Government was the most commonly reported source of non-ARC funding that </w:t>
      </w:r>
      <w:r>
        <w:t>was</w:t>
      </w:r>
      <w:r w:rsidRPr="00CE1D7F">
        <w:t xml:space="preserve"> received, with 68% of respondents reported receiving this funding before, in parallel, of after ARC funding (see </w:t>
      </w:r>
      <w:r w:rsidRPr="00F87D0E">
        <w:fldChar w:fldCharType="begin"/>
      </w:r>
      <w:r w:rsidRPr="00F87D0E">
        <w:instrText xml:space="preserve"> REF _Ref129246282 \h  \* MERGEFORMAT </w:instrText>
      </w:r>
      <w:r w:rsidRPr="00F87D0E">
        <w:fldChar w:fldCharType="separate"/>
      </w:r>
      <w:r w:rsidR="000B0AC7" w:rsidRPr="000B0AC7">
        <w:t>Figure C.3</w:t>
      </w:r>
      <w:r w:rsidRPr="00F87D0E">
        <w:fldChar w:fldCharType="end"/>
      </w:r>
      <w:r w:rsidRPr="00CE1D7F">
        <w:t>).</w:t>
      </w:r>
    </w:p>
    <w:p w14:paraId="549941F0" w14:textId="0798477E" w:rsidR="000B0AC7" w:rsidRPr="00CE1D7F" w:rsidRDefault="000B0AC7" w:rsidP="000B0AC7">
      <w:pPr>
        <w:pStyle w:val="Caption"/>
        <w:ind w:left="1308" w:hanging="1308"/>
      </w:pPr>
      <w:bookmarkStart w:id="686" w:name="_Ref129246282"/>
      <w:r w:rsidRPr="00CE1D7F">
        <w:rPr>
          <w:rStyle w:val="CaptionLabel"/>
        </w:rPr>
        <w:t>Figure </w:t>
      </w:r>
      <w:r>
        <w:rPr>
          <w:rStyle w:val="CaptionLabel"/>
        </w:rPr>
        <w:fldChar w:fldCharType="begin"/>
      </w:r>
      <w:r>
        <w:rPr>
          <w:rStyle w:val="CaptionLabel"/>
        </w:rPr>
        <w:instrText xml:space="preserve"> STYLEREF 9 \s </w:instrText>
      </w:r>
      <w:r>
        <w:rPr>
          <w:rStyle w:val="CaptionLabel"/>
        </w:rPr>
        <w:fldChar w:fldCharType="separate"/>
      </w:r>
      <w:r>
        <w:rPr>
          <w:rStyle w:val="CaptionLabel"/>
          <w:noProof/>
        </w:rPr>
        <w:t>C</w:t>
      </w:r>
      <w:r>
        <w:rPr>
          <w:rStyle w:val="CaptionLabel"/>
        </w:rPr>
        <w:fldChar w:fldCharType="end"/>
      </w:r>
      <w:r>
        <w:rPr>
          <w:rStyle w:val="CaptionLabel"/>
        </w:rPr>
        <w:t>.</w:t>
      </w:r>
      <w:r>
        <w:rPr>
          <w:rStyle w:val="CaptionLabel"/>
        </w:rPr>
        <w:fldChar w:fldCharType="begin"/>
      </w:r>
      <w:r>
        <w:rPr>
          <w:rStyle w:val="CaptionLabel"/>
        </w:rPr>
        <w:instrText xml:space="preserve"> SEQ Figure_AP \* ARABIC \s 9 </w:instrText>
      </w:r>
      <w:r>
        <w:rPr>
          <w:rStyle w:val="CaptionLabel"/>
        </w:rPr>
        <w:fldChar w:fldCharType="separate"/>
      </w:r>
      <w:r>
        <w:rPr>
          <w:rStyle w:val="CaptionLabel"/>
          <w:noProof/>
        </w:rPr>
        <w:t>3</w:t>
      </w:r>
      <w:r>
        <w:rPr>
          <w:rStyle w:val="CaptionLabel"/>
        </w:rPr>
        <w:fldChar w:fldCharType="end"/>
      </w:r>
      <w:bookmarkEnd w:id="686"/>
      <w:r w:rsidRPr="00CE1D7F">
        <w:tab/>
        <w:t>Survey results on the origin of non-ARC funding sources</w:t>
      </w:r>
    </w:p>
    <w:tbl>
      <w:tblPr>
        <w:tblW w:w="7937" w:type="dxa"/>
        <w:tblLayout w:type="fixed"/>
        <w:tblLook w:val="0000" w:firstRow="0" w:lastRow="0" w:firstColumn="0" w:lastColumn="0" w:noHBand="0" w:noVBand="0"/>
      </w:tblPr>
      <w:tblGrid>
        <w:gridCol w:w="7937"/>
      </w:tblGrid>
      <w:tr w:rsidR="002B32A0" w:rsidRPr="00CE1D7F" w14:paraId="1B3F0FA5" w14:textId="77777777" w:rsidTr="006258ED">
        <w:tc>
          <w:tcPr>
            <w:tcW w:w="7937" w:type="dxa"/>
            <w:tcBorders>
              <w:top w:val="single" w:sz="4" w:space="0" w:color="000100"/>
            </w:tcBorders>
            <w:shd w:val="clear" w:color="auto" w:fill="auto"/>
          </w:tcPr>
          <w:p w14:paraId="37ADA27B" w14:textId="77777777" w:rsidR="002B32A0" w:rsidRPr="00CE1D7F" w:rsidRDefault="002B32A0" w:rsidP="000B260E">
            <w:pPr>
              <w:pStyle w:val="Figure"/>
              <w:ind w:left="-110"/>
            </w:pPr>
            <w:r w:rsidRPr="00CE1D7F">
              <w:rPr>
                <w:noProof/>
              </w:rPr>
              <w:drawing>
                <wp:inline distT="0" distB="0" distL="0" distR="0" wp14:anchorId="2B21CCE1" wp14:editId="260BEE29">
                  <wp:extent cx="4879781" cy="2002790"/>
                  <wp:effectExtent l="0" t="0" r="0" b="0"/>
                  <wp:docPr id="49" name="Picture 49" descr="Survey results on the origin of non-ARC funding 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Survey results on the origin of non-ARC funding sources"/>
                          <pic:cNvPicPr>
                            <a:picLocks noChangeAspect="1" noChangeArrowheads="1"/>
                          </pic:cNvPicPr>
                        </pic:nvPicPr>
                        <pic:blipFill rotWithShape="1">
                          <a:blip r:embed="rId273">
                            <a:extLst>
                              <a:ext uri="{28A0092B-C50C-407E-A947-70E740481C1C}">
                                <a14:useLocalDpi xmlns:a14="http://schemas.microsoft.com/office/drawing/2010/main" val="0"/>
                              </a:ext>
                            </a:extLst>
                          </a:blip>
                          <a:srcRect t="3906" r="1932" b="3193"/>
                          <a:stretch/>
                        </pic:blipFill>
                        <pic:spPr bwMode="auto">
                          <a:xfrm>
                            <a:off x="0" y="0"/>
                            <a:ext cx="4903937" cy="201270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B32A0" w:rsidRPr="00CE1D7F" w14:paraId="2EB4A51F" w14:textId="77777777" w:rsidTr="006258ED">
        <w:tblPrEx>
          <w:tblCellMar>
            <w:left w:w="0" w:type="dxa"/>
            <w:right w:w="0" w:type="dxa"/>
          </w:tblCellMar>
        </w:tblPrEx>
        <w:trPr>
          <w:trHeight w:val="137"/>
        </w:trPr>
        <w:tc>
          <w:tcPr>
            <w:tcW w:w="7937" w:type="dxa"/>
            <w:tcBorders>
              <w:bottom w:val="single" w:sz="4" w:space="0" w:color="000100"/>
            </w:tcBorders>
            <w:shd w:val="clear" w:color="auto" w:fill="auto"/>
            <w:tcMar>
              <w:top w:w="12" w:type="dxa"/>
              <w:bottom w:w="113" w:type="dxa"/>
            </w:tcMar>
          </w:tcPr>
          <w:p w14:paraId="5D47E0F1" w14:textId="77777777" w:rsidR="002B32A0" w:rsidRPr="00CE1D7F" w:rsidRDefault="002B32A0" w:rsidP="006258ED">
            <w:pPr>
              <w:pStyle w:val="Source"/>
              <w:rPr>
                <w:i w:val="0"/>
                <w:iCs/>
              </w:rPr>
            </w:pPr>
            <w:r w:rsidRPr="00CE1D7F">
              <w:rPr>
                <w:i w:val="0"/>
                <w:iCs/>
              </w:rPr>
              <w:t>Australian business N=475, International government N=430, Australian state/local government N=486, Australian federal government (e.g. CSIRO, CRC) N=173</w:t>
            </w:r>
          </w:p>
          <w:p w14:paraId="298D59A4" w14:textId="77777777" w:rsidR="002B32A0" w:rsidRPr="00CE1D7F" w:rsidRDefault="002B32A0" w:rsidP="006258ED">
            <w:pPr>
              <w:pStyle w:val="Source"/>
            </w:pPr>
            <w:r w:rsidRPr="00CE1D7F">
              <w:t>Source: ACIL Allen survey of ARC funding recipients</w:t>
            </w:r>
          </w:p>
        </w:tc>
      </w:tr>
      <w:tr w:rsidR="002B32A0" w:rsidRPr="00CE1D7F" w14:paraId="2C9376A3" w14:textId="77777777" w:rsidTr="006258ED">
        <w:tblPrEx>
          <w:tblCellMar>
            <w:left w:w="0" w:type="dxa"/>
            <w:right w:w="0" w:type="dxa"/>
          </w:tblCellMar>
        </w:tblPrEx>
        <w:trPr>
          <w:trHeight w:hRule="exact" w:val="160"/>
        </w:trPr>
        <w:tc>
          <w:tcPr>
            <w:tcW w:w="7937" w:type="dxa"/>
            <w:tcBorders>
              <w:top w:val="single" w:sz="4" w:space="0" w:color="000100"/>
            </w:tcBorders>
            <w:shd w:val="clear" w:color="auto" w:fill="auto"/>
            <w:tcMar>
              <w:top w:w="0" w:type="dxa"/>
              <w:bottom w:w="40" w:type="dxa"/>
            </w:tcMar>
          </w:tcPr>
          <w:p w14:paraId="632F671C" w14:textId="77777777" w:rsidR="002B32A0" w:rsidRPr="00CE1D7F" w:rsidRDefault="002B32A0" w:rsidP="006258ED">
            <w:pPr>
              <w:pStyle w:val="spacer"/>
            </w:pPr>
          </w:p>
        </w:tc>
      </w:tr>
    </w:tbl>
    <w:p w14:paraId="303B2069" w14:textId="5B062940" w:rsidR="002B32A0" w:rsidRPr="00CE1D7F" w:rsidRDefault="002B32A0" w:rsidP="002B32A0">
      <w:pPr>
        <w:pStyle w:val="BodyText"/>
      </w:pPr>
      <w:r w:rsidRPr="00CE1D7F">
        <w:t>The value of funding received from other sources was most commonly between $100,000-500,000 or $1-5</w:t>
      </w:r>
      <w:r>
        <w:t> million</w:t>
      </w:r>
      <w:r w:rsidRPr="00CE1D7F">
        <w:t xml:space="preserve"> (both 29%, see </w:t>
      </w:r>
      <w:r w:rsidRPr="00F87D0E">
        <w:fldChar w:fldCharType="begin"/>
      </w:r>
      <w:r w:rsidRPr="00F87D0E">
        <w:instrText xml:space="preserve"> REF _Ref129246780 \h  \* MERGEFORMAT </w:instrText>
      </w:r>
      <w:r w:rsidRPr="00F87D0E">
        <w:fldChar w:fldCharType="separate"/>
      </w:r>
      <w:r w:rsidR="000B0AC7" w:rsidRPr="000B0AC7">
        <w:t>Figure C.4</w:t>
      </w:r>
      <w:r w:rsidRPr="00F87D0E">
        <w:fldChar w:fldCharType="end"/>
      </w:r>
      <w:r w:rsidRPr="00CE1D7F">
        <w:t>, left chart). Followed by under $100,000 (16%), $500,000 to $1</w:t>
      </w:r>
      <w:r>
        <w:t> million</w:t>
      </w:r>
      <w:r w:rsidRPr="00CE1D7F">
        <w:t xml:space="preserve"> (13%), and $5</w:t>
      </w:r>
      <w:r>
        <w:t> million</w:t>
      </w:r>
      <w:r w:rsidRPr="00CE1D7F">
        <w:t xml:space="preserve"> to $20</w:t>
      </w:r>
      <w:r>
        <w:t> million</w:t>
      </w:r>
      <w:r w:rsidRPr="00CE1D7F">
        <w:t xml:space="preserve"> (9%). A small proportion of respondents reported that they received $20</w:t>
      </w:r>
      <w:r>
        <w:t> million</w:t>
      </w:r>
      <w:r w:rsidRPr="00CE1D7F">
        <w:t xml:space="preserve"> to $50</w:t>
      </w:r>
      <w:r>
        <w:t> million</w:t>
      </w:r>
      <w:r w:rsidRPr="00CE1D7F">
        <w:t xml:space="preserve"> (1%) and over $50</w:t>
      </w:r>
      <w:r>
        <w:t> million</w:t>
      </w:r>
      <w:r w:rsidRPr="00CE1D7F">
        <w:t xml:space="preserve"> (1%). </w:t>
      </w:r>
    </w:p>
    <w:p w14:paraId="675723C6" w14:textId="06733342" w:rsidR="002B32A0" w:rsidRPr="00CE1D7F" w:rsidRDefault="002B32A0" w:rsidP="002B32A0">
      <w:pPr>
        <w:pStyle w:val="BodyText"/>
      </w:pPr>
      <w:r w:rsidRPr="00CE1D7F">
        <w:t xml:space="preserve">When respondents received funding from non-ARC sources, the majority of their funding was still from ARC. 63% of respondents (499 of 792) received 50% or more funding from ARC (see </w:t>
      </w:r>
      <w:r w:rsidRPr="00F87D0E">
        <w:fldChar w:fldCharType="begin"/>
      </w:r>
      <w:r w:rsidRPr="00F87D0E">
        <w:instrText xml:space="preserve"> REF _Ref129246780 \h  \* MERGEFORMAT </w:instrText>
      </w:r>
      <w:r w:rsidRPr="00F87D0E">
        <w:fldChar w:fldCharType="separate"/>
      </w:r>
      <w:r w:rsidR="000B0AC7" w:rsidRPr="000B0AC7">
        <w:t>Figure C.4</w:t>
      </w:r>
      <w:r w:rsidRPr="00F87D0E">
        <w:fldChar w:fldCharType="end"/>
      </w:r>
      <w:r w:rsidRPr="00CE1D7F">
        <w:t>, right chart).</w:t>
      </w:r>
    </w:p>
    <w:p w14:paraId="4B1D6B6E" w14:textId="02F0D399" w:rsidR="000B0AC7" w:rsidRPr="00CE1D7F" w:rsidRDefault="000B0AC7" w:rsidP="000B0AC7">
      <w:pPr>
        <w:pStyle w:val="Caption"/>
        <w:ind w:left="-1102" w:hanging="1308"/>
      </w:pPr>
      <w:bookmarkStart w:id="687" w:name="_Ref129246780"/>
      <w:r w:rsidRPr="00CE1D7F">
        <w:rPr>
          <w:rStyle w:val="CaptionLabel"/>
        </w:rPr>
        <w:t>Figure </w:t>
      </w:r>
      <w:r>
        <w:rPr>
          <w:rStyle w:val="CaptionLabel"/>
        </w:rPr>
        <w:fldChar w:fldCharType="begin"/>
      </w:r>
      <w:r>
        <w:rPr>
          <w:rStyle w:val="CaptionLabel"/>
        </w:rPr>
        <w:instrText xml:space="preserve"> STYLEREF 9 \s </w:instrText>
      </w:r>
      <w:r>
        <w:rPr>
          <w:rStyle w:val="CaptionLabel"/>
        </w:rPr>
        <w:fldChar w:fldCharType="separate"/>
      </w:r>
      <w:r>
        <w:rPr>
          <w:rStyle w:val="CaptionLabel"/>
          <w:noProof/>
        </w:rPr>
        <w:t>C</w:t>
      </w:r>
      <w:r>
        <w:rPr>
          <w:rStyle w:val="CaptionLabel"/>
        </w:rPr>
        <w:fldChar w:fldCharType="end"/>
      </w:r>
      <w:r>
        <w:rPr>
          <w:rStyle w:val="CaptionLabel"/>
        </w:rPr>
        <w:t>.</w:t>
      </w:r>
      <w:r>
        <w:rPr>
          <w:rStyle w:val="CaptionLabel"/>
        </w:rPr>
        <w:fldChar w:fldCharType="begin"/>
      </w:r>
      <w:r>
        <w:rPr>
          <w:rStyle w:val="CaptionLabel"/>
        </w:rPr>
        <w:instrText xml:space="preserve"> SEQ Figure_AP \* ARABIC \s 9 </w:instrText>
      </w:r>
      <w:r>
        <w:rPr>
          <w:rStyle w:val="CaptionLabel"/>
        </w:rPr>
        <w:fldChar w:fldCharType="separate"/>
      </w:r>
      <w:r>
        <w:rPr>
          <w:rStyle w:val="CaptionLabel"/>
          <w:noProof/>
        </w:rPr>
        <w:t>4</w:t>
      </w:r>
      <w:r>
        <w:rPr>
          <w:rStyle w:val="CaptionLabel"/>
        </w:rPr>
        <w:fldChar w:fldCharType="end"/>
      </w:r>
      <w:bookmarkEnd w:id="687"/>
      <w:r w:rsidRPr="00CE1D7F">
        <w:tab/>
        <w:t>Survey results on the distribution of the size of funding received from non-ARC sources and the proportion of funding received from ARC</w:t>
      </w:r>
    </w:p>
    <w:tbl>
      <w:tblPr>
        <w:tblW w:w="10347" w:type="dxa"/>
        <w:tblInd w:w="-2410" w:type="dxa"/>
        <w:tblLayout w:type="fixed"/>
        <w:tblLook w:val="0000" w:firstRow="0" w:lastRow="0" w:firstColumn="0" w:lastColumn="0" w:noHBand="0" w:noVBand="0"/>
      </w:tblPr>
      <w:tblGrid>
        <w:gridCol w:w="5173"/>
        <w:gridCol w:w="5174"/>
      </w:tblGrid>
      <w:tr w:rsidR="002B32A0" w:rsidRPr="00CE1D7F" w14:paraId="08F47D0A" w14:textId="77777777" w:rsidTr="006258ED">
        <w:tc>
          <w:tcPr>
            <w:tcW w:w="5173" w:type="dxa"/>
            <w:tcBorders>
              <w:top w:val="single" w:sz="4" w:space="0" w:color="000100"/>
            </w:tcBorders>
            <w:shd w:val="clear" w:color="auto" w:fill="auto"/>
          </w:tcPr>
          <w:p w14:paraId="2A520840" w14:textId="77777777" w:rsidR="002B32A0" w:rsidRPr="00CE1D7F" w:rsidRDefault="002B32A0" w:rsidP="006258ED">
            <w:pPr>
              <w:pStyle w:val="Figure"/>
              <w:jc w:val="center"/>
              <w:rPr>
                <w:b/>
                <w:bCs/>
                <w:i/>
                <w:iCs/>
                <w:sz w:val="20"/>
                <w:szCs w:val="28"/>
              </w:rPr>
            </w:pPr>
            <w:r w:rsidRPr="00CE1D7F">
              <w:rPr>
                <w:b/>
                <w:bCs/>
                <w:i/>
                <w:iCs/>
                <w:sz w:val="20"/>
                <w:szCs w:val="28"/>
              </w:rPr>
              <w:t>Size of funding received from non-ARC sources</w:t>
            </w:r>
          </w:p>
        </w:tc>
        <w:tc>
          <w:tcPr>
            <w:tcW w:w="5174" w:type="dxa"/>
            <w:tcBorders>
              <w:top w:val="single" w:sz="4" w:space="0" w:color="000100"/>
            </w:tcBorders>
            <w:shd w:val="clear" w:color="auto" w:fill="auto"/>
          </w:tcPr>
          <w:p w14:paraId="281356C5" w14:textId="77777777" w:rsidR="002B32A0" w:rsidRPr="00CE1D7F" w:rsidRDefault="002B32A0" w:rsidP="006258ED">
            <w:pPr>
              <w:pStyle w:val="Figure"/>
              <w:jc w:val="center"/>
              <w:rPr>
                <w:b/>
                <w:bCs/>
                <w:i/>
                <w:iCs/>
                <w:sz w:val="20"/>
                <w:szCs w:val="28"/>
              </w:rPr>
            </w:pPr>
            <w:r w:rsidRPr="00CE1D7F">
              <w:rPr>
                <w:b/>
                <w:bCs/>
                <w:i/>
                <w:iCs/>
                <w:sz w:val="20"/>
                <w:szCs w:val="28"/>
              </w:rPr>
              <w:t>Proportion of funding received from ARC</w:t>
            </w:r>
          </w:p>
        </w:tc>
      </w:tr>
      <w:tr w:rsidR="002B32A0" w:rsidRPr="00CE1D7F" w14:paraId="29DE370A" w14:textId="77777777" w:rsidTr="006258ED">
        <w:tc>
          <w:tcPr>
            <w:tcW w:w="5173" w:type="dxa"/>
            <w:tcBorders>
              <w:top w:val="single" w:sz="4" w:space="0" w:color="000100"/>
            </w:tcBorders>
            <w:shd w:val="clear" w:color="auto" w:fill="auto"/>
          </w:tcPr>
          <w:p w14:paraId="266DA853" w14:textId="77777777" w:rsidR="002B32A0" w:rsidRPr="00CE1D7F" w:rsidRDefault="002B32A0" w:rsidP="006258ED">
            <w:pPr>
              <w:pStyle w:val="Figure"/>
              <w:rPr>
                <w:noProof/>
              </w:rPr>
            </w:pPr>
            <w:r w:rsidRPr="00CE1D7F">
              <w:rPr>
                <w:noProof/>
              </w:rPr>
              <w:drawing>
                <wp:inline distT="0" distB="0" distL="0" distR="0" wp14:anchorId="69BE982D" wp14:editId="446F8EDB">
                  <wp:extent cx="3213100" cy="2091055"/>
                  <wp:effectExtent l="0" t="0" r="6350" b="4445"/>
                  <wp:docPr id="575" name="Picture 575" descr="Survey results on the distribution of the size of funding received from non-ARC 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 name="Picture 575" descr="Survey results on the distribution of the size of funding received from non-ARC sources"/>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3213100" cy="2091055"/>
                          </a:xfrm>
                          <a:prstGeom prst="rect">
                            <a:avLst/>
                          </a:prstGeom>
                          <a:noFill/>
                        </pic:spPr>
                      </pic:pic>
                    </a:graphicData>
                  </a:graphic>
                </wp:inline>
              </w:drawing>
            </w:r>
          </w:p>
        </w:tc>
        <w:tc>
          <w:tcPr>
            <w:tcW w:w="5174" w:type="dxa"/>
            <w:tcBorders>
              <w:top w:val="single" w:sz="4" w:space="0" w:color="000100"/>
            </w:tcBorders>
            <w:shd w:val="clear" w:color="auto" w:fill="auto"/>
          </w:tcPr>
          <w:p w14:paraId="57DF3AC3" w14:textId="77777777" w:rsidR="002B32A0" w:rsidRPr="00CE1D7F" w:rsidRDefault="002B32A0" w:rsidP="006258ED">
            <w:pPr>
              <w:pStyle w:val="Figure"/>
            </w:pPr>
            <w:r w:rsidRPr="00CE1D7F">
              <w:rPr>
                <w:noProof/>
              </w:rPr>
              <w:drawing>
                <wp:inline distT="0" distB="0" distL="0" distR="0" wp14:anchorId="0311DFE6" wp14:editId="15D6C83E">
                  <wp:extent cx="3188335" cy="2091055"/>
                  <wp:effectExtent l="0" t="0" r="0" b="4445"/>
                  <wp:docPr id="576" name="Picture 576" descr="Survey results on the proportion of funding received from A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Picture 576" descr="Survey results on the proportion of funding received from ARC"/>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3188335" cy="2091055"/>
                          </a:xfrm>
                          <a:prstGeom prst="rect">
                            <a:avLst/>
                          </a:prstGeom>
                          <a:noFill/>
                        </pic:spPr>
                      </pic:pic>
                    </a:graphicData>
                  </a:graphic>
                </wp:inline>
              </w:drawing>
            </w:r>
          </w:p>
        </w:tc>
      </w:tr>
      <w:tr w:rsidR="002B32A0" w:rsidRPr="00CE1D7F" w14:paraId="3F9EA4AD" w14:textId="77777777" w:rsidTr="006258ED">
        <w:tblPrEx>
          <w:tblCellMar>
            <w:left w:w="0" w:type="dxa"/>
            <w:right w:w="0" w:type="dxa"/>
          </w:tblCellMar>
        </w:tblPrEx>
        <w:trPr>
          <w:trHeight w:val="125"/>
        </w:trPr>
        <w:tc>
          <w:tcPr>
            <w:tcW w:w="10347" w:type="dxa"/>
            <w:gridSpan w:val="2"/>
            <w:tcBorders>
              <w:bottom w:val="single" w:sz="4" w:space="0" w:color="000100"/>
            </w:tcBorders>
            <w:shd w:val="clear" w:color="auto" w:fill="auto"/>
            <w:tcMar>
              <w:top w:w="12" w:type="dxa"/>
              <w:bottom w:w="113" w:type="dxa"/>
            </w:tcMar>
          </w:tcPr>
          <w:p w14:paraId="4CF23933" w14:textId="77777777" w:rsidR="002B32A0" w:rsidRPr="00CE1D7F" w:rsidRDefault="002B32A0" w:rsidP="006258ED">
            <w:pPr>
              <w:pStyle w:val="Source"/>
            </w:pPr>
            <w:r w:rsidRPr="00CE1D7F">
              <w:t>N=720 for size of funding. N=792 for proportion of funding.</w:t>
            </w:r>
          </w:p>
          <w:p w14:paraId="038926B5" w14:textId="77777777" w:rsidR="002B32A0" w:rsidRPr="00CE1D7F" w:rsidRDefault="002B32A0" w:rsidP="006258ED">
            <w:pPr>
              <w:pStyle w:val="Source"/>
            </w:pPr>
            <w:r w:rsidRPr="00CE1D7F">
              <w:t>Source: ACIL Allen survey of ARC funding recipients</w:t>
            </w:r>
          </w:p>
        </w:tc>
      </w:tr>
      <w:tr w:rsidR="002B32A0" w:rsidRPr="00CE1D7F" w14:paraId="2915BA2C" w14:textId="77777777" w:rsidTr="006258ED">
        <w:tblPrEx>
          <w:tblCellMar>
            <w:left w:w="0" w:type="dxa"/>
            <w:right w:w="0" w:type="dxa"/>
          </w:tblCellMar>
        </w:tblPrEx>
        <w:trPr>
          <w:trHeight w:hRule="exact" w:val="160"/>
        </w:trPr>
        <w:tc>
          <w:tcPr>
            <w:tcW w:w="10347" w:type="dxa"/>
            <w:gridSpan w:val="2"/>
            <w:tcBorders>
              <w:top w:val="single" w:sz="4" w:space="0" w:color="000100"/>
            </w:tcBorders>
            <w:shd w:val="clear" w:color="auto" w:fill="auto"/>
            <w:tcMar>
              <w:top w:w="0" w:type="dxa"/>
              <w:bottom w:w="40" w:type="dxa"/>
            </w:tcMar>
          </w:tcPr>
          <w:p w14:paraId="44206028" w14:textId="77777777" w:rsidR="002B32A0" w:rsidRPr="00CE1D7F" w:rsidRDefault="002B32A0" w:rsidP="006258ED">
            <w:pPr>
              <w:pStyle w:val="spacer"/>
            </w:pPr>
          </w:p>
        </w:tc>
      </w:tr>
      <w:bookmarkEnd w:id="680"/>
    </w:tbl>
    <w:p w14:paraId="4193E314" w14:textId="77777777" w:rsidR="002B32A0" w:rsidRPr="00CE1D7F" w:rsidRDefault="002B32A0" w:rsidP="002B32A0">
      <w:pPr>
        <w:pStyle w:val="BodyText"/>
      </w:pPr>
    </w:p>
    <w:p w14:paraId="617B5FD6" w14:textId="77777777" w:rsidR="002B32A0" w:rsidRPr="00CE1D7F" w:rsidRDefault="002B32A0" w:rsidP="002B32A0">
      <w:pPr>
        <w:pStyle w:val="BodyText"/>
        <w:sectPr w:rsidR="002B32A0" w:rsidRPr="00CE1D7F" w:rsidSect="00CD2356">
          <w:headerReference w:type="even" r:id="rId276"/>
          <w:headerReference w:type="default" r:id="rId277"/>
          <w:footerReference w:type="even" r:id="rId278"/>
          <w:footerReference w:type="default" r:id="rId279"/>
          <w:headerReference w:type="first" r:id="rId280"/>
          <w:footerReference w:type="first" r:id="rId281"/>
          <w:pgSz w:w="11906" w:h="16838" w:code="9"/>
          <w:pgMar w:top="1134" w:right="851" w:bottom="1134" w:left="3119" w:header="454" w:footer="159" w:gutter="0"/>
          <w:pgNumType w:start="1" w:chapStyle="9"/>
          <w:cols w:space="708"/>
          <w:docGrid w:linePitch="360"/>
        </w:sectPr>
      </w:pPr>
    </w:p>
    <w:p w14:paraId="524E1CEC" w14:textId="77777777" w:rsidR="000B0AC7" w:rsidRPr="000B0AC7" w:rsidRDefault="000B0AC7" w:rsidP="000B0AC7">
      <w:pPr>
        <w:pStyle w:val="Heading9"/>
        <w:ind w:left="0" w:hanging="600"/>
      </w:pPr>
      <w:bookmarkStart w:id="688" w:name="_Toc135323781"/>
      <w:r w:rsidRPr="000B0AC7">
        <w:t>Program, funding and other data and methodology</w:t>
      </w:r>
      <w:bookmarkEnd w:id="688"/>
      <w:r w:rsidRPr="000B0AC7">
        <w:t xml:space="preserve"> </w:t>
      </w:r>
    </w:p>
    <w:p w14:paraId="46F49DFB" w14:textId="77777777" w:rsidR="002B32A0" w:rsidRPr="00CE1D7F" w:rsidRDefault="002B32A0" w:rsidP="002B32A0">
      <w:pPr>
        <w:pStyle w:val="Heading2AP"/>
      </w:pPr>
      <w:bookmarkStart w:id="689" w:name="_Toc129964070"/>
      <w:bookmarkStart w:id="690" w:name="_Toc131174692"/>
      <w:bookmarkStart w:id="691" w:name="_Toc132970743"/>
      <w:bookmarkStart w:id="692" w:name="_Toc135323782"/>
      <w:bookmarkStart w:id="693" w:name="_Hlk129857006"/>
      <w:r w:rsidRPr="00CE1D7F">
        <w:t>Program and funding data analysis</w:t>
      </w:r>
      <w:bookmarkEnd w:id="689"/>
      <w:bookmarkEnd w:id="690"/>
      <w:bookmarkEnd w:id="691"/>
      <w:bookmarkEnd w:id="692"/>
    </w:p>
    <w:p w14:paraId="315D8D5C" w14:textId="77777777" w:rsidR="002B32A0" w:rsidRPr="00CE1D7F" w:rsidRDefault="002B32A0" w:rsidP="002B32A0">
      <w:pPr>
        <w:pStyle w:val="Heading3AP"/>
      </w:pPr>
      <w:r w:rsidRPr="00CE1D7F">
        <w:t xml:space="preserve">Funding analysis </w:t>
      </w:r>
    </w:p>
    <w:p w14:paraId="6D04E0D4" w14:textId="20D2121F" w:rsidR="002B32A0" w:rsidRPr="00CE1D7F" w:rsidRDefault="002B32A0" w:rsidP="002B32A0">
      <w:pPr>
        <w:pStyle w:val="BodyText"/>
      </w:pPr>
      <w:r w:rsidRPr="00F87D0E">
        <w:fldChar w:fldCharType="begin"/>
      </w:r>
      <w:r w:rsidRPr="00F87D0E">
        <w:instrText xml:space="preserve"> REF _Ref129355645 \h  \* MERGEFORMAT </w:instrText>
      </w:r>
      <w:r w:rsidRPr="00F87D0E">
        <w:fldChar w:fldCharType="separate"/>
      </w:r>
      <w:r w:rsidR="000B0AC7" w:rsidRPr="000B0AC7">
        <w:t>Figure D.1</w:t>
      </w:r>
      <w:r w:rsidRPr="00F87D0E">
        <w:fldChar w:fldCharType="end"/>
      </w:r>
      <w:r w:rsidRPr="00CE1D7F">
        <w:t xml:space="preserve"> shows the total level of funding and the number of grants awarded from 2002 to 2021, by program. The amount of funding and grants awarded vary across years. Notably, funding for the Linkage Program is higher every 3 years relative to intervening years. This is due in large part to the periodic nature of funding awarded for ARC Centres of Excellence, which has occurred in 2002 (noting this was a small investment of $10</w:t>
      </w:r>
      <w:r>
        <w:t> million</w:t>
      </w:r>
      <w:r w:rsidRPr="00CE1D7F">
        <w:t>), 2003 (noting this was a large investment of $559</w:t>
      </w:r>
      <w:r>
        <w:t> million</w:t>
      </w:r>
      <w:r w:rsidRPr="00CE1D7F">
        <w:t>), 2005, 2008 (noting this was a small investment of $16</w:t>
      </w:r>
      <w:r>
        <w:t> million</w:t>
      </w:r>
      <w:r w:rsidRPr="00CE1D7F">
        <w:t xml:space="preserve">), 2011, 2014, 2017, and 2020. </w:t>
      </w:r>
    </w:p>
    <w:p w14:paraId="0DD919FB" w14:textId="2967AC42" w:rsidR="000B0AC7" w:rsidRPr="00CE1D7F" w:rsidRDefault="000B0AC7" w:rsidP="000B0AC7">
      <w:pPr>
        <w:pStyle w:val="Caption"/>
        <w:ind w:left="1308" w:hanging="1308"/>
      </w:pPr>
      <w:bookmarkStart w:id="694" w:name="_Ref129355645"/>
      <w:r w:rsidRPr="00CE1D7F">
        <w:rPr>
          <w:rStyle w:val="CaptionLabel"/>
        </w:rPr>
        <w:t>Figure </w:t>
      </w:r>
      <w:r>
        <w:rPr>
          <w:rStyle w:val="CaptionLabel"/>
        </w:rPr>
        <w:fldChar w:fldCharType="begin"/>
      </w:r>
      <w:r>
        <w:rPr>
          <w:rStyle w:val="CaptionLabel"/>
        </w:rPr>
        <w:instrText xml:space="preserve"> STYLEREF 9 \s </w:instrText>
      </w:r>
      <w:r>
        <w:rPr>
          <w:rStyle w:val="CaptionLabel"/>
        </w:rPr>
        <w:fldChar w:fldCharType="separate"/>
      </w:r>
      <w:r>
        <w:rPr>
          <w:rStyle w:val="CaptionLabel"/>
          <w:noProof/>
        </w:rPr>
        <w:t>D</w:t>
      </w:r>
      <w:r>
        <w:rPr>
          <w:rStyle w:val="CaptionLabel"/>
        </w:rPr>
        <w:fldChar w:fldCharType="end"/>
      </w:r>
      <w:r>
        <w:rPr>
          <w:rStyle w:val="CaptionLabel"/>
        </w:rPr>
        <w:t>.</w:t>
      </w:r>
      <w:r>
        <w:rPr>
          <w:rStyle w:val="CaptionLabel"/>
        </w:rPr>
        <w:fldChar w:fldCharType="begin"/>
      </w:r>
      <w:r>
        <w:rPr>
          <w:rStyle w:val="CaptionLabel"/>
        </w:rPr>
        <w:instrText xml:space="preserve"> SEQ Figure_AP \* ARABIC \s 9 </w:instrText>
      </w:r>
      <w:r>
        <w:rPr>
          <w:rStyle w:val="CaptionLabel"/>
        </w:rPr>
        <w:fldChar w:fldCharType="separate"/>
      </w:r>
      <w:r>
        <w:rPr>
          <w:rStyle w:val="CaptionLabel"/>
          <w:noProof/>
        </w:rPr>
        <w:t>1</w:t>
      </w:r>
      <w:r>
        <w:rPr>
          <w:rStyle w:val="CaptionLabel"/>
        </w:rPr>
        <w:fldChar w:fldCharType="end"/>
      </w:r>
      <w:bookmarkEnd w:id="694"/>
      <w:r w:rsidRPr="00CE1D7F">
        <w:tab/>
        <w:t>Funding data on funding awarded and number of grants by year and by Discovery and Linkage Programs</w:t>
      </w:r>
    </w:p>
    <w:tbl>
      <w:tblPr>
        <w:tblW w:w="0" w:type="auto"/>
        <w:tblLayout w:type="fixed"/>
        <w:tblLook w:val="0000" w:firstRow="0" w:lastRow="0" w:firstColumn="0" w:lastColumn="0" w:noHBand="0" w:noVBand="0"/>
      </w:tblPr>
      <w:tblGrid>
        <w:gridCol w:w="7936"/>
      </w:tblGrid>
      <w:tr w:rsidR="002B32A0" w:rsidRPr="00CE1D7F" w14:paraId="0A67B1BF" w14:textId="77777777" w:rsidTr="006258ED">
        <w:tc>
          <w:tcPr>
            <w:tcW w:w="7936" w:type="dxa"/>
            <w:tcBorders>
              <w:top w:val="single" w:sz="4" w:space="0" w:color="000100"/>
            </w:tcBorders>
            <w:shd w:val="clear" w:color="auto" w:fill="auto"/>
          </w:tcPr>
          <w:p w14:paraId="3BC4DD39" w14:textId="77777777" w:rsidR="002B32A0" w:rsidRPr="00CE1D7F" w:rsidRDefault="002B32A0" w:rsidP="006258ED">
            <w:pPr>
              <w:pStyle w:val="Figure"/>
            </w:pPr>
            <w:r w:rsidRPr="00CE1D7F">
              <w:rPr>
                <w:noProof/>
              </w:rPr>
              <w:drawing>
                <wp:inline distT="0" distB="0" distL="0" distR="0" wp14:anchorId="1BA1E8D8" wp14:editId="01BCDD8A">
                  <wp:extent cx="4899660" cy="2110740"/>
                  <wp:effectExtent l="0" t="0" r="0" b="3810"/>
                  <wp:docPr id="512" name="Picture 512" descr="Funding data on funding awarded and number of grants by year and by Discovery and Linkage Progr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Picture 512" descr="Funding data on funding awarded and number of grants by year and by Discovery and Linkage Programs"/>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4899660" cy="2110740"/>
                          </a:xfrm>
                          <a:prstGeom prst="rect">
                            <a:avLst/>
                          </a:prstGeom>
                          <a:noFill/>
                        </pic:spPr>
                      </pic:pic>
                    </a:graphicData>
                  </a:graphic>
                </wp:inline>
              </w:drawing>
            </w:r>
          </w:p>
        </w:tc>
      </w:tr>
      <w:tr w:rsidR="002B32A0" w:rsidRPr="00CE1D7F" w14:paraId="607B6EA8" w14:textId="77777777" w:rsidTr="006258ED">
        <w:tblPrEx>
          <w:tblCellMar>
            <w:left w:w="0" w:type="dxa"/>
            <w:right w:w="0" w:type="dxa"/>
          </w:tblCellMar>
        </w:tblPrEx>
        <w:trPr>
          <w:trHeight w:val="137"/>
        </w:trPr>
        <w:tc>
          <w:tcPr>
            <w:tcW w:w="7936" w:type="dxa"/>
            <w:tcBorders>
              <w:bottom w:val="single" w:sz="4" w:space="0" w:color="000100"/>
            </w:tcBorders>
            <w:shd w:val="clear" w:color="auto" w:fill="auto"/>
            <w:tcMar>
              <w:top w:w="12" w:type="dxa"/>
              <w:bottom w:w="113" w:type="dxa"/>
            </w:tcMar>
          </w:tcPr>
          <w:p w14:paraId="471A9E4A" w14:textId="77777777" w:rsidR="002B32A0" w:rsidRPr="00CE1D7F" w:rsidRDefault="002B32A0" w:rsidP="006258ED">
            <w:pPr>
              <w:pStyle w:val="Source"/>
              <w:rPr>
                <w:i w:val="0"/>
                <w:iCs/>
              </w:rPr>
            </w:pPr>
            <w:r w:rsidRPr="00CE1D7F">
              <w:rPr>
                <w:i w:val="0"/>
                <w:iCs/>
              </w:rPr>
              <w:t>N=29,303 projects</w:t>
            </w:r>
          </w:p>
          <w:p w14:paraId="633755AC" w14:textId="77777777" w:rsidR="002B32A0" w:rsidRPr="00CE1D7F" w:rsidRDefault="002B32A0" w:rsidP="006258ED">
            <w:pPr>
              <w:pStyle w:val="Source"/>
              <w:rPr>
                <w:i w:val="0"/>
                <w:iCs/>
              </w:rPr>
            </w:pPr>
            <w:r w:rsidRPr="00CE1D7F">
              <w:rPr>
                <w:i w:val="0"/>
                <w:iCs/>
              </w:rPr>
              <w:t xml:space="preserve">Note: funding amounts are in current dollars (i.e. the value of the funding allocated in the award year, as reported in </w:t>
            </w:r>
            <w:r>
              <w:rPr>
                <w:i w:val="0"/>
                <w:iCs/>
              </w:rPr>
              <w:t>application data</w:t>
            </w:r>
            <w:r w:rsidRPr="00CE1D7F">
              <w:rPr>
                <w:i w:val="0"/>
                <w:iCs/>
              </w:rPr>
              <w:t>).</w:t>
            </w:r>
          </w:p>
          <w:p w14:paraId="5CDE8AB0" w14:textId="77777777" w:rsidR="002B32A0" w:rsidRPr="00CE1D7F" w:rsidRDefault="002B32A0" w:rsidP="006258ED">
            <w:pPr>
              <w:pStyle w:val="Source"/>
            </w:pPr>
            <w:r w:rsidRPr="00CE1D7F">
              <w:t>Source: ACIL Allen’s analysis of ARC funding data for grants awarded between 2002 and 2021.</w:t>
            </w:r>
          </w:p>
        </w:tc>
      </w:tr>
      <w:tr w:rsidR="002B32A0" w:rsidRPr="00CE1D7F" w14:paraId="133AC392" w14:textId="77777777" w:rsidTr="006258ED">
        <w:tblPrEx>
          <w:tblCellMar>
            <w:left w:w="0" w:type="dxa"/>
            <w:right w:w="0" w:type="dxa"/>
          </w:tblCellMar>
        </w:tblPrEx>
        <w:trPr>
          <w:trHeight w:hRule="exact" w:val="160"/>
        </w:trPr>
        <w:tc>
          <w:tcPr>
            <w:tcW w:w="7936" w:type="dxa"/>
            <w:tcBorders>
              <w:top w:val="single" w:sz="4" w:space="0" w:color="000100"/>
            </w:tcBorders>
            <w:shd w:val="clear" w:color="auto" w:fill="auto"/>
            <w:tcMar>
              <w:top w:w="0" w:type="dxa"/>
              <w:bottom w:w="40" w:type="dxa"/>
            </w:tcMar>
          </w:tcPr>
          <w:p w14:paraId="7A51125F" w14:textId="77777777" w:rsidR="002B32A0" w:rsidRPr="00CE1D7F" w:rsidRDefault="002B32A0" w:rsidP="006258ED">
            <w:pPr>
              <w:pStyle w:val="spacer"/>
            </w:pPr>
          </w:p>
        </w:tc>
      </w:tr>
    </w:tbl>
    <w:p w14:paraId="506D71A9" w14:textId="20484044" w:rsidR="002B32A0" w:rsidRPr="00CE1D7F" w:rsidRDefault="002B32A0" w:rsidP="002B32A0">
      <w:pPr>
        <w:pStyle w:val="BodyText"/>
      </w:pPr>
      <w:r w:rsidRPr="00F87D0E">
        <w:fldChar w:fldCharType="begin"/>
      </w:r>
      <w:r w:rsidRPr="00F87D0E">
        <w:instrText xml:space="preserve"> REF _Ref129606809 \h  \* MERGEFORMAT </w:instrText>
      </w:r>
      <w:r w:rsidRPr="00F87D0E">
        <w:fldChar w:fldCharType="separate"/>
      </w:r>
      <w:r w:rsidR="000B0AC7" w:rsidRPr="000B0AC7">
        <w:t>Figure D.2</w:t>
      </w:r>
      <w:r w:rsidRPr="00F87D0E">
        <w:fldChar w:fldCharType="end"/>
      </w:r>
      <w:r w:rsidRPr="00CE1D7F">
        <w:t xml:space="preserve"> shows the total funding allocated to each FoR (left chart) and SEO (right chart) from 2002 to 2021, by program.</w:t>
      </w:r>
    </w:p>
    <w:p w14:paraId="0223E720" w14:textId="07469543" w:rsidR="000B0AC7" w:rsidRPr="00CE1D7F" w:rsidRDefault="000B0AC7" w:rsidP="000B0AC7">
      <w:pPr>
        <w:pStyle w:val="Caption"/>
        <w:ind w:left="-1102" w:hanging="1308"/>
      </w:pPr>
      <w:bookmarkStart w:id="695" w:name="_Ref129606809"/>
      <w:r w:rsidRPr="00CE1D7F">
        <w:rPr>
          <w:rStyle w:val="CaptionLabel"/>
        </w:rPr>
        <w:t>Figure </w:t>
      </w:r>
      <w:r>
        <w:rPr>
          <w:rStyle w:val="CaptionLabel"/>
        </w:rPr>
        <w:fldChar w:fldCharType="begin"/>
      </w:r>
      <w:r>
        <w:rPr>
          <w:rStyle w:val="CaptionLabel"/>
        </w:rPr>
        <w:instrText xml:space="preserve"> STYLEREF 9 \s </w:instrText>
      </w:r>
      <w:r>
        <w:rPr>
          <w:rStyle w:val="CaptionLabel"/>
        </w:rPr>
        <w:fldChar w:fldCharType="separate"/>
      </w:r>
      <w:r>
        <w:rPr>
          <w:rStyle w:val="CaptionLabel"/>
          <w:noProof/>
        </w:rPr>
        <w:t>D</w:t>
      </w:r>
      <w:r>
        <w:rPr>
          <w:rStyle w:val="CaptionLabel"/>
        </w:rPr>
        <w:fldChar w:fldCharType="end"/>
      </w:r>
      <w:r>
        <w:rPr>
          <w:rStyle w:val="CaptionLabel"/>
        </w:rPr>
        <w:t>.</w:t>
      </w:r>
      <w:r>
        <w:rPr>
          <w:rStyle w:val="CaptionLabel"/>
        </w:rPr>
        <w:fldChar w:fldCharType="begin"/>
      </w:r>
      <w:r>
        <w:rPr>
          <w:rStyle w:val="CaptionLabel"/>
        </w:rPr>
        <w:instrText xml:space="preserve"> SEQ Figure_AP \* ARABIC \s 9 </w:instrText>
      </w:r>
      <w:r>
        <w:rPr>
          <w:rStyle w:val="CaptionLabel"/>
        </w:rPr>
        <w:fldChar w:fldCharType="separate"/>
      </w:r>
      <w:r>
        <w:rPr>
          <w:rStyle w:val="CaptionLabel"/>
          <w:noProof/>
        </w:rPr>
        <w:t>2</w:t>
      </w:r>
      <w:r>
        <w:rPr>
          <w:rStyle w:val="CaptionLabel"/>
        </w:rPr>
        <w:fldChar w:fldCharType="end"/>
      </w:r>
      <w:bookmarkEnd w:id="695"/>
      <w:r w:rsidRPr="00CE1D7F">
        <w:tab/>
        <w:t xml:space="preserve">Funding data on funding allocated by FoR and SEO, across Discovery and Linkage Programs </w:t>
      </w:r>
    </w:p>
    <w:tbl>
      <w:tblPr>
        <w:tblW w:w="0" w:type="auto"/>
        <w:tblInd w:w="-2410" w:type="dxa"/>
        <w:tblLayout w:type="fixed"/>
        <w:tblLook w:val="0000" w:firstRow="0" w:lastRow="0" w:firstColumn="0" w:lastColumn="0" w:noHBand="0" w:noVBand="0"/>
      </w:tblPr>
      <w:tblGrid>
        <w:gridCol w:w="5387"/>
        <w:gridCol w:w="4959"/>
      </w:tblGrid>
      <w:tr w:rsidR="002B32A0" w:rsidRPr="00CE1D7F" w14:paraId="7616DC88" w14:textId="77777777" w:rsidTr="006258ED">
        <w:tc>
          <w:tcPr>
            <w:tcW w:w="5387" w:type="dxa"/>
            <w:tcBorders>
              <w:top w:val="single" w:sz="4" w:space="0" w:color="000100"/>
            </w:tcBorders>
            <w:shd w:val="clear" w:color="auto" w:fill="auto"/>
          </w:tcPr>
          <w:p w14:paraId="408D25CE" w14:textId="77777777" w:rsidR="002B32A0" w:rsidRPr="00CE1D7F" w:rsidRDefault="002B32A0" w:rsidP="006258ED">
            <w:pPr>
              <w:pStyle w:val="Figure"/>
              <w:jc w:val="center"/>
              <w:rPr>
                <w:b/>
                <w:bCs/>
                <w:i/>
                <w:iCs/>
                <w:sz w:val="20"/>
                <w:szCs w:val="28"/>
              </w:rPr>
            </w:pPr>
            <w:r>
              <w:rPr>
                <w:b/>
                <w:bCs/>
                <w:i/>
                <w:iCs/>
                <w:noProof/>
                <w:sz w:val="20"/>
                <w:szCs w:val="28"/>
              </w:rPr>
              <w:t>FoR</w:t>
            </w:r>
          </w:p>
        </w:tc>
        <w:tc>
          <w:tcPr>
            <w:tcW w:w="4959" w:type="dxa"/>
            <w:tcBorders>
              <w:top w:val="single" w:sz="4" w:space="0" w:color="000100"/>
            </w:tcBorders>
            <w:shd w:val="clear" w:color="auto" w:fill="auto"/>
          </w:tcPr>
          <w:p w14:paraId="01F02DBA" w14:textId="77777777" w:rsidR="002B32A0" w:rsidRPr="00CE1D7F" w:rsidRDefault="002B32A0" w:rsidP="006258ED">
            <w:pPr>
              <w:pStyle w:val="Figure"/>
              <w:jc w:val="center"/>
              <w:rPr>
                <w:b/>
                <w:bCs/>
                <w:i/>
                <w:iCs/>
                <w:sz w:val="20"/>
                <w:szCs w:val="28"/>
              </w:rPr>
            </w:pPr>
            <w:r w:rsidRPr="00CE1D7F">
              <w:rPr>
                <w:b/>
                <w:bCs/>
                <w:i/>
                <w:iCs/>
                <w:sz w:val="20"/>
                <w:szCs w:val="28"/>
              </w:rPr>
              <w:t>SEO</w:t>
            </w:r>
          </w:p>
        </w:tc>
      </w:tr>
      <w:tr w:rsidR="002B32A0" w:rsidRPr="00CE1D7F" w14:paraId="03AAD62A" w14:textId="77777777" w:rsidTr="006258ED">
        <w:tc>
          <w:tcPr>
            <w:tcW w:w="5387" w:type="dxa"/>
            <w:tcBorders>
              <w:top w:val="single" w:sz="4" w:space="0" w:color="000100"/>
            </w:tcBorders>
            <w:shd w:val="clear" w:color="auto" w:fill="auto"/>
          </w:tcPr>
          <w:p w14:paraId="661754CD" w14:textId="77777777" w:rsidR="002B32A0" w:rsidRPr="00CE1D7F" w:rsidRDefault="002B32A0" w:rsidP="006258ED">
            <w:pPr>
              <w:pStyle w:val="Figure"/>
              <w:rPr>
                <w:noProof/>
              </w:rPr>
            </w:pPr>
            <w:r w:rsidRPr="00CE1D7F">
              <w:rPr>
                <w:noProof/>
              </w:rPr>
              <w:drawing>
                <wp:inline distT="0" distB="0" distL="0" distR="0" wp14:anchorId="7CF090EB" wp14:editId="5D6C8659">
                  <wp:extent cx="3295290" cy="3251230"/>
                  <wp:effectExtent l="0" t="0" r="635" b="6350"/>
                  <wp:docPr id="521" name="Picture 521" descr="Funding data on funding allocated by FoR, across Discovery and Linkage Program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Picture 521" descr="Funding data on funding allocated by FoR, across Discovery and Linkage Programs "/>
                          <pic:cNvPicPr>
                            <a:picLocks noChangeAspect="1" noChangeArrowheads="1"/>
                          </pic:cNvPicPr>
                        </pic:nvPicPr>
                        <pic:blipFill rotWithShape="1">
                          <a:blip r:embed="rId283" cstate="print">
                            <a:extLst>
                              <a:ext uri="{28A0092B-C50C-407E-A947-70E740481C1C}">
                                <a14:useLocalDpi xmlns:a14="http://schemas.microsoft.com/office/drawing/2010/main" val="0"/>
                              </a:ext>
                            </a:extLst>
                          </a:blip>
                          <a:srcRect l="1852" r="8962"/>
                          <a:stretch/>
                        </pic:blipFill>
                        <pic:spPr bwMode="auto">
                          <a:xfrm>
                            <a:off x="0" y="0"/>
                            <a:ext cx="3300236" cy="325611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59" w:type="dxa"/>
            <w:tcBorders>
              <w:top w:val="single" w:sz="4" w:space="0" w:color="000100"/>
            </w:tcBorders>
            <w:shd w:val="clear" w:color="auto" w:fill="auto"/>
          </w:tcPr>
          <w:p w14:paraId="281D35EF" w14:textId="77777777" w:rsidR="002B32A0" w:rsidRPr="00CE1D7F" w:rsidRDefault="002B32A0" w:rsidP="006258ED">
            <w:pPr>
              <w:pStyle w:val="Figure"/>
              <w:rPr>
                <w:noProof/>
              </w:rPr>
            </w:pPr>
            <w:r w:rsidRPr="00CE1D7F">
              <w:rPr>
                <w:noProof/>
              </w:rPr>
              <w:drawing>
                <wp:inline distT="0" distB="0" distL="0" distR="0" wp14:anchorId="4874B364" wp14:editId="245F5DEF">
                  <wp:extent cx="3090109" cy="3234906"/>
                  <wp:effectExtent l="0" t="0" r="0" b="3810"/>
                  <wp:docPr id="520" name="Picture 520" descr="Funding data on funding allocated by SEO, across Discovery and Linkage Program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Picture 520" descr="Funding data on funding allocated by SEO, across Discovery and Linkage Programs "/>
                          <pic:cNvPicPr>
                            <a:picLocks noChangeAspect="1" noChangeArrowheads="1"/>
                          </pic:cNvPicPr>
                        </pic:nvPicPr>
                        <pic:blipFill rotWithShape="1">
                          <a:blip r:embed="rId284" cstate="print">
                            <a:extLst>
                              <a:ext uri="{28A0092B-C50C-407E-A947-70E740481C1C}">
                                <a14:useLocalDpi xmlns:a14="http://schemas.microsoft.com/office/drawing/2010/main" val="0"/>
                              </a:ext>
                            </a:extLst>
                          </a:blip>
                          <a:srcRect r="8626"/>
                          <a:stretch/>
                        </pic:blipFill>
                        <pic:spPr bwMode="auto">
                          <a:xfrm>
                            <a:off x="0" y="0"/>
                            <a:ext cx="3107637" cy="325325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B32A0" w:rsidRPr="00CE1D7F" w14:paraId="2F9EA7A9" w14:textId="77777777" w:rsidTr="006258ED">
        <w:tblPrEx>
          <w:tblCellMar>
            <w:left w:w="0" w:type="dxa"/>
            <w:right w:w="0" w:type="dxa"/>
          </w:tblCellMar>
        </w:tblPrEx>
        <w:trPr>
          <w:trHeight w:val="137"/>
        </w:trPr>
        <w:tc>
          <w:tcPr>
            <w:tcW w:w="10346" w:type="dxa"/>
            <w:gridSpan w:val="2"/>
            <w:tcBorders>
              <w:bottom w:val="single" w:sz="4" w:space="0" w:color="000100"/>
            </w:tcBorders>
            <w:shd w:val="clear" w:color="auto" w:fill="auto"/>
            <w:tcMar>
              <w:top w:w="12" w:type="dxa"/>
              <w:bottom w:w="113" w:type="dxa"/>
            </w:tcMar>
          </w:tcPr>
          <w:p w14:paraId="4BE6AF8C" w14:textId="77777777" w:rsidR="002B32A0" w:rsidRPr="00CE1D7F" w:rsidRDefault="002B32A0" w:rsidP="006258ED">
            <w:pPr>
              <w:pStyle w:val="Source"/>
              <w:rPr>
                <w:i w:val="0"/>
                <w:iCs/>
              </w:rPr>
            </w:pPr>
            <w:r w:rsidRPr="00CE1D7F">
              <w:rPr>
                <w:i w:val="0"/>
                <w:iCs/>
              </w:rPr>
              <w:t>N=29,303 projects</w:t>
            </w:r>
          </w:p>
          <w:p w14:paraId="6BE960BA" w14:textId="77777777" w:rsidR="002B32A0" w:rsidRPr="00CE1D7F" w:rsidRDefault="002B32A0" w:rsidP="006258ED">
            <w:pPr>
              <w:pStyle w:val="Source"/>
              <w:rPr>
                <w:i w:val="0"/>
                <w:iCs/>
              </w:rPr>
            </w:pPr>
            <w:r w:rsidRPr="00CE1D7F">
              <w:rPr>
                <w:i w:val="0"/>
                <w:iCs/>
              </w:rPr>
              <w:t>Note: funding amounts are in current dollars (i.e. the value of the funding allocated in the award year, as reported in the final report).</w:t>
            </w:r>
          </w:p>
          <w:p w14:paraId="7330BBB9" w14:textId="77777777" w:rsidR="002B32A0" w:rsidRPr="00CE1D7F" w:rsidRDefault="002B32A0" w:rsidP="006258ED">
            <w:pPr>
              <w:pStyle w:val="Source"/>
            </w:pPr>
            <w:r w:rsidRPr="00CE1D7F">
              <w:t>Source: ACIL Allen’s analysis of ARC funding data for grants awarded between 2002 and 2021.</w:t>
            </w:r>
          </w:p>
        </w:tc>
      </w:tr>
      <w:tr w:rsidR="002B32A0" w:rsidRPr="00CE1D7F" w14:paraId="40560948" w14:textId="77777777" w:rsidTr="006258ED">
        <w:tblPrEx>
          <w:tblCellMar>
            <w:left w:w="0" w:type="dxa"/>
            <w:right w:w="0" w:type="dxa"/>
          </w:tblCellMar>
        </w:tblPrEx>
        <w:trPr>
          <w:trHeight w:hRule="exact" w:val="160"/>
        </w:trPr>
        <w:tc>
          <w:tcPr>
            <w:tcW w:w="10346" w:type="dxa"/>
            <w:gridSpan w:val="2"/>
            <w:tcBorders>
              <w:top w:val="single" w:sz="4" w:space="0" w:color="000100"/>
            </w:tcBorders>
            <w:shd w:val="clear" w:color="auto" w:fill="auto"/>
            <w:tcMar>
              <w:top w:w="0" w:type="dxa"/>
              <w:bottom w:w="40" w:type="dxa"/>
            </w:tcMar>
          </w:tcPr>
          <w:p w14:paraId="7492D72F" w14:textId="77777777" w:rsidR="002B32A0" w:rsidRPr="00CE1D7F" w:rsidRDefault="002B32A0" w:rsidP="006258ED">
            <w:pPr>
              <w:pStyle w:val="spacer"/>
            </w:pPr>
          </w:p>
        </w:tc>
      </w:tr>
    </w:tbl>
    <w:p w14:paraId="3FAED584" w14:textId="341E7556" w:rsidR="002B32A0" w:rsidRPr="00CE1D7F" w:rsidRDefault="002B32A0" w:rsidP="002B32A0">
      <w:pPr>
        <w:pStyle w:val="BodyText"/>
      </w:pPr>
      <w:r w:rsidRPr="000E5D7A">
        <w:t>The most common participating organisation type is Australian universities</w:t>
      </w:r>
      <w:r>
        <w:t xml:space="preserve"> (</w:t>
      </w:r>
      <w:r w:rsidRPr="00CE1D7F">
        <w:rPr>
          <w:i/>
          <w:iCs/>
        </w:rPr>
        <w:t>Higher Education Funding Act 2003</w:t>
      </w:r>
      <w:r w:rsidRPr="00CE1D7F">
        <w:t xml:space="preserve"> organisations</w:t>
      </w:r>
      <w:r>
        <w:t>)</w:t>
      </w:r>
      <w:r w:rsidRPr="00CE1D7F">
        <w:t xml:space="preserve">, which contribute most cash and in-kind contributions to projects (see </w:t>
      </w:r>
      <w:r w:rsidRPr="00F87D0E">
        <w:fldChar w:fldCharType="begin"/>
      </w:r>
      <w:r w:rsidRPr="00F87D0E">
        <w:instrText xml:space="preserve"> REF _Ref128758200 \h  \* MERGEFORMAT </w:instrText>
      </w:r>
      <w:r w:rsidRPr="00F87D0E">
        <w:fldChar w:fldCharType="separate"/>
      </w:r>
      <w:r w:rsidR="000B0AC7" w:rsidRPr="000B0AC7">
        <w:t>Figure D.3</w:t>
      </w:r>
      <w:r w:rsidRPr="00F87D0E">
        <w:fldChar w:fldCharType="end"/>
      </w:r>
      <w:r w:rsidRPr="00CE1D7F">
        <w:t>, top chart). Of Discovery Program</w:t>
      </w:r>
      <w:r>
        <w:t xml:space="preserve"> grants</w:t>
      </w:r>
      <w:r w:rsidRPr="00CE1D7F">
        <w:t>, 22,818</w:t>
      </w:r>
      <w:r>
        <w:t xml:space="preserve"> organisations participating were Australian universities</w:t>
      </w:r>
      <w:r w:rsidRPr="00CE1D7F">
        <w:t xml:space="preserve">, followed by Higher Education International organisations </w:t>
      </w:r>
      <w:r>
        <w:t>(</w:t>
      </w:r>
      <w:r w:rsidRPr="00CE1D7F">
        <w:t>5,220</w:t>
      </w:r>
      <w:r>
        <w:t>)</w:t>
      </w:r>
      <w:r w:rsidRPr="00CE1D7F">
        <w:t xml:space="preserve">. Similarly, most </w:t>
      </w:r>
      <w:r>
        <w:t xml:space="preserve">organisations participating in </w:t>
      </w:r>
      <w:r w:rsidRPr="00CE1D7F">
        <w:t>Linkage Program grants</w:t>
      </w:r>
      <w:r>
        <w:t xml:space="preserve"> were Australian universities (</w:t>
      </w:r>
      <w:r w:rsidRPr="00CE1D7F">
        <w:t>15,162</w:t>
      </w:r>
      <w:r>
        <w:t xml:space="preserve">), followed by </w:t>
      </w:r>
      <w:r w:rsidRPr="00CE1D7F">
        <w:t>Australian Company Industry bodies (4,528)</w:t>
      </w:r>
      <w:r>
        <w:t xml:space="preserve"> then</w:t>
      </w:r>
      <w:r w:rsidRPr="00CE1D7F">
        <w:t xml:space="preserve"> State and Local Government (4,345).</w:t>
      </w:r>
    </w:p>
    <w:p w14:paraId="3141F1EF" w14:textId="43B921F0" w:rsidR="002B32A0" w:rsidRPr="00CE1D7F" w:rsidRDefault="002B32A0" w:rsidP="002B32A0">
      <w:pPr>
        <w:pStyle w:val="BodyText"/>
      </w:pPr>
      <w:r w:rsidRPr="00CE1D7F">
        <w:t xml:space="preserve">The </w:t>
      </w:r>
      <w:r w:rsidR="00054253" w:rsidRPr="00CE1D7F">
        <w:t>number</w:t>
      </w:r>
      <w:r w:rsidRPr="00CE1D7F">
        <w:t xml:space="preserve"> of total co-contributions made by each type of organisation (bottom chart) shows that most funding was provided by </w:t>
      </w:r>
      <w:r w:rsidRPr="00CE1D7F">
        <w:rPr>
          <w:i/>
          <w:iCs/>
        </w:rPr>
        <w:t>Higher Education Funding Act 2003</w:t>
      </w:r>
      <w:r w:rsidRPr="00CE1D7F">
        <w:t xml:space="preserve"> Organisations, which contributed $10.35</w:t>
      </w:r>
      <w:r>
        <w:t> billion</w:t>
      </w:r>
      <w:r w:rsidRPr="00CE1D7F">
        <w:t>. This was followed by Higher Education International ($1.75</w:t>
      </w:r>
      <w:r>
        <w:t> billion</w:t>
      </w:r>
      <w:r w:rsidRPr="00CE1D7F">
        <w:t xml:space="preserve">) and </w:t>
      </w:r>
      <w:r>
        <w:t>Australian</w:t>
      </w:r>
      <w:r w:rsidRPr="00CE1D7F">
        <w:t xml:space="preserve"> Company Industry Body ($</w:t>
      </w:r>
      <w:r>
        <w:t>1.63 billion</w:t>
      </w:r>
      <w:r w:rsidRPr="00CE1D7F">
        <w:t xml:space="preserve">). </w:t>
      </w:r>
    </w:p>
    <w:p w14:paraId="78D8FB18" w14:textId="051472FA" w:rsidR="000B0AC7" w:rsidRPr="00CE1D7F" w:rsidRDefault="000B0AC7" w:rsidP="000B0AC7">
      <w:pPr>
        <w:pStyle w:val="Caption"/>
        <w:ind w:left="1308" w:hanging="1308"/>
      </w:pPr>
      <w:bookmarkStart w:id="696" w:name="_Ref128758200"/>
      <w:r w:rsidRPr="00CE1D7F">
        <w:rPr>
          <w:rStyle w:val="CaptionLabel"/>
        </w:rPr>
        <w:t>Figure </w:t>
      </w:r>
      <w:r>
        <w:rPr>
          <w:rStyle w:val="CaptionLabel"/>
        </w:rPr>
        <w:fldChar w:fldCharType="begin"/>
      </w:r>
      <w:r>
        <w:rPr>
          <w:rStyle w:val="CaptionLabel"/>
        </w:rPr>
        <w:instrText xml:space="preserve"> STYLEREF 9 \s </w:instrText>
      </w:r>
      <w:r>
        <w:rPr>
          <w:rStyle w:val="CaptionLabel"/>
        </w:rPr>
        <w:fldChar w:fldCharType="separate"/>
      </w:r>
      <w:r>
        <w:rPr>
          <w:rStyle w:val="CaptionLabel"/>
          <w:noProof/>
        </w:rPr>
        <w:t>D</w:t>
      </w:r>
      <w:r>
        <w:rPr>
          <w:rStyle w:val="CaptionLabel"/>
        </w:rPr>
        <w:fldChar w:fldCharType="end"/>
      </w:r>
      <w:r>
        <w:rPr>
          <w:rStyle w:val="CaptionLabel"/>
        </w:rPr>
        <w:t>.</w:t>
      </w:r>
      <w:r>
        <w:rPr>
          <w:rStyle w:val="CaptionLabel"/>
        </w:rPr>
        <w:fldChar w:fldCharType="begin"/>
      </w:r>
      <w:r>
        <w:rPr>
          <w:rStyle w:val="CaptionLabel"/>
        </w:rPr>
        <w:instrText xml:space="preserve"> SEQ Figure_AP \* ARABIC \s 9 </w:instrText>
      </w:r>
      <w:r>
        <w:rPr>
          <w:rStyle w:val="CaptionLabel"/>
        </w:rPr>
        <w:fldChar w:fldCharType="separate"/>
      </w:r>
      <w:r>
        <w:rPr>
          <w:rStyle w:val="CaptionLabel"/>
          <w:noProof/>
        </w:rPr>
        <w:t>3</w:t>
      </w:r>
      <w:r>
        <w:rPr>
          <w:rStyle w:val="CaptionLabel"/>
        </w:rPr>
        <w:fldChar w:fldCharType="end"/>
      </w:r>
      <w:bookmarkEnd w:id="696"/>
      <w:r w:rsidRPr="00CE1D7F">
        <w:tab/>
        <w:t xml:space="preserve">Funding data on the number of </w:t>
      </w:r>
      <w:r>
        <w:t>organisation participations</w:t>
      </w:r>
      <w:r w:rsidRPr="00CE1D7F">
        <w:t xml:space="preserve"> and contribution amount by organisation type and by Discovery and Linkage Programs</w:t>
      </w:r>
    </w:p>
    <w:tbl>
      <w:tblPr>
        <w:tblW w:w="0" w:type="auto"/>
        <w:tblInd w:w="-851" w:type="dxa"/>
        <w:tblLayout w:type="fixed"/>
        <w:tblLook w:val="0000" w:firstRow="0" w:lastRow="0" w:firstColumn="0" w:lastColumn="0" w:noHBand="0" w:noVBand="0"/>
      </w:tblPr>
      <w:tblGrid>
        <w:gridCol w:w="8787"/>
      </w:tblGrid>
      <w:tr w:rsidR="002B32A0" w:rsidRPr="00CE1D7F" w14:paraId="59DAF967" w14:textId="77777777" w:rsidTr="00D12C99">
        <w:tc>
          <w:tcPr>
            <w:tcW w:w="8787" w:type="dxa"/>
            <w:tcBorders>
              <w:top w:val="single" w:sz="4" w:space="0" w:color="000100"/>
            </w:tcBorders>
            <w:shd w:val="clear" w:color="auto" w:fill="auto"/>
          </w:tcPr>
          <w:p w14:paraId="49E463F1" w14:textId="77777777" w:rsidR="002B32A0" w:rsidRPr="00CE1D7F" w:rsidRDefault="002B32A0" w:rsidP="006258ED">
            <w:pPr>
              <w:pStyle w:val="Figure"/>
              <w:jc w:val="center"/>
              <w:rPr>
                <w:b/>
                <w:bCs/>
                <w:i/>
                <w:iCs/>
                <w:noProof/>
                <w:sz w:val="20"/>
                <w:szCs w:val="28"/>
              </w:rPr>
            </w:pPr>
            <w:r w:rsidRPr="00CE1D7F">
              <w:rPr>
                <w:b/>
                <w:bCs/>
                <w:i/>
                <w:iCs/>
                <w:sz w:val="20"/>
                <w:szCs w:val="28"/>
              </w:rPr>
              <w:t xml:space="preserve">Number of </w:t>
            </w:r>
            <w:r>
              <w:rPr>
                <w:b/>
                <w:bCs/>
                <w:i/>
                <w:iCs/>
                <w:sz w:val="20"/>
                <w:szCs w:val="28"/>
              </w:rPr>
              <w:t>organisations</w:t>
            </w:r>
          </w:p>
        </w:tc>
      </w:tr>
      <w:tr w:rsidR="002B32A0" w:rsidRPr="00CE1D7F" w14:paraId="27C45B52" w14:textId="77777777" w:rsidTr="00D12C99">
        <w:tc>
          <w:tcPr>
            <w:tcW w:w="8787" w:type="dxa"/>
            <w:tcBorders>
              <w:top w:val="single" w:sz="4" w:space="0" w:color="000100"/>
            </w:tcBorders>
            <w:shd w:val="clear" w:color="auto" w:fill="auto"/>
          </w:tcPr>
          <w:p w14:paraId="409ED0FD" w14:textId="77777777" w:rsidR="002B32A0" w:rsidRPr="00CE1D7F" w:rsidRDefault="002B32A0" w:rsidP="006258ED">
            <w:pPr>
              <w:pStyle w:val="Figure"/>
              <w:jc w:val="center"/>
              <w:rPr>
                <w:noProof/>
              </w:rPr>
            </w:pPr>
            <w:r>
              <w:rPr>
                <w:noProof/>
              </w:rPr>
              <w:drawing>
                <wp:inline distT="0" distB="0" distL="0" distR="0" wp14:anchorId="2F7C23A1" wp14:editId="5EF62ABB">
                  <wp:extent cx="5170170" cy="4438015"/>
                  <wp:effectExtent l="0" t="0" r="0" b="635"/>
                  <wp:docPr id="106" name="Picture 106" descr="Funding data on the number of organisation participations y organisation type and by Discovery and Linkage Progr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Funding data on the number of organisation participations y organisation type and by Discovery and Linkage Programs"/>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170170" cy="4438015"/>
                          </a:xfrm>
                          <a:prstGeom prst="rect">
                            <a:avLst/>
                          </a:prstGeom>
                          <a:noFill/>
                        </pic:spPr>
                      </pic:pic>
                    </a:graphicData>
                  </a:graphic>
                </wp:inline>
              </w:drawing>
            </w:r>
          </w:p>
        </w:tc>
      </w:tr>
      <w:tr w:rsidR="002B32A0" w:rsidRPr="00CE1D7F" w14:paraId="3ED6D595" w14:textId="77777777" w:rsidTr="00D12C99">
        <w:tc>
          <w:tcPr>
            <w:tcW w:w="8787" w:type="dxa"/>
            <w:tcBorders>
              <w:top w:val="single" w:sz="4" w:space="0" w:color="000100"/>
            </w:tcBorders>
            <w:shd w:val="clear" w:color="auto" w:fill="auto"/>
          </w:tcPr>
          <w:p w14:paraId="32F0115C" w14:textId="77777777" w:rsidR="002B32A0" w:rsidRPr="00CE1D7F" w:rsidRDefault="002B32A0" w:rsidP="006258ED">
            <w:pPr>
              <w:pStyle w:val="Figure"/>
              <w:jc w:val="center"/>
              <w:rPr>
                <w:b/>
                <w:bCs/>
                <w:i/>
                <w:iCs/>
                <w:noProof/>
                <w:sz w:val="20"/>
                <w:szCs w:val="28"/>
              </w:rPr>
            </w:pPr>
            <w:r w:rsidRPr="00CE1D7F">
              <w:rPr>
                <w:b/>
                <w:bCs/>
                <w:i/>
                <w:iCs/>
                <w:sz w:val="20"/>
                <w:szCs w:val="28"/>
              </w:rPr>
              <w:t>Contribution amount (cash and in-kind)</w:t>
            </w:r>
          </w:p>
        </w:tc>
      </w:tr>
      <w:tr w:rsidR="002B32A0" w:rsidRPr="00CE1D7F" w14:paraId="0AC3E6B8" w14:textId="77777777" w:rsidTr="00D12C99">
        <w:tc>
          <w:tcPr>
            <w:tcW w:w="8787" w:type="dxa"/>
            <w:tcBorders>
              <w:top w:val="single" w:sz="4" w:space="0" w:color="000100"/>
            </w:tcBorders>
            <w:shd w:val="clear" w:color="auto" w:fill="auto"/>
          </w:tcPr>
          <w:p w14:paraId="52CC82D4" w14:textId="77777777" w:rsidR="002B32A0" w:rsidRPr="00CE1D7F" w:rsidRDefault="002B32A0" w:rsidP="006258ED">
            <w:pPr>
              <w:pStyle w:val="Figure"/>
              <w:jc w:val="center"/>
              <w:rPr>
                <w:noProof/>
              </w:rPr>
            </w:pPr>
            <w:r w:rsidRPr="00CE1D7F">
              <w:rPr>
                <w:noProof/>
              </w:rPr>
              <w:drawing>
                <wp:inline distT="0" distB="0" distL="0" distR="0" wp14:anchorId="7EBF2306" wp14:editId="4F564AC4">
                  <wp:extent cx="4593772" cy="2886289"/>
                  <wp:effectExtent l="0" t="0" r="0" b="9525"/>
                  <wp:docPr id="524" name="Picture 524" descr="Funding data on the contribution amount by organisation type and by Discovery and Linkage Progr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Picture 524" descr="Funding data on the contribution amount by organisation type and by Discovery and Linkage Programs"/>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4598735" cy="2889407"/>
                          </a:xfrm>
                          <a:prstGeom prst="rect">
                            <a:avLst/>
                          </a:prstGeom>
                          <a:noFill/>
                        </pic:spPr>
                      </pic:pic>
                    </a:graphicData>
                  </a:graphic>
                </wp:inline>
              </w:drawing>
            </w:r>
          </w:p>
        </w:tc>
      </w:tr>
      <w:tr w:rsidR="002B32A0" w:rsidRPr="00CE1D7F" w14:paraId="119419C2" w14:textId="77777777" w:rsidTr="00D12C99">
        <w:tblPrEx>
          <w:tblCellMar>
            <w:left w:w="0" w:type="dxa"/>
            <w:right w:w="0" w:type="dxa"/>
          </w:tblCellMar>
        </w:tblPrEx>
        <w:trPr>
          <w:trHeight w:val="135"/>
        </w:trPr>
        <w:tc>
          <w:tcPr>
            <w:tcW w:w="8787" w:type="dxa"/>
            <w:tcBorders>
              <w:bottom w:val="single" w:sz="4" w:space="0" w:color="000100"/>
            </w:tcBorders>
            <w:shd w:val="clear" w:color="auto" w:fill="auto"/>
            <w:tcMar>
              <w:top w:w="12" w:type="dxa"/>
              <w:bottom w:w="113" w:type="dxa"/>
            </w:tcMar>
          </w:tcPr>
          <w:p w14:paraId="1876E34F" w14:textId="77777777" w:rsidR="002B32A0" w:rsidRPr="00CE1D7F" w:rsidRDefault="002B32A0" w:rsidP="006258ED">
            <w:pPr>
              <w:pStyle w:val="Source"/>
              <w:rPr>
                <w:i w:val="0"/>
                <w:iCs/>
              </w:rPr>
            </w:pPr>
            <w:r w:rsidRPr="00CE1D7F">
              <w:rPr>
                <w:i w:val="0"/>
                <w:iCs/>
              </w:rPr>
              <w:t>N=29,303 projects</w:t>
            </w:r>
          </w:p>
          <w:p w14:paraId="23FB0599" w14:textId="77777777" w:rsidR="002B32A0" w:rsidRPr="00CE1D7F" w:rsidRDefault="002B32A0" w:rsidP="006258ED">
            <w:pPr>
              <w:pStyle w:val="Source"/>
              <w:rPr>
                <w:i w:val="0"/>
                <w:iCs/>
              </w:rPr>
            </w:pPr>
            <w:r w:rsidRPr="00CE1D7F">
              <w:rPr>
                <w:i w:val="0"/>
                <w:iCs/>
              </w:rPr>
              <w:t xml:space="preserve">CE11 data is not available. For DE, FL (except FL10) and FT only cash contributions (no in-kind) can be entered into the application form for Administering Organisations, therefore, in-kind funding </w:t>
            </w:r>
            <w:r>
              <w:rPr>
                <w:i w:val="0"/>
                <w:iCs/>
              </w:rPr>
              <w:t xml:space="preserve">is </w:t>
            </w:r>
            <w:r w:rsidRPr="00CE1D7F">
              <w:rPr>
                <w:i w:val="0"/>
                <w:iCs/>
              </w:rPr>
              <w:t>not recorded for these schemes.</w:t>
            </w:r>
          </w:p>
          <w:p w14:paraId="70128563" w14:textId="77777777" w:rsidR="002B32A0" w:rsidRPr="00CE1D7F" w:rsidRDefault="002B32A0" w:rsidP="006258ED">
            <w:pPr>
              <w:pStyle w:val="Source"/>
            </w:pPr>
            <w:r w:rsidRPr="00CE1D7F">
              <w:t>Source: ACIL Allen’s analysis of ARC funding data for grants awarded between 2002 and 2021.</w:t>
            </w:r>
          </w:p>
        </w:tc>
      </w:tr>
      <w:tr w:rsidR="002B32A0" w:rsidRPr="00CE1D7F" w14:paraId="78EB0234" w14:textId="77777777" w:rsidTr="00D12C99">
        <w:tblPrEx>
          <w:tblCellMar>
            <w:left w:w="0" w:type="dxa"/>
            <w:right w:w="0" w:type="dxa"/>
          </w:tblCellMar>
        </w:tblPrEx>
        <w:trPr>
          <w:trHeight w:hRule="exact" w:val="160"/>
        </w:trPr>
        <w:tc>
          <w:tcPr>
            <w:tcW w:w="8787" w:type="dxa"/>
            <w:tcBorders>
              <w:top w:val="single" w:sz="4" w:space="0" w:color="000100"/>
            </w:tcBorders>
            <w:shd w:val="clear" w:color="auto" w:fill="auto"/>
            <w:tcMar>
              <w:top w:w="0" w:type="dxa"/>
              <w:bottom w:w="40" w:type="dxa"/>
            </w:tcMar>
          </w:tcPr>
          <w:p w14:paraId="79ACE570" w14:textId="77777777" w:rsidR="002B32A0" w:rsidRPr="00CE1D7F" w:rsidRDefault="002B32A0" w:rsidP="006258ED">
            <w:pPr>
              <w:pStyle w:val="spacer"/>
            </w:pPr>
          </w:p>
        </w:tc>
      </w:tr>
    </w:tbl>
    <w:p w14:paraId="6AC0834B" w14:textId="77777777" w:rsidR="002B32A0" w:rsidRPr="00CE1D7F" w:rsidRDefault="002B32A0" w:rsidP="002B32A0">
      <w:pPr>
        <w:pStyle w:val="Heading3AP"/>
      </w:pPr>
      <w:r w:rsidRPr="00CE1D7F">
        <w:t xml:space="preserve">Impact analysis </w:t>
      </w:r>
    </w:p>
    <w:p w14:paraId="7679BE91" w14:textId="03B8B47F" w:rsidR="002B32A0" w:rsidRPr="00CE1D7F" w:rsidRDefault="002B32A0" w:rsidP="002B32A0">
      <w:pPr>
        <w:pStyle w:val="BodyText"/>
      </w:pPr>
      <w:r w:rsidRPr="00F87D0E">
        <w:fldChar w:fldCharType="begin"/>
      </w:r>
      <w:r w:rsidRPr="00F87D0E">
        <w:instrText xml:space="preserve"> REF _Ref129355755 \h  \* MERGEFORMAT </w:instrText>
      </w:r>
      <w:r w:rsidRPr="00F87D0E">
        <w:fldChar w:fldCharType="separate"/>
      </w:r>
      <w:r w:rsidR="000B0AC7" w:rsidRPr="000B0AC7">
        <w:t>Figure D.4</w:t>
      </w:r>
      <w:r w:rsidRPr="00F87D0E">
        <w:fldChar w:fldCharType="end"/>
      </w:r>
      <w:r w:rsidRPr="00CE1D7F">
        <w:t xml:space="preserve"> shows the broad economic benefits reported by Discovery and Linkage Programs. Increased research capacity was most likely to be delivered, followed by economic, and then social benefits. </w:t>
      </w:r>
    </w:p>
    <w:p w14:paraId="0E5427AD" w14:textId="78D1E705" w:rsidR="000B0AC7" w:rsidRPr="00CE1D7F" w:rsidRDefault="000B0AC7" w:rsidP="000B0AC7">
      <w:pPr>
        <w:pStyle w:val="Caption"/>
        <w:ind w:left="1308" w:hanging="1308"/>
      </w:pPr>
      <w:bookmarkStart w:id="697" w:name="_Ref129355755"/>
      <w:r w:rsidRPr="00CE1D7F">
        <w:rPr>
          <w:rStyle w:val="CaptionLabel"/>
        </w:rPr>
        <w:t>Figure </w:t>
      </w:r>
      <w:r>
        <w:rPr>
          <w:rStyle w:val="CaptionLabel"/>
        </w:rPr>
        <w:fldChar w:fldCharType="begin"/>
      </w:r>
      <w:r>
        <w:rPr>
          <w:rStyle w:val="CaptionLabel"/>
        </w:rPr>
        <w:instrText xml:space="preserve"> STYLEREF 9 \s </w:instrText>
      </w:r>
      <w:r>
        <w:rPr>
          <w:rStyle w:val="CaptionLabel"/>
        </w:rPr>
        <w:fldChar w:fldCharType="separate"/>
      </w:r>
      <w:r>
        <w:rPr>
          <w:rStyle w:val="CaptionLabel"/>
          <w:noProof/>
        </w:rPr>
        <w:t>D</w:t>
      </w:r>
      <w:r>
        <w:rPr>
          <w:rStyle w:val="CaptionLabel"/>
        </w:rPr>
        <w:fldChar w:fldCharType="end"/>
      </w:r>
      <w:r>
        <w:rPr>
          <w:rStyle w:val="CaptionLabel"/>
        </w:rPr>
        <w:t>.</w:t>
      </w:r>
      <w:r>
        <w:rPr>
          <w:rStyle w:val="CaptionLabel"/>
        </w:rPr>
        <w:fldChar w:fldCharType="begin"/>
      </w:r>
      <w:r>
        <w:rPr>
          <w:rStyle w:val="CaptionLabel"/>
        </w:rPr>
        <w:instrText xml:space="preserve"> SEQ Figure_AP \* ARABIC \s 9 </w:instrText>
      </w:r>
      <w:r>
        <w:rPr>
          <w:rStyle w:val="CaptionLabel"/>
        </w:rPr>
        <w:fldChar w:fldCharType="separate"/>
      </w:r>
      <w:r>
        <w:rPr>
          <w:rStyle w:val="CaptionLabel"/>
          <w:noProof/>
        </w:rPr>
        <w:t>4</w:t>
      </w:r>
      <w:r>
        <w:rPr>
          <w:rStyle w:val="CaptionLabel"/>
        </w:rPr>
        <w:fldChar w:fldCharType="end"/>
      </w:r>
      <w:bookmarkEnd w:id="697"/>
      <w:r w:rsidRPr="00CE1D7F">
        <w:tab/>
        <w:t>Final report data on broad benefits by Discovery and Linkage Programs</w:t>
      </w:r>
    </w:p>
    <w:tbl>
      <w:tblPr>
        <w:tblW w:w="0" w:type="auto"/>
        <w:tblLayout w:type="fixed"/>
        <w:tblLook w:val="0000" w:firstRow="0" w:lastRow="0" w:firstColumn="0" w:lastColumn="0" w:noHBand="0" w:noVBand="0"/>
      </w:tblPr>
      <w:tblGrid>
        <w:gridCol w:w="7936"/>
      </w:tblGrid>
      <w:tr w:rsidR="002B32A0" w:rsidRPr="00CE1D7F" w14:paraId="3B3C319F" w14:textId="77777777" w:rsidTr="006258ED">
        <w:tc>
          <w:tcPr>
            <w:tcW w:w="7936" w:type="dxa"/>
            <w:tcBorders>
              <w:top w:val="single" w:sz="4" w:space="0" w:color="000100"/>
            </w:tcBorders>
            <w:shd w:val="clear" w:color="auto" w:fill="auto"/>
          </w:tcPr>
          <w:p w14:paraId="104B7E62" w14:textId="77777777" w:rsidR="002B32A0" w:rsidRPr="00CE1D7F" w:rsidRDefault="002B32A0" w:rsidP="006258ED">
            <w:pPr>
              <w:pStyle w:val="Figure"/>
            </w:pPr>
            <w:r w:rsidRPr="00CE1D7F">
              <w:rPr>
                <w:noProof/>
              </w:rPr>
              <w:drawing>
                <wp:inline distT="0" distB="0" distL="0" distR="0" wp14:anchorId="3A3BCCB2" wp14:editId="118496E2">
                  <wp:extent cx="5029835" cy="2139950"/>
                  <wp:effectExtent l="0" t="0" r="0" b="0"/>
                  <wp:docPr id="85" name="Picture 85" descr="Final report data on broad benefits by Discovery and Linkage Progr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Final report data on broad benefits by Discovery and Linkage Programs"/>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5029835" cy="2139950"/>
                          </a:xfrm>
                          <a:prstGeom prst="rect">
                            <a:avLst/>
                          </a:prstGeom>
                          <a:noFill/>
                        </pic:spPr>
                      </pic:pic>
                    </a:graphicData>
                  </a:graphic>
                </wp:inline>
              </w:drawing>
            </w:r>
          </w:p>
        </w:tc>
      </w:tr>
      <w:tr w:rsidR="002B32A0" w:rsidRPr="00CE1D7F" w14:paraId="41E9601B" w14:textId="77777777" w:rsidTr="006258ED">
        <w:tblPrEx>
          <w:tblCellMar>
            <w:left w:w="0" w:type="dxa"/>
            <w:right w:w="0" w:type="dxa"/>
          </w:tblCellMar>
        </w:tblPrEx>
        <w:trPr>
          <w:trHeight w:val="135"/>
        </w:trPr>
        <w:tc>
          <w:tcPr>
            <w:tcW w:w="7936" w:type="dxa"/>
            <w:tcBorders>
              <w:bottom w:val="single" w:sz="4" w:space="0" w:color="000100"/>
            </w:tcBorders>
            <w:shd w:val="clear" w:color="auto" w:fill="auto"/>
            <w:tcMar>
              <w:top w:w="12" w:type="dxa"/>
              <w:bottom w:w="113" w:type="dxa"/>
            </w:tcMar>
          </w:tcPr>
          <w:p w14:paraId="0F486733" w14:textId="77777777" w:rsidR="002B32A0" w:rsidRPr="00CE1D7F" w:rsidRDefault="002B32A0" w:rsidP="006258ED">
            <w:pPr>
              <w:pStyle w:val="Source"/>
              <w:rPr>
                <w:i w:val="0"/>
                <w:iCs/>
              </w:rPr>
            </w:pPr>
            <w:r w:rsidRPr="00CE1D7F">
              <w:rPr>
                <w:i w:val="0"/>
                <w:iCs/>
              </w:rPr>
              <w:t>N=4,221 final reports</w:t>
            </w:r>
          </w:p>
          <w:p w14:paraId="67ABB91C" w14:textId="77777777" w:rsidR="002B32A0" w:rsidRPr="00CE1D7F" w:rsidRDefault="002B32A0" w:rsidP="006258ED">
            <w:pPr>
              <w:pStyle w:val="Source"/>
            </w:pPr>
            <w:r w:rsidRPr="00CE1D7F">
              <w:t>Source: ACIL Allen’s analysis of ARC Final Reports for grants awarded between 2002 and 2021 (with an ARC-approved Final Report by 30 June 2022).</w:t>
            </w:r>
          </w:p>
        </w:tc>
      </w:tr>
      <w:tr w:rsidR="002B32A0" w:rsidRPr="00CE1D7F" w14:paraId="1F5A77DB" w14:textId="77777777" w:rsidTr="006258ED">
        <w:tblPrEx>
          <w:tblCellMar>
            <w:left w:w="0" w:type="dxa"/>
            <w:right w:w="0" w:type="dxa"/>
          </w:tblCellMar>
        </w:tblPrEx>
        <w:trPr>
          <w:trHeight w:hRule="exact" w:val="160"/>
        </w:trPr>
        <w:tc>
          <w:tcPr>
            <w:tcW w:w="7936" w:type="dxa"/>
            <w:tcBorders>
              <w:top w:val="single" w:sz="4" w:space="0" w:color="000100"/>
            </w:tcBorders>
            <w:shd w:val="clear" w:color="auto" w:fill="auto"/>
            <w:tcMar>
              <w:top w:w="0" w:type="dxa"/>
              <w:bottom w:w="40" w:type="dxa"/>
            </w:tcMar>
          </w:tcPr>
          <w:p w14:paraId="3118CC18" w14:textId="77777777" w:rsidR="002B32A0" w:rsidRPr="00CE1D7F" w:rsidRDefault="002B32A0" w:rsidP="006258ED">
            <w:pPr>
              <w:pStyle w:val="spacer"/>
            </w:pPr>
          </w:p>
        </w:tc>
      </w:tr>
    </w:tbl>
    <w:p w14:paraId="6CB4DCCE" w14:textId="4039C8AE" w:rsidR="002B32A0" w:rsidRPr="00CE1D7F" w:rsidRDefault="002B32A0" w:rsidP="002B32A0">
      <w:pPr>
        <w:pStyle w:val="BodyText"/>
      </w:pPr>
      <w:r w:rsidRPr="00CE1D7F">
        <w:t>Researchers deliver economic impacts, such as increases in productivity, human capital build-up and employment (see</w:t>
      </w:r>
      <w:r>
        <w:t xml:space="preserve"> </w:t>
      </w:r>
      <w:r w:rsidRPr="00F87D0E">
        <w:fldChar w:fldCharType="begin"/>
      </w:r>
      <w:r w:rsidRPr="00F87D0E">
        <w:instrText xml:space="preserve"> REF _Ref131174550 \h  \* MERGEFORMAT </w:instrText>
      </w:r>
      <w:r w:rsidRPr="00F87D0E">
        <w:fldChar w:fldCharType="separate"/>
      </w:r>
      <w:r w:rsidR="000B0AC7" w:rsidRPr="000B0AC7">
        <w:t>Figure D.5</w:t>
      </w:r>
      <w:r w:rsidRPr="00F87D0E">
        <w:fldChar w:fldCharType="end"/>
      </w:r>
      <w:r w:rsidRPr="00CE1D7F">
        <w:t xml:space="preserve">). </w:t>
      </w:r>
    </w:p>
    <w:p w14:paraId="1C128FDA" w14:textId="17801D63" w:rsidR="000B0AC7" w:rsidRPr="00CE1D7F" w:rsidRDefault="000B0AC7" w:rsidP="000B0AC7">
      <w:pPr>
        <w:pStyle w:val="Caption"/>
        <w:ind w:left="1308" w:hanging="1308"/>
      </w:pPr>
      <w:bookmarkStart w:id="698" w:name="_Ref131174550"/>
      <w:r w:rsidRPr="00CE1D7F">
        <w:rPr>
          <w:rStyle w:val="CaptionLabel"/>
        </w:rPr>
        <w:t>Figure </w:t>
      </w:r>
      <w:r>
        <w:rPr>
          <w:rStyle w:val="CaptionLabel"/>
        </w:rPr>
        <w:fldChar w:fldCharType="begin"/>
      </w:r>
      <w:r>
        <w:rPr>
          <w:rStyle w:val="CaptionLabel"/>
        </w:rPr>
        <w:instrText xml:space="preserve"> STYLEREF 9 \s </w:instrText>
      </w:r>
      <w:r>
        <w:rPr>
          <w:rStyle w:val="CaptionLabel"/>
        </w:rPr>
        <w:fldChar w:fldCharType="separate"/>
      </w:r>
      <w:r>
        <w:rPr>
          <w:rStyle w:val="CaptionLabel"/>
          <w:noProof/>
        </w:rPr>
        <w:t>D</w:t>
      </w:r>
      <w:r>
        <w:rPr>
          <w:rStyle w:val="CaptionLabel"/>
        </w:rPr>
        <w:fldChar w:fldCharType="end"/>
      </w:r>
      <w:r>
        <w:rPr>
          <w:rStyle w:val="CaptionLabel"/>
        </w:rPr>
        <w:t>.</w:t>
      </w:r>
      <w:r>
        <w:rPr>
          <w:rStyle w:val="CaptionLabel"/>
        </w:rPr>
        <w:fldChar w:fldCharType="begin"/>
      </w:r>
      <w:r>
        <w:rPr>
          <w:rStyle w:val="CaptionLabel"/>
        </w:rPr>
        <w:instrText xml:space="preserve"> SEQ Figure_AP \* ARABIC \s 9 </w:instrText>
      </w:r>
      <w:r>
        <w:rPr>
          <w:rStyle w:val="CaptionLabel"/>
        </w:rPr>
        <w:fldChar w:fldCharType="separate"/>
      </w:r>
      <w:r>
        <w:rPr>
          <w:rStyle w:val="CaptionLabel"/>
          <w:noProof/>
        </w:rPr>
        <w:t>5</w:t>
      </w:r>
      <w:r>
        <w:rPr>
          <w:rStyle w:val="CaptionLabel"/>
        </w:rPr>
        <w:fldChar w:fldCharType="end"/>
      </w:r>
      <w:bookmarkEnd w:id="698"/>
      <w:r w:rsidRPr="00CE1D7F">
        <w:tab/>
        <w:t>Final report data on economic impacts by Discovery and Linkage Programs</w:t>
      </w:r>
    </w:p>
    <w:tbl>
      <w:tblPr>
        <w:tblW w:w="0" w:type="auto"/>
        <w:tblLayout w:type="fixed"/>
        <w:tblLook w:val="0000" w:firstRow="0" w:lastRow="0" w:firstColumn="0" w:lastColumn="0" w:noHBand="0" w:noVBand="0"/>
      </w:tblPr>
      <w:tblGrid>
        <w:gridCol w:w="7936"/>
      </w:tblGrid>
      <w:tr w:rsidR="002B32A0" w:rsidRPr="00CE1D7F" w14:paraId="1B1C9F94" w14:textId="77777777" w:rsidTr="006258ED">
        <w:tc>
          <w:tcPr>
            <w:tcW w:w="7936" w:type="dxa"/>
            <w:tcBorders>
              <w:top w:val="single" w:sz="4" w:space="0" w:color="000100"/>
            </w:tcBorders>
            <w:shd w:val="clear" w:color="auto" w:fill="auto"/>
          </w:tcPr>
          <w:p w14:paraId="51A51174" w14:textId="77777777" w:rsidR="002B32A0" w:rsidRPr="00CE1D7F" w:rsidRDefault="002B32A0" w:rsidP="006258ED">
            <w:pPr>
              <w:pStyle w:val="Figure"/>
              <w:rPr>
                <w:noProof/>
              </w:rPr>
            </w:pPr>
          </w:p>
          <w:p w14:paraId="449B7677" w14:textId="77777777" w:rsidR="002B32A0" w:rsidRPr="00CE1D7F" w:rsidRDefault="002B32A0" w:rsidP="006258ED">
            <w:pPr>
              <w:pStyle w:val="Figure"/>
              <w:rPr>
                <w:noProof/>
              </w:rPr>
            </w:pPr>
            <w:r w:rsidRPr="00CE1D7F">
              <w:rPr>
                <w:noProof/>
              </w:rPr>
              <w:drawing>
                <wp:inline distT="0" distB="0" distL="0" distR="0" wp14:anchorId="67E3AC8F" wp14:editId="14C461C5">
                  <wp:extent cx="4901565" cy="2133600"/>
                  <wp:effectExtent l="0" t="0" r="0" b="0"/>
                  <wp:docPr id="122" name="Picture 122" descr="Final report data on economic impacts by Discovery and Linkage Progr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descr="Final report data on economic impacts by Discovery and Linkage Programs"/>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4901565" cy="2133600"/>
                          </a:xfrm>
                          <a:prstGeom prst="rect">
                            <a:avLst/>
                          </a:prstGeom>
                          <a:noFill/>
                        </pic:spPr>
                      </pic:pic>
                    </a:graphicData>
                  </a:graphic>
                </wp:inline>
              </w:drawing>
            </w:r>
          </w:p>
        </w:tc>
      </w:tr>
      <w:tr w:rsidR="002B32A0" w:rsidRPr="00CE1D7F" w14:paraId="78696F08" w14:textId="77777777" w:rsidTr="006258ED">
        <w:tblPrEx>
          <w:tblCellMar>
            <w:left w:w="0" w:type="dxa"/>
            <w:right w:w="0" w:type="dxa"/>
          </w:tblCellMar>
        </w:tblPrEx>
        <w:trPr>
          <w:trHeight w:val="125"/>
        </w:trPr>
        <w:tc>
          <w:tcPr>
            <w:tcW w:w="7936" w:type="dxa"/>
            <w:tcBorders>
              <w:bottom w:val="single" w:sz="4" w:space="0" w:color="000100"/>
            </w:tcBorders>
            <w:shd w:val="clear" w:color="auto" w:fill="auto"/>
            <w:tcMar>
              <w:top w:w="12" w:type="dxa"/>
              <w:bottom w:w="113" w:type="dxa"/>
            </w:tcMar>
          </w:tcPr>
          <w:p w14:paraId="3422BD45" w14:textId="77777777" w:rsidR="002B32A0" w:rsidRPr="00CE1D7F" w:rsidRDefault="002B32A0" w:rsidP="006258ED">
            <w:pPr>
              <w:pStyle w:val="Source"/>
              <w:rPr>
                <w:i w:val="0"/>
                <w:iCs/>
              </w:rPr>
            </w:pPr>
            <w:r w:rsidRPr="00CE1D7F">
              <w:rPr>
                <w:i w:val="0"/>
                <w:iCs/>
              </w:rPr>
              <w:t>N=4,221 final reports</w:t>
            </w:r>
          </w:p>
          <w:p w14:paraId="33C3C500" w14:textId="77777777" w:rsidR="002B32A0" w:rsidRPr="00CE1D7F" w:rsidRDefault="002B32A0" w:rsidP="006258ED">
            <w:pPr>
              <w:pStyle w:val="Source"/>
            </w:pPr>
            <w:r w:rsidRPr="00CE1D7F">
              <w:t>Source: ACIL Allen’s analysis of ARC Final Reports for grants awarded between 2002 and 2021 (with an ARC-approved Final Report by 30 June 2022).</w:t>
            </w:r>
          </w:p>
        </w:tc>
      </w:tr>
      <w:tr w:rsidR="002B32A0" w:rsidRPr="00CE1D7F" w14:paraId="3D4A54B6" w14:textId="77777777" w:rsidTr="006258ED">
        <w:tblPrEx>
          <w:tblCellMar>
            <w:left w:w="0" w:type="dxa"/>
            <w:right w:w="0" w:type="dxa"/>
          </w:tblCellMar>
        </w:tblPrEx>
        <w:trPr>
          <w:trHeight w:hRule="exact" w:val="160"/>
        </w:trPr>
        <w:tc>
          <w:tcPr>
            <w:tcW w:w="7936" w:type="dxa"/>
            <w:tcBorders>
              <w:top w:val="single" w:sz="4" w:space="0" w:color="000100"/>
            </w:tcBorders>
            <w:shd w:val="clear" w:color="auto" w:fill="auto"/>
            <w:tcMar>
              <w:top w:w="0" w:type="dxa"/>
              <w:bottom w:w="40" w:type="dxa"/>
            </w:tcMar>
          </w:tcPr>
          <w:p w14:paraId="7FD58488" w14:textId="77777777" w:rsidR="002B32A0" w:rsidRPr="00CE1D7F" w:rsidRDefault="002B32A0" w:rsidP="006258ED">
            <w:pPr>
              <w:pStyle w:val="spacer"/>
            </w:pPr>
          </w:p>
        </w:tc>
      </w:tr>
    </w:tbl>
    <w:p w14:paraId="67A094F8" w14:textId="26E500A2" w:rsidR="002B32A0" w:rsidRPr="00CE1D7F" w:rsidRDefault="002B32A0" w:rsidP="002B32A0">
      <w:pPr>
        <w:pStyle w:val="BodyText"/>
      </w:pPr>
      <w:r w:rsidRPr="00CE1D7F">
        <w:t xml:space="preserve">Final report data provides more detail on the </w:t>
      </w:r>
      <w:r w:rsidR="006828D2">
        <w:t>numbers</w:t>
      </w:r>
      <w:r w:rsidR="00301525">
        <w:t xml:space="preserve"> of different </w:t>
      </w:r>
      <w:r w:rsidRPr="00CE1D7F">
        <w:t>types of commercial outcomes delivered by projects</w:t>
      </w:r>
      <w:r w:rsidR="00301525">
        <w:t xml:space="preserve"> </w:t>
      </w:r>
      <w:r w:rsidRPr="00CE1D7F">
        <w:t xml:space="preserve">(see </w:t>
      </w:r>
      <w:r w:rsidRPr="00F87D0E">
        <w:fldChar w:fldCharType="begin"/>
      </w:r>
      <w:r w:rsidRPr="00F87D0E">
        <w:instrText xml:space="preserve"> REF _Ref129355795 \h  \* MERGEFORMAT </w:instrText>
      </w:r>
      <w:r w:rsidRPr="00F87D0E">
        <w:fldChar w:fldCharType="separate"/>
      </w:r>
      <w:r w:rsidR="000B0AC7" w:rsidRPr="000B0AC7">
        <w:t>Figure D.6</w:t>
      </w:r>
      <w:r w:rsidRPr="00F87D0E">
        <w:fldChar w:fldCharType="end"/>
      </w:r>
      <w:r w:rsidRPr="00CE1D7F">
        <w:t xml:space="preserve">). </w:t>
      </w:r>
    </w:p>
    <w:p w14:paraId="6D384E95" w14:textId="01DC1AF3" w:rsidR="000B0AC7" w:rsidRPr="00CE1D7F" w:rsidRDefault="000B0AC7" w:rsidP="000B0AC7">
      <w:pPr>
        <w:pStyle w:val="Caption"/>
        <w:ind w:left="1308" w:hanging="1308"/>
      </w:pPr>
      <w:bookmarkStart w:id="699" w:name="_Ref129355795"/>
      <w:r w:rsidRPr="00CE1D7F">
        <w:rPr>
          <w:rStyle w:val="CaptionLabel"/>
        </w:rPr>
        <w:t>Figure </w:t>
      </w:r>
      <w:r>
        <w:rPr>
          <w:rStyle w:val="CaptionLabel"/>
        </w:rPr>
        <w:fldChar w:fldCharType="begin"/>
      </w:r>
      <w:r>
        <w:rPr>
          <w:rStyle w:val="CaptionLabel"/>
        </w:rPr>
        <w:instrText xml:space="preserve"> STYLEREF 9 \s </w:instrText>
      </w:r>
      <w:r>
        <w:rPr>
          <w:rStyle w:val="CaptionLabel"/>
        </w:rPr>
        <w:fldChar w:fldCharType="separate"/>
      </w:r>
      <w:r>
        <w:rPr>
          <w:rStyle w:val="CaptionLabel"/>
          <w:noProof/>
        </w:rPr>
        <w:t>D</w:t>
      </w:r>
      <w:r>
        <w:rPr>
          <w:rStyle w:val="CaptionLabel"/>
        </w:rPr>
        <w:fldChar w:fldCharType="end"/>
      </w:r>
      <w:r>
        <w:rPr>
          <w:rStyle w:val="CaptionLabel"/>
        </w:rPr>
        <w:t>.</w:t>
      </w:r>
      <w:r>
        <w:rPr>
          <w:rStyle w:val="CaptionLabel"/>
        </w:rPr>
        <w:fldChar w:fldCharType="begin"/>
      </w:r>
      <w:r>
        <w:rPr>
          <w:rStyle w:val="CaptionLabel"/>
        </w:rPr>
        <w:instrText xml:space="preserve"> SEQ Figure_AP \* ARABIC \s 9 </w:instrText>
      </w:r>
      <w:r>
        <w:rPr>
          <w:rStyle w:val="CaptionLabel"/>
        </w:rPr>
        <w:fldChar w:fldCharType="separate"/>
      </w:r>
      <w:r>
        <w:rPr>
          <w:rStyle w:val="CaptionLabel"/>
          <w:noProof/>
        </w:rPr>
        <w:t>6</w:t>
      </w:r>
      <w:r>
        <w:rPr>
          <w:rStyle w:val="CaptionLabel"/>
        </w:rPr>
        <w:fldChar w:fldCharType="end"/>
      </w:r>
      <w:bookmarkEnd w:id="699"/>
      <w:r w:rsidRPr="00CE1D7F">
        <w:tab/>
        <w:t xml:space="preserve">Final report data on commercial outcomes </w:t>
      </w:r>
    </w:p>
    <w:tbl>
      <w:tblPr>
        <w:tblW w:w="0" w:type="auto"/>
        <w:tblLayout w:type="fixed"/>
        <w:tblLook w:val="0000" w:firstRow="0" w:lastRow="0" w:firstColumn="0" w:lastColumn="0" w:noHBand="0" w:noVBand="0"/>
      </w:tblPr>
      <w:tblGrid>
        <w:gridCol w:w="7936"/>
      </w:tblGrid>
      <w:tr w:rsidR="002B32A0" w:rsidRPr="00CE1D7F" w14:paraId="1FE97AEC" w14:textId="77777777" w:rsidTr="006258ED">
        <w:trPr>
          <w:trHeight w:val="135"/>
        </w:trPr>
        <w:tc>
          <w:tcPr>
            <w:tcW w:w="7936" w:type="dxa"/>
            <w:tcBorders>
              <w:bottom w:val="single" w:sz="4" w:space="0" w:color="000100"/>
            </w:tcBorders>
            <w:shd w:val="clear" w:color="auto" w:fill="auto"/>
          </w:tcPr>
          <w:p w14:paraId="67B82ED4" w14:textId="77777777" w:rsidR="002B32A0" w:rsidRPr="00CE1D7F" w:rsidRDefault="002B32A0" w:rsidP="006258ED">
            <w:pPr>
              <w:pStyle w:val="Source"/>
            </w:pPr>
            <w:r>
              <w:rPr>
                <w:noProof/>
              </w:rPr>
              <w:drawing>
                <wp:inline distT="0" distB="0" distL="0" distR="0" wp14:anchorId="0E870D44" wp14:editId="6DC33C18">
                  <wp:extent cx="4889500" cy="2023745"/>
                  <wp:effectExtent l="0" t="0" r="6350" b="0"/>
                  <wp:docPr id="1121726516" name="Picture 2" descr="Final report data on commercial outcom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726516" name="Picture 2" descr="Final report data on commercial outcomes "/>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4889500" cy="2023745"/>
                          </a:xfrm>
                          <a:prstGeom prst="rect">
                            <a:avLst/>
                          </a:prstGeom>
                          <a:noFill/>
                        </pic:spPr>
                      </pic:pic>
                    </a:graphicData>
                  </a:graphic>
                </wp:inline>
              </w:drawing>
            </w:r>
          </w:p>
        </w:tc>
      </w:tr>
      <w:tr w:rsidR="002B32A0" w:rsidRPr="00CE1D7F" w14:paraId="35771C4C" w14:textId="77777777" w:rsidTr="006258ED">
        <w:tblPrEx>
          <w:tblCellMar>
            <w:left w:w="0" w:type="dxa"/>
            <w:right w:w="0" w:type="dxa"/>
          </w:tblCellMar>
        </w:tblPrEx>
        <w:trPr>
          <w:trHeight w:val="135"/>
        </w:trPr>
        <w:tc>
          <w:tcPr>
            <w:tcW w:w="7936" w:type="dxa"/>
            <w:tcBorders>
              <w:bottom w:val="single" w:sz="4" w:space="0" w:color="000100"/>
            </w:tcBorders>
            <w:shd w:val="clear" w:color="auto" w:fill="auto"/>
            <w:tcMar>
              <w:top w:w="12" w:type="dxa"/>
              <w:bottom w:w="113" w:type="dxa"/>
            </w:tcMar>
          </w:tcPr>
          <w:p w14:paraId="5B1D6588" w14:textId="77777777" w:rsidR="002B32A0" w:rsidRPr="00CE1D7F" w:rsidRDefault="002B32A0" w:rsidP="006258ED">
            <w:pPr>
              <w:pStyle w:val="Source"/>
              <w:rPr>
                <w:i w:val="0"/>
                <w:iCs/>
              </w:rPr>
            </w:pPr>
            <w:r w:rsidRPr="00CE1D7F">
              <w:rPr>
                <w:i w:val="0"/>
                <w:iCs/>
              </w:rPr>
              <w:t>N=</w:t>
            </w:r>
            <w:r>
              <w:rPr>
                <w:i w:val="0"/>
                <w:iCs/>
              </w:rPr>
              <w:t>22,352 (Discovery Program N=14,989 and Linkage Program N=7,363)</w:t>
            </w:r>
          </w:p>
          <w:p w14:paraId="11CCFC48" w14:textId="77777777" w:rsidR="002B32A0" w:rsidRDefault="002B32A0" w:rsidP="006258ED">
            <w:pPr>
              <w:pStyle w:val="Source"/>
              <w:rPr>
                <w:i w:val="0"/>
                <w:iCs/>
              </w:rPr>
            </w:pPr>
            <w:r w:rsidRPr="00CE1D7F">
              <w:rPr>
                <w:i w:val="0"/>
                <w:iCs/>
              </w:rPr>
              <w:t xml:space="preserve">No data for CE prior to CE11, SR prior SR11 or LA prior LA14. </w:t>
            </w:r>
          </w:p>
          <w:p w14:paraId="7FF722E1" w14:textId="3CCDC28B" w:rsidR="002B32A0" w:rsidRPr="00CE1D7F" w:rsidRDefault="005B31DC" w:rsidP="006258ED">
            <w:pPr>
              <w:pStyle w:val="Source"/>
              <w:rPr>
                <w:i w:val="0"/>
                <w:iCs/>
              </w:rPr>
            </w:pPr>
            <w:r w:rsidRPr="00CE1D7F">
              <w:rPr>
                <w:i w:val="0"/>
                <w:iCs/>
              </w:rPr>
              <w:t xml:space="preserve">The total numbers of start-up/spin-out companies include </w:t>
            </w:r>
            <w:r>
              <w:rPr>
                <w:i w:val="0"/>
                <w:iCs/>
              </w:rPr>
              <w:t>unique company</w:t>
            </w:r>
            <w:r w:rsidRPr="00CE1D7F">
              <w:rPr>
                <w:i w:val="0"/>
                <w:iCs/>
              </w:rPr>
              <w:t xml:space="preserve"> entries. The listed companies have not been checked to see if they were legitimate start-up/spin-out companies or if they are still in operation.</w:t>
            </w:r>
            <w:r w:rsidR="009F4A9B">
              <w:rPr>
                <w:i w:val="0"/>
                <w:iCs/>
              </w:rPr>
              <w:t xml:space="preserve"> </w:t>
            </w:r>
          </w:p>
          <w:p w14:paraId="470211F1" w14:textId="77777777" w:rsidR="002B32A0" w:rsidRPr="00CE1D7F" w:rsidRDefault="002B32A0" w:rsidP="006258ED">
            <w:pPr>
              <w:pStyle w:val="Source"/>
            </w:pPr>
            <w:r w:rsidRPr="00CE1D7F">
              <w:t>Source: ACIL Allen’s analysis of ARC Final Reports for grants awarded between 2002 and 2021 (with an ARC-approved Final Report by 30 June 2022).</w:t>
            </w:r>
          </w:p>
        </w:tc>
      </w:tr>
      <w:tr w:rsidR="002B32A0" w:rsidRPr="00CE1D7F" w14:paraId="5B254732" w14:textId="77777777" w:rsidTr="006258ED">
        <w:tblPrEx>
          <w:tblCellMar>
            <w:left w:w="0" w:type="dxa"/>
            <w:right w:w="0" w:type="dxa"/>
          </w:tblCellMar>
        </w:tblPrEx>
        <w:trPr>
          <w:trHeight w:hRule="exact" w:val="160"/>
        </w:trPr>
        <w:tc>
          <w:tcPr>
            <w:tcW w:w="7936" w:type="dxa"/>
            <w:tcBorders>
              <w:top w:val="single" w:sz="4" w:space="0" w:color="000100"/>
            </w:tcBorders>
            <w:shd w:val="clear" w:color="auto" w:fill="auto"/>
            <w:tcMar>
              <w:top w:w="0" w:type="dxa"/>
              <w:bottom w:w="40" w:type="dxa"/>
            </w:tcMar>
          </w:tcPr>
          <w:p w14:paraId="35856FF8" w14:textId="77777777" w:rsidR="002B32A0" w:rsidRPr="00CE1D7F" w:rsidRDefault="002B32A0" w:rsidP="006258ED">
            <w:pPr>
              <w:pStyle w:val="spacer"/>
            </w:pPr>
          </w:p>
        </w:tc>
      </w:tr>
    </w:tbl>
    <w:p w14:paraId="40293BA8" w14:textId="2CABDAEC" w:rsidR="002B32A0" w:rsidRPr="00CE1D7F" w:rsidRDefault="002B32A0" w:rsidP="002B32A0">
      <w:pPr>
        <w:pStyle w:val="BodyText"/>
      </w:pPr>
      <w:r w:rsidRPr="00CE1D7F">
        <w:t xml:space="preserve">The final report data in </w:t>
      </w:r>
      <w:r w:rsidRPr="00F87D0E">
        <w:fldChar w:fldCharType="begin"/>
      </w:r>
      <w:r w:rsidRPr="00F87D0E">
        <w:instrText xml:space="preserve"> REF _Ref129355831 \h  \* MERGEFORMAT </w:instrText>
      </w:r>
      <w:r w:rsidRPr="00F87D0E">
        <w:fldChar w:fldCharType="separate"/>
      </w:r>
      <w:r w:rsidR="000B0AC7" w:rsidRPr="000B0AC7">
        <w:t>Figure D.7</w:t>
      </w:r>
      <w:r w:rsidRPr="00F87D0E">
        <w:fldChar w:fldCharType="end"/>
      </w:r>
      <w:r w:rsidRPr="00CE1D7F">
        <w:t xml:space="preserve"> shows the total number of start-up/spin-out companies (left chart) and patents (right chart) </w:t>
      </w:r>
      <w:r>
        <w:t>across the projects that reported start-up/spin-out companies and patents</w:t>
      </w:r>
      <w:r w:rsidRPr="00CE1D7F">
        <w:t xml:space="preserve">. </w:t>
      </w:r>
      <w:r>
        <w:t>216 unique companies were formed from NCGP-funded projects</w:t>
      </w:r>
      <w:r w:rsidRPr="00CE1D7F">
        <w:t xml:space="preserve">. </w:t>
      </w:r>
      <w:r w:rsidRPr="00CE1D7F" w:rsidDel="00B23A07">
        <w:t xml:space="preserve"> </w:t>
      </w:r>
    </w:p>
    <w:p w14:paraId="08E2647E" w14:textId="77777777" w:rsidR="002B32A0" w:rsidRPr="00CE1D7F" w:rsidRDefault="002B32A0" w:rsidP="002B32A0">
      <w:pPr>
        <w:pStyle w:val="BodyText"/>
      </w:pPr>
      <w:r w:rsidRPr="00CE1D7F">
        <w:t>Discovery Program projects reported more patents filed and pending overall</w:t>
      </w:r>
      <w:r>
        <w:t xml:space="preserve"> compared to the Linkage Program</w:t>
      </w:r>
      <w:r w:rsidRPr="00CE1D7F">
        <w:t>, due to the large number of projects.</w:t>
      </w:r>
    </w:p>
    <w:p w14:paraId="4CD4D7D6" w14:textId="7616095D" w:rsidR="000B0AC7" w:rsidRPr="00CE1D7F" w:rsidRDefault="000B0AC7" w:rsidP="000B0AC7">
      <w:pPr>
        <w:pStyle w:val="Caption"/>
        <w:ind w:left="-1102" w:hanging="1308"/>
      </w:pPr>
      <w:bookmarkStart w:id="700" w:name="_Ref129355831"/>
      <w:r w:rsidRPr="00CE1D7F">
        <w:rPr>
          <w:rStyle w:val="CaptionLabel"/>
        </w:rPr>
        <w:t>Figure </w:t>
      </w:r>
      <w:r>
        <w:rPr>
          <w:rStyle w:val="CaptionLabel"/>
        </w:rPr>
        <w:fldChar w:fldCharType="begin"/>
      </w:r>
      <w:r>
        <w:rPr>
          <w:rStyle w:val="CaptionLabel"/>
        </w:rPr>
        <w:instrText xml:space="preserve"> STYLEREF 9 \s </w:instrText>
      </w:r>
      <w:r>
        <w:rPr>
          <w:rStyle w:val="CaptionLabel"/>
        </w:rPr>
        <w:fldChar w:fldCharType="separate"/>
      </w:r>
      <w:r>
        <w:rPr>
          <w:rStyle w:val="CaptionLabel"/>
          <w:noProof/>
        </w:rPr>
        <w:t>D</w:t>
      </w:r>
      <w:r>
        <w:rPr>
          <w:rStyle w:val="CaptionLabel"/>
        </w:rPr>
        <w:fldChar w:fldCharType="end"/>
      </w:r>
      <w:r>
        <w:rPr>
          <w:rStyle w:val="CaptionLabel"/>
        </w:rPr>
        <w:t>.</w:t>
      </w:r>
      <w:r>
        <w:rPr>
          <w:rStyle w:val="CaptionLabel"/>
        </w:rPr>
        <w:fldChar w:fldCharType="begin"/>
      </w:r>
      <w:r>
        <w:rPr>
          <w:rStyle w:val="CaptionLabel"/>
        </w:rPr>
        <w:instrText xml:space="preserve"> SEQ Figure_AP \* ARABIC \s 9 </w:instrText>
      </w:r>
      <w:r>
        <w:rPr>
          <w:rStyle w:val="CaptionLabel"/>
        </w:rPr>
        <w:fldChar w:fldCharType="separate"/>
      </w:r>
      <w:r>
        <w:rPr>
          <w:rStyle w:val="CaptionLabel"/>
          <w:noProof/>
        </w:rPr>
        <w:t>7</w:t>
      </w:r>
      <w:r>
        <w:rPr>
          <w:rStyle w:val="CaptionLabel"/>
        </w:rPr>
        <w:fldChar w:fldCharType="end"/>
      </w:r>
      <w:bookmarkEnd w:id="700"/>
      <w:r w:rsidRPr="00CE1D7F">
        <w:tab/>
        <w:t>Final report data on start-up/spin-out companies and status of patents by Discovery and Linkage Programs</w:t>
      </w:r>
    </w:p>
    <w:tbl>
      <w:tblPr>
        <w:tblW w:w="0" w:type="auto"/>
        <w:tblInd w:w="-2410" w:type="dxa"/>
        <w:tblLayout w:type="fixed"/>
        <w:tblLook w:val="0000" w:firstRow="0" w:lastRow="0" w:firstColumn="0" w:lastColumn="0" w:noHBand="0" w:noVBand="0"/>
      </w:tblPr>
      <w:tblGrid>
        <w:gridCol w:w="4537"/>
        <w:gridCol w:w="5809"/>
      </w:tblGrid>
      <w:tr w:rsidR="002B32A0" w:rsidRPr="00CE1D7F" w14:paraId="73BEA00C" w14:textId="77777777" w:rsidTr="006258ED">
        <w:tc>
          <w:tcPr>
            <w:tcW w:w="4537" w:type="dxa"/>
            <w:tcBorders>
              <w:top w:val="single" w:sz="4" w:space="0" w:color="000100"/>
            </w:tcBorders>
            <w:shd w:val="clear" w:color="auto" w:fill="auto"/>
          </w:tcPr>
          <w:p w14:paraId="0C5411FE" w14:textId="77777777" w:rsidR="002B32A0" w:rsidRPr="00CE1D7F" w:rsidRDefault="002B32A0" w:rsidP="006258ED">
            <w:pPr>
              <w:pStyle w:val="Figure"/>
              <w:jc w:val="center"/>
              <w:rPr>
                <w:b/>
                <w:bCs/>
                <w:i/>
                <w:iCs/>
                <w:noProof/>
                <w:sz w:val="20"/>
                <w:szCs w:val="28"/>
              </w:rPr>
            </w:pPr>
            <w:r w:rsidRPr="00CE1D7F">
              <w:rPr>
                <w:b/>
                <w:bCs/>
                <w:i/>
                <w:iCs/>
                <w:sz w:val="20"/>
                <w:szCs w:val="28"/>
              </w:rPr>
              <w:t>Start-up/spin-out companies</w:t>
            </w:r>
          </w:p>
        </w:tc>
        <w:tc>
          <w:tcPr>
            <w:tcW w:w="5809" w:type="dxa"/>
            <w:tcBorders>
              <w:top w:val="single" w:sz="4" w:space="0" w:color="000100"/>
            </w:tcBorders>
            <w:shd w:val="clear" w:color="auto" w:fill="auto"/>
          </w:tcPr>
          <w:p w14:paraId="1042F506" w14:textId="77777777" w:rsidR="002B32A0" w:rsidRPr="00CE1D7F" w:rsidRDefault="002B32A0" w:rsidP="006258ED">
            <w:pPr>
              <w:pStyle w:val="Figure"/>
              <w:jc w:val="center"/>
              <w:rPr>
                <w:b/>
                <w:bCs/>
                <w:i/>
                <w:iCs/>
                <w:noProof/>
                <w:sz w:val="20"/>
                <w:szCs w:val="28"/>
              </w:rPr>
            </w:pPr>
            <w:r w:rsidRPr="00CE1D7F">
              <w:rPr>
                <w:b/>
                <w:bCs/>
                <w:i/>
                <w:iCs/>
                <w:sz w:val="20"/>
                <w:szCs w:val="28"/>
              </w:rPr>
              <w:t>Patents</w:t>
            </w:r>
          </w:p>
        </w:tc>
      </w:tr>
      <w:tr w:rsidR="002B32A0" w:rsidRPr="00CE1D7F" w14:paraId="47ADCF4C" w14:textId="77777777" w:rsidTr="006258ED">
        <w:tc>
          <w:tcPr>
            <w:tcW w:w="4537" w:type="dxa"/>
            <w:tcBorders>
              <w:top w:val="single" w:sz="4" w:space="0" w:color="000100"/>
            </w:tcBorders>
            <w:shd w:val="clear" w:color="auto" w:fill="auto"/>
          </w:tcPr>
          <w:p w14:paraId="730EE764" w14:textId="77777777" w:rsidR="002B32A0" w:rsidRPr="00CE1D7F" w:rsidRDefault="002B32A0" w:rsidP="006258ED">
            <w:pPr>
              <w:pStyle w:val="Figure"/>
            </w:pPr>
            <w:r w:rsidRPr="00CE1D7F">
              <w:t xml:space="preserve"> </w:t>
            </w:r>
            <w:r>
              <w:rPr>
                <w:noProof/>
              </w:rPr>
              <w:drawing>
                <wp:inline distT="0" distB="0" distL="0" distR="0" wp14:anchorId="28D8D422" wp14:editId="42A71394">
                  <wp:extent cx="2743200" cy="1676400"/>
                  <wp:effectExtent l="0" t="0" r="0" b="0"/>
                  <wp:docPr id="1886419785" name="Picture 3" descr="Final report data on start-up/spin-out companies by Discovery and Linkage Progr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419785" name="Picture 3" descr="Final report data on start-up/spin-out companies by Discovery and Linkage Programs"/>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2743200" cy="1676400"/>
                          </a:xfrm>
                          <a:prstGeom prst="rect">
                            <a:avLst/>
                          </a:prstGeom>
                          <a:noFill/>
                        </pic:spPr>
                      </pic:pic>
                    </a:graphicData>
                  </a:graphic>
                </wp:inline>
              </w:drawing>
            </w:r>
          </w:p>
        </w:tc>
        <w:tc>
          <w:tcPr>
            <w:tcW w:w="5809" w:type="dxa"/>
            <w:tcBorders>
              <w:top w:val="single" w:sz="4" w:space="0" w:color="000100"/>
            </w:tcBorders>
            <w:shd w:val="clear" w:color="auto" w:fill="auto"/>
          </w:tcPr>
          <w:p w14:paraId="1DCFCB0F" w14:textId="77777777" w:rsidR="002B32A0" w:rsidRPr="00CE1D7F" w:rsidRDefault="002B32A0" w:rsidP="006258ED">
            <w:pPr>
              <w:pStyle w:val="Figure"/>
            </w:pPr>
            <w:r>
              <w:rPr>
                <w:noProof/>
              </w:rPr>
              <w:drawing>
                <wp:inline distT="0" distB="0" distL="0" distR="0" wp14:anchorId="6B3C5F02" wp14:editId="7B2C96BC">
                  <wp:extent cx="3554095" cy="1798320"/>
                  <wp:effectExtent l="0" t="0" r="8255" b="0"/>
                  <wp:docPr id="2087441954" name="Picture 5" descr="Final report data on status of patents by Discovery and Linkage Progr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441954" name="Picture 5" descr="Final report data on status of patents by Discovery and Linkage Programs"/>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3554095" cy="1798320"/>
                          </a:xfrm>
                          <a:prstGeom prst="rect">
                            <a:avLst/>
                          </a:prstGeom>
                          <a:noFill/>
                        </pic:spPr>
                      </pic:pic>
                    </a:graphicData>
                  </a:graphic>
                </wp:inline>
              </w:drawing>
            </w:r>
          </w:p>
        </w:tc>
      </w:tr>
      <w:tr w:rsidR="002B32A0" w:rsidRPr="00CE1D7F" w14:paraId="2EC696A2" w14:textId="77777777" w:rsidTr="006258ED">
        <w:tblPrEx>
          <w:tblCellMar>
            <w:left w:w="0" w:type="dxa"/>
            <w:right w:w="0" w:type="dxa"/>
          </w:tblCellMar>
        </w:tblPrEx>
        <w:trPr>
          <w:trHeight w:val="135"/>
        </w:trPr>
        <w:tc>
          <w:tcPr>
            <w:tcW w:w="10346" w:type="dxa"/>
            <w:gridSpan w:val="2"/>
            <w:tcBorders>
              <w:bottom w:val="single" w:sz="4" w:space="0" w:color="000100"/>
            </w:tcBorders>
            <w:shd w:val="clear" w:color="auto" w:fill="auto"/>
            <w:tcMar>
              <w:top w:w="12" w:type="dxa"/>
              <w:bottom w:w="113" w:type="dxa"/>
            </w:tcMar>
          </w:tcPr>
          <w:p w14:paraId="71F67012" w14:textId="77777777" w:rsidR="002B32A0" w:rsidRPr="00CE1D7F" w:rsidRDefault="002B32A0" w:rsidP="006258ED">
            <w:pPr>
              <w:pStyle w:val="Source"/>
              <w:rPr>
                <w:i w:val="0"/>
                <w:iCs/>
              </w:rPr>
            </w:pPr>
            <w:r w:rsidRPr="00CE1D7F">
              <w:rPr>
                <w:i w:val="0"/>
                <w:iCs/>
              </w:rPr>
              <w:t>N=240 final reports for start-up/spin-out companies and 1,274 final reports for patents.</w:t>
            </w:r>
            <w:r>
              <w:rPr>
                <w:i w:val="0"/>
                <w:iCs/>
              </w:rPr>
              <w:t xml:space="preserve"> This includes only projects that reported these outcomes.</w:t>
            </w:r>
          </w:p>
          <w:p w14:paraId="16365E19" w14:textId="77777777" w:rsidR="002B32A0" w:rsidRPr="00CE1D7F" w:rsidRDefault="002B32A0" w:rsidP="006258ED">
            <w:pPr>
              <w:pStyle w:val="Source"/>
              <w:rPr>
                <w:i w:val="0"/>
                <w:iCs/>
              </w:rPr>
            </w:pPr>
            <w:r w:rsidRPr="00CE1D7F">
              <w:rPr>
                <w:i w:val="0"/>
                <w:iCs/>
              </w:rPr>
              <w:t>No data for CE prior to CE11, SR prior SR11 or LA prior LA14. Other missing rounds indicate no commercial outputs or outcomes were recorded.</w:t>
            </w:r>
          </w:p>
          <w:p w14:paraId="3EC4ACCA" w14:textId="77777777" w:rsidR="002B32A0" w:rsidRPr="00CE1D7F" w:rsidRDefault="002B32A0" w:rsidP="006258ED">
            <w:pPr>
              <w:pStyle w:val="Source"/>
              <w:rPr>
                <w:i w:val="0"/>
                <w:iCs/>
              </w:rPr>
            </w:pPr>
            <w:r w:rsidRPr="00CE1D7F">
              <w:rPr>
                <w:i w:val="0"/>
                <w:iCs/>
              </w:rPr>
              <w:t xml:space="preserve">The total numbers of start-up/spin-out companies include </w:t>
            </w:r>
            <w:r>
              <w:rPr>
                <w:i w:val="0"/>
                <w:iCs/>
              </w:rPr>
              <w:t>unique company</w:t>
            </w:r>
            <w:r w:rsidRPr="00CE1D7F">
              <w:rPr>
                <w:i w:val="0"/>
                <w:iCs/>
              </w:rPr>
              <w:t xml:space="preserve"> entries. The listed companies have not been checked to see if they were legitimate start-up/spin-out companies or if they are still in operation. </w:t>
            </w:r>
          </w:p>
          <w:p w14:paraId="1A2594B5" w14:textId="77777777" w:rsidR="002B32A0" w:rsidRPr="00CE1D7F" w:rsidRDefault="002B32A0" w:rsidP="006258ED">
            <w:pPr>
              <w:pStyle w:val="Source"/>
            </w:pPr>
            <w:r w:rsidRPr="00CE1D7F">
              <w:t>Source: ACIL Allen’s analysis of ARC Final Reports for grants awarded between 2002 and 2021 (with an ARC-approved Final Report by 30 June 2022).</w:t>
            </w:r>
          </w:p>
        </w:tc>
      </w:tr>
      <w:tr w:rsidR="002B32A0" w:rsidRPr="00CE1D7F" w14:paraId="37398A13" w14:textId="77777777" w:rsidTr="006258ED">
        <w:tblPrEx>
          <w:tblCellMar>
            <w:left w:w="0" w:type="dxa"/>
            <w:right w:w="0" w:type="dxa"/>
          </w:tblCellMar>
        </w:tblPrEx>
        <w:trPr>
          <w:trHeight w:hRule="exact" w:val="160"/>
        </w:trPr>
        <w:tc>
          <w:tcPr>
            <w:tcW w:w="10346" w:type="dxa"/>
            <w:gridSpan w:val="2"/>
            <w:tcBorders>
              <w:top w:val="single" w:sz="4" w:space="0" w:color="000100"/>
            </w:tcBorders>
            <w:shd w:val="clear" w:color="auto" w:fill="auto"/>
            <w:tcMar>
              <w:top w:w="0" w:type="dxa"/>
              <w:bottom w:w="40" w:type="dxa"/>
            </w:tcMar>
          </w:tcPr>
          <w:p w14:paraId="138D8525" w14:textId="77777777" w:rsidR="002B32A0" w:rsidRPr="00CE1D7F" w:rsidRDefault="002B32A0" w:rsidP="006258ED">
            <w:pPr>
              <w:pStyle w:val="spacer"/>
            </w:pPr>
          </w:p>
        </w:tc>
      </w:tr>
    </w:tbl>
    <w:p w14:paraId="3572C622" w14:textId="77777777" w:rsidR="002B32A0" w:rsidRPr="00CE1D7F" w:rsidRDefault="002B32A0" w:rsidP="002B32A0">
      <w:pPr>
        <w:pStyle w:val="Heading4AP"/>
      </w:pPr>
      <w:r w:rsidRPr="00CE1D7F">
        <w:t xml:space="preserve">Collaboration analysis </w:t>
      </w:r>
    </w:p>
    <w:p w14:paraId="0F27C7EB" w14:textId="7D650958" w:rsidR="002B32A0" w:rsidRPr="00CE1D7F" w:rsidRDefault="002B32A0" w:rsidP="002B32A0">
      <w:pPr>
        <w:pStyle w:val="BodyText"/>
        <w:keepNext/>
      </w:pPr>
      <w:r w:rsidRPr="00CE1D7F">
        <w:t xml:space="preserve">For each scheme, </w:t>
      </w:r>
      <w:r w:rsidRPr="00F87D0E">
        <w:fldChar w:fldCharType="begin"/>
      </w:r>
      <w:r w:rsidRPr="00F87D0E">
        <w:instrText xml:space="preserve"> REF _Ref129349901 \h  \* MERGEFORMAT </w:instrText>
      </w:r>
      <w:r w:rsidRPr="00F87D0E">
        <w:fldChar w:fldCharType="separate"/>
      </w:r>
      <w:r w:rsidR="000B0AC7" w:rsidRPr="000B0AC7">
        <w:t>Figure D.8</w:t>
      </w:r>
      <w:r w:rsidRPr="00F87D0E">
        <w:fldChar w:fldCharType="end"/>
      </w:r>
      <w:r w:rsidRPr="00CE1D7F">
        <w:t xml:space="preserve"> shows that most participating organisations considered the schemes to be very beneficial or beneficial. </w:t>
      </w:r>
    </w:p>
    <w:p w14:paraId="7DC1BA0D" w14:textId="6AE14FC0" w:rsidR="000B0AC7" w:rsidRPr="00CE1D7F" w:rsidRDefault="000B0AC7" w:rsidP="000B0AC7">
      <w:pPr>
        <w:pStyle w:val="Caption"/>
        <w:ind w:left="1308" w:hanging="1308"/>
      </w:pPr>
      <w:bookmarkStart w:id="701" w:name="_Ref129349901"/>
      <w:bookmarkStart w:id="702" w:name="_Ref129349892"/>
      <w:r w:rsidRPr="00CE1D7F">
        <w:rPr>
          <w:rStyle w:val="CaptionLabel"/>
        </w:rPr>
        <w:t>Figure </w:t>
      </w:r>
      <w:r>
        <w:rPr>
          <w:rStyle w:val="CaptionLabel"/>
        </w:rPr>
        <w:fldChar w:fldCharType="begin"/>
      </w:r>
      <w:r>
        <w:rPr>
          <w:rStyle w:val="CaptionLabel"/>
        </w:rPr>
        <w:instrText xml:space="preserve"> STYLEREF 9 \s </w:instrText>
      </w:r>
      <w:r>
        <w:rPr>
          <w:rStyle w:val="CaptionLabel"/>
        </w:rPr>
        <w:fldChar w:fldCharType="separate"/>
      </w:r>
      <w:r>
        <w:rPr>
          <w:rStyle w:val="CaptionLabel"/>
          <w:noProof/>
        </w:rPr>
        <w:t>D</w:t>
      </w:r>
      <w:r>
        <w:rPr>
          <w:rStyle w:val="CaptionLabel"/>
        </w:rPr>
        <w:fldChar w:fldCharType="end"/>
      </w:r>
      <w:r>
        <w:rPr>
          <w:rStyle w:val="CaptionLabel"/>
        </w:rPr>
        <w:t>.</w:t>
      </w:r>
      <w:r>
        <w:rPr>
          <w:rStyle w:val="CaptionLabel"/>
        </w:rPr>
        <w:fldChar w:fldCharType="begin"/>
      </w:r>
      <w:r>
        <w:rPr>
          <w:rStyle w:val="CaptionLabel"/>
        </w:rPr>
        <w:instrText xml:space="preserve"> SEQ Figure_AP \* ARABIC \s 9 </w:instrText>
      </w:r>
      <w:r>
        <w:rPr>
          <w:rStyle w:val="CaptionLabel"/>
        </w:rPr>
        <w:fldChar w:fldCharType="separate"/>
      </w:r>
      <w:r>
        <w:rPr>
          <w:rStyle w:val="CaptionLabel"/>
          <w:noProof/>
        </w:rPr>
        <w:t>8</w:t>
      </w:r>
      <w:r>
        <w:rPr>
          <w:rStyle w:val="CaptionLabel"/>
        </w:rPr>
        <w:fldChar w:fldCharType="end"/>
      </w:r>
      <w:bookmarkEnd w:id="701"/>
      <w:r w:rsidRPr="00CE1D7F">
        <w:tab/>
        <w:t>Final report data on the proportion of participating organisations finding the schemes beneficial</w:t>
      </w:r>
      <w:bookmarkEnd w:id="702"/>
      <w:r w:rsidRPr="00CE1D7F">
        <w:t xml:space="preserve"> </w:t>
      </w:r>
    </w:p>
    <w:tbl>
      <w:tblPr>
        <w:tblW w:w="0" w:type="auto"/>
        <w:tblLayout w:type="fixed"/>
        <w:tblLook w:val="0000" w:firstRow="0" w:lastRow="0" w:firstColumn="0" w:lastColumn="0" w:noHBand="0" w:noVBand="0"/>
      </w:tblPr>
      <w:tblGrid>
        <w:gridCol w:w="7936"/>
      </w:tblGrid>
      <w:tr w:rsidR="002B32A0" w:rsidRPr="00CE1D7F" w14:paraId="5E257A25" w14:textId="77777777" w:rsidTr="006258ED">
        <w:tc>
          <w:tcPr>
            <w:tcW w:w="7936" w:type="dxa"/>
            <w:tcBorders>
              <w:top w:val="single" w:sz="4" w:space="0" w:color="000100"/>
            </w:tcBorders>
            <w:shd w:val="clear" w:color="auto" w:fill="auto"/>
          </w:tcPr>
          <w:p w14:paraId="30E862DD" w14:textId="77777777" w:rsidR="002B32A0" w:rsidRPr="00CE1D7F" w:rsidRDefault="002B32A0" w:rsidP="006258ED">
            <w:pPr>
              <w:pStyle w:val="Figure"/>
              <w:rPr>
                <w:noProof/>
              </w:rPr>
            </w:pPr>
            <w:r w:rsidRPr="00CE1D7F">
              <w:rPr>
                <w:noProof/>
              </w:rPr>
              <w:drawing>
                <wp:inline distT="0" distB="0" distL="0" distR="0" wp14:anchorId="0B304DBB" wp14:editId="24FCCCA4">
                  <wp:extent cx="4901565" cy="2091055"/>
                  <wp:effectExtent l="0" t="0" r="0" b="4445"/>
                  <wp:docPr id="615" name="Picture 615" descr="Final report data on the proportion of participating organisations finding the schemes benefici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Picture 615" descr="Final report data on the proportion of participating organisations finding the schemes beneficial "/>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4901565" cy="2091055"/>
                          </a:xfrm>
                          <a:prstGeom prst="rect">
                            <a:avLst/>
                          </a:prstGeom>
                          <a:noFill/>
                        </pic:spPr>
                      </pic:pic>
                    </a:graphicData>
                  </a:graphic>
                </wp:inline>
              </w:drawing>
            </w:r>
          </w:p>
        </w:tc>
      </w:tr>
      <w:tr w:rsidR="002B32A0" w:rsidRPr="00CE1D7F" w14:paraId="25BE44BF" w14:textId="77777777" w:rsidTr="006258ED">
        <w:tblPrEx>
          <w:tblCellMar>
            <w:left w:w="0" w:type="dxa"/>
            <w:right w:w="0" w:type="dxa"/>
          </w:tblCellMar>
        </w:tblPrEx>
        <w:trPr>
          <w:trHeight w:val="137"/>
        </w:trPr>
        <w:tc>
          <w:tcPr>
            <w:tcW w:w="7936" w:type="dxa"/>
            <w:tcBorders>
              <w:bottom w:val="single" w:sz="4" w:space="0" w:color="000100"/>
            </w:tcBorders>
            <w:shd w:val="clear" w:color="auto" w:fill="auto"/>
            <w:tcMar>
              <w:top w:w="12" w:type="dxa"/>
              <w:bottom w:w="113" w:type="dxa"/>
            </w:tcMar>
          </w:tcPr>
          <w:p w14:paraId="5ECBD0AE" w14:textId="77777777" w:rsidR="002B32A0" w:rsidRPr="00CE1D7F" w:rsidRDefault="002B32A0" w:rsidP="006258ED">
            <w:pPr>
              <w:pStyle w:val="Source"/>
              <w:rPr>
                <w:i w:val="0"/>
                <w:iCs/>
              </w:rPr>
            </w:pPr>
            <w:r w:rsidRPr="00CE1D7F">
              <w:rPr>
                <w:i w:val="0"/>
                <w:iCs/>
              </w:rPr>
              <w:t>ARC Centres of Excellence n=235, Industrial Transformation Training Centres n=121, Industrial Transformation Research Hubs n=102, Linkage Projects n=1,434</w:t>
            </w:r>
          </w:p>
          <w:p w14:paraId="4C118AFC" w14:textId="77777777" w:rsidR="002B32A0" w:rsidRPr="00CE1D7F" w:rsidRDefault="002B32A0" w:rsidP="006258ED">
            <w:pPr>
              <w:pStyle w:val="Source"/>
              <w:rPr>
                <w:i w:val="0"/>
                <w:iCs/>
              </w:rPr>
            </w:pPr>
            <w:r w:rsidRPr="00CE1D7F">
              <w:rPr>
                <w:i w:val="0"/>
                <w:iCs/>
              </w:rPr>
              <w:t>Data on whether the project was beneficial is asked in final reports for all participating organisations except Administering Organisations for CE (2011), IC and IH and just Partner Organisations for LP.</w:t>
            </w:r>
          </w:p>
          <w:p w14:paraId="580DD557" w14:textId="77777777" w:rsidR="002B32A0" w:rsidRPr="00CE1D7F" w:rsidRDefault="002B32A0" w:rsidP="006258ED">
            <w:pPr>
              <w:pStyle w:val="Source"/>
            </w:pPr>
            <w:r w:rsidRPr="00CE1D7F">
              <w:t>Source: ACIL Allen’s analysis of ARC Final Reports for grants awarded between 2002 and 2021 (with an ARC-approved Final Report by 30 June 2022).</w:t>
            </w:r>
          </w:p>
        </w:tc>
      </w:tr>
      <w:tr w:rsidR="002B32A0" w:rsidRPr="00CE1D7F" w14:paraId="74E81BF1" w14:textId="77777777" w:rsidTr="006258ED">
        <w:tblPrEx>
          <w:tblCellMar>
            <w:left w:w="0" w:type="dxa"/>
            <w:right w:w="0" w:type="dxa"/>
          </w:tblCellMar>
        </w:tblPrEx>
        <w:trPr>
          <w:trHeight w:hRule="exact" w:val="160"/>
        </w:trPr>
        <w:tc>
          <w:tcPr>
            <w:tcW w:w="7936" w:type="dxa"/>
            <w:tcBorders>
              <w:top w:val="single" w:sz="4" w:space="0" w:color="000100"/>
            </w:tcBorders>
            <w:shd w:val="clear" w:color="auto" w:fill="auto"/>
            <w:tcMar>
              <w:top w:w="0" w:type="dxa"/>
              <w:bottom w:w="40" w:type="dxa"/>
            </w:tcMar>
          </w:tcPr>
          <w:p w14:paraId="0F601A92" w14:textId="77777777" w:rsidR="002B32A0" w:rsidRPr="00CE1D7F" w:rsidRDefault="002B32A0" w:rsidP="006258ED">
            <w:pPr>
              <w:pStyle w:val="spacer"/>
            </w:pPr>
          </w:p>
        </w:tc>
      </w:tr>
    </w:tbl>
    <w:p w14:paraId="0784E2A4" w14:textId="514DB211" w:rsidR="002B32A0" w:rsidRPr="00CE1D7F" w:rsidRDefault="002B32A0" w:rsidP="002B32A0">
      <w:pPr>
        <w:pStyle w:val="BodyText"/>
      </w:pPr>
      <w:r w:rsidRPr="00F87D0E">
        <w:fldChar w:fldCharType="begin"/>
      </w:r>
      <w:r w:rsidRPr="00F87D0E">
        <w:instrText xml:space="preserve"> REF _Ref129109973 \h  \* MERGEFORMAT </w:instrText>
      </w:r>
      <w:r w:rsidRPr="00F87D0E">
        <w:fldChar w:fldCharType="separate"/>
      </w:r>
      <w:r w:rsidR="000B0AC7" w:rsidRPr="000B0AC7">
        <w:t>Figure D.9</w:t>
      </w:r>
      <w:r w:rsidRPr="00F87D0E">
        <w:fldChar w:fldCharType="end"/>
      </w:r>
      <w:r w:rsidRPr="00CE1D7F">
        <w:t xml:space="preserve"> provides </w:t>
      </w:r>
      <w:r>
        <w:t>application</w:t>
      </w:r>
      <w:r w:rsidRPr="00CE1D7F">
        <w:t xml:space="preserve"> data on the cash (top chart) and in-kind (bottom chart) contributions made by participating organisations from 2002-2021. Cash contributions to Discovery Program projects total $4.37</w:t>
      </w:r>
      <w:r>
        <w:t> billion</w:t>
      </w:r>
      <w:r w:rsidRPr="00CE1D7F">
        <w:t>. These peaked in 2011 at $0.44</w:t>
      </w:r>
      <w:r>
        <w:t> billion</w:t>
      </w:r>
      <w:r w:rsidRPr="00CE1D7F">
        <w:t xml:space="preserve"> and most recently was $0.15</w:t>
      </w:r>
      <w:r>
        <w:t> billion</w:t>
      </w:r>
      <w:r w:rsidRPr="00CE1D7F">
        <w:t xml:space="preserve"> in 2021. Cash contributions to Linkage Program projects total $3.52</w:t>
      </w:r>
      <w:r>
        <w:t> billion</w:t>
      </w:r>
      <w:r w:rsidRPr="00CE1D7F">
        <w:t>. These reached $0.35</w:t>
      </w:r>
      <w:r>
        <w:t> billion</w:t>
      </w:r>
      <w:r w:rsidRPr="00CE1D7F">
        <w:t xml:space="preserve"> in 2009 and, most recently, was $0.15</w:t>
      </w:r>
      <w:r>
        <w:t> billion</w:t>
      </w:r>
      <w:r w:rsidRPr="00CE1D7F">
        <w:t xml:space="preserve"> in 2021. </w:t>
      </w:r>
    </w:p>
    <w:p w14:paraId="0FF76B3F" w14:textId="07A15EA8" w:rsidR="002B32A0" w:rsidRPr="00CE1D7F" w:rsidRDefault="002B32A0" w:rsidP="002B32A0">
      <w:pPr>
        <w:pStyle w:val="BodyText"/>
      </w:pPr>
      <w:r w:rsidRPr="00CE1D7F">
        <w:t xml:space="preserve">In-kind contributions to Discovery Program grants were </w:t>
      </w:r>
      <w:r>
        <w:t>not listed for some schemes (DP and IN) until</w:t>
      </w:r>
      <w:r w:rsidRPr="00CE1D7F">
        <w:t xml:space="preserve"> 2015</w:t>
      </w:r>
      <w:r>
        <w:t xml:space="preserve"> and continue to not be listed for other schemes (DE, FT and FL). From 2015, in-kind contributions</w:t>
      </w:r>
      <w:r w:rsidRPr="00CE1D7F">
        <w:t xml:space="preserve"> range</w:t>
      </w:r>
      <w:r>
        <w:t>d</w:t>
      </w:r>
      <w:r w:rsidRPr="00CE1D7F">
        <w:t xml:space="preserve"> between $0.18 and $0.3</w:t>
      </w:r>
      <w:r>
        <w:t> billion</w:t>
      </w:r>
      <w:r w:rsidRPr="00CE1D7F">
        <w:t xml:space="preserve">. </w:t>
      </w:r>
      <w:r>
        <w:t>Linkage Program received significantly higher in-kind contributions in 2017, 2020, and 2021</w:t>
      </w:r>
      <w:r w:rsidR="0095375F">
        <w:t xml:space="preserve"> </w:t>
      </w:r>
      <w:r w:rsidRPr="00CE1D7F">
        <w:t xml:space="preserve">(see </w:t>
      </w:r>
      <w:r w:rsidRPr="00F87D0E">
        <w:fldChar w:fldCharType="begin"/>
      </w:r>
      <w:r w:rsidRPr="00F87D0E">
        <w:instrText xml:space="preserve"> REF _Ref129109973 \h  \* MERGEFORMAT </w:instrText>
      </w:r>
      <w:r w:rsidRPr="00F87D0E">
        <w:fldChar w:fldCharType="separate"/>
      </w:r>
      <w:r w:rsidR="000B0AC7" w:rsidRPr="000B0AC7">
        <w:t>Figure D.9</w:t>
      </w:r>
      <w:r w:rsidRPr="00F87D0E">
        <w:fldChar w:fldCharType="end"/>
      </w:r>
      <w:r w:rsidRPr="00CE1D7F">
        <w:t xml:space="preserve">). </w:t>
      </w:r>
    </w:p>
    <w:p w14:paraId="580BDAC8" w14:textId="0D82D687" w:rsidR="000B0AC7" w:rsidRPr="00CE1D7F" w:rsidRDefault="000B0AC7" w:rsidP="000B0AC7">
      <w:pPr>
        <w:pStyle w:val="Caption"/>
        <w:ind w:left="1308" w:hanging="1308"/>
      </w:pPr>
      <w:bookmarkStart w:id="703" w:name="_Ref129109973"/>
      <w:r w:rsidRPr="00CE1D7F">
        <w:rPr>
          <w:rStyle w:val="CaptionLabel"/>
        </w:rPr>
        <w:t>Figure </w:t>
      </w:r>
      <w:r>
        <w:rPr>
          <w:rStyle w:val="CaptionLabel"/>
        </w:rPr>
        <w:fldChar w:fldCharType="begin"/>
      </w:r>
      <w:r>
        <w:rPr>
          <w:rStyle w:val="CaptionLabel"/>
        </w:rPr>
        <w:instrText xml:space="preserve"> STYLEREF 9 \s </w:instrText>
      </w:r>
      <w:r>
        <w:rPr>
          <w:rStyle w:val="CaptionLabel"/>
        </w:rPr>
        <w:fldChar w:fldCharType="separate"/>
      </w:r>
      <w:r>
        <w:rPr>
          <w:rStyle w:val="CaptionLabel"/>
          <w:noProof/>
        </w:rPr>
        <w:t>D</w:t>
      </w:r>
      <w:r>
        <w:rPr>
          <w:rStyle w:val="CaptionLabel"/>
        </w:rPr>
        <w:fldChar w:fldCharType="end"/>
      </w:r>
      <w:r>
        <w:rPr>
          <w:rStyle w:val="CaptionLabel"/>
        </w:rPr>
        <w:t>.</w:t>
      </w:r>
      <w:r>
        <w:rPr>
          <w:rStyle w:val="CaptionLabel"/>
        </w:rPr>
        <w:fldChar w:fldCharType="begin"/>
      </w:r>
      <w:r>
        <w:rPr>
          <w:rStyle w:val="CaptionLabel"/>
        </w:rPr>
        <w:instrText xml:space="preserve"> SEQ Figure_AP \* ARABIC \s 9 </w:instrText>
      </w:r>
      <w:r>
        <w:rPr>
          <w:rStyle w:val="CaptionLabel"/>
        </w:rPr>
        <w:fldChar w:fldCharType="separate"/>
      </w:r>
      <w:r>
        <w:rPr>
          <w:rStyle w:val="CaptionLabel"/>
          <w:noProof/>
        </w:rPr>
        <w:t>9</w:t>
      </w:r>
      <w:r>
        <w:rPr>
          <w:rStyle w:val="CaptionLabel"/>
        </w:rPr>
        <w:fldChar w:fldCharType="end"/>
      </w:r>
      <w:bookmarkEnd w:id="703"/>
      <w:r w:rsidRPr="00CE1D7F">
        <w:tab/>
        <w:t>Funding data on cash and in-kind contributions from participating organisations over time by Discovery and Linkage Programs</w:t>
      </w:r>
    </w:p>
    <w:tbl>
      <w:tblPr>
        <w:tblW w:w="0" w:type="auto"/>
        <w:tblLayout w:type="fixed"/>
        <w:tblLook w:val="0000" w:firstRow="0" w:lastRow="0" w:firstColumn="0" w:lastColumn="0" w:noHBand="0" w:noVBand="0"/>
      </w:tblPr>
      <w:tblGrid>
        <w:gridCol w:w="7936"/>
      </w:tblGrid>
      <w:tr w:rsidR="002B32A0" w:rsidRPr="00CE1D7F" w14:paraId="2F899750" w14:textId="77777777" w:rsidTr="006258ED">
        <w:tc>
          <w:tcPr>
            <w:tcW w:w="7936" w:type="dxa"/>
            <w:tcBorders>
              <w:top w:val="single" w:sz="4" w:space="0" w:color="000100"/>
            </w:tcBorders>
            <w:shd w:val="clear" w:color="auto" w:fill="auto"/>
          </w:tcPr>
          <w:p w14:paraId="50E9AC73" w14:textId="77777777" w:rsidR="002B32A0" w:rsidRPr="00CE1D7F" w:rsidRDefault="002B32A0" w:rsidP="006258ED">
            <w:pPr>
              <w:pStyle w:val="Figure"/>
              <w:jc w:val="center"/>
              <w:rPr>
                <w:b/>
                <w:bCs/>
                <w:i/>
                <w:iCs/>
                <w:sz w:val="20"/>
                <w:szCs w:val="28"/>
              </w:rPr>
            </w:pPr>
            <w:r w:rsidRPr="00CE1D7F">
              <w:rPr>
                <w:b/>
                <w:bCs/>
                <w:i/>
                <w:iCs/>
                <w:sz w:val="20"/>
                <w:szCs w:val="28"/>
              </w:rPr>
              <w:t>Cash contributions</w:t>
            </w:r>
          </w:p>
        </w:tc>
      </w:tr>
      <w:tr w:rsidR="002B32A0" w:rsidRPr="00CE1D7F" w14:paraId="3122F79F" w14:textId="77777777" w:rsidTr="006258ED">
        <w:tc>
          <w:tcPr>
            <w:tcW w:w="7936" w:type="dxa"/>
            <w:tcBorders>
              <w:top w:val="single" w:sz="4" w:space="0" w:color="000100"/>
            </w:tcBorders>
            <w:shd w:val="clear" w:color="auto" w:fill="auto"/>
          </w:tcPr>
          <w:p w14:paraId="4C7EA23E" w14:textId="77777777" w:rsidR="002B32A0" w:rsidRPr="00CE1D7F" w:rsidRDefault="002B32A0" w:rsidP="006258ED">
            <w:pPr>
              <w:pStyle w:val="Figure"/>
              <w:rPr>
                <w:noProof/>
              </w:rPr>
            </w:pPr>
            <w:r w:rsidRPr="00CE1D7F">
              <w:rPr>
                <w:noProof/>
              </w:rPr>
              <w:drawing>
                <wp:inline distT="0" distB="0" distL="0" distR="0" wp14:anchorId="6C22B549" wp14:editId="1C9FF8B8">
                  <wp:extent cx="5029200" cy="2141220"/>
                  <wp:effectExtent l="0" t="0" r="0" b="0"/>
                  <wp:docPr id="611" name="Picture 611" descr="Funding data on cash contributions from participating organisations over time by Discovery and Linkage Progr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 name="Picture 611" descr="Funding data on cash contributions from participating organisations over time by Discovery and Linkage Programs"/>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5029200" cy="2141220"/>
                          </a:xfrm>
                          <a:prstGeom prst="rect">
                            <a:avLst/>
                          </a:prstGeom>
                          <a:noFill/>
                        </pic:spPr>
                      </pic:pic>
                    </a:graphicData>
                  </a:graphic>
                </wp:inline>
              </w:drawing>
            </w:r>
          </w:p>
        </w:tc>
      </w:tr>
      <w:tr w:rsidR="002B32A0" w:rsidRPr="00CE1D7F" w14:paraId="13BAB2BD" w14:textId="77777777" w:rsidTr="006258ED">
        <w:tc>
          <w:tcPr>
            <w:tcW w:w="7936" w:type="dxa"/>
            <w:tcBorders>
              <w:top w:val="single" w:sz="4" w:space="0" w:color="000100"/>
            </w:tcBorders>
            <w:shd w:val="clear" w:color="auto" w:fill="auto"/>
          </w:tcPr>
          <w:p w14:paraId="25825319" w14:textId="77777777" w:rsidR="002B32A0" w:rsidRPr="00CE1D7F" w:rsidRDefault="002B32A0" w:rsidP="006258ED">
            <w:pPr>
              <w:pStyle w:val="Figure"/>
              <w:jc w:val="center"/>
              <w:rPr>
                <w:b/>
                <w:bCs/>
                <w:i/>
                <w:iCs/>
                <w:noProof/>
                <w:sz w:val="20"/>
                <w:szCs w:val="28"/>
              </w:rPr>
            </w:pPr>
            <w:r w:rsidRPr="00CE1D7F">
              <w:rPr>
                <w:b/>
                <w:bCs/>
                <w:i/>
                <w:iCs/>
                <w:noProof/>
                <w:sz w:val="20"/>
                <w:szCs w:val="28"/>
              </w:rPr>
              <w:t xml:space="preserve">In-kind </w:t>
            </w:r>
            <w:r w:rsidRPr="00CE1D7F">
              <w:rPr>
                <w:b/>
                <w:bCs/>
                <w:i/>
                <w:iCs/>
                <w:sz w:val="20"/>
                <w:szCs w:val="28"/>
              </w:rPr>
              <w:t>contributions</w:t>
            </w:r>
          </w:p>
        </w:tc>
      </w:tr>
      <w:tr w:rsidR="002B32A0" w:rsidRPr="00CE1D7F" w14:paraId="2FD1AC6A" w14:textId="77777777" w:rsidTr="006258ED">
        <w:tc>
          <w:tcPr>
            <w:tcW w:w="7936" w:type="dxa"/>
            <w:tcBorders>
              <w:top w:val="single" w:sz="4" w:space="0" w:color="000100"/>
            </w:tcBorders>
            <w:shd w:val="clear" w:color="auto" w:fill="auto"/>
          </w:tcPr>
          <w:p w14:paraId="7C67A92A" w14:textId="77777777" w:rsidR="002B32A0" w:rsidRPr="00CE1D7F" w:rsidRDefault="002B32A0" w:rsidP="006258ED">
            <w:pPr>
              <w:pStyle w:val="Figure"/>
              <w:rPr>
                <w:noProof/>
              </w:rPr>
            </w:pPr>
            <w:r w:rsidRPr="00CE1D7F">
              <w:rPr>
                <w:noProof/>
              </w:rPr>
              <w:drawing>
                <wp:inline distT="0" distB="0" distL="0" distR="0" wp14:anchorId="0E5F65CB" wp14:editId="0B9F0115">
                  <wp:extent cx="5029200" cy="2141220"/>
                  <wp:effectExtent l="0" t="0" r="0" b="0"/>
                  <wp:docPr id="612" name="Picture 612" descr="Funding data on in-kind contributions from participating organisations over time by Discovery and Linkage Progr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Picture 612" descr="Funding data on in-kind contributions from participating organisations over time by Discovery and Linkage Programs"/>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5029200" cy="2141220"/>
                          </a:xfrm>
                          <a:prstGeom prst="rect">
                            <a:avLst/>
                          </a:prstGeom>
                          <a:noFill/>
                        </pic:spPr>
                      </pic:pic>
                    </a:graphicData>
                  </a:graphic>
                </wp:inline>
              </w:drawing>
            </w:r>
          </w:p>
        </w:tc>
      </w:tr>
      <w:tr w:rsidR="002B32A0" w:rsidRPr="00CE1D7F" w14:paraId="4755B4AB" w14:textId="77777777" w:rsidTr="006258ED">
        <w:tblPrEx>
          <w:tblCellMar>
            <w:left w:w="0" w:type="dxa"/>
            <w:right w:w="0" w:type="dxa"/>
          </w:tblCellMar>
        </w:tblPrEx>
        <w:trPr>
          <w:trHeight w:val="135"/>
        </w:trPr>
        <w:tc>
          <w:tcPr>
            <w:tcW w:w="7936" w:type="dxa"/>
            <w:tcBorders>
              <w:bottom w:val="single" w:sz="4" w:space="0" w:color="000100"/>
            </w:tcBorders>
            <w:shd w:val="clear" w:color="auto" w:fill="auto"/>
            <w:tcMar>
              <w:top w:w="12" w:type="dxa"/>
              <w:bottom w:w="113" w:type="dxa"/>
            </w:tcMar>
          </w:tcPr>
          <w:p w14:paraId="19D0379A" w14:textId="77777777" w:rsidR="002B32A0" w:rsidRPr="00CE1D7F" w:rsidRDefault="002B32A0" w:rsidP="006258ED">
            <w:pPr>
              <w:pStyle w:val="Source"/>
              <w:rPr>
                <w:i w:val="0"/>
                <w:iCs/>
              </w:rPr>
            </w:pPr>
            <w:r w:rsidRPr="00CE1D7F">
              <w:rPr>
                <w:i w:val="0"/>
                <w:iCs/>
              </w:rPr>
              <w:t>N=29,303 projects</w:t>
            </w:r>
          </w:p>
          <w:p w14:paraId="63F1C14C" w14:textId="77777777" w:rsidR="002B32A0" w:rsidRPr="00CE1D7F" w:rsidRDefault="002B32A0" w:rsidP="006258ED">
            <w:pPr>
              <w:pStyle w:val="Source"/>
              <w:rPr>
                <w:i w:val="0"/>
                <w:iCs/>
              </w:rPr>
            </w:pPr>
            <w:r w:rsidRPr="00CE1D7F">
              <w:rPr>
                <w:i w:val="0"/>
                <w:iCs/>
              </w:rPr>
              <w:t xml:space="preserve">CE11 data is not available. For DE, FL (except FL10) and FT only cash contributions (no in-kind) can be entered into the application form for Administering Organisations, therefore, in-kind funding </w:t>
            </w:r>
            <w:r>
              <w:rPr>
                <w:i w:val="0"/>
                <w:iCs/>
              </w:rPr>
              <w:t>is</w:t>
            </w:r>
            <w:r w:rsidRPr="00CE1D7F">
              <w:rPr>
                <w:i w:val="0"/>
                <w:iCs/>
              </w:rPr>
              <w:t xml:space="preserve"> not recorded for these schemes.</w:t>
            </w:r>
          </w:p>
          <w:p w14:paraId="4C915CD8" w14:textId="77777777" w:rsidR="002B32A0" w:rsidRPr="00CE1D7F" w:rsidRDefault="002B32A0" w:rsidP="006258ED">
            <w:pPr>
              <w:pStyle w:val="Source"/>
              <w:rPr>
                <w:i w:val="0"/>
                <w:iCs/>
              </w:rPr>
            </w:pPr>
            <w:r w:rsidRPr="00CE1D7F">
              <w:rPr>
                <w:i w:val="0"/>
                <w:iCs/>
              </w:rPr>
              <w:t>Note: funding amounts are in current dollars (i.e. the value of the funding allocated in the award year).</w:t>
            </w:r>
          </w:p>
          <w:p w14:paraId="7FA3BB4F" w14:textId="77777777" w:rsidR="002B32A0" w:rsidRPr="00CE1D7F" w:rsidRDefault="002B32A0" w:rsidP="006258ED">
            <w:pPr>
              <w:pStyle w:val="Source"/>
            </w:pPr>
            <w:r w:rsidRPr="00CE1D7F">
              <w:t>Source: ACIL Allen’s analysis of ARC funding data for grants awarded between 2002 and 2021.</w:t>
            </w:r>
          </w:p>
        </w:tc>
      </w:tr>
      <w:tr w:rsidR="002B32A0" w:rsidRPr="00CE1D7F" w14:paraId="42613743" w14:textId="77777777" w:rsidTr="006258ED">
        <w:tblPrEx>
          <w:tblCellMar>
            <w:left w:w="0" w:type="dxa"/>
            <w:right w:w="0" w:type="dxa"/>
          </w:tblCellMar>
        </w:tblPrEx>
        <w:trPr>
          <w:trHeight w:hRule="exact" w:val="160"/>
        </w:trPr>
        <w:tc>
          <w:tcPr>
            <w:tcW w:w="7936" w:type="dxa"/>
            <w:tcBorders>
              <w:top w:val="single" w:sz="4" w:space="0" w:color="000100"/>
            </w:tcBorders>
            <w:shd w:val="clear" w:color="auto" w:fill="auto"/>
            <w:tcMar>
              <w:top w:w="0" w:type="dxa"/>
              <w:bottom w:w="40" w:type="dxa"/>
            </w:tcMar>
          </w:tcPr>
          <w:p w14:paraId="3E00DE69" w14:textId="77777777" w:rsidR="002B32A0" w:rsidRPr="00CE1D7F" w:rsidRDefault="002B32A0" w:rsidP="006258ED">
            <w:pPr>
              <w:pStyle w:val="spacer"/>
            </w:pPr>
          </w:p>
        </w:tc>
      </w:tr>
    </w:tbl>
    <w:p w14:paraId="2691EC5E" w14:textId="2220C783" w:rsidR="002B32A0" w:rsidRPr="00CE1D7F" w:rsidRDefault="002B32A0" w:rsidP="002B32A0">
      <w:pPr>
        <w:pStyle w:val="BodyText"/>
      </w:pPr>
      <w:r w:rsidRPr="00F87D0E">
        <w:fldChar w:fldCharType="begin"/>
      </w:r>
      <w:r w:rsidRPr="00F87D0E">
        <w:instrText xml:space="preserve"> REF _Ref129355862 \h  \* MERGEFORMAT </w:instrText>
      </w:r>
      <w:r w:rsidRPr="00F87D0E">
        <w:fldChar w:fldCharType="separate"/>
      </w:r>
      <w:r w:rsidR="000B0AC7" w:rsidRPr="000B0AC7">
        <w:t>Figure D.10</w:t>
      </w:r>
      <w:r w:rsidRPr="00F87D0E">
        <w:fldChar w:fldCharType="end"/>
      </w:r>
      <w:r w:rsidRPr="00CE1D7F">
        <w:t xml:space="preserve"> shows the cash (top chart) and in-kind (bottom) contributions made by participating organisations, by Discovery and Linkage Programs and </w:t>
      </w:r>
      <w:r>
        <w:t>FoR</w:t>
      </w:r>
      <w:r w:rsidRPr="00CE1D7F">
        <w:t>. The largest cash contributions to Discovery Program projects were in the Biological Sciences ($0.58</w:t>
      </w:r>
      <w:r>
        <w:t> billion</w:t>
      </w:r>
      <w:r w:rsidRPr="00CE1D7F">
        <w:t>), Engineering ($0.57</w:t>
      </w:r>
      <w:r>
        <w:t> billion</w:t>
      </w:r>
      <w:r w:rsidRPr="00CE1D7F">
        <w:t>) and Physical Sciences ($0.44</w:t>
      </w:r>
      <w:r>
        <w:t> billion</w:t>
      </w:r>
      <w:r w:rsidRPr="00CE1D7F">
        <w:t xml:space="preserve">) </w:t>
      </w:r>
      <w:r>
        <w:t>FoR</w:t>
      </w:r>
      <w:r w:rsidRPr="00CE1D7F">
        <w:t>s. Similarly, the largest contributions to Linkage Program projects were to the Engineering ($0.75</w:t>
      </w:r>
      <w:r>
        <w:t> billion</w:t>
      </w:r>
      <w:r w:rsidRPr="00CE1D7F">
        <w:t>), Physical Sciences ($0.47</w:t>
      </w:r>
      <w:r>
        <w:t> billion</w:t>
      </w:r>
      <w:r w:rsidRPr="00CE1D7F">
        <w:t>) and Biological Sciences ($0.35</w:t>
      </w:r>
      <w:r>
        <w:t> billion</w:t>
      </w:r>
      <w:r w:rsidRPr="00CE1D7F">
        <w:t xml:space="preserve">) </w:t>
      </w:r>
      <w:r>
        <w:t>FoR</w:t>
      </w:r>
      <w:r w:rsidRPr="00CE1D7F">
        <w:t xml:space="preserve">s. This is likely a reflection of the higher cost of conducting research in these </w:t>
      </w:r>
      <w:r>
        <w:t>FoR</w:t>
      </w:r>
      <w:r w:rsidRPr="00CE1D7F">
        <w:t xml:space="preserve">s. </w:t>
      </w:r>
    </w:p>
    <w:p w14:paraId="4725A29F" w14:textId="77777777" w:rsidR="002B32A0" w:rsidRPr="00CE1D7F" w:rsidRDefault="002B32A0" w:rsidP="002B32A0">
      <w:pPr>
        <w:pStyle w:val="BodyText"/>
      </w:pPr>
      <w:r w:rsidRPr="00CE1D7F">
        <w:t>Similar to cash contributions, the largest in-kind contributions to the Discovery Program grants were made to projects in the Engineering ($0.32</w:t>
      </w:r>
      <w:r>
        <w:t> billion</w:t>
      </w:r>
      <w:r w:rsidRPr="00CE1D7F">
        <w:t>), Biological Sciences ($0.25</w:t>
      </w:r>
      <w:r>
        <w:t> billion</w:t>
      </w:r>
      <w:r w:rsidRPr="00CE1D7F">
        <w:t>) and Physical Sciences ($0.18</w:t>
      </w:r>
      <w:r>
        <w:t> billion</w:t>
      </w:r>
      <w:r w:rsidRPr="00CE1D7F">
        <w:t xml:space="preserve">) </w:t>
      </w:r>
      <w:r>
        <w:t>FoR</w:t>
      </w:r>
      <w:r w:rsidRPr="00CE1D7F">
        <w:t>s. For Linkage Program projects, the largest in-kind contributions were to projects in the Physical Sciences ($1.53</w:t>
      </w:r>
      <w:r>
        <w:t> billion</w:t>
      </w:r>
      <w:r w:rsidRPr="00CE1D7F">
        <w:t>), Engineering ($1.2</w:t>
      </w:r>
      <w:r>
        <w:t> billion</w:t>
      </w:r>
      <w:r w:rsidRPr="00CE1D7F">
        <w:t>) and Biological Sciences ($0.61</w:t>
      </w:r>
      <w:r>
        <w:t> billion</w:t>
      </w:r>
      <w:r w:rsidRPr="00CE1D7F">
        <w:t xml:space="preserve">) </w:t>
      </w:r>
      <w:r>
        <w:t>FoR</w:t>
      </w:r>
      <w:r w:rsidRPr="00CE1D7F">
        <w:t xml:space="preserve">s. </w:t>
      </w:r>
    </w:p>
    <w:p w14:paraId="441D1B64" w14:textId="0F64D8FE" w:rsidR="000B0AC7" w:rsidRPr="00CE1D7F" w:rsidRDefault="000B0AC7" w:rsidP="000B0AC7">
      <w:pPr>
        <w:pStyle w:val="Caption"/>
        <w:ind w:left="1308" w:hanging="1308"/>
      </w:pPr>
      <w:bookmarkStart w:id="704" w:name="_Ref129355862"/>
      <w:bookmarkStart w:id="705" w:name="_Hlk129110000"/>
      <w:r w:rsidRPr="00CE1D7F">
        <w:rPr>
          <w:rStyle w:val="CaptionLabel"/>
        </w:rPr>
        <w:t>Figure </w:t>
      </w:r>
      <w:r>
        <w:rPr>
          <w:rStyle w:val="CaptionLabel"/>
        </w:rPr>
        <w:fldChar w:fldCharType="begin"/>
      </w:r>
      <w:r>
        <w:rPr>
          <w:rStyle w:val="CaptionLabel"/>
        </w:rPr>
        <w:instrText xml:space="preserve"> STYLEREF 9 \s </w:instrText>
      </w:r>
      <w:r>
        <w:rPr>
          <w:rStyle w:val="CaptionLabel"/>
        </w:rPr>
        <w:fldChar w:fldCharType="separate"/>
      </w:r>
      <w:r>
        <w:rPr>
          <w:rStyle w:val="CaptionLabel"/>
          <w:noProof/>
        </w:rPr>
        <w:t>D</w:t>
      </w:r>
      <w:r>
        <w:rPr>
          <w:rStyle w:val="CaptionLabel"/>
        </w:rPr>
        <w:fldChar w:fldCharType="end"/>
      </w:r>
      <w:r>
        <w:rPr>
          <w:rStyle w:val="CaptionLabel"/>
        </w:rPr>
        <w:t>.</w:t>
      </w:r>
      <w:r>
        <w:rPr>
          <w:rStyle w:val="CaptionLabel"/>
        </w:rPr>
        <w:fldChar w:fldCharType="begin"/>
      </w:r>
      <w:r>
        <w:rPr>
          <w:rStyle w:val="CaptionLabel"/>
        </w:rPr>
        <w:instrText xml:space="preserve"> SEQ Figure_AP \* ARABIC \s 9 </w:instrText>
      </w:r>
      <w:r>
        <w:rPr>
          <w:rStyle w:val="CaptionLabel"/>
        </w:rPr>
        <w:fldChar w:fldCharType="separate"/>
      </w:r>
      <w:r>
        <w:rPr>
          <w:rStyle w:val="CaptionLabel"/>
          <w:noProof/>
        </w:rPr>
        <w:t>10</w:t>
      </w:r>
      <w:r>
        <w:rPr>
          <w:rStyle w:val="CaptionLabel"/>
        </w:rPr>
        <w:fldChar w:fldCharType="end"/>
      </w:r>
      <w:bookmarkEnd w:id="704"/>
      <w:r w:rsidRPr="00CE1D7F">
        <w:tab/>
        <w:t xml:space="preserve">Funding data on contributions from participating organisations (cash) by </w:t>
      </w:r>
      <w:r>
        <w:t>FoR</w:t>
      </w:r>
      <w:r w:rsidRPr="00CE1D7F">
        <w:t>, by Discovery and Linkage Programs</w:t>
      </w:r>
    </w:p>
    <w:tbl>
      <w:tblPr>
        <w:tblW w:w="0" w:type="auto"/>
        <w:tblLayout w:type="fixed"/>
        <w:tblLook w:val="0000" w:firstRow="0" w:lastRow="0" w:firstColumn="0" w:lastColumn="0" w:noHBand="0" w:noVBand="0"/>
      </w:tblPr>
      <w:tblGrid>
        <w:gridCol w:w="7936"/>
      </w:tblGrid>
      <w:tr w:rsidR="002B32A0" w:rsidRPr="00CE1D7F" w14:paraId="57DF5A33" w14:textId="77777777" w:rsidTr="006258ED">
        <w:tc>
          <w:tcPr>
            <w:tcW w:w="7936" w:type="dxa"/>
            <w:tcBorders>
              <w:top w:val="single" w:sz="4" w:space="0" w:color="000100"/>
            </w:tcBorders>
            <w:shd w:val="clear" w:color="auto" w:fill="auto"/>
          </w:tcPr>
          <w:p w14:paraId="298B1633" w14:textId="77777777" w:rsidR="002B32A0" w:rsidRPr="00CE1D7F" w:rsidRDefault="002B32A0" w:rsidP="006258ED">
            <w:pPr>
              <w:pStyle w:val="Figure"/>
              <w:jc w:val="center"/>
              <w:rPr>
                <w:b/>
                <w:bCs/>
                <w:i/>
                <w:iCs/>
                <w:sz w:val="20"/>
                <w:szCs w:val="28"/>
              </w:rPr>
            </w:pPr>
            <w:r w:rsidRPr="00CE1D7F">
              <w:rPr>
                <w:b/>
                <w:bCs/>
                <w:i/>
                <w:iCs/>
                <w:sz w:val="20"/>
                <w:szCs w:val="28"/>
              </w:rPr>
              <w:t>Cash contributions</w:t>
            </w:r>
          </w:p>
        </w:tc>
      </w:tr>
      <w:tr w:rsidR="002B32A0" w:rsidRPr="00CE1D7F" w14:paraId="05D3FA8A" w14:textId="77777777" w:rsidTr="006258ED">
        <w:tc>
          <w:tcPr>
            <w:tcW w:w="7936" w:type="dxa"/>
            <w:tcBorders>
              <w:top w:val="single" w:sz="4" w:space="0" w:color="000100"/>
            </w:tcBorders>
            <w:shd w:val="clear" w:color="auto" w:fill="auto"/>
          </w:tcPr>
          <w:p w14:paraId="2E942ECB" w14:textId="77777777" w:rsidR="002B32A0" w:rsidRPr="00CE1D7F" w:rsidRDefault="002B32A0" w:rsidP="006258ED">
            <w:pPr>
              <w:pStyle w:val="Figure"/>
            </w:pPr>
            <w:r w:rsidRPr="00CE1D7F">
              <w:rPr>
                <w:noProof/>
              </w:rPr>
              <w:drawing>
                <wp:inline distT="0" distB="0" distL="0" distR="0" wp14:anchorId="7286043B" wp14:editId="641026AC">
                  <wp:extent cx="4899660" cy="3291840"/>
                  <wp:effectExtent l="0" t="0" r="0" b="3810"/>
                  <wp:docPr id="535" name="Picture 535" descr="Funding data on contributions from participating organisations (cash) by FoR, by Discovery and Linkage Progr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Picture 535" descr="Funding data on contributions from participating organisations (cash) by FoR, by Discovery and Linkage Programs"/>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4899660" cy="3291840"/>
                          </a:xfrm>
                          <a:prstGeom prst="rect">
                            <a:avLst/>
                          </a:prstGeom>
                          <a:noFill/>
                        </pic:spPr>
                      </pic:pic>
                    </a:graphicData>
                  </a:graphic>
                </wp:inline>
              </w:drawing>
            </w:r>
          </w:p>
        </w:tc>
      </w:tr>
      <w:tr w:rsidR="002B32A0" w:rsidRPr="00CE1D7F" w14:paraId="0513092F" w14:textId="77777777" w:rsidTr="006258ED">
        <w:tc>
          <w:tcPr>
            <w:tcW w:w="7936" w:type="dxa"/>
            <w:tcBorders>
              <w:top w:val="single" w:sz="4" w:space="0" w:color="000100"/>
            </w:tcBorders>
            <w:shd w:val="clear" w:color="auto" w:fill="auto"/>
          </w:tcPr>
          <w:p w14:paraId="303F3CFA" w14:textId="77777777" w:rsidR="002B32A0" w:rsidRPr="00CE1D7F" w:rsidRDefault="002B32A0" w:rsidP="006258ED">
            <w:pPr>
              <w:pStyle w:val="Figure"/>
              <w:jc w:val="center"/>
              <w:rPr>
                <w:b/>
                <w:bCs/>
                <w:i/>
                <w:iCs/>
                <w:noProof/>
                <w:sz w:val="20"/>
                <w:szCs w:val="28"/>
              </w:rPr>
            </w:pPr>
            <w:r w:rsidRPr="00CE1D7F">
              <w:rPr>
                <w:b/>
                <w:bCs/>
                <w:i/>
                <w:iCs/>
                <w:noProof/>
                <w:sz w:val="20"/>
                <w:szCs w:val="28"/>
              </w:rPr>
              <w:t xml:space="preserve">In-kind </w:t>
            </w:r>
            <w:r w:rsidRPr="00CE1D7F">
              <w:rPr>
                <w:b/>
                <w:bCs/>
                <w:i/>
                <w:iCs/>
                <w:sz w:val="20"/>
                <w:szCs w:val="28"/>
              </w:rPr>
              <w:t>contributions</w:t>
            </w:r>
          </w:p>
        </w:tc>
      </w:tr>
      <w:tr w:rsidR="002B32A0" w:rsidRPr="00CE1D7F" w14:paraId="1D9246FF" w14:textId="77777777" w:rsidTr="006258ED">
        <w:tc>
          <w:tcPr>
            <w:tcW w:w="7936" w:type="dxa"/>
            <w:tcBorders>
              <w:top w:val="single" w:sz="4" w:space="0" w:color="000100"/>
            </w:tcBorders>
            <w:shd w:val="clear" w:color="auto" w:fill="auto"/>
          </w:tcPr>
          <w:p w14:paraId="4653F2B1" w14:textId="77777777" w:rsidR="002B32A0" w:rsidRPr="00CE1D7F" w:rsidRDefault="002B32A0" w:rsidP="006258ED">
            <w:pPr>
              <w:pStyle w:val="Figure"/>
              <w:jc w:val="center"/>
              <w:rPr>
                <w:b/>
                <w:bCs/>
                <w:i/>
                <w:iCs/>
                <w:noProof/>
                <w:sz w:val="20"/>
                <w:szCs w:val="28"/>
              </w:rPr>
            </w:pPr>
            <w:r w:rsidRPr="00CE1D7F">
              <w:rPr>
                <w:noProof/>
              </w:rPr>
              <w:drawing>
                <wp:inline distT="0" distB="0" distL="0" distR="0" wp14:anchorId="03B37170" wp14:editId="05D0BC33">
                  <wp:extent cx="5029200" cy="3253740"/>
                  <wp:effectExtent l="0" t="0" r="0" b="3810"/>
                  <wp:docPr id="539" name="Picture 539" descr="Funding data on contributions from participating organisations (in-kind) by FoR, by Discovery and Linkage Progr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Picture 539" descr="Funding data on contributions from participating organisations (in-kind) by FoR, by Discovery and Linkage Programs"/>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5029200" cy="3253740"/>
                          </a:xfrm>
                          <a:prstGeom prst="rect">
                            <a:avLst/>
                          </a:prstGeom>
                          <a:noFill/>
                        </pic:spPr>
                      </pic:pic>
                    </a:graphicData>
                  </a:graphic>
                </wp:inline>
              </w:drawing>
            </w:r>
          </w:p>
        </w:tc>
      </w:tr>
      <w:tr w:rsidR="002B32A0" w:rsidRPr="00CE1D7F" w14:paraId="53F3CE14" w14:textId="77777777" w:rsidTr="006258ED">
        <w:tblPrEx>
          <w:tblCellMar>
            <w:left w:w="0" w:type="dxa"/>
            <w:right w:w="0" w:type="dxa"/>
          </w:tblCellMar>
        </w:tblPrEx>
        <w:trPr>
          <w:trHeight w:val="135"/>
        </w:trPr>
        <w:tc>
          <w:tcPr>
            <w:tcW w:w="7936" w:type="dxa"/>
            <w:tcBorders>
              <w:bottom w:val="single" w:sz="4" w:space="0" w:color="000100"/>
            </w:tcBorders>
            <w:shd w:val="clear" w:color="auto" w:fill="auto"/>
            <w:tcMar>
              <w:top w:w="12" w:type="dxa"/>
              <w:bottom w:w="113" w:type="dxa"/>
            </w:tcMar>
          </w:tcPr>
          <w:p w14:paraId="0FBA5E2F" w14:textId="77777777" w:rsidR="002B32A0" w:rsidRPr="00CE1D7F" w:rsidRDefault="002B32A0" w:rsidP="006258ED">
            <w:pPr>
              <w:pStyle w:val="Source"/>
              <w:rPr>
                <w:i w:val="0"/>
                <w:iCs/>
              </w:rPr>
            </w:pPr>
            <w:r w:rsidRPr="00CE1D7F">
              <w:rPr>
                <w:i w:val="0"/>
                <w:iCs/>
              </w:rPr>
              <w:t>N=29,303 projects</w:t>
            </w:r>
          </w:p>
          <w:p w14:paraId="7BBBF7BA" w14:textId="77777777" w:rsidR="002B32A0" w:rsidRPr="00CE1D7F" w:rsidRDefault="002B32A0" w:rsidP="006258ED">
            <w:pPr>
              <w:pStyle w:val="Source"/>
              <w:rPr>
                <w:i w:val="0"/>
                <w:iCs/>
              </w:rPr>
            </w:pPr>
            <w:r w:rsidRPr="00CE1D7F">
              <w:rPr>
                <w:i w:val="0"/>
                <w:iCs/>
              </w:rPr>
              <w:t xml:space="preserve">CE11 data is not available. For DE, FL (except FL10) and FT only cash contributions (no in-kind) can be entered into the application form for Administering Organisations, therefore, in-kind funding </w:t>
            </w:r>
            <w:r>
              <w:rPr>
                <w:i w:val="0"/>
                <w:iCs/>
              </w:rPr>
              <w:t>is</w:t>
            </w:r>
            <w:r w:rsidRPr="00CE1D7F">
              <w:rPr>
                <w:i w:val="0"/>
                <w:iCs/>
              </w:rPr>
              <w:t xml:space="preserve"> not recorded for these schemes.</w:t>
            </w:r>
          </w:p>
          <w:p w14:paraId="751BA5C9" w14:textId="77777777" w:rsidR="002B32A0" w:rsidRPr="00CE1D7F" w:rsidRDefault="002B32A0" w:rsidP="006258ED">
            <w:pPr>
              <w:pStyle w:val="Source"/>
              <w:rPr>
                <w:i w:val="0"/>
                <w:iCs/>
              </w:rPr>
            </w:pPr>
            <w:r w:rsidRPr="00CE1D7F">
              <w:rPr>
                <w:i w:val="0"/>
                <w:iCs/>
              </w:rPr>
              <w:t>Note: funding amounts are in current dollars (i.e. the value of the funding allocated in the award year).</w:t>
            </w:r>
          </w:p>
          <w:p w14:paraId="40B3FCBE" w14:textId="77777777" w:rsidR="002B32A0" w:rsidRPr="00CE1D7F" w:rsidRDefault="002B32A0" w:rsidP="006258ED">
            <w:pPr>
              <w:pStyle w:val="Source"/>
            </w:pPr>
            <w:r w:rsidRPr="00CE1D7F">
              <w:t>Source: ACIL Allen’s analysis of ARC funding data for grants awarded between 2002 and 2021.</w:t>
            </w:r>
          </w:p>
        </w:tc>
      </w:tr>
      <w:tr w:rsidR="002B32A0" w:rsidRPr="00CE1D7F" w14:paraId="661E09E2" w14:textId="77777777" w:rsidTr="006258ED">
        <w:tblPrEx>
          <w:tblCellMar>
            <w:left w:w="0" w:type="dxa"/>
            <w:right w:w="0" w:type="dxa"/>
          </w:tblCellMar>
        </w:tblPrEx>
        <w:trPr>
          <w:trHeight w:hRule="exact" w:val="160"/>
        </w:trPr>
        <w:tc>
          <w:tcPr>
            <w:tcW w:w="7936" w:type="dxa"/>
            <w:tcBorders>
              <w:top w:val="single" w:sz="4" w:space="0" w:color="000100"/>
            </w:tcBorders>
            <w:shd w:val="clear" w:color="auto" w:fill="auto"/>
            <w:tcMar>
              <w:top w:w="0" w:type="dxa"/>
              <w:bottom w:w="40" w:type="dxa"/>
            </w:tcMar>
          </w:tcPr>
          <w:p w14:paraId="4B35B2ED" w14:textId="77777777" w:rsidR="002B32A0" w:rsidRPr="00CE1D7F" w:rsidRDefault="002B32A0" w:rsidP="006258ED">
            <w:pPr>
              <w:pStyle w:val="spacer"/>
            </w:pPr>
          </w:p>
        </w:tc>
      </w:tr>
    </w:tbl>
    <w:bookmarkEnd w:id="705"/>
    <w:p w14:paraId="296E1080" w14:textId="77777777" w:rsidR="002B32A0" w:rsidRPr="00CE1D7F" w:rsidRDefault="002B32A0" w:rsidP="00ED04DD">
      <w:pPr>
        <w:pStyle w:val="Heading3AP"/>
        <w:keepLines/>
      </w:pPr>
      <w:r w:rsidRPr="00CE1D7F">
        <w:t xml:space="preserve">Alignment with Government priorities </w:t>
      </w:r>
    </w:p>
    <w:p w14:paraId="7E7BB977" w14:textId="2184166C" w:rsidR="002B32A0" w:rsidRPr="00CE1D7F" w:rsidRDefault="002B32A0" w:rsidP="00ED04DD">
      <w:pPr>
        <w:pStyle w:val="BodyText"/>
        <w:keepNext/>
        <w:keepLines/>
      </w:pPr>
      <w:r w:rsidRPr="00F87D0E">
        <w:fldChar w:fldCharType="begin"/>
      </w:r>
      <w:r w:rsidRPr="00F87D0E">
        <w:instrText xml:space="preserve"> REF _Ref129286448 \h  \* MERGEFORMAT </w:instrText>
      </w:r>
      <w:r w:rsidRPr="00F87D0E">
        <w:fldChar w:fldCharType="separate"/>
      </w:r>
      <w:r w:rsidR="000B0AC7" w:rsidRPr="000B0AC7">
        <w:t>Figure D.11</w:t>
      </w:r>
      <w:r w:rsidRPr="00F87D0E">
        <w:fldChar w:fldCharType="end"/>
      </w:r>
      <w:r w:rsidRPr="00CE1D7F">
        <w:t xml:space="preserve"> shows the number and proportion of projects aligning with government priorities by Discovery and Linkage Programs.</w:t>
      </w:r>
    </w:p>
    <w:p w14:paraId="2E971B96" w14:textId="60CA1D2E" w:rsidR="000B0AC7" w:rsidRPr="00CE1D7F" w:rsidRDefault="000B0AC7" w:rsidP="000B0AC7">
      <w:pPr>
        <w:pStyle w:val="Caption"/>
        <w:ind w:left="1308" w:hanging="1308"/>
      </w:pPr>
      <w:bookmarkStart w:id="706" w:name="_Ref129286448"/>
      <w:r w:rsidRPr="00CE1D7F">
        <w:rPr>
          <w:rStyle w:val="CaptionLabel"/>
        </w:rPr>
        <w:t>Figure </w:t>
      </w:r>
      <w:r>
        <w:rPr>
          <w:rStyle w:val="CaptionLabel"/>
        </w:rPr>
        <w:fldChar w:fldCharType="begin"/>
      </w:r>
      <w:r>
        <w:rPr>
          <w:rStyle w:val="CaptionLabel"/>
        </w:rPr>
        <w:instrText xml:space="preserve"> STYLEREF 9 \s </w:instrText>
      </w:r>
      <w:r>
        <w:rPr>
          <w:rStyle w:val="CaptionLabel"/>
        </w:rPr>
        <w:fldChar w:fldCharType="separate"/>
      </w:r>
      <w:r>
        <w:rPr>
          <w:rStyle w:val="CaptionLabel"/>
          <w:noProof/>
        </w:rPr>
        <w:t>D</w:t>
      </w:r>
      <w:r>
        <w:rPr>
          <w:rStyle w:val="CaptionLabel"/>
        </w:rPr>
        <w:fldChar w:fldCharType="end"/>
      </w:r>
      <w:r>
        <w:rPr>
          <w:rStyle w:val="CaptionLabel"/>
        </w:rPr>
        <w:t>.</w:t>
      </w:r>
      <w:r>
        <w:rPr>
          <w:rStyle w:val="CaptionLabel"/>
        </w:rPr>
        <w:fldChar w:fldCharType="begin"/>
      </w:r>
      <w:r>
        <w:rPr>
          <w:rStyle w:val="CaptionLabel"/>
        </w:rPr>
        <w:instrText xml:space="preserve"> SEQ Figure_AP \* ARABIC \s 9 </w:instrText>
      </w:r>
      <w:r>
        <w:rPr>
          <w:rStyle w:val="CaptionLabel"/>
        </w:rPr>
        <w:fldChar w:fldCharType="separate"/>
      </w:r>
      <w:r>
        <w:rPr>
          <w:rStyle w:val="CaptionLabel"/>
          <w:noProof/>
        </w:rPr>
        <w:t>11</w:t>
      </w:r>
      <w:r>
        <w:rPr>
          <w:rStyle w:val="CaptionLabel"/>
        </w:rPr>
        <w:fldChar w:fldCharType="end"/>
      </w:r>
      <w:bookmarkEnd w:id="706"/>
      <w:r w:rsidRPr="00CE1D7F">
        <w:tab/>
        <w:t>Funding data on the number and proportion of projects aligning with government priorities by Discovery and Linkage Programs</w:t>
      </w:r>
    </w:p>
    <w:tbl>
      <w:tblPr>
        <w:tblW w:w="0" w:type="auto"/>
        <w:tblLayout w:type="fixed"/>
        <w:tblLook w:val="0000" w:firstRow="0" w:lastRow="0" w:firstColumn="0" w:lastColumn="0" w:noHBand="0" w:noVBand="0"/>
      </w:tblPr>
      <w:tblGrid>
        <w:gridCol w:w="7936"/>
      </w:tblGrid>
      <w:tr w:rsidR="002B32A0" w:rsidRPr="00CE1D7F" w14:paraId="4790065A" w14:textId="77777777" w:rsidTr="006258ED">
        <w:tc>
          <w:tcPr>
            <w:tcW w:w="7936" w:type="dxa"/>
            <w:tcBorders>
              <w:top w:val="single" w:sz="4" w:space="0" w:color="000100"/>
            </w:tcBorders>
            <w:shd w:val="clear" w:color="auto" w:fill="auto"/>
          </w:tcPr>
          <w:p w14:paraId="24861994" w14:textId="77777777" w:rsidR="002B32A0" w:rsidRPr="00CE1D7F" w:rsidRDefault="002B32A0" w:rsidP="006258ED">
            <w:pPr>
              <w:pStyle w:val="Figure"/>
            </w:pPr>
            <w:r w:rsidRPr="00CE1D7F">
              <w:rPr>
                <w:noProof/>
              </w:rPr>
              <w:drawing>
                <wp:inline distT="0" distB="0" distL="0" distR="0" wp14:anchorId="0611C6FA" wp14:editId="74271593">
                  <wp:extent cx="4901565" cy="2091055"/>
                  <wp:effectExtent l="0" t="0" r="0" b="4445"/>
                  <wp:docPr id="538" name="Picture 538" descr="Funding data on the number and proportion of projects aligning with government priorities by Discovery and Linkage Progr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Picture 538" descr="Funding data on the number and proportion of projects aligning with government priorities by Discovery and Linkage Programs"/>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4901565" cy="2091055"/>
                          </a:xfrm>
                          <a:prstGeom prst="rect">
                            <a:avLst/>
                          </a:prstGeom>
                          <a:noFill/>
                        </pic:spPr>
                      </pic:pic>
                    </a:graphicData>
                  </a:graphic>
                </wp:inline>
              </w:drawing>
            </w:r>
          </w:p>
        </w:tc>
      </w:tr>
      <w:tr w:rsidR="002B32A0" w:rsidRPr="00CE1D7F" w14:paraId="568ED668" w14:textId="77777777" w:rsidTr="006258ED">
        <w:tblPrEx>
          <w:tblCellMar>
            <w:left w:w="0" w:type="dxa"/>
            <w:right w:w="0" w:type="dxa"/>
          </w:tblCellMar>
        </w:tblPrEx>
        <w:trPr>
          <w:trHeight w:val="135"/>
        </w:trPr>
        <w:tc>
          <w:tcPr>
            <w:tcW w:w="7936" w:type="dxa"/>
            <w:tcBorders>
              <w:bottom w:val="single" w:sz="4" w:space="0" w:color="000100"/>
            </w:tcBorders>
            <w:shd w:val="clear" w:color="auto" w:fill="auto"/>
            <w:tcMar>
              <w:top w:w="12" w:type="dxa"/>
              <w:bottom w:w="113" w:type="dxa"/>
            </w:tcMar>
          </w:tcPr>
          <w:p w14:paraId="7B507E63" w14:textId="77777777" w:rsidR="002B32A0" w:rsidRPr="00CE1D7F" w:rsidRDefault="002B32A0" w:rsidP="006258ED">
            <w:pPr>
              <w:pStyle w:val="Source"/>
              <w:rPr>
                <w:i w:val="0"/>
                <w:iCs/>
              </w:rPr>
            </w:pPr>
            <w:r w:rsidRPr="00CE1D7F">
              <w:rPr>
                <w:i w:val="0"/>
                <w:iCs/>
              </w:rPr>
              <w:t>N=29,303 projects</w:t>
            </w:r>
          </w:p>
          <w:p w14:paraId="5A0D980B" w14:textId="77777777" w:rsidR="002B32A0" w:rsidRPr="00CE1D7F" w:rsidRDefault="002B32A0" w:rsidP="006258ED">
            <w:pPr>
              <w:pStyle w:val="Source"/>
            </w:pPr>
            <w:r w:rsidRPr="00CE1D7F">
              <w:t xml:space="preserve">Source: ACIL Allen’s analysis of ARC </w:t>
            </w:r>
            <w:r>
              <w:t>Application Data</w:t>
            </w:r>
            <w:r w:rsidRPr="00CE1D7F">
              <w:t xml:space="preserve"> for grants awarded between 2002 and 2021 (with an ARC-approved Final Report by 30 June 2022).</w:t>
            </w:r>
          </w:p>
        </w:tc>
      </w:tr>
      <w:tr w:rsidR="002B32A0" w:rsidRPr="00CE1D7F" w14:paraId="407EA54A" w14:textId="77777777" w:rsidTr="006258ED">
        <w:tblPrEx>
          <w:tblCellMar>
            <w:left w:w="0" w:type="dxa"/>
            <w:right w:w="0" w:type="dxa"/>
          </w:tblCellMar>
        </w:tblPrEx>
        <w:trPr>
          <w:trHeight w:hRule="exact" w:val="160"/>
        </w:trPr>
        <w:tc>
          <w:tcPr>
            <w:tcW w:w="7936" w:type="dxa"/>
            <w:tcBorders>
              <w:top w:val="single" w:sz="4" w:space="0" w:color="000100"/>
            </w:tcBorders>
            <w:shd w:val="clear" w:color="auto" w:fill="auto"/>
            <w:tcMar>
              <w:top w:w="0" w:type="dxa"/>
              <w:bottom w:w="40" w:type="dxa"/>
            </w:tcMar>
          </w:tcPr>
          <w:p w14:paraId="40C429A6" w14:textId="77777777" w:rsidR="002B32A0" w:rsidRPr="00CE1D7F" w:rsidRDefault="002B32A0" w:rsidP="006258ED">
            <w:pPr>
              <w:pStyle w:val="spacer"/>
            </w:pPr>
          </w:p>
        </w:tc>
      </w:tr>
    </w:tbl>
    <w:p w14:paraId="5597D582" w14:textId="77777777" w:rsidR="002B32A0" w:rsidRPr="00CE1D7F" w:rsidRDefault="002B32A0" w:rsidP="002B32A0">
      <w:pPr>
        <w:pStyle w:val="Heading2AP"/>
      </w:pPr>
      <w:bookmarkStart w:id="707" w:name="_Toc129964071"/>
      <w:bookmarkStart w:id="708" w:name="_Toc131174693"/>
      <w:bookmarkStart w:id="709" w:name="_Toc132970744"/>
      <w:bookmarkStart w:id="710" w:name="_Toc135323783"/>
      <w:bookmarkEnd w:id="693"/>
      <w:r w:rsidRPr="00CE1D7F">
        <w:t>NCGP scheme co-contribution requirements</w:t>
      </w:r>
      <w:bookmarkEnd w:id="707"/>
      <w:bookmarkEnd w:id="708"/>
      <w:bookmarkEnd w:id="709"/>
      <w:bookmarkEnd w:id="710"/>
      <w:r w:rsidRPr="00CE1D7F">
        <w:t xml:space="preserve"> </w:t>
      </w:r>
    </w:p>
    <w:p w14:paraId="3CE6BCF6" w14:textId="4A24439F" w:rsidR="002B32A0" w:rsidRPr="00CE1D7F" w:rsidRDefault="002B32A0" w:rsidP="002B32A0">
      <w:pPr>
        <w:pStyle w:val="BodyText"/>
      </w:pPr>
      <w:r w:rsidRPr="00CE1D7F">
        <w:t xml:space="preserve">The eligible Participating Organisations and their required contributions for NCGP schemes are overviewed in </w:t>
      </w:r>
      <w:r w:rsidRPr="00F87D0E">
        <w:fldChar w:fldCharType="begin"/>
      </w:r>
      <w:r w:rsidRPr="00F87D0E">
        <w:instrText xml:space="preserve"> REF _Ref129356118 \h  \* MERGEFORMAT </w:instrText>
      </w:r>
      <w:r w:rsidRPr="00F87D0E">
        <w:fldChar w:fldCharType="separate"/>
      </w:r>
      <w:r w:rsidR="000B0AC7" w:rsidRPr="000B0AC7">
        <w:t>Table D.1</w:t>
      </w:r>
      <w:r w:rsidRPr="00F87D0E">
        <w:fldChar w:fldCharType="end"/>
      </w:r>
      <w:r w:rsidRPr="00CE1D7F">
        <w:t>.</w:t>
      </w:r>
    </w:p>
    <w:p w14:paraId="7AEBEFF2" w14:textId="639CC9B3" w:rsidR="002B32A0" w:rsidRPr="00CE1D7F" w:rsidRDefault="002B32A0" w:rsidP="00ED04DD">
      <w:pPr>
        <w:pStyle w:val="Caption"/>
        <w:ind w:left="-851" w:hanging="1134"/>
      </w:pPr>
      <w:bookmarkStart w:id="711" w:name="_Ref129356118"/>
      <w:r w:rsidRPr="00CE1D7F">
        <w:rPr>
          <w:rStyle w:val="CaptionLabel"/>
        </w:rPr>
        <w:t>Table </w:t>
      </w:r>
      <w:r>
        <w:rPr>
          <w:rStyle w:val="CaptionLabel"/>
        </w:rPr>
        <w:fldChar w:fldCharType="begin"/>
      </w:r>
      <w:r>
        <w:rPr>
          <w:rStyle w:val="CaptionLabel"/>
        </w:rPr>
        <w:instrText xml:space="preserve"> STYLEREF 9 \s </w:instrText>
      </w:r>
      <w:r>
        <w:rPr>
          <w:rStyle w:val="CaptionLabel"/>
        </w:rPr>
        <w:fldChar w:fldCharType="separate"/>
      </w:r>
      <w:r w:rsidR="000B0AC7">
        <w:rPr>
          <w:rStyle w:val="CaptionLabel"/>
          <w:noProof/>
        </w:rPr>
        <w:t>D</w:t>
      </w:r>
      <w:r>
        <w:rPr>
          <w:rStyle w:val="CaptionLabel"/>
        </w:rPr>
        <w:fldChar w:fldCharType="end"/>
      </w:r>
      <w:r>
        <w:rPr>
          <w:rStyle w:val="CaptionLabel"/>
        </w:rPr>
        <w:t>.</w:t>
      </w:r>
      <w:r>
        <w:rPr>
          <w:rStyle w:val="CaptionLabel"/>
        </w:rPr>
        <w:fldChar w:fldCharType="begin"/>
      </w:r>
      <w:r>
        <w:rPr>
          <w:rStyle w:val="CaptionLabel"/>
        </w:rPr>
        <w:instrText xml:space="preserve"> SEQ Table_AP \* ARABIC \s 9 </w:instrText>
      </w:r>
      <w:r>
        <w:rPr>
          <w:rStyle w:val="CaptionLabel"/>
        </w:rPr>
        <w:fldChar w:fldCharType="separate"/>
      </w:r>
      <w:r w:rsidR="000B0AC7">
        <w:rPr>
          <w:rStyle w:val="CaptionLabel"/>
          <w:noProof/>
        </w:rPr>
        <w:t>1</w:t>
      </w:r>
      <w:r>
        <w:rPr>
          <w:rStyle w:val="CaptionLabel"/>
        </w:rPr>
        <w:fldChar w:fldCharType="end"/>
      </w:r>
      <w:bookmarkEnd w:id="711"/>
      <w:r w:rsidRPr="00CE1D7F">
        <w:tab/>
        <w:t>Eligible Participating Organisations and their required contributions for NCGP schemes</w:t>
      </w:r>
    </w:p>
    <w:tbl>
      <w:tblPr>
        <w:tblW w:w="10352" w:type="dxa"/>
        <w:tblInd w:w="-2417" w:type="dxa"/>
        <w:tblBorders>
          <w:bottom w:val="single" w:sz="4" w:space="0" w:color="646464"/>
          <w:insideH w:val="single" w:sz="4" w:space="0" w:color="646464"/>
        </w:tblBorders>
        <w:tblLayout w:type="fixed"/>
        <w:tblCellMar>
          <w:left w:w="0" w:type="dxa"/>
          <w:bottom w:w="40" w:type="dxa"/>
          <w:right w:w="0" w:type="dxa"/>
        </w:tblCellMar>
        <w:tblLook w:val="0000" w:firstRow="0" w:lastRow="0" w:firstColumn="0" w:lastColumn="0" w:noHBand="0" w:noVBand="0"/>
        <w:tblCaption w:val="Table D.1"/>
        <w:tblDescription w:val="Eligible Participating Organisations and their required contributions for NCGP schemes"/>
      </w:tblPr>
      <w:tblGrid>
        <w:gridCol w:w="454"/>
        <w:gridCol w:w="1821"/>
        <w:gridCol w:w="2410"/>
        <w:gridCol w:w="5667"/>
      </w:tblGrid>
      <w:tr w:rsidR="002B32A0" w:rsidRPr="00CE1D7F" w14:paraId="303B7407" w14:textId="77777777" w:rsidTr="006258ED">
        <w:trPr>
          <w:tblHeader/>
        </w:trPr>
        <w:tc>
          <w:tcPr>
            <w:tcW w:w="2275" w:type="dxa"/>
            <w:gridSpan w:val="2"/>
            <w:tcBorders>
              <w:top w:val="nil"/>
              <w:bottom w:val="nil"/>
            </w:tcBorders>
            <w:shd w:val="clear" w:color="auto" w:fill="140034"/>
            <w:tcMar>
              <w:left w:w="454" w:type="dxa"/>
            </w:tcMar>
          </w:tcPr>
          <w:p w14:paraId="48611B2A" w14:textId="77777777" w:rsidR="002B32A0" w:rsidRPr="00CE1D7F" w:rsidRDefault="002B32A0" w:rsidP="006258ED">
            <w:pPr>
              <w:pStyle w:val="Tablecolumnheadings"/>
            </w:pPr>
            <w:r w:rsidRPr="00CE1D7F">
              <w:rPr>
                <w:rFonts w:cstheme="minorHAnsi"/>
                <w:szCs w:val="20"/>
              </w:rPr>
              <w:t>Scheme(s)</w:t>
            </w:r>
          </w:p>
        </w:tc>
        <w:tc>
          <w:tcPr>
            <w:tcW w:w="2410" w:type="dxa"/>
            <w:tcBorders>
              <w:top w:val="nil"/>
              <w:bottom w:val="nil"/>
            </w:tcBorders>
            <w:shd w:val="clear" w:color="auto" w:fill="140034"/>
          </w:tcPr>
          <w:p w14:paraId="505BE4A9" w14:textId="77777777" w:rsidR="002B32A0" w:rsidRPr="00CE1D7F" w:rsidRDefault="002B32A0" w:rsidP="006258ED">
            <w:pPr>
              <w:pStyle w:val="Tablecolumnheadings"/>
            </w:pPr>
            <w:r w:rsidRPr="00CE1D7F">
              <w:rPr>
                <w:rFonts w:cstheme="minorHAnsi"/>
                <w:szCs w:val="20"/>
              </w:rPr>
              <w:t>Participating Organisations</w:t>
            </w:r>
          </w:p>
        </w:tc>
        <w:tc>
          <w:tcPr>
            <w:tcW w:w="5667" w:type="dxa"/>
            <w:tcBorders>
              <w:top w:val="nil"/>
              <w:bottom w:val="nil"/>
              <w:right w:val="single" w:sz="6" w:space="0" w:color="140034"/>
            </w:tcBorders>
            <w:shd w:val="clear" w:color="auto" w:fill="140034"/>
          </w:tcPr>
          <w:p w14:paraId="70600F64" w14:textId="77777777" w:rsidR="002B32A0" w:rsidRPr="00CE1D7F" w:rsidRDefault="002B32A0" w:rsidP="006258ED">
            <w:pPr>
              <w:pStyle w:val="Tablecolumnheadings"/>
            </w:pPr>
            <w:r w:rsidRPr="00CE1D7F">
              <w:rPr>
                <w:rFonts w:cstheme="minorHAnsi"/>
                <w:szCs w:val="20"/>
              </w:rPr>
              <w:t>Contributions</w:t>
            </w:r>
          </w:p>
        </w:tc>
      </w:tr>
      <w:tr w:rsidR="002B32A0" w:rsidRPr="00CE1D7F" w14:paraId="70BE9ECF" w14:textId="77777777" w:rsidTr="006258ED">
        <w:trPr>
          <w:gridBefore w:val="1"/>
          <w:wBefore w:w="454" w:type="dxa"/>
        </w:trPr>
        <w:tc>
          <w:tcPr>
            <w:tcW w:w="1821" w:type="dxa"/>
            <w:tcBorders>
              <w:top w:val="nil"/>
            </w:tcBorders>
            <w:shd w:val="clear" w:color="auto" w:fill="auto"/>
          </w:tcPr>
          <w:p w14:paraId="73DEFE64" w14:textId="77777777" w:rsidR="002B32A0" w:rsidRPr="00CE1D7F" w:rsidRDefault="002B32A0" w:rsidP="006258ED">
            <w:pPr>
              <w:pStyle w:val="Tabletext"/>
            </w:pPr>
            <w:r w:rsidRPr="00CE1D7F">
              <w:t>Australian Laureate Fellowships</w:t>
            </w:r>
            <w:r w:rsidRPr="00CE1D7F">
              <w:br/>
              <w:t>Future Fellowships</w:t>
            </w:r>
            <w:r w:rsidRPr="00CE1D7F">
              <w:br/>
              <w:t>Discovery Early Career Researcher Award</w:t>
            </w:r>
          </w:p>
        </w:tc>
        <w:tc>
          <w:tcPr>
            <w:tcW w:w="2410" w:type="dxa"/>
            <w:tcBorders>
              <w:top w:val="nil"/>
            </w:tcBorders>
            <w:shd w:val="clear" w:color="auto" w:fill="auto"/>
          </w:tcPr>
          <w:p w14:paraId="4CD237F7" w14:textId="77777777" w:rsidR="002B32A0" w:rsidRPr="00CE1D7F" w:rsidRDefault="002B32A0" w:rsidP="006258ED">
            <w:pPr>
              <w:pStyle w:val="Tabletext"/>
            </w:pPr>
            <w:r w:rsidRPr="00CE1D7F">
              <w:t>Administering Organisation</w:t>
            </w:r>
          </w:p>
        </w:tc>
        <w:tc>
          <w:tcPr>
            <w:tcW w:w="5667" w:type="dxa"/>
            <w:vMerge w:val="restart"/>
            <w:tcBorders>
              <w:top w:val="nil"/>
            </w:tcBorders>
            <w:shd w:val="clear" w:color="auto" w:fill="auto"/>
          </w:tcPr>
          <w:p w14:paraId="37B9DF77" w14:textId="77777777" w:rsidR="002B32A0" w:rsidRPr="00CE1D7F" w:rsidRDefault="002B32A0" w:rsidP="006258ED">
            <w:pPr>
              <w:pStyle w:val="Tabletext"/>
            </w:pPr>
            <w:r w:rsidRPr="00CE1D7F">
              <w:t>None</w:t>
            </w:r>
            <w:r w:rsidRPr="00CE1D7F">
              <w:rPr>
                <w:rFonts w:cstheme="minorHAnsi"/>
                <w:szCs w:val="20"/>
              </w:rPr>
              <w:t xml:space="preserve">, </w:t>
            </w:r>
            <w:r w:rsidRPr="00CE1D7F">
              <w:t>although contributions from the Administering Organisation is not an eligibility requirement for Discovery Program schemes, in most cases they provide significant contributions.</w:t>
            </w:r>
          </w:p>
        </w:tc>
      </w:tr>
      <w:tr w:rsidR="002B32A0" w:rsidRPr="00CE1D7F" w14:paraId="27B72174" w14:textId="77777777" w:rsidTr="006258ED">
        <w:trPr>
          <w:gridBefore w:val="1"/>
          <w:wBefore w:w="454" w:type="dxa"/>
        </w:trPr>
        <w:tc>
          <w:tcPr>
            <w:tcW w:w="1821" w:type="dxa"/>
            <w:shd w:val="clear" w:color="auto" w:fill="auto"/>
          </w:tcPr>
          <w:p w14:paraId="5BDF6F72" w14:textId="77777777" w:rsidR="002B32A0" w:rsidRPr="00CE1D7F" w:rsidRDefault="002B32A0" w:rsidP="006258ED">
            <w:pPr>
              <w:pStyle w:val="Tabletext"/>
            </w:pPr>
            <w:r w:rsidRPr="00CE1D7F">
              <w:t>Discovery Projects</w:t>
            </w:r>
            <w:r w:rsidRPr="00CE1D7F">
              <w:br/>
              <w:t>Discovery Indigenous</w:t>
            </w:r>
          </w:p>
        </w:tc>
        <w:tc>
          <w:tcPr>
            <w:tcW w:w="2410" w:type="dxa"/>
            <w:shd w:val="clear" w:color="auto" w:fill="auto"/>
          </w:tcPr>
          <w:p w14:paraId="25C3592F" w14:textId="77777777" w:rsidR="002B32A0" w:rsidRPr="00CE1D7F" w:rsidRDefault="002B32A0" w:rsidP="006258ED">
            <w:pPr>
              <w:pStyle w:val="Tabletext"/>
            </w:pPr>
            <w:r w:rsidRPr="00CE1D7F">
              <w:t>Administering Organisation</w:t>
            </w:r>
            <w:r w:rsidRPr="00CE1D7F">
              <w:br/>
              <w:t>Other Eligible Organisation</w:t>
            </w:r>
            <w:r w:rsidRPr="00CE1D7F">
              <w:br/>
              <w:t>Other Organisation</w:t>
            </w:r>
          </w:p>
        </w:tc>
        <w:tc>
          <w:tcPr>
            <w:tcW w:w="5667" w:type="dxa"/>
            <w:vMerge/>
            <w:shd w:val="clear" w:color="auto" w:fill="auto"/>
          </w:tcPr>
          <w:p w14:paraId="524121B6" w14:textId="77777777" w:rsidR="002B32A0" w:rsidRPr="00CE1D7F" w:rsidRDefault="002B32A0" w:rsidP="006258ED">
            <w:pPr>
              <w:pStyle w:val="Tabletext"/>
            </w:pPr>
          </w:p>
        </w:tc>
      </w:tr>
      <w:tr w:rsidR="002B32A0" w:rsidRPr="00CE1D7F" w14:paraId="76A35E34" w14:textId="77777777" w:rsidTr="006258ED">
        <w:trPr>
          <w:gridBefore w:val="1"/>
          <w:wBefore w:w="454" w:type="dxa"/>
        </w:trPr>
        <w:tc>
          <w:tcPr>
            <w:tcW w:w="1821" w:type="dxa"/>
            <w:tcBorders>
              <w:top w:val="nil"/>
            </w:tcBorders>
            <w:shd w:val="clear" w:color="auto" w:fill="auto"/>
          </w:tcPr>
          <w:p w14:paraId="378B2CEB" w14:textId="77777777" w:rsidR="002B32A0" w:rsidRPr="00CE1D7F" w:rsidRDefault="002B32A0" w:rsidP="006258ED">
            <w:pPr>
              <w:pStyle w:val="Tabletext"/>
            </w:pPr>
            <w:r w:rsidRPr="00CE1D7F">
              <w:t>Linkage Projects</w:t>
            </w:r>
          </w:p>
        </w:tc>
        <w:tc>
          <w:tcPr>
            <w:tcW w:w="2410" w:type="dxa"/>
            <w:tcBorders>
              <w:top w:val="nil"/>
            </w:tcBorders>
            <w:shd w:val="clear" w:color="auto" w:fill="auto"/>
          </w:tcPr>
          <w:p w14:paraId="7146FBAD" w14:textId="77777777" w:rsidR="002B32A0" w:rsidRPr="00CE1D7F" w:rsidRDefault="002B32A0" w:rsidP="006258ED">
            <w:pPr>
              <w:pStyle w:val="Tabletext"/>
            </w:pPr>
            <w:r w:rsidRPr="00CE1D7F">
              <w:t>Administering Organisation</w:t>
            </w:r>
            <w:r w:rsidRPr="00CE1D7F">
              <w:br/>
              <w:t>Partner Organisation (at least one)</w:t>
            </w:r>
            <w:r w:rsidRPr="00CE1D7F">
              <w:br/>
              <w:t>Other Eligible Organisation</w:t>
            </w:r>
            <w:r w:rsidRPr="00CE1D7F">
              <w:br/>
              <w:t>Other Organisation</w:t>
            </w:r>
          </w:p>
        </w:tc>
        <w:tc>
          <w:tcPr>
            <w:tcW w:w="5667" w:type="dxa"/>
            <w:tcBorders>
              <w:top w:val="nil"/>
            </w:tcBorders>
            <w:shd w:val="clear" w:color="auto" w:fill="auto"/>
          </w:tcPr>
          <w:p w14:paraId="4B32008D" w14:textId="77777777" w:rsidR="002B32A0" w:rsidRPr="00CE1D7F" w:rsidRDefault="002B32A0" w:rsidP="006258ED">
            <w:pPr>
              <w:pStyle w:val="Tabletext"/>
            </w:pPr>
            <w:r w:rsidRPr="00CE1D7F">
              <w:t>Partner Organisation(s) to provide total eligible cash and/or in-kind contributions that at least match the total funding requested, with total eligible cash contributions of at least 25% of the total funding requested.</w:t>
            </w:r>
          </w:p>
          <w:p w14:paraId="584BFFDB" w14:textId="77777777" w:rsidR="002B32A0" w:rsidRPr="00CE1D7F" w:rsidRDefault="002B32A0" w:rsidP="006258ED">
            <w:pPr>
              <w:pStyle w:val="Tabletext"/>
            </w:pPr>
            <w:r w:rsidRPr="00CE1D7F">
              <w:t>Eligible Organisation on an application must commit a significant contribution of cash and/or in-kind and/or other material resources to the application.</w:t>
            </w:r>
          </w:p>
        </w:tc>
      </w:tr>
      <w:tr w:rsidR="002B32A0" w:rsidRPr="00CE1D7F" w14:paraId="5EC48242" w14:textId="77777777" w:rsidTr="006258ED">
        <w:trPr>
          <w:gridBefore w:val="1"/>
          <w:wBefore w:w="454" w:type="dxa"/>
        </w:trPr>
        <w:tc>
          <w:tcPr>
            <w:tcW w:w="1821" w:type="dxa"/>
            <w:shd w:val="clear" w:color="auto" w:fill="auto"/>
          </w:tcPr>
          <w:p w14:paraId="7461F570" w14:textId="77777777" w:rsidR="002B32A0" w:rsidRPr="00CE1D7F" w:rsidRDefault="002B32A0" w:rsidP="006258ED">
            <w:pPr>
              <w:pStyle w:val="Tabletext"/>
            </w:pPr>
            <w:r w:rsidRPr="00CE1D7F">
              <w:t>Industrial Transformation Research Hubs</w:t>
            </w:r>
          </w:p>
        </w:tc>
        <w:tc>
          <w:tcPr>
            <w:tcW w:w="2410" w:type="dxa"/>
            <w:shd w:val="clear" w:color="auto" w:fill="auto"/>
          </w:tcPr>
          <w:p w14:paraId="6D11AFF6" w14:textId="77777777" w:rsidR="002B32A0" w:rsidRPr="00CE1D7F" w:rsidRDefault="002B32A0" w:rsidP="006258ED">
            <w:pPr>
              <w:pStyle w:val="Tabletext"/>
            </w:pPr>
            <w:r w:rsidRPr="00CE1D7F">
              <w:t>Administering Organisation</w:t>
            </w:r>
            <w:r w:rsidRPr="00CE1D7F">
              <w:br/>
              <w:t>Partner Organisation (at least one Australian PO)</w:t>
            </w:r>
            <w:r w:rsidRPr="00CE1D7F">
              <w:br/>
              <w:t>Other Eligible Organisation</w:t>
            </w:r>
            <w:r w:rsidRPr="00CE1D7F">
              <w:br/>
              <w:t>Other Organisation</w:t>
            </w:r>
          </w:p>
        </w:tc>
        <w:tc>
          <w:tcPr>
            <w:tcW w:w="5667" w:type="dxa"/>
            <w:shd w:val="clear" w:color="auto" w:fill="auto"/>
          </w:tcPr>
          <w:p w14:paraId="5A986E52" w14:textId="77777777" w:rsidR="002B32A0" w:rsidRPr="00CE1D7F" w:rsidRDefault="002B32A0" w:rsidP="006258ED">
            <w:pPr>
              <w:pStyle w:val="Tabletext"/>
            </w:pPr>
            <w:r w:rsidRPr="00CE1D7F">
              <w:t>Each Other Eligible Organisation and Partner Organisation on an application must each commit a significant contribution of cash and/or in-kind and/or other material resources.</w:t>
            </w:r>
          </w:p>
          <w:p w14:paraId="24CD26AB" w14:textId="77777777" w:rsidR="002B32A0" w:rsidRPr="00CE1D7F" w:rsidRDefault="002B32A0" w:rsidP="006258ED">
            <w:pPr>
              <w:pStyle w:val="Tabletext"/>
            </w:pPr>
            <w:r w:rsidRPr="00CE1D7F">
              <w:t>Combined Partner Organisation(s) contributions must match or exceed the total funding requested.</w:t>
            </w:r>
          </w:p>
          <w:p w14:paraId="6D5130A8" w14:textId="77777777" w:rsidR="002B32A0" w:rsidRPr="00CE1D7F" w:rsidRDefault="002B32A0" w:rsidP="006258ED">
            <w:pPr>
              <w:pStyle w:val="Tabletext"/>
            </w:pPr>
            <w:r w:rsidRPr="00CE1D7F">
              <w:t>The combined Partner Organisation(s) cash contribution must be at least 75% of the total funding requested when any Partner Organisation has &gt; 100 employees.</w:t>
            </w:r>
          </w:p>
        </w:tc>
      </w:tr>
      <w:tr w:rsidR="002B32A0" w:rsidRPr="00CE1D7F" w14:paraId="4E74569A" w14:textId="77777777" w:rsidTr="006258ED">
        <w:trPr>
          <w:gridBefore w:val="1"/>
          <w:wBefore w:w="454" w:type="dxa"/>
        </w:trPr>
        <w:tc>
          <w:tcPr>
            <w:tcW w:w="1821" w:type="dxa"/>
            <w:shd w:val="clear" w:color="auto" w:fill="auto"/>
          </w:tcPr>
          <w:p w14:paraId="33C6071A" w14:textId="77777777" w:rsidR="002B32A0" w:rsidRPr="00CE1D7F" w:rsidRDefault="002B32A0" w:rsidP="006258ED">
            <w:pPr>
              <w:pStyle w:val="Tabletext"/>
            </w:pPr>
            <w:r w:rsidRPr="00CE1D7F">
              <w:t>Linkage Australian Postdoctoral Fellowships (CSIRO)</w:t>
            </w:r>
          </w:p>
        </w:tc>
        <w:tc>
          <w:tcPr>
            <w:tcW w:w="2410" w:type="dxa"/>
            <w:shd w:val="clear" w:color="auto" w:fill="auto"/>
          </w:tcPr>
          <w:p w14:paraId="4F0B4437" w14:textId="77777777" w:rsidR="002B32A0" w:rsidRPr="00CE1D7F" w:rsidRDefault="002B32A0" w:rsidP="006258ED">
            <w:pPr>
              <w:pStyle w:val="Tabletext"/>
            </w:pPr>
            <w:r w:rsidRPr="00CE1D7F">
              <w:t>Administering Organisation</w:t>
            </w:r>
            <w:r w:rsidRPr="00CE1D7F">
              <w:br/>
              <w:t>Partner Organisation (at least one Australian Partner Organisation)</w:t>
            </w:r>
            <w:r w:rsidRPr="00CE1D7F">
              <w:br/>
              <w:t>Other Eligible Organisation</w:t>
            </w:r>
            <w:r w:rsidRPr="00CE1D7F">
              <w:br/>
              <w:t>Other Organisation</w:t>
            </w:r>
          </w:p>
        </w:tc>
        <w:tc>
          <w:tcPr>
            <w:tcW w:w="5667" w:type="dxa"/>
            <w:shd w:val="clear" w:color="auto" w:fill="auto"/>
          </w:tcPr>
          <w:p w14:paraId="7E44CEAA" w14:textId="77777777" w:rsidR="002B32A0" w:rsidRPr="00CE1D7F" w:rsidRDefault="002B32A0" w:rsidP="006258ED">
            <w:pPr>
              <w:pStyle w:val="Tabletext"/>
            </w:pPr>
            <w:r w:rsidRPr="00CE1D7F">
              <w:t>Each Other Eligible Organisation and Partner Organisation on an application must each commit a significant contribution of cash and/or in-kind and/or other material resources.</w:t>
            </w:r>
          </w:p>
          <w:p w14:paraId="30B9440C" w14:textId="77777777" w:rsidR="002B32A0" w:rsidRPr="00CE1D7F" w:rsidRDefault="002B32A0" w:rsidP="006258ED">
            <w:pPr>
              <w:pStyle w:val="Tabletext"/>
            </w:pPr>
            <w:r w:rsidRPr="00CE1D7F">
              <w:t>Combined cash and in-kind contributions from all participating organisations, along with the ARC contribution, must be sufficient to support all the research projects described in the application.</w:t>
            </w:r>
          </w:p>
        </w:tc>
      </w:tr>
      <w:tr w:rsidR="002B32A0" w:rsidRPr="00CE1D7F" w14:paraId="4B143FD0" w14:textId="77777777" w:rsidTr="006258ED">
        <w:trPr>
          <w:gridBefore w:val="1"/>
          <w:wBefore w:w="454" w:type="dxa"/>
        </w:trPr>
        <w:tc>
          <w:tcPr>
            <w:tcW w:w="1821" w:type="dxa"/>
            <w:tcBorders>
              <w:top w:val="nil"/>
            </w:tcBorders>
            <w:shd w:val="clear" w:color="auto" w:fill="auto"/>
          </w:tcPr>
          <w:p w14:paraId="602B2E68" w14:textId="77777777" w:rsidR="002B32A0" w:rsidRPr="00CE1D7F" w:rsidRDefault="002B32A0" w:rsidP="006258ED">
            <w:pPr>
              <w:pStyle w:val="Tabletext"/>
            </w:pPr>
            <w:r w:rsidRPr="00CE1D7F">
              <w:t>Linkage Infrastructure, Equipment and Facilities</w:t>
            </w:r>
          </w:p>
        </w:tc>
        <w:tc>
          <w:tcPr>
            <w:tcW w:w="2410" w:type="dxa"/>
            <w:tcBorders>
              <w:top w:val="nil"/>
            </w:tcBorders>
            <w:shd w:val="clear" w:color="auto" w:fill="auto"/>
          </w:tcPr>
          <w:p w14:paraId="73A02B2A" w14:textId="77777777" w:rsidR="002B32A0" w:rsidRPr="00CE1D7F" w:rsidRDefault="002B32A0" w:rsidP="006258ED">
            <w:pPr>
              <w:pStyle w:val="Tabletext"/>
            </w:pPr>
            <w:r w:rsidRPr="00CE1D7F">
              <w:t>Administering Organisation</w:t>
            </w:r>
            <w:r w:rsidRPr="00CE1D7F">
              <w:br/>
              <w:t xml:space="preserve">Partner Organisation </w:t>
            </w:r>
            <w:r w:rsidRPr="00CE1D7F">
              <w:br/>
              <w:t xml:space="preserve">Other Eligible Organisation </w:t>
            </w:r>
            <w:r w:rsidRPr="00CE1D7F">
              <w:br/>
              <w:t>Other Organisation</w:t>
            </w:r>
          </w:p>
        </w:tc>
        <w:tc>
          <w:tcPr>
            <w:tcW w:w="5667" w:type="dxa"/>
            <w:tcBorders>
              <w:top w:val="nil"/>
            </w:tcBorders>
            <w:shd w:val="clear" w:color="auto" w:fill="auto"/>
          </w:tcPr>
          <w:p w14:paraId="62A4CCDD" w14:textId="77777777" w:rsidR="002B32A0" w:rsidRPr="00CE1D7F" w:rsidRDefault="002B32A0" w:rsidP="006258ED">
            <w:pPr>
              <w:pStyle w:val="Tabletext"/>
            </w:pPr>
            <w:r w:rsidRPr="00CE1D7F">
              <w:t>All Eligible Organisation(s) on an application must make a cash contribution.</w:t>
            </w:r>
          </w:p>
          <w:p w14:paraId="6754159F" w14:textId="77777777" w:rsidR="002B32A0" w:rsidRPr="00CE1D7F" w:rsidRDefault="002B32A0" w:rsidP="006258ED">
            <w:pPr>
              <w:pStyle w:val="Tabletext"/>
            </w:pPr>
            <w:r w:rsidRPr="00CE1D7F">
              <w:t>Organisational cash contributions for direct costs must make up a minimum of 25% of the total direct cost of the research infrastructure.</w:t>
            </w:r>
          </w:p>
          <w:p w14:paraId="1FCE5EB6" w14:textId="77777777" w:rsidR="002B32A0" w:rsidRPr="00CE1D7F" w:rsidRDefault="002B32A0" w:rsidP="006258ED">
            <w:pPr>
              <w:pStyle w:val="Tabletext"/>
            </w:pPr>
            <w:r w:rsidRPr="00CE1D7F">
              <w:t>Each Partner Organisation must make a contribution of cash and/or in-kind and/or other material resources that is specific to the project.</w:t>
            </w:r>
          </w:p>
        </w:tc>
      </w:tr>
      <w:tr w:rsidR="002B32A0" w:rsidRPr="00CE1D7F" w14:paraId="5345367E" w14:textId="77777777" w:rsidTr="006258ED">
        <w:trPr>
          <w:gridBefore w:val="1"/>
          <w:wBefore w:w="454" w:type="dxa"/>
        </w:trPr>
        <w:tc>
          <w:tcPr>
            <w:tcW w:w="1821" w:type="dxa"/>
            <w:shd w:val="clear" w:color="auto" w:fill="auto"/>
          </w:tcPr>
          <w:p w14:paraId="62E0E447" w14:textId="77777777" w:rsidR="002B32A0" w:rsidRPr="00CE1D7F" w:rsidRDefault="002B32A0" w:rsidP="006258ED">
            <w:pPr>
              <w:pStyle w:val="Tabletext"/>
            </w:pPr>
            <w:r w:rsidRPr="00CE1D7F">
              <w:t>ARC Centres of Excellence</w:t>
            </w:r>
          </w:p>
        </w:tc>
        <w:tc>
          <w:tcPr>
            <w:tcW w:w="2410" w:type="dxa"/>
            <w:shd w:val="clear" w:color="auto" w:fill="auto"/>
          </w:tcPr>
          <w:p w14:paraId="68A27033" w14:textId="77777777" w:rsidR="002B32A0" w:rsidRPr="00CE1D7F" w:rsidRDefault="002B32A0" w:rsidP="006258ED">
            <w:pPr>
              <w:pStyle w:val="Tabletext"/>
            </w:pPr>
            <w:r w:rsidRPr="00CE1D7F">
              <w:t>Administering Organisation</w:t>
            </w:r>
            <w:r w:rsidRPr="00CE1D7F">
              <w:br/>
              <w:t>Partner Organisation (at least one)</w:t>
            </w:r>
            <w:r w:rsidRPr="00CE1D7F">
              <w:br/>
              <w:t>Other Eligible Organisation (at least one)</w:t>
            </w:r>
            <w:r w:rsidRPr="00CE1D7F">
              <w:br/>
              <w:t>Other Organisation</w:t>
            </w:r>
          </w:p>
        </w:tc>
        <w:tc>
          <w:tcPr>
            <w:tcW w:w="5667" w:type="dxa"/>
            <w:shd w:val="clear" w:color="auto" w:fill="auto"/>
          </w:tcPr>
          <w:p w14:paraId="3AB750C2" w14:textId="77777777" w:rsidR="002B32A0" w:rsidRPr="00CE1D7F" w:rsidRDefault="002B32A0" w:rsidP="006258ED">
            <w:pPr>
              <w:pStyle w:val="Tabletext"/>
            </w:pPr>
            <w:r w:rsidRPr="00CE1D7F">
              <w:t>Eligible Organisations must commit a significant contribution of cash and/or in-kind and/or other material resources.</w:t>
            </w:r>
          </w:p>
          <w:p w14:paraId="25A20276" w14:textId="77777777" w:rsidR="002B32A0" w:rsidRPr="00CE1D7F" w:rsidRDefault="002B32A0" w:rsidP="006258ED">
            <w:pPr>
              <w:pStyle w:val="Tabletext"/>
            </w:pPr>
            <w:r w:rsidRPr="00CE1D7F">
              <w:t>Each Partner Organisation must make a contribution of cash and/or in-kind and/or other material resources that is specific to the Centre.</w:t>
            </w:r>
          </w:p>
        </w:tc>
      </w:tr>
      <w:tr w:rsidR="002B32A0" w:rsidRPr="00CE1D7F" w14:paraId="6A6D7665" w14:textId="77777777" w:rsidTr="006258ED">
        <w:trPr>
          <w:gridBefore w:val="1"/>
          <w:wBefore w:w="454" w:type="dxa"/>
        </w:trPr>
        <w:tc>
          <w:tcPr>
            <w:tcW w:w="1821" w:type="dxa"/>
            <w:shd w:val="clear" w:color="auto" w:fill="auto"/>
          </w:tcPr>
          <w:p w14:paraId="21486082" w14:textId="77777777" w:rsidR="002B32A0" w:rsidRPr="00CE1D7F" w:rsidRDefault="002B32A0" w:rsidP="006258ED">
            <w:pPr>
              <w:pStyle w:val="Tabletext"/>
            </w:pPr>
            <w:r w:rsidRPr="00CE1D7F">
              <w:t>Special Research Initiatives</w:t>
            </w:r>
          </w:p>
        </w:tc>
        <w:tc>
          <w:tcPr>
            <w:tcW w:w="2410" w:type="dxa"/>
            <w:shd w:val="clear" w:color="auto" w:fill="auto"/>
          </w:tcPr>
          <w:p w14:paraId="70AB21CE" w14:textId="77777777" w:rsidR="002B32A0" w:rsidRPr="00CE1D7F" w:rsidRDefault="002B32A0" w:rsidP="006258ED">
            <w:pPr>
              <w:pStyle w:val="Tabletext"/>
            </w:pPr>
            <w:r w:rsidRPr="00CE1D7F">
              <w:t>Administering Organisation</w:t>
            </w:r>
            <w:r w:rsidRPr="00CE1D7F">
              <w:br/>
              <w:t>Varies between rounds in terms of further organisation types</w:t>
            </w:r>
          </w:p>
        </w:tc>
        <w:tc>
          <w:tcPr>
            <w:tcW w:w="5667" w:type="dxa"/>
            <w:shd w:val="clear" w:color="auto" w:fill="auto"/>
          </w:tcPr>
          <w:p w14:paraId="703CE015" w14:textId="77777777" w:rsidR="002B32A0" w:rsidRPr="00CE1D7F" w:rsidRDefault="002B32A0" w:rsidP="006258ED">
            <w:pPr>
              <w:pStyle w:val="Tabletext"/>
            </w:pPr>
            <w:r w:rsidRPr="00CE1D7F">
              <w:t>Varies between rounds</w:t>
            </w:r>
          </w:p>
        </w:tc>
      </w:tr>
      <w:tr w:rsidR="002B32A0" w:rsidRPr="00CE1D7F" w14:paraId="5F9646C8" w14:textId="77777777" w:rsidTr="006258ED">
        <w:trPr>
          <w:gridBefore w:val="1"/>
          <w:wBefore w:w="454" w:type="dxa"/>
        </w:trPr>
        <w:tc>
          <w:tcPr>
            <w:tcW w:w="1821" w:type="dxa"/>
            <w:tcBorders>
              <w:top w:val="nil"/>
            </w:tcBorders>
            <w:shd w:val="clear" w:color="auto" w:fill="auto"/>
          </w:tcPr>
          <w:p w14:paraId="0463E8C5" w14:textId="77777777" w:rsidR="002B32A0" w:rsidRPr="00CE1D7F" w:rsidRDefault="002B32A0" w:rsidP="006258ED">
            <w:pPr>
              <w:pStyle w:val="Tabletext"/>
            </w:pPr>
            <w:r w:rsidRPr="00CE1D7F">
              <w:t>Supporting Responses to Commonwealth Science Council Priorities</w:t>
            </w:r>
          </w:p>
        </w:tc>
        <w:tc>
          <w:tcPr>
            <w:tcW w:w="2410" w:type="dxa"/>
            <w:tcBorders>
              <w:top w:val="nil"/>
            </w:tcBorders>
            <w:shd w:val="clear" w:color="auto" w:fill="auto"/>
          </w:tcPr>
          <w:p w14:paraId="07E58C83" w14:textId="77777777" w:rsidR="002B32A0" w:rsidRPr="00CE1D7F" w:rsidRDefault="002B32A0" w:rsidP="006258ED">
            <w:pPr>
              <w:pStyle w:val="Tabletext"/>
            </w:pPr>
            <w:r w:rsidRPr="00CE1D7F">
              <w:t>Administering Organisation</w:t>
            </w:r>
          </w:p>
        </w:tc>
        <w:tc>
          <w:tcPr>
            <w:tcW w:w="5667" w:type="dxa"/>
            <w:tcBorders>
              <w:top w:val="nil"/>
            </w:tcBorders>
            <w:shd w:val="clear" w:color="auto" w:fill="auto"/>
          </w:tcPr>
          <w:p w14:paraId="0C4C20E2" w14:textId="77777777" w:rsidR="002B32A0" w:rsidRPr="00CE1D7F" w:rsidRDefault="002B32A0" w:rsidP="006258ED">
            <w:pPr>
              <w:pStyle w:val="Tabletext"/>
            </w:pPr>
            <w:r w:rsidRPr="00CE1D7F">
              <w:t>None</w:t>
            </w:r>
          </w:p>
        </w:tc>
      </w:tr>
      <w:tr w:rsidR="002B32A0" w:rsidRPr="00CE1D7F" w14:paraId="483369F4" w14:textId="77777777" w:rsidTr="006258ED">
        <w:trPr>
          <w:gridBefore w:val="1"/>
          <w:wBefore w:w="454" w:type="dxa"/>
        </w:trPr>
        <w:tc>
          <w:tcPr>
            <w:tcW w:w="1821" w:type="dxa"/>
            <w:shd w:val="clear" w:color="auto" w:fill="auto"/>
          </w:tcPr>
          <w:p w14:paraId="232647D7" w14:textId="77777777" w:rsidR="002B32A0" w:rsidRPr="00CE1D7F" w:rsidRDefault="002B32A0" w:rsidP="006258ED">
            <w:pPr>
              <w:pStyle w:val="Tabletext"/>
            </w:pPr>
            <w:r w:rsidRPr="00CE1D7F">
              <w:t>Learned Academies Special Projects</w:t>
            </w:r>
          </w:p>
        </w:tc>
        <w:tc>
          <w:tcPr>
            <w:tcW w:w="2410" w:type="dxa"/>
            <w:shd w:val="clear" w:color="auto" w:fill="auto"/>
          </w:tcPr>
          <w:p w14:paraId="0E9ECD23" w14:textId="77777777" w:rsidR="002B32A0" w:rsidRPr="00CE1D7F" w:rsidRDefault="002B32A0" w:rsidP="006258ED">
            <w:pPr>
              <w:pStyle w:val="Tabletext"/>
            </w:pPr>
            <w:r w:rsidRPr="00CE1D7F">
              <w:t>Administering Organisation</w:t>
            </w:r>
          </w:p>
        </w:tc>
        <w:tc>
          <w:tcPr>
            <w:tcW w:w="5667" w:type="dxa"/>
            <w:shd w:val="clear" w:color="auto" w:fill="auto"/>
          </w:tcPr>
          <w:p w14:paraId="7D307CDF" w14:textId="77777777" w:rsidR="002B32A0" w:rsidRPr="00CE1D7F" w:rsidRDefault="002B32A0" w:rsidP="006258ED">
            <w:pPr>
              <w:pStyle w:val="Tabletext"/>
            </w:pPr>
            <w:r w:rsidRPr="00CE1D7F">
              <w:t>None</w:t>
            </w:r>
          </w:p>
        </w:tc>
      </w:tr>
      <w:tr w:rsidR="002B32A0" w:rsidRPr="00CE1D7F" w14:paraId="4BA04B27" w14:textId="77777777" w:rsidTr="006258ED">
        <w:trPr>
          <w:gridBefore w:val="1"/>
          <w:wBefore w:w="454" w:type="dxa"/>
        </w:trPr>
        <w:tc>
          <w:tcPr>
            <w:tcW w:w="9898" w:type="dxa"/>
            <w:gridSpan w:val="3"/>
            <w:tcBorders>
              <w:bottom w:val="single" w:sz="4" w:space="0" w:color="646464"/>
            </w:tcBorders>
            <w:shd w:val="clear" w:color="auto" w:fill="auto"/>
          </w:tcPr>
          <w:p w14:paraId="777481B1" w14:textId="77777777" w:rsidR="002B32A0" w:rsidRPr="00CE1D7F" w:rsidRDefault="002B32A0" w:rsidP="006258ED">
            <w:pPr>
              <w:pStyle w:val="Source"/>
            </w:pPr>
            <w:r w:rsidRPr="00CE1D7F">
              <w:t xml:space="preserve">Source: ARC from the </w:t>
            </w:r>
            <w:r w:rsidRPr="00CE1D7F">
              <w:rPr>
                <w:iCs/>
                <w:sz w:val="18"/>
                <w:szCs w:val="18"/>
              </w:rPr>
              <w:t>most recent published grant guidelines for respective schemes as of July 2022.</w:t>
            </w:r>
          </w:p>
        </w:tc>
      </w:tr>
    </w:tbl>
    <w:p w14:paraId="6F159B7E" w14:textId="77777777" w:rsidR="002B32A0" w:rsidRDefault="002B32A0" w:rsidP="002B32A0">
      <w:pPr>
        <w:pStyle w:val="BodyText"/>
      </w:pPr>
    </w:p>
    <w:p w14:paraId="25859470" w14:textId="77777777" w:rsidR="002B32A0" w:rsidRDefault="002B32A0" w:rsidP="002B32A0">
      <w:pPr>
        <w:pStyle w:val="BodyText"/>
      </w:pPr>
    </w:p>
    <w:p w14:paraId="2B2874F0" w14:textId="77777777" w:rsidR="00E20726" w:rsidRDefault="00E20726" w:rsidP="00A2260A"/>
    <w:p w14:paraId="0643F9C7" w14:textId="77777777" w:rsidR="0093618B" w:rsidRDefault="0093618B" w:rsidP="00A2260A">
      <w:pPr>
        <w:sectPr w:rsidR="0093618B" w:rsidSect="0073400B">
          <w:headerReference w:type="even" r:id="rId298"/>
          <w:headerReference w:type="default" r:id="rId299"/>
          <w:footerReference w:type="even" r:id="rId300"/>
          <w:footerReference w:type="default" r:id="rId301"/>
          <w:headerReference w:type="first" r:id="rId302"/>
          <w:footerReference w:type="first" r:id="rId303"/>
          <w:pgSz w:w="11907" w:h="16839" w:code="9"/>
          <w:pgMar w:top="1134" w:right="851" w:bottom="1134" w:left="3119" w:header="454" w:footer="159" w:gutter="0"/>
          <w:pgNumType w:start="1" w:chapStyle="9"/>
          <w:cols w:space="708"/>
          <w:docGrid w:linePitch="360"/>
        </w:sectPr>
      </w:pPr>
    </w:p>
    <w:p w14:paraId="648415BA" w14:textId="77777777" w:rsidR="0093618B" w:rsidRDefault="0093618B" w:rsidP="0093618B">
      <w:pPr>
        <w:pStyle w:val="BodyText"/>
      </w:pPr>
    </w:p>
    <w:tbl>
      <w:tblPr>
        <w:tblStyle w:val="aacTablenolines"/>
        <w:tblW w:w="10053" w:type="dxa"/>
        <w:tblLayout w:type="fixed"/>
        <w:tblCellMar>
          <w:left w:w="108" w:type="dxa"/>
          <w:right w:w="108" w:type="dxa"/>
        </w:tblCellMar>
        <w:tblLook w:val="04A0" w:firstRow="1" w:lastRow="0" w:firstColumn="1" w:lastColumn="0" w:noHBand="0" w:noVBand="1"/>
      </w:tblPr>
      <w:tblGrid>
        <w:gridCol w:w="3351"/>
        <w:gridCol w:w="3351"/>
        <w:gridCol w:w="3351"/>
      </w:tblGrid>
      <w:tr w:rsidR="000B0AC7" w14:paraId="160DE0E7" w14:textId="77777777" w:rsidTr="000B0AC7">
        <w:tc>
          <w:tcPr>
            <w:tcW w:w="3351" w:type="dxa"/>
            <w:shd w:val="clear" w:color="auto" w:fill="auto"/>
          </w:tcPr>
          <w:p w14:paraId="5C4D2188" w14:textId="77777777" w:rsidR="000B0AC7" w:rsidRDefault="000B0AC7" w:rsidP="000B0AC7">
            <w:pPr>
              <w:pStyle w:val="tagcontactsPage-Back"/>
            </w:pPr>
          </w:p>
        </w:tc>
        <w:tc>
          <w:tcPr>
            <w:tcW w:w="3351" w:type="dxa"/>
            <w:shd w:val="clear" w:color="auto" w:fill="auto"/>
          </w:tcPr>
          <w:p w14:paraId="160C388C" w14:textId="77777777" w:rsidR="000B0AC7" w:rsidRDefault="000B0AC7" w:rsidP="000B0AC7">
            <w:pPr>
              <w:pStyle w:val="CpContactDetails"/>
            </w:pPr>
          </w:p>
        </w:tc>
        <w:tc>
          <w:tcPr>
            <w:tcW w:w="3351" w:type="dxa"/>
            <w:shd w:val="clear" w:color="auto" w:fill="auto"/>
          </w:tcPr>
          <w:p w14:paraId="6DE21A0A" w14:textId="77777777" w:rsidR="000B0AC7" w:rsidRDefault="000B0AC7" w:rsidP="000B0AC7">
            <w:pPr>
              <w:pStyle w:val="CpContactDetails"/>
            </w:pPr>
          </w:p>
        </w:tc>
      </w:tr>
      <w:tr w:rsidR="000B0AC7" w14:paraId="1D120739" w14:textId="77777777" w:rsidTr="000B0AC7">
        <w:tc>
          <w:tcPr>
            <w:tcW w:w="3351" w:type="dxa"/>
            <w:shd w:val="clear" w:color="auto" w:fill="auto"/>
            <w:tcMar>
              <w:bottom w:w="468" w:type="dxa"/>
            </w:tcMar>
          </w:tcPr>
          <w:p w14:paraId="6C465C78" w14:textId="77777777" w:rsidR="000B0AC7" w:rsidRDefault="000B0AC7" w:rsidP="000B0AC7">
            <w:pPr>
              <w:pStyle w:val="CpContactDetailsHeading"/>
            </w:pPr>
            <w:r>
              <w:t>Melbourne</w:t>
            </w:r>
          </w:p>
          <w:p w14:paraId="259708ED" w14:textId="6B69077D" w:rsidR="000B0AC7" w:rsidRDefault="000B0AC7" w:rsidP="000B0AC7">
            <w:pPr>
              <w:pStyle w:val="CpContactDetails"/>
            </w:pPr>
            <w:r>
              <w:t>Suite 4, Level 19</w:t>
            </w:r>
            <w:r w:rsidR="0082767C">
              <w:t>,</w:t>
            </w:r>
            <w:r>
              <w:t xml:space="preserve"> North Tower</w:t>
            </w:r>
          </w:p>
          <w:p w14:paraId="25BA7D9D" w14:textId="77777777" w:rsidR="000B0AC7" w:rsidRDefault="000B0AC7" w:rsidP="000B0AC7">
            <w:pPr>
              <w:pStyle w:val="CpContactDetails"/>
            </w:pPr>
            <w:r>
              <w:t>80 Collins Street</w:t>
            </w:r>
          </w:p>
          <w:p w14:paraId="69330368" w14:textId="77777777" w:rsidR="000B0AC7" w:rsidRDefault="000B0AC7" w:rsidP="000B0AC7">
            <w:pPr>
              <w:pStyle w:val="CpContactDetails"/>
            </w:pPr>
            <w:r>
              <w:t>Melbourne VIC 3000 Australia</w:t>
            </w:r>
          </w:p>
          <w:p w14:paraId="2DEC3FC7" w14:textId="77777777" w:rsidR="000B0AC7" w:rsidRDefault="000B0AC7" w:rsidP="000B0AC7">
            <w:pPr>
              <w:pStyle w:val="CpContactDetails"/>
            </w:pPr>
            <w:r>
              <w:t>+61 3 8650 6000</w:t>
            </w:r>
          </w:p>
          <w:p w14:paraId="4726B387" w14:textId="77777777" w:rsidR="000B0AC7" w:rsidRDefault="000B0AC7" w:rsidP="000B0AC7">
            <w:pPr>
              <w:pStyle w:val="CpContactDetails"/>
            </w:pPr>
          </w:p>
          <w:p w14:paraId="59DD13FB" w14:textId="77777777" w:rsidR="000B0AC7" w:rsidRDefault="000B0AC7" w:rsidP="000B0AC7">
            <w:pPr>
              <w:pStyle w:val="CpContactDetailsHeading"/>
            </w:pPr>
            <w:r>
              <w:t>Canberra</w:t>
            </w:r>
          </w:p>
          <w:p w14:paraId="7022F5C2" w14:textId="77777777" w:rsidR="000B0AC7" w:rsidRDefault="000B0AC7" w:rsidP="000B0AC7">
            <w:pPr>
              <w:pStyle w:val="CpContactDetails"/>
            </w:pPr>
            <w:r>
              <w:t>Level 6, 54 Marcus Clarke Street</w:t>
            </w:r>
          </w:p>
          <w:p w14:paraId="5BA2E0A6" w14:textId="77777777" w:rsidR="000B0AC7" w:rsidRDefault="000B0AC7" w:rsidP="000B0AC7">
            <w:pPr>
              <w:pStyle w:val="CpContactDetails"/>
            </w:pPr>
            <w:r>
              <w:t>Canberra ACT 2601 Australia</w:t>
            </w:r>
          </w:p>
          <w:p w14:paraId="2D79CDB8" w14:textId="129127DC" w:rsidR="000B0AC7" w:rsidRDefault="000B0AC7" w:rsidP="000B0AC7">
            <w:pPr>
              <w:pStyle w:val="CpContactDetails"/>
            </w:pPr>
            <w:r>
              <w:t>+61 2 6103 8200</w:t>
            </w:r>
          </w:p>
        </w:tc>
        <w:tc>
          <w:tcPr>
            <w:tcW w:w="3351" w:type="dxa"/>
            <w:shd w:val="clear" w:color="auto" w:fill="auto"/>
          </w:tcPr>
          <w:p w14:paraId="190016EB" w14:textId="77777777" w:rsidR="000B0AC7" w:rsidRDefault="000B0AC7" w:rsidP="000B0AC7">
            <w:pPr>
              <w:pStyle w:val="CpContactDetailsHeading"/>
            </w:pPr>
            <w:r>
              <w:t>Sydney</w:t>
            </w:r>
          </w:p>
          <w:p w14:paraId="36697E6F" w14:textId="77777777" w:rsidR="000B0AC7" w:rsidRDefault="000B0AC7" w:rsidP="000B0AC7">
            <w:pPr>
              <w:pStyle w:val="CpContactDetails"/>
            </w:pPr>
            <w:r>
              <w:t>Suite 603, Level 6</w:t>
            </w:r>
          </w:p>
          <w:p w14:paraId="6E4B021F" w14:textId="77777777" w:rsidR="000B0AC7" w:rsidRDefault="000B0AC7" w:rsidP="000B0AC7">
            <w:pPr>
              <w:pStyle w:val="CpContactDetails"/>
            </w:pPr>
            <w:r>
              <w:t>309 Kent Street</w:t>
            </w:r>
          </w:p>
          <w:p w14:paraId="05A0B2C6" w14:textId="77777777" w:rsidR="000B0AC7" w:rsidRDefault="000B0AC7" w:rsidP="000B0AC7">
            <w:pPr>
              <w:pStyle w:val="CpContactDetails"/>
            </w:pPr>
            <w:r>
              <w:t>Sydney NSW 2000 Australia</w:t>
            </w:r>
          </w:p>
          <w:p w14:paraId="22EB2D07" w14:textId="77777777" w:rsidR="000B0AC7" w:rsidRDefault="000B0AC7" w:rsidP="000B0AC7">
            <w:pPr>
              <w:pStyle w:val="CpContactDetails"/>
            </w:pPr>
            <w:r>
              <w:t>+61 2 8272 5100</w:t>
            </w:r>
          </w:p>
          <w:p w14:paraId="1C81D768" w14:textId="77777777" w:rsidR="000B0AC7" w:rsidRDefault="000B0AC7" w:rsidP="000B0AC7">
            <w:pPr>
              <w:pStyle w:val="CpContactDetails"/>
            </w:pPr>
          </w:p>
          <w:p w14:paraId="51F20AC4" w14:textId="77777777" w:rsidR="000B0AC7" w:rsidRDefault="000B0AC7" w:rsidP="000B0AC7">
            <w:pPr>
              <w:pStyle w:val="CpContactDetailsHeading"/>
            </w:pPr>
            <w:r>
              <w:t>Perth</w:t>
            </w:r>
          </w:p>
          <w:p w14:paraId="3F6EC254" w14:textId="77777777" w:rsidR="000B0AC7" w:rsidRDefault="000B0AC7" w:rsidP="000B0AC7">
            <w:pPr>
              <w:pStyle w:val="CpContactDetails"/>
            </w:pPr>
            <w:r>
              <w:t>Level 12, 28 The Esplanade</w:t>
            </w:r>
          </w:p>
          <w:p w14:paraId="0A0623CC" w14:textId="77777777" w:rsidR="000B0AC7" w:rsidRDefault="000B0AC7" w:rsidP="000B0AC7">
            <w:pPr>
              <w:pStyle w:val="CpContactDetails"/>
            </w:pPr>
            <w:r>
              <w:t>Perth WA 6000 Australia</w:t>
            </w:r>
          </w:p>
          <w:p w14:paraId="34D5D07B" w14:textId="2897F65E" w:rsidR="000B0AC7" w:rsidRDefault="000B0AC7" w:rsidP="000B0AC7">
            <w:pPr>
              <w:pStyle w:val="CpContactDetails"/>
            </w:pPr>
            <w:r>
              <w:t>+61 8 9449 9600</w:t>
            </w:r>
          </w:p>
        </w:tc>
        <w:tc>
          <w:tcPr>
            <w:tcW w:w="3351" w:type="dxa"/>
            <w:shd w:val="clear" w:color="auto" w:fill="auto"/>
          </w:tcPr>
          <w:p w14:paraId="0BBA47BA" w14:textId="77777777" w:rsidR="000B0AC7" w:rsidRDefault="000B0AC7" w:rsidP="000B0AC7">
            <w:pPr>
              <w:pStyle w:val="CpContactDetailsHeading"/>
            </w:pPr>
            <w:r>
              <w:t>Brisbane</w:t>
            </w:r>
          </w:p>
          <w:p w14:paraId="32A40B89" w14:textId="77777777" w:rsidR="000B0AC7" w:rsidRDefault="000B0AC7" w:rsidP="000B0AC7">
            <w:pPr>
              <w:pStyle w:val="CpContactDetails"/>
            </w:pPr>
            <w:r>
              <w:t>Level 15, 127 Creek Street</w:t>
            </w:r>
          </w:p>
          <w:p w14:paraId="7A184612" w14:textId="77777777" w:rsidR="000B0AC7" w:rsidRDefault="000B0AC7" w:rsidP="000B0AC7">
            <w:pPr>
              <w:pStyle w:val="CpContactDetails"/>
            </w:pPr>
            <w:r>
              <w:t>Brisbane QLD 4000 Australia</w:t>
            </w:r>
          </w:p>
          <w:p w14:paraId="46C6AD9E" w14:textId="77777777" w:rsidR="000B0AC7" w:rsidRDefault="000B0AC7" w:rsidP="000B0AC7">
            <w:pPr>
              <w:pStyle w:val="CpContactDetails"/>
            </w:pPr>
            <w:r>
              <w:t>+61 7 3009 8700</w:t>
            </w:r>
          </w:p>
          <w:p w14:paraId="336CD4BE" w14:textId="77777777" w:rsidR="000B0AC7" w:rsidRDefault="000B0AC7" w:rsidP="000B0AC7">
            <w:pPr>
              <w:pStyle w:val="CpContactDetails"/>
            </w:pPr>
          </w:p>
          <w:p w14:paraId="7E61E454" w14:textId="77777777" w:rsidR="000B0AC7" w:rsidRDefault="000B0AC7" w:rsidP="000B0AC7">
            <w:pPr>
              <w:pStyle w:val="CpContactDetails"/>
            </w:pPr>
          </w:p>
          <w:p w14:paraId="597542C8" w14:textId="77777777" w:rsidR="000B0AC7" w:rsidRDefault="000B0AC7" w:rsidP="000B0AC7">
            <w:pPr>
              <w:pStyle w:val="CpContactDetailsHeading"/>
            </w:pPr>
            <w:r>
              <w:t>Adelaide</w:t>
            </w:r>
          </w:p>
          <w:p w14:paraId="65062EE1" w14:textId="77777777" w:rsidR="000B0AC7" w:rsidRDefault="000B0AC7" w:rsidP="000B0AC7">
            <w:pPr>
              <w:pStyle w:val="CpContactDetails"/>
            </w:pPr>
            <w:r>
              <w:t>167 Flinders Street</w:t>
            </w:r>
          </w:p>
          <w:p w14:paraId="1C26D61E" w14:textId="77777777" w:rsidR="000B0AC7" w:rsidRDefault="000B0AC7" w:rsidP="000B0AC7">
            <w:pPr>
              <w:pStyle w:val="CpContactDetails"/>
            </w:pPr>
            <w:r>
              <w:t>Adelaide SA 5000 Australia</w:t>
            </w:r>
          </w:p>
          <w:p w14:paraId="09ABC0D9" w14:textId="18F10DC0" w:rsidR="000B0AC7" w:rsidRDefault="000B0AC7" w:rsidP="000B0AC7">
            <w:pPr>
              <w:pStyle w:val="CpContactDetails"/>
            </w:pPr>
            <w:r>
              <w:t>+61 8 8122 4965</w:t>
            </w:r>
          </w:p>
        </w:tc>
      </w:tr>
      <w:tr w:rsidR="000B0AC7" w14:paraId="574F3AB3" w14:textId="77777777" w:rsidTr="000B0AC7">
        <w:tc>
          <w:tcPr>
            <w:tcW w:w="3351" w:type="dxa"/>
            <w:shd w:val="clear" w:color="auto" w:fill="auto"/>
            <w:tcMar>
              <w:bottom w:w="376" w:type="dxa"/>
            </w:tcMar>
          </w:tcPr>
          <w:p w14:paraId="5FEA4D63" w14:textId="77777777" w:rsidR="000B0AC7" w:rsidRDefault="000B0AC7" w:rsidP="000B0AC7">
            <w:pPr>
              <w:pStyle w:val="CpContactDetails"/>
            </w:pPr>
            <w:r>
              <w:t>ACIL Allen Pty Ltd</w:t>
            </w:r>
          </w:p>
          <w:p w14:paraId="57ABC6A2" w14:textId="3AA7BD09" w:rsidR="000B0AC7" w:rsidRDefault="000B0AC7" w:rsidP="000B0AC7">
            <w:pPr>
              <w:pStyle w:val="CpContactDetails"/>
            </w:pPr>
            <w:r>
              <w:t>ABN 68 102 652 148</w:t>
            </w:r>
          </w:p>
        </w:tc>
        <w:tc>
          <w:tcPr>
            <w:tcW w:w="3351" w:type="dxa"/>
            <w:shd w:val="clear" w:color="auto" w:fill="auto"/>
          </w:tcPr>
          <w:p w14:paraId="73F02624" w14:textId="77777777" w:rsidR="000B0AC7" w:rsidRDefault="000B0AC7" w:rsidP="000B0AC7">
            <w:pPr>
              <w:pStyle w:val="CpContactDetails"/>
            </w:pPr>
          </w:p>
        </w:tc>
        <w:tc>
          <w:tcPr>
            <w:tcW w:w="3351" w:type="dxa"/>
            <w:shd w:val="clear" w:color="auto" w:fill="auto"/>
          </w:tcPr>
          <w:p w14:paraId="5EF4257E" w14:textId="77777777" w:rsidR="000B0AC7" w:rsidRDefault="000B0AC7" w:rsidP="000B0AC7">
            <w:pPr>
              <w:pStyle w:val="CpContactDetails"/>
            </w:pPr>
          </w:p>
        </w:tc>
      </w:tr>
      <w:tr w:rsidR="000B0AC7" w14:paraId="3B290F3F" w14:textId="77777777" w:rsidTr="000B0AC7">
        <w:tc>
          <w:tcPr>
            <w:tcW w:w="3351" w:type="dxa"/>
            <w:shd w:val="clear" w:color="auto" w:fill="auto"/>
          </w:tcPr>
          <w:p w14:paraId="158BBC66" w14:textId="3577ADB4" w:rsidR="000B0AC7" w:rsidRDefault="000B0AC7" w:rsidP="000B0AC7">
            <w:pPr>
              <w:pStyle w:val="CpContactDetailsWeb"/>
            </w:pPr>
            <w:r>
              <w:t>acilallen.com.au</w:t>
            </w:r>
          </w:p>
        </w:tc>
        <w:tc>
          <w:tcPr>
            <w:tcW w:w="3351" w:type="dxa"/>
            <w:shd w:val="clear" w:color="auto" w:fill="auto"/>
          </w:tcPr>
          <w:p w14:paraId="2CC74097" w14:textId="77777777" w:rsidR="000B0AC7" w:rsidRDefault="000B0AC7" w:rsidP="000B0AC7">
            <w:pPr>
              <w:pStyle w:val="CpContactDetails"/>
            </w:pPr>
          </w:p>
        </w:tc>
        <w:tc>
          <w:tcPr>
            <w:tcW w:w="3351" w:type="dxa"/>
            <w:shd w:val="clear" w:color="auto" w:fill="auto"/>
          </w:tcPr>
          <w:p w14:paraId="7305A8C9" w14:textId="77777777" w:rsidR="000B0AC7" w:rsidRDefault="000B0AC7" w:rsidP="000B0AC7">
            <w:pPr>
              <w:pStyle w:val="CpContactDetails"/>
            </w:pPr>
          </w:p>
        </w:tc>
      </w:tr>
    </w:tbl>
    <w:p w14:paraId="725A39F0" w14:textId="77777777" w:rsidR="000B0AC7" w:rsidRPr="00A2260A" w:rsidRDefault="000B0AC7" w:rsidP="0093618B">
      <w:pPr>
        <w:pStyle w:val="BodyText"/>
      </w:pPr>
    </w:p>
    <w:sectPr w:rsidR="000B0AC7" w:rsidRPr="00A2260A" w:rsidSect="000B0AC7">
      <w:headerReference w:type="even" r:id="rId304"/>
      <w:headerReference w:type="default" r:id="rId305"/>
      <w:footerReference w:type="even" r:id="rId306"/>
      <w:footerReference w:type="default" r:id="rId307"/>
      <w:headerReference w:type="first" r:id="rId308"/>
      <w:footerReference w:type="first" r:id="rId309"/>
      <w:pgSz w:w="11907" w:h="16839" w:code="9"/>
      <w:pgMar w:top="11040" w:right="720" w:bottom="518" w:left="1134" w:header="454" w:footer="288" w:gutter="0"/>
      <w:pgNumType w:chapStyle="9"/>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29BD980" w14:textId="77777777" w:rsidR="0052330D" w:rsidRDefault="0052330D" w:rsidP="00B649EB">
      <w:pPr>
        <w:spacing w:before="0" w:after="0" w:line="240" w:lineRule="auto"/>
      </w:pPr>
      <w:r>
        <w:separator/>
      </w:r>
    </w:p>
    <w:p w14:paraId="1FF3E3B6" w14:textId="77777777" w:rsidR="0052330D" w:rsidRDefault="0052330D"/>
  </w:endnote>
  <w:endnote w:type="continuationSeparator" w:id="0">
    <w:p w14:paraId="6B00B9E3" w14:textId="77777777" w:rsidR="0052330D" w:rsidRDefault="0052330D" w:rsidP="00B649EB">
      <w:pPr>
        <w:spacing w:before="0" w:after="0" w:line="240" w:lineRule="auto"/>
      </w:pPr>
      <w:r>
        <w:continuationSeparator/>
      </w:r>
    </w:p>
    <w:p w14:paraId="15E8278A" w14:textId="77777777" w:rsidR="0052330D" w:rsidRDefault="0052330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Yu Gothic Medium">
    <w:panose1 w:val="020B0500000000000000"/>
    <w:charset w:val="80"/>
    <w:family w:val="swiss"/>
    <w:pitch w:val="variable"/>
    <w:sig w:usb0="E00002FF" w:usb1="2AC7FDFF" w:usb2="00000016" w:usb3="00000000" w:csb0="0002009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NeueLT Std Lt Cn">
    <w:panose1 w:val="00000000000000000000"/>
    <w:charset w:val="00"/>
    <w:family w:val="swiss"/>
    <w:notTrueType/>
    <w:pitch w:val="variable"/>
    <w:sig w:usb0="800000AF" w:usb1="4000204A" w:usb2="00000000" w:usb3="00000000" w:csb0="00000001" w:csb1="00000000"/>
  </w:font>
  <w:font w:name="Angsana New">
    <w:panose1 w:val="02020603050405020304"/>
    <w:charset w:val="DE"/>
    <w:family w:val="roman"/>
    <w:pitch w:val="variable"/>
    <w:sig w:usb0="81000003" w:usb1="00000000" w:usb2="00000000" w:usb3="00000000" w:csb0="00010001" w:csb1="00000000"/>
  </w:font>
  <w:font w:name="PMingLiU">
    <w:altName w:val="新細明體"/>
    <w:panose1 w:val="02010601000101010101"/>
    <w:charset w:val="88"/>
    <w:family w:val="roman"/>
    <w:pitch w:val="variable"/>
    <w:sig w:usb0="A00002FF" w:usb1="28CFFCFA" w:usb2="00000016" w:usb3="00000000" w:csb0="00100001" w:csb1="00000000"/>
  </w:font>
  <w:font w:name="Yu Gothic UI Semibold">
    <w:panose1 w:val="020B0700000000000000"/>
    <w:charset w:val="80"/>
    <w:family w:val="swiss"/>
    <w:pitch w:val="variable"/>
    <w:sig w:usb0="E00002FF" w:usb1="2AC7FDFF" w:usb2="00000016" w:usb3="00000000" w:csb0="0002009F" w:csb1="00000000"/>
  </w:font>
  <w:font w:name="Cambria Math">
    <w:panose1 w:val="02040503050406030204"/>
    <w:charset w:val="00"/>
    <w:family w:val="roman"/>
    <w:pitch w:val="variable"/>
    <w:sig w:usb0="E00006FF" w:usb1="420024FF" w:usb2="02000000" w:usb3="00000000" w:csb0="0000019F" w:csb1="00000000"/>
  </w:font>
  <w:font w:name="Roboto">
    <w:charset w:val="00"/>
    <w:family w:val="auto"/>
    <w:pitch w:val="variable"/>
    <w:sig w:usb0="E0000AFF" w:usb1="5000217F" w:usb2="00000021" w:usb3="00000000" w:csb0="0000019F" w:csb1="00000000"/>
  </w:font>
  <w:font w:name="Scto Grotesk A Regular">
    <w:altName w:val="Calibri"/>
    <w:panose1 w:val="00000000000000000000"/>
    <w:charset w:val="00"/>
    <w:family w:val="swiss"/>
    <w:notTrueType/>
    <w:pitch w:val="variable"/>
    <w:sig w:usb0="A000002F" w:usb1="4000247B" w:usb2="00000000" w:usb3="00000000" w:csb0="00000093" w:csb1="00000000"/>
  </w:font>
  <w:font w:name="Source Sans Pro">
    <w:charset w:val="00"/>
    <w:family w:val="swiss"/>
    <w:pitch w:val="variable"/>
    <w:sig w:usb0="600002F7" w:usb1="02000001" w:usb2="00000000" w:usb3="00000000" w:csb0="0000019F" w:csb1="00000000"/>
  </w:font>
  <w:font w:name="MyriadPro-Light">
    <w:altName w:val="Calibri"/>
    <w:panose1 w:val="00000000000000000000"/>
    <w:charset w:val="00"/>
    <w:family w:val="swiss"/>
    <w:notTrueType/>
    <w:pitch w:val="variable"/>
    <w:sig w:usb0="20000287" w:usb1="00000001"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27BA64" w14:textId="77777777" w:rsidR="0083717E" w:rsidRDefault="0083717E">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E20FFF" w14:textId="77777777" w:rsidR="001D76E6" w:rsidRDefault="001D76E6">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acTablenolines"/>
      <w:tblW w:w="7936" w:type="dxa"/>
      <w:tblLayout w:type="fixed"/>
      <w:tblLook w:val="04A0" w:firstRow="1" w:lastRow="0" w:firstColumn="1" w:lastColumn="0" w:noHBand="0" w:noVBand="1"/>
    </w:tblPr>
    <w:tblGrid>
      <w:gridCol w:w="7192"/>
      <w:gridCol w:w="744"/>
    </w:tblGrid>
    <w:tr w:rsidR="001D76E6" w14:paraId="06B09087" w14:textId="77777777" w:rsidTr="000B0AC7">
      <w:trPr>
        <w:trHeight w:hRule="exact" w:val="620"/>
      </w:trPr>
      <w:tc>
        <w:tcPr>
          <w:tcW w:w="7192" w:type="dxa"/>
          <w:tcMar>
            <w:bottom w:w="40" w:type="dxa"/>
          </w:tcMar>
          <w:vAlign w:val="bottom"/>
        </w:tcPr>
        <w:p w14:paraId="53B6F15D" w14:textId="7072FB71" w:rsidR="001D76E6" w:rsidRDefault="002B6E41" w:rsidP="00026E9C">
          <w:pPr>
            <w:pStyle w:val="FooterText"/>
            <w:jc w:val="right"/>
          </w:pPr>
          <w:fldSimple w:instr=" STYLEREF &quot;Cp Title&quot; \* MERGEFORMAT ">
            <w:r w:rsidR="006861F2" w:rsidRPr="006861F2">
              <w:rPr>
                <w:b/>
                <w:bCs/>
                <w:noProof/>
                <w:lang w:val="en-US"/>
              </w:rPr>
              <w:t>Impact assessment</w:t>
            </w:r>
            <w:r w:rsidR="006861F2" w:rsidRPr="006861F2">
              <w:rPr>
                <w:b/>
                <w:noProof/>
              </w:rPr>
              <w:t xml:space="preserve"> of </w:t>
            </w:r>
            <w:r w:rsidR="006861F2" w:rsidRPr="006861F2">
              <w:rPr>
                <w:b/>
                <w:noProof/>
              </w:rPr>
              <w:br/>
              <w:t>ARC-funded research</w:t>
            </w:r>
          </w:fldSimple>
          <w:r w:rsidR="001D76E6">
            <w:t xml:space="preserve"> </w:t>
          </w:r>
          <w:fldSimple w:instr=" STYLEREF &quot;Cp SubTitle&quot; \* MERGEFORMAT ">
            <w:r w:rsidR="006861F2" w:rsidRPr="006861F2">
              <w:rPr>
                <w:b/>
                <w:noProof/>
              </w:rPr>
              <w:t>Final report</w:t>
            </w:r>
          </w:fldSimple>
        </w:p>
      </w:tc>
      <w:tc>
        <w:tcPr>
          <w:tcW w:w="744" w:type="dxa"/>
          <w:tcMar>
            <w:bottom w:w="40" w:type="dxa"/>
          </w:tcMar>
          <w:vAlign w:val="bottom"/>
        </w:tcPr>
        <w:p w14:paraId="2C5652BB" w14:textId="77777777" w:rsidR="001D76E6" w:rsidRDefault="001D76E6" w:rsidP="00026E9C">
          <w:pPr>
            <w:pStyle w:val="pageNumber0"/>
          </w:pPr>
          <w:r>
            <w:fldChar w:fldCharType="begin"/>
          </w:r>
          <w:r>
            <w:instrText xml:space="preserve"> PAGE  \* MERGEFORMAT </w:instrText>
          </w:r>
          <w:r>
            <w:fldChar w:fldCharType="separate"/>
          </w:r>
          <w:r>
            <w:rPr>
              <w:noProof/>
            </w:rPr>
            <w:t>1</w:t>
          </w:r>
          <w:r>
            <w:fldChar w:fldCharType="end"/>
          </w:r>
        </w:p>
      </w:tc>
    </w:tr>
  </w:tbl>
  <w:p w14:paraId="3EA52E2F" w14:textId="77777777" w:rsidR="001D76E6" w:rsidRPr="00026E9C" w:rsidRDefault="001D76E6" w:rsidP="00026E9C">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738CCD" w14:textId="77777777" w:rsidR="001D76E6" w:rsidRDefault="001D76E6">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57F82C" w14:textId="77777777" w:rsidR="002B32A0" w:rsidRDefault="002B32A0">
    <w:pPr>
      <w:pStyle w:val="Footer"/>
    </w:pPr>
  </w:p>
  <w:p w14:paraId="4BD89E0E" w14:textId="77777777" w:rsidR="002B32A0" w:rsidRDefault="002B32A0"/>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acTablenolines"/>
      <w:tblW w:w="7936" w:type="dxa"/>
      <w:tblLayout w:type="fixed"/>
      <w:tblLook w:val="04A0" w:firstRow="1" w:lastRow="0" w:firstColumn="1" w:lastColumn="0" w:noHBand="0" w:noVBand="1"/>
    </w:tblPr>
    <w:tblGrid>
      <w:gridCol w:w="7192"/>
      <w:gridCol w:w="744"/>
    </w:tblGrid>
    <w:tr w:rsidR="002B32A0" w14:paraId="09980CD7" w14:textId="77777777" w:rsidTr="000B0AC7">
      <w:trPr>
        <w:trHeight w:hRule="exact" w:val="620"/>
      </w:trPr>
      <w:tc>
        <w:tcPr>
          <w:tcW w:w="7192" w:type="dxa"/>
          <w:tcMar>
            <w:bottom w:w="40" w:type="dxa"/>
          </w:tcMar>
          <w:vAlign w:val="bottom"/>
        </w:tcPr>
        <w:p w14:paraId="05BCB152" w14:textId="7F2AC5B6" w:rsidR="002B32A0" w:rsidRDefault="002B6E41" w:rsidP="00026E9C">
          <w:pPr>
            <w:pStyle w:val="FooterText"/>
            <w:jc w:val="right"/>
          </w:pPr>
          <w:fldSimple w:instr=" STYLEREF &quot;Cp Title&quot; \* MERGEFORMAT ">
            <w:r w:rsidR="006861F2" w:rsidRPr="006861F2">
              <w:rPr>
                <w:b/>
                <w:bCs/>
                <w:noProof/>
                <w:lang w:val="en-US"/>
              </w:rPr>
              <w:t>Impact assessment</w:t>
            </w:r>
            <w:r w:rsidR="006861F2" w:rsidRPr="006861F2">
              <w:rPr>
                <w:b/>
                <w:noProof/>
              </w:rPr>
              <w:t xml:space="preserve"> of </w:t>
            </w:r>
            <w:r w:rsidR="006861F2" w:rsidRPr="006861F2">
              <w:rPr>
                <w:b/>
                <w:noProof/>
              </w:rPr>
              <w:br/>
              <w:t>ARC-funded research</w:t>
            </w:r>
          </w:fldSimple>
          <w:r w:rsidR="002B32A0">
            <w:t xml:space="preserve"> </w:t>
          </w:r>
          <w:fldSimple w:instr=" STYLEREF &quot;Cp SubTitle&quot; \* MERGEFORMAT ">
            <w:r w:rsidR="006861F2" w:rsidRPr="006861F2">
              <w:rPr>
                <w:b/>
                <w:noProof/>
              </w:rPr>
              <w:t>Final report</w:t>
            </w:r>
          </w:fldSimple>
        </w:p>
      </w:tc>
      <w:tc>
        <w:tcPr>
          <w:tcW w:w="744" w:type="dxa"/>
          <w:tcMar>
            <w:bottom w:w="40" w:type="dxa"/>
          </w:tcMar>
          <w:vAlign w:val="bottom"/>
        </w:tcPr>
        <w:p w14:paraId="32EB57E7" w14:textId="77777777" w:rsidR="002B32A0" w:rsidRDefault="002B32A0" w:rsidP="00026E9C">
          <w:pPr>
            <w:pStyle w:val="pageNumber0"/>
          </w:pPr>
          <w:r>
            <w:fldChar w:fldCharType="begin"/>
          </w:r>
          <w:r>
            <w:instrText xml:space="preserve"> PAGE  \* MERGEFORMAT </w:instrText>
          </w:r>
          <w:r>
            <w:fldChar w:fldCharType="separate"/>
          </w:r>
          <w:r>
            <w:rPr>
              <w:noProof/>
            </w:rPr>
            <w:t>1</w:t>
          </w:r>
          <w:r>
            <w:fldChar w:fldCharType="end"/>
          </w:r>
        </w:p>
      </w:tc>
    </w:tr>
  </w:tbl>
  <w:p w14:paraId="2931585E" w14:textId="77777777" w:rsidR="002B32A0" w:rsidRPr="00026E9C" w:rsidRDefault="002B32A0" w:rsidP="00026E9C">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5D4F65" w14:textId="77777777" w:rsidR="002B32A0" w:rsidRDefault="002B32A0">
    <w:pPr>
      <w:pStyle w:val="Footer"/>
    </w:pPr>
  </w:p>
  <w:p w14:paraId="48BBCEB3" w14:textId="77777777" w:rsidR="002B32A0" w:rsidRDefault="002B32A0"/>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000FDA" w14:textId="77777777" w:rsidR="002B32A0" w:rsidRPr="00FF018D" w:rsidRDefault="002B32A0" w:rsidP="00FF018D">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5EDFD" w14:textId="77777777" w:rsidR="002B32A0" w:rsidRPr="00FF018D" w:rsidRDefault="002B32A0" w:rsidP="00FF018D">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38882E" w14:textId="77777777" w:rsidR="002B32A0" w:rsidRPr="00FF018D" w:rsidRDefault="002B32A0" w:rsidP="00FF018D">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1C5AAA" w14:textId="77777777" w:rsidR="002B32A0" w:rsidRDefault="002B32A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820840" w14:textId="77777777" w:rsidR="0083717E" w:rsidRDefault="0083717E">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acTablenolines"/>
      <w:tblW w:w="7936" w:type="dxa"/>
      <w:tblLayout w:type="fixed"/>
      <w:tblLook w:val="04A0" w:firstRow="1" w:lastRow="0" w:firstColumn="1" w:lastColumn="0" w:noHBand="0" w:noVBand="1"/>
    </w:tblPr>
    <w:tblGrid>
      <w:gridCol w:w="7192"/>
      <w:gridCol w:w="744"/>
    </w:tblGrid>
    <w:tr w:rsidR="002B32A0" w14:paraId="6317B58F" w14:textId="77777777" w:rsidTr="000B0AC7">
      <w:trPr>
        <w:trHeight w:hRule="exact" w:val="620"/>
      </w:trPr>
      <w:tc>
        <w:tcPr>
          <w:tcW w:w="7192" w:type="dxa"/>
          <w:tcMar>
            <w:bottom w:w="40" w:type="dxa"/>
          </w:tcMar>
          <w:vAlign w:val="bottom"/>
        </w:tcPr>
        <w:p w14:paraId="4AD9596B" w14:textId="0C5C8313" w:rsidR="002B32A0" w:rsidRDefault="002B6E41" w:rsidP="00026E9C">
          <w:pPr>
            <w:pStyle w:val="FooterText"/>
            <w:jc w:val="right"/>
          </w:pPr>
          <w:fldSimple w:instr=" STYLEREF &quot;Cp Title&quot; \* MERGEFORMAT ">
            <w:r w:rsidR="006861F2" w:rsidRPr="006861F2">
              <w:rPr>
                <w:b/>
                <w:bCs/>
                <w:noProof/>
                <w:lang w:val="en-US"/>
              </w:rPr>
              <w:t>Impact assessment</w:t>
            </w:r>
            <w:r w:rsidR="006861F2" w:rsidRPr="006861F2">
              <w:rPr>
                <w:b/>
                <w:noProof/>
              </w:rPr>
              <w:t xml:space="preserve"> of </w:t>
            </w:r>
            <w:r w:rsidR="006861F2" w:rsidRPr="006861F2">
              <w:rPr>
                <w:b/>
                <w:noProof/>
              </w:rPr>
              <w:br/>
              <w:t>ARC-funded research</w:t>
            </w:r>
          </w:fldSimple>
          <w:r w:rsidR="002B32A0">
            <w:t xml:space="preserve"> </w:t>
          </w:r>
          <w:fldSimple w:instr=" STYLEREF &quot;Cp SubTitle&quot; \* MERGEFORMAT ">
            <w:r w:rsidR="006861F2" w:rsidRPr="006861F2">
              <w:rPr>
                <w:b/>
                <w:noProof/>
              </w:rPr>
              <w:t>Final report</w:t>
            </w:r>
          </w:fldSimple>
        </w:p>
      </w:tc>
      <w:tc>
        <w:tcPr>
          <w:tcW w:w="744" w:type="dxa"/>
          <w:tcMar>
            <w:bottom w:w="40" w:type="dxa"/>
          </w:tcMar>
          <w:vAlign w:val="bottom"/>
        </w:tcPr>
        <w:p w14:paraId="0F4848A6" w14:textId="77777777" w:rsidR="002B32A0" w:rsidRDefault="002B32A0" w:rsidP="00026E9C">
          <w:pPr>
            <w:pStyle w:val="pageNumber0"/>
          </w:pPr>
          <w:r>
            <w:fldChar w:fldCharType="begin"/>
          </w:r>
          <w:r>
            <w:instrText xml:space="preserve"> PAGE  \* MERGEFORMAT </w:instrText>
          </w:r>
          <w:r>
            <w:fldChar w:fldCharType="separate"/>
          </w:r>
          <w:r>
            <w:rPr>
              <w:noProof/>
            </w:rPr>
            <w:t>1</w:t>
          </w:r>
          <w:r>
            <w:fldChar w:fldCharType="end"/>
          </w:r>
        </w:p>
      </w:tc>
    </w:tr>
  </w:tbl>
  <w:p w14:paraId="1F9D2410" w14:textId="77777777" w:rsidR="002B32A0" w:rsidRPr="00026E9C" w:rsidRDefault="002B32A0" w:rsidP="00026E9C">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03FBEC" w14:textId="77777777" w:rsidR="002B32A0" w:rsidRDefault="002B32A0">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9165AB" w14:textId="77777777" w:rsidR="002B32A0" w:rsidRDefault="002B32A0">
    <w:pPr>
      <w:pStyle w:val="Foote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acTablenolines"/>
      <w:tblW w:w="12868" w:type="dxa"/>
      <w:tblLayout w:type="fixed"/>
      <w:tblLook w:val="04A0" w:firstRow="1" w:lastRow="0" w:firstColumn="1" w:lastColumn="0" w:noHBand="0" w:noVBand="1"/>
    </w:tblPr>
    <w:tblGrid>
      <w:gridCol w:w="12124"/>
      <w:gridCol w:w="744"/>
    </w:tblGrid>
    <w:tr w:rsidR="002B32A0" w14:paraId="7D506985" w14:textId="77777777" w:rsidTr="000B0AC7">
      <w:trPr>
        <w:trHeight w:hRule="exact" w:val="620"/>
      </w:trPr>
      <w:tc>
        <w:tcPr>
          <w:tcW w:w="12124" w:type="dxa"/>
          <w:tcMar>
            <w:bottom w:w="40" w:type="dxa"/>
          </w:tcMar>
          <w:vAlign w:val="bottom"/>
        </w:tcPr>
        <w:p w14:paraId="5CD0CDA3" w14:textId="44D893BB" w:rsidR="002B32A0" w:rsidRDefault="002B6E41" w:rsidP="00026E9C">
          <w:pPr>
            <w:pStyle w:val="FooterText"/>
            <w:jc w:val="right"/>
          </w:pPr>
          <w:fldSimple w:instr=" STYLEREF &quot;Cp Title&quot; \* MERGEFORMAT ">
            <w:r w:rsidR="006861F2" w:rsidRPr="006861F2">
              <w:rPr>
                <w:b/>
                <w:bCs/>
                <w:noProof/>
                <w:lang w:val="en-US"/>
              </w:rPr>
              <w:t>Impact assessment</w:t>
            </w:r>
            <w:r w:rsidR="006861F2" w:rsidRPr="006861F2">
              <w:rPr>
                <w:b/>
                <w:noProof/>
              </w:rPr>
              <w:t xml:space="preserve"> of </w:t>
            </w:r>
            <w:r w:rsidR="006861F2" w:rsidRPr="006861F2">
              <w:rPr>
                <w:b/>
                <w:noProof/>
              </w:rPr>
              <w:br/>
              <w:t>ARC-funded research</w:t>
            </w:r>
          </w:fldSimple>
          <w:r w:rsidR="002B32A0">
            <w:t xml:space="preserve"> </w:t>
          </w:r>
          <w:fldSimple w:instr=" STYLEREF &quot;Cp SubTitle&quot; \* MERGEFORMAT ">
            <w:r w:rsidR="006861F2" w:rsidRPr="006861F2">
              <w:rPr>
                <w:b/>
                <w:noProof/>
              </w:rPr>
              <w:t>Final report</w:t>
            </w:r>
          </w:fldSimple>
        </w:p>
      </w:tc>
      <w:tc>
        <w:tcPr>
          <w:tcW w:w="744" w:type="dxa"/>
          <w:tcMar>
            <w:bottom w:w="40" w:type="dxa"/>
          </w:tcMar>
          <w:vAlign w:val="bottom"/>
        </w:tcPr>
        <w:p w14:paraId="516DD34F" w14:textId="77777777" w:rsidR="002B32A0" w:rsidRDefault="002B32A0" w:rsidP="00026E9C">
          <w:pPr>
            <w:pStyle w:val="pageNumber0"/>
          </w:pPr>
          <w:r>
            <w:fldChar w:fldCharType="begin"/>
          </w:r>
          <w:r>
            <w:instrText xml:space="preserve"> PAGE  \* MERGEFORMAT </w:instrText>
          </w:r>
          <w:r>
            <w:fldChar w:fldCharType="separate"/>
          </w:r>
          <w:r>
            <w:rPr>
              <w:noProof/>
            </w:rPr>
            <w:t>1</w:t>
          </w:r>
          <w:r>
            <w:fldChar w:fldCharType="end"/>
          </w:r>
        </w:p>
      </w:tc>
    </w:tr>
  </w:tbl>
  <w:p w14:paraId="10ECFBC5" w14:textId="77777777" w:rsidR="002B32A0" w:rsidRPr="00026E9C" w:rsidRDefault="002B32A0" w:rsidP="00026E9C">
    <w:pPr>
      <w:pStyle w:val="Foote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4F7174" w14:textId="77777777" w:rsidR="002B32A0" w:rsidRDefault="002B32A0">
    <w:pPr>
      <w:pStyle w:val="Foote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0C9C39" w14:textId="77777777" w:rsidR="002B32A0" w:rsidRPr="00BA0B76" w:rsidRDefault="002B32A0" w:rsidP="00BA0B76">
    <w:pPr>
      <w:pStyle w:val="Foote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acTablenolines"/>
      <w:tblW w:w="7936" w:type="dxa"/>
      <w:tblLayout w:type="fixed"/>
      <w:tblLook w:val="04A0" w:firstRow="1" w:lastRow="0" w:firstColumn="1" w:lastColumn="0" w:noHBand="0" w:noVBand="1"/>
    </w:tblPr>
    <w:tblGrid>
      <w:gridCol w:w="7192"/>
      <w:gridCol w:w="744"/>
    </w:tblGrid>
    <w:tr w:rsidR="002B32A0" w14:paraId="6E4C6E4C" w14:textId="77777777" w:rsidTr="000B0AC7">
      <w:trPr>
        <w:trHeight w:hRule="exact" w:val="620"/>
      </w:trPr>
      <w:tc>
        <w:tcPr>
          <w:tcW w:w="7192" w:type="dxa"/>
          <w:tcMar>
            <w:bottom w:w="40" w:type="dxa"/>
          </w:tcMar>
          <w:vAlign w:val="bottom"/>
        </w:tcPr>
        <w:p w14:paraId="777F19D4" w14:textId="5876CE71" w:rsidR="002B32A0" w:rsidRDefault="002B6E41" w:rsidP="00BA0B76">
          <w:pPr>
            <w:pStyle w:val="FooterText"/>
            <w:jc w:val="right"/>
          </w:pPr>
          <w:fldSimple w:instr=" STYLEREF &quot;Cp Title&quot; \* MERGEFORMAT ">
            <w:r w:rsidR="006861F2" w:rsidRPr="006861F2">
              <w:rPr>
                <w:b/>
                <w:noProof/>
              </w:rPr>
              <w:t xml:space="preserve">Impact assessment of </w:t>
            </w:r>
            <w:r w:rsidR="006861F2" w:rsidRPr="006861F2">
              <w:rPr>
                <w:b/>
                <w:noProof/>
              </w:rPr>
              <w:br/>
              <w:t>ARC-funded research</w:t>
            </w:r>
          </w:fldSimple>
          <w:r w:rsidR="002B32A0">
            <w:t xml:space="preserve"> </w:t>
          </w:r>
          <w:fldSimple w:instr=" STYLEREF &quot;Cp SubTitle&quot; \* MERGEFORMAT ">
            <w:r w:rsidR="006861F2" w:rsidRPr="006861F2">
              <w:rPr>
                <w:b/>
                <w:noProof/>
              </w:rPr>
              <w:t>Final report</w:t>
            </w:r>
          </w:fldSimple>
        </w:p>
      </w:tc>
      <w:tc>
        <w:tcPr>
          <w:tcW w:w="744" w:type="dxa"/>
          <w:tcMar>
            <w:bottom w:w="40" w:type="dxa"/>
          </w:tcMar>
          <w:vAlign w:val="bottom"/>
        </w:tcPr>
        <w:p w14:paraId="620ED69F" w14:textId="77777777" w:rsidR="002B32A0" w:rsidRDefault="002B32A0" w:rsidP="00BA0B76">
          <w:pPr>
            <w:pStyle w:val="pageNumber0"/>
          </w:pPr>
          <w:r>
            <w:fldChar w:fldCharType="begin"/>
          </w:r>
          <w:r>
            <w:instrText xml:space="preserve"> PAGE  \* MERGEFORMAT </w:instrText>
          </w:r>
          <w:r>
            <w:fldChar w:fldCharType="separate"/>
          </w:r>
          <w:r>
            <w:rPr>
              <w:noProof/>
            </w:rPr>
            <w:t>4</w:t>
          </w:r>
          <w:r>
            <w:fldChar w:fldCharType="end"/>
          </w:r>
        </w:p>
      </w:tc>
    </w:tr>
  </w:tbl>
  <w:p w14:paraId="05303FF7" w14:textId="77777777" w:rsidR="002B32A0" w:rsidRPr="00BA0B76" w:rsidRDefault="002B32A0" w:rsidP="00BA0B76">
    <w:pPr>
      <w:pStyle w:val="Footer"/>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C6B39E" w14:textId="77777777" w:rsidR="002B32A0" w:rsidRPr="00BA0B76" w:rsidRDefault="002B32A0" w:rsidP="00BA0B76">
    <w:pPr>
      <w:pStyle w:val="Foote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D6C95E" w14:textId="77777777" w:rsidR="002B32A0" w:rsidRPr="00BA4997" w:rsidRDefault="002B32A0" w:rsidP="00BA4997">
    <w:pPr>
      <w:pStyle w:val="Footer"/>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acTablenolines"/>
      <w:tblW w:w="7936" w:type="dxa"/>
      <w:tblLayout w:type="fixed"/>
      <w:tblLook w:val="04A0" w:firstRow="1" w:lastRow="0" w:firstColumn="1" w:lastColumn="0" w:noHBand="0" w:noVBand="1"/>
    </w:tblPr>
    <w:tblGrid>
      <w:gridCol w:w="7192"/>
      <w:gridCol w:w="744"/>
    </w:tblGrid>
    <w:tr w:rsidR="002B32A0" w14:paraId="7168D03A" w14:textId="77777777" w:rsidTr="000B0AC7">
      <w:trPr>
        <w:trHeight w:hRule="exact" w:val="620"/>
      </w:trPr>
      <w:tc>
        <w:tcPr>
          <w:tcW w:w="7192" w:type="dxa"/>
          <w:tcMar>
            <w:bottom w:w="40" w:type="dxa"/>
          </w:tcMar>
          <w:vAlign w:val="bottom"/>
        </w:tcPr>
        <w:p w14:paraId="077848D3" w14:textId="28BBF7B7" w:rsidR="002B32A0" w:rsidRDefault="002B6E41" w:rsidP="00BA4997">
          <w:pPr>
            <w:pStyle w:val="FooterText"/>
            <w:jc w:val="right"/>
          </w:pPr>
          <w:fldSimple w:instr=" STYLEREF &quot;Cp Title&quot; \* MERGEFORMAT ">
            <w:r w:rsidR="006861F2" w:rsidRPr="006861F2">
              <w:rPr>
                <w:b/>
                <w:noProof/>
              </w:rPr>
              <w:t xml:space="preserve">Impact assessment of </w:t>
            </w:r>
            <w:r w:rsidR="006861F2" w:rsidRPr="006861F2">
              <w:rPr>
                <w:b/>
                <w:noProof/>
              </w:rPr>
              <w:br/>
              <w:t>ARC-funded research</w:t>
            </w:r>
          </w:fldSimple>
          <w:r w:rsidR="002B32A0">
            <w:t xml:space="preserve"> </w:t>
          </w:r>
          <w:fldSimple w:instr=" STYLEREF &quot;Cp SubTitle&quot; \* MERGEFORMAT ">
            <w:r w:rsidR="006861F2" w:rsidRPr="006861F2">
              <w:rPr>
                <w:b/>
                <w:noProof/>
              </w:rPr>
              <w:t>Final report</w:t>
            </w:r>
          </w:fldSimple>
        </w:p>
      </w:tc>
      <w:tc>
        <w:tcPr>
          <w:tcW w:w="744" w:type="dxa"/>
          <w:tcMar>
            <w:bottom w:w="40" w:type="dxa"/>
          </w:tcMar>
          <w:vAlign w:val="bottom"/>
        </w:tcPr>
        <w:p w14:paraId="2C8E7D47" w14:textId="77777777" w:rsidR="002B32A0" w:rsidRDefault="002B32A0" w:rsidP="00BA4997">
          <w:pPr>
            <w:pStyle w:val="pageNumber0"/>
          </w:pPr>
          <w:r>
            <w:fldChar w:fldCharType="begin"/>
          </w:r>
          <w:r>
            <w:instrText xml:space="preserve"> PAGE  \* MERGEFORMAT </w:instrText>
          </w:r>
          <w:r>
            <w:fldChar w:fldCharType="separate"/>
          </w:r>
          <w:r>
            <w:rPr>
              <w:noProof/>
            </w:rPr>
            <w:t>7</w:t>
          </w:r>
          <w:r>
            <w:fldChar w:fldCharType="end"/>
          </w:r>
        </w:p>
      </w:tc>
    </w:tr>
  </w:tbl>
  <w:p w14:paraId="5D092D31" w14:textId="77777777" w:rsidR="002B32A0" w:rsidRPr="00BA4997" w:rsidRDefault="002B32A0" w:rsidP="00BA499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88C365" w14:textId="77777777" w:rsidR="0083717E" w:rsidRDefault="0083717E">
    <w:pPr>
      <w:pStyle w:val="Foote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D09C29" w14:textId="77777777" w:rsidR="002B32A0" w:rsidRPr="00BA4997" w:rsidRDefault="002B32A0" w:rsidP="00BA4997">
    <w:pPr>
      <w:pStyle w:val="Footer"/>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239D55" w14:textId="77777777" w:rsidR="002B32A0" w:rsidRPr="000D7B01" w:rsidRDefault="002B32A0" w:rsidP="000D7B01">
    <w:pPr>
      <w:pStyle w:val="Footer"/>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acTablenolines"/>
      <w:tblW w:w="7936" w:type="dxa"/>
      <w:tblLayout w:type="fixed"/>
      <w:tblLook w:val="04A0" w:firstRow="1" w:lastRow="0" w:firstColumn="1" w:lastColumn="0" w:noHBand="0" w:noVBand="1"/>
    </w:tblPr>
    <w:tblGrid>
      <w:gridCol w:w="7192"/>
      <w:gridCol w:w="744"/>
    </w:tblGrid>
    <w:tr w:rsidR="002B32A0" w14:paraId="5A94B42F" w14:textId="77777777" w:rsidTr="000B0AC7">
      <w:trPr>
        <w:trHeight w:hRule="exact" w:val="620"/>
      </w:trPr>
      <w:tc>
        <w:tcPr>
          <w:tcW w:w="7192" w:type="dxa"/>
          <w:tcMar>
            <w:bottom w:w="40" w:type="dxa"/>
          </w:tcMar>
          <w:vAlign w:val="bottom"/>
        </w:tcPr>
        <w:p w14:paraId="09CD4288" w14:textId="6B0583B5" w:rsidR="002B32A0" w:rsidRDefault="002B6E41" w:rsidP="000D7B01">
          <w:pPr>
            <w:pStyle w:val="FooterText"/>
            <w:jc w:val="right"/>
          </w:pPr>
          <w:fldSimple w:instr=" STYLEREF &quot;Cp Title&quot; \* MERGEFORMAT ">
            <w:r w:rsidR="006861F2" w:rsidRPr="006861F2">
              <w:rPr>
                <w:b/>
                <w:noProof/>
              </w:rPr>
              <w:t xml:space="preserve">Impact assessment of </w:t>
            </w:r>
            <w:r w:rsidR="006861F2" w:rsidRPr="006861F2">
              <w:rPr>
                <w:b/>
                <w:noProof/>
              </w:rPr>
              <w:br/>
              <w:t>ARC-funded research</w:t>
            </w:r>
          </w:fldSimple>
          <w:r w:rsidR="002B32A0">
            <w:t xml:space="preserve"> </w:t>
          </w:r>
          <w:fldSimple w:instr=" STYLEREF &quot;Cp SubTitle&quot; \* MERGEFORMAT ">
            <w:r w:rsidR="006861F2" w:rsidRPr="006861F2">
              <w:rPr>
                <w:b/>
                <w:noProof/>
              </w:rPr>
              <w:t>Final report</w:t>
            </w:r>
          </w:fldSimple>
        </w:p>
      </w:tc>
      <w:tc>
        <w:tcPr>
          <w:tcW w:w="744" w:type="dxa"/>
          <w:tcMar>
            <w:bottom w:w="40" w:type="dxa"/>
          </w:tcMar>
          <w:vAlign w:val="bottom"/>
        </w:tcPr>
        <w:p w14:paraId="227E1913" w14:textId="77777777" w:rsidR="002B32A0" w:rsidRDefault="002B32A0" w:rsidP="000D7B01">
          <w:pPr>
            <w:pStyle w:val="pageNumber0"/>
          </w:pPr>
          <w:r>
            <w:fldChar w:fldCharType="begin"/>
          </w:r>
          <w:r>
            <w:instrText xml:space="preserve"> PAGE  \* MERGEFORMAT </w:instrText>
          </w:r>
          <w:r>
            <w:fldChar w:fldCharType="separate"/>
          </w:r>
          <w:r>
            <w:rPr>
              <w:noProof/>
            </w:rPr>
            <w:t>7</w:t>
          </w:r>
          <w:r>
            <w:fldChar w:fldCharType="end"/>
          </w:r>
        </w:p>
      </w:tc>
    </w:tr>
  </w:tbl>
  <w:p w14:paraId="15D15774" w14:textId="77777777" w:rsidR="002B32A0" w:rsidRPr="000D7B01" w:rsidRDefault="002B32A0" w:rsidP="000D7B01">
    <w:pPr>
      <w:pStyle w:val="Footer"/>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AA3153" w14:textId="77777777" w:rsidR="002B32A0" w:rsidRPr="000D7B01" w:rsidRDefault="002B32A0" w:rsidP="000D7B01">
    <w:pPr>
      <w:pStyle w:val="Footer"/>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877014" w14:textId="77777777" w:rsidR="002B32A0" w:rsidRPr="006B209A" w:rsidRDefault="002B32A0" w:rsidP="006B209A">
    <w:pPr>
      <w:pStyle w:val="Footer"/>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acTablenolines"/>
      <w:tblW w:w="7936" w:type="dxa"/>
      <w:tblLayout w:type="fixed"/>
      <w:tblLook w:val="04A0" w:firstRow="1" w:lastRow="0" w:firstColumn="1" w:lastColumn="0" w:noHBand="0" w:noVBand="1"/>
    </w:tblPr>
    <w:tblGrid>
      <w:gridCol w:w="7192"/>
      <w:gridCol w:w="744"/>
    </w:tblGrid>
    <w:tr w:rsidR="002B32A0" w14:paraId="1D751F15" w14:textId="77777777" w:rsidTr="000B0AC7">
      <w:trPr>
        <w:trHeight w:hRule="exact" w:val="620"/>
      </w:trPr>
      <w:tc>
        <w:tcPr>
          <w:tcW w:w="7192" w:type="dxa"/>
          <w:tcMar>
            <w:bottom w:w="40" w:type="dxa"/>
          </w:tcMar>
          <w:vAlign w:val="bottom"/>
        </w:tcPr>
        <w:p w14:paraId="130FCDFE" w14:textId="65AE596F" w:rsidR="002B32A0" w:rsidRDefault="002B6E41" w:rsidP="006B209A">
          <w:pPr>
            <w:pStyle w:val="FooterText"/>
            <w:jc w:val="right"/>
          </w:pPr>
          <w:fldSimple w:instr=" STYLEREF &quot;Cp Title&quot; \* MERGEFORMAT ">
            <w:r w:rsidR="006861F2" w:rsidRPr="006861F2">
              <w:rPr>
                <w:b/>
                <w:noProof/>
              </w:rPr>
              <w:t xml:space="preserve">Impact assessment of </w:t>
            </w:r>
            <w:r w:rsidR="006861F2" w:rsidRPr="006861F2">
              <w:rPr>
                <w:b/>
                <w:noProof/>
              </w:rPr>
              <w:br/>
              <w:t>ARC-funded research</w:t>
            </w:r>
          </w:fldSimple>
          <w:r w:rsidR="002B32A0">
            <w:t xml:space="preserve"> </w:t>
          </w:r>
          <w:fldSimple w:instr=" STYLEREF &quot;Cp SubTitle&quot; \* MERGEFORMAT ">
            <w:r w:rsidR="006861F2" w:rsidRPr="006861F2">
              <w:rPr>
                <w:b/>
                <w:noProof/>
              </w:rPr>
              <w:t>Final report</w:t>
            </w:r>
          </w:fldSimple>
        </w:p>
      </w:tc>
      <w:tc>
        <w:tcPr>
          <w:tcW w:w="744" w:type="dxa"/>
          <w:tcMar>
            <w:bottom w:w="40" w:type="dxa"/>
          </w:tcMar>
          <w:vAlign w:val="bottom"/>
        </w:tcPr>
        <w:p w14:paraId="605E51CD" w14:textId="77777777" w:rsidR="002B32A0" w:rsidRDefault="002B32A0" w:rsidP="006B209A">
          <w:pPr>
            <w:pStyle w:val="pageNumber0"/>
          </w:pPr>
          <w:r>
            <w:fldChar w:fldCharType="begin"/>
          </w:r>
          <w:r>
            <w:instrText xml:space="preserve"> PAGE  \* MERGEFORMAT </w:instrText>
          </w:r>
          <w:r>
            <w:fldChar w:fldCharType="separate"/>
          </w:r>
          <w:r>
            <w:rPr>
              <w:noProof/>
            </w:rPr>
            <w:t>61</w:t>
          </w:r>
          <w:r>
            <w:fldChar w:fldCharType="end"/>
          </w:r>
        </w:p>
      </w:tc>
    </w:tr>
  </w:tbl>
  <w:p w14:paraId="31363AE7" w14:textId="77777777" w:rsidR="002B32A0" w:rsidRPr="006B209A" w:rsidRDefault="002B32A0" w:rsidP="006B209A">
    <w:pPr>
      <w:pStyle w:val="Footer"/>
    </w:pP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E9E279" w14:textId="77777777" w:rsidR="002B32A0" w:rsidRPr="006B209A" w:rsidRDefault="002B32A0" w:rsidP="006B209A">
    <w:pPr>
      <w:pStyle w:val="Footer"/>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2BAFCC" w14:textId="77777777" w:rsidR="002B32A0" w:rsidRPr="006B209A" w:rsidRDefault="002B32A0" w:rsidP="006B209A">
    <w:pPr>
      <w:pStyle w:val="Footer"/>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4A799F" w14:textId="77777777" w:rsidR="002B32A0" w:rsidRPr="006B209A" w:rsidRDefault="002B32A0" w:rsidP="006B209A">
    <w:pPr>
      <w:pStyle w:val="Footer"/>
    </w:pP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5C7BF6" w14:textId="77777777" w:rsidR="002B32A0" w:rsidRPr="006B209A" w:rsidRDefault="002B32A0" w:rsidP="006B209A">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FBC635" w14:textId="77777777" w:rsidR="002B32A0" w:rsidRPr="00667A67" w:rsidRDefault="002B32A0" w:rsidP="00667A67">
    <w:pPr>
      <w:pStyle w:val="Footer"/>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A16534" w14:textId="77777777" w:rsidR="002B32A0" w:rsidRPr="009337C5" w:rsidRDefault="002B32A0" w:rsidP="00327E78">
    <w:pPr>
      <w:pStyle w:val="Footer"/>
    </w:pP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acTablenolines"/>
      <w:tblW w:w="7936" w:type="dxa"/>
      <w:tblLayout w:type="fixed"/>
      <w:tblLook w:val="04A0" w:firstRow="1" w:lastRow="0" w:firstColumn="1" w:lastColumn="0" w:noHBand="0" w:noVBand="1"/>
    </w:tblPr>
    <w:tblGrid>
      <w:gridCol w:w="7192"/>
      <w:gridCol w:w="744"/>
    </w:tblGrid>
    <w:tr w:rsidR="002B32A0" w14:paraId="37B09C83" w14:textId="77777777" w:rsidTr="000B0AC7">
      <w:trPr>
        <w:trHeight w:hRule="exact" w:val="620"/>
      </w:trPr>
      <w:tc>
        <w:tcPr>
          <w:tcW w:w="7192" w:type="dxa"/>
          <w:tcMar>
            <w:bottom w:w="40" w:type="dxa"/>
          </w:tcMar>
          <w:vAlign w:val="bottom"/>
        </w:tcPr>
        <w:p w14:paraId="7CA68E03" w14:textId="0B9C481B" w:rsidR="002B32A0" w:rsidRDefault="002B6E41" w:rsidP="00327E78">
          <w:pPr>
            <w:pStyle w:val="FooterText"/>
            <w:jc w:val="right"/>
          </w:pPr>
          <w:fldSimple w:instr=" STYLEREF &quot;Cp Title&quot; \* MERGEFORMAT ">
            <w:r w:rsidR="006861F2" w:rsidRPr="006861F2">
              <w:rPr>
                <w:b/>
                <w:bCs/>
                <w:noProof/>
                <w:lang w:val="en-US"/>
              </w:rPr>
              <w:t xml:space="preserve">Impact assessment of </w:t>
            </w:r>
            <w:r w:rsidR="006861F2" w:rsidRPr="006861F2">
              <w:rPr>
                <w:b/>
                <w:bCs/>
                <w:noProof/>
                <w:lang w:val="en-US"/>
              </w:rPr>
              <w:br/>
              <w:t>ARC-funded research</w:t>
            </w:r>
          </w:fldSimple>
          <w:r w:rsidR="002B32A0">
            <w:t xml:space="preserve"> </w:t>
          </w:r>
          <w:fldSimple w:instr=" STYLEREF &quot;Cp SubTitle&quot; \* MERGEFORMAT ">
            <w:r w:rsidR="006861F2" w:rsidRPr="006861F2">
              <w:rPr>
                <w:b/>
                <w:bCs/>
                <w:noProof/>
                <w:lang w:val="en-US"/>
              </w:rPr>
              <w:t>Final report</w:t>
            </w:r>
          </w:fldSimple>
        </w:p>
      </w:tc>
      <w:tc>
        <w:tcPr>
          <w:tcW w:w="744" w:type="dxa"/>
          <w:tcMar>
            <w:bottom w:w="40" w:type="dxa"/>
          </w:tcMar>
          <w:vAlign w:val="bottom"/>
        </w:tcPr>
        <w:p w14:paraId="1CA316DB" w14:textId="77777777" w:rsidR="002B32A0" w:rsidRDefault="002B32A0" w:rsidP="00327E78">
          <w:pPr>
            <w:pStyle w:val="pageNumber0"/>
          </w:pPr>
          <w:r>
            <w:fldChar w:fldCharType="begin"/>
          </w:r>
          <w:r>
            <w:instrText xml:space="preserve"> PAGE  \* MERGEFORMAT </w:instrText>
          </w:r>
          <w:r>
            <w:fldChar w:fldCharType="separate"/>
          </w:r>
          <w:r>
            <w:rPr>
              <w:noProof/>
            </w:rPr>
            <w:t>4</w:t>
          </w:r>
          <w:r>
            <w:fldChar w:fldCharType="end"/>
          </w:r>
        </w:p>
      </w:tc>
    </w:tr>
  </w:tbl>
  <w:p w14:paraId="0D7115F9" w14:textId="77777777" w:rsidR="002B32A0" w:rsidRPr="009337C5" w:rsidRDefault="002B32A0" w:rsidP="00327E78">
    <w:pPr>
      <w:pStyle w:val="Footer"/>
    </w:pP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EEBC88" w14:textId="77777777" w:rsidR="002B32A0" w:rsidRPr="009337C5" w:rsidRDefault="002B32A0" w:rsidP="00327E78">
    <w:pPr>
      <w:pStyle w:val="Footer"/>
    </w:pP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50A4F2" w14:textId="77777777" w:rsidR="002B32A0" w:rsidRPr="009337C5" w:rsidRDefault="002B32A0" w:rsidP="00327E78">
    <w:pPr>
      <w:pStyle w:val="Footer"/>
    </w:pP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acTablenolines"/>
      <w:tblW w:w="7936" w:type="dxa"/>
      <w:tblLayout w:type="fixed"/>
      <w:tblLook w:val="04A0" w:firstRow="1" w:lastRow="0" w:firstColumn="1" w:lastColumn="0" w:noHBand="0" w:noVBand="1"/>
    </w:tblPr>
    <w:tblGrid>
      <w:gridCol w:w="7192"/>
      <w:gridCol w:w="744"/>
    </w:tblGrid>
    <w:tr w:rsidR="002B32A0" w14:paraId="470E3925" w14:textId="77777777" w:rsidTr="000B0AC7">
      <w:trPr>
        <w:trHeight w:hRule="exact" w:val="620"/>
      </w:trPr>
      <w:tc>
        <w:tcPr>
          <w:tcW w:w="7192" w:type="dxa"/>
          <w:tcMar>
            <w:bottom w:w="40" w:type="dxa"/>
          </w:tcMar>
          <w:vAlign w:val="bottom"/>
        </w:tcPr>
        <w:p w14:paraId="3F6922A3" w14:textId="70F9E6C6" w:rsidR="002B32A0" w:rsidRDefault="002B6E41" w:rsidP="00327E78">
          <w:pPr>
            <w:pStyle w:val="FooterText"/>
            <w:jc w:val="right"/>
          </w:pPr>
          <w:fldSimple w:instr=" STYLEREF &quot;Cp Title&quot; \* MERGEFORMAT ">
            <w:r w:rsidRPr="002B6E41">
              <w:rPr>
                <w:b/>
                <w:bCs/>
                <w:noProof/>
                <w:lang w:val="en-US"/>
              </w:rPr>
              <w:t xml:space="preserve">Impact assessment of </w:t>
            </w:r>
            <w:r w:rsidRPr="002B6E41">
              <w:rPr>
                <w:b/>
                <w:bCs/>
                <w:noProof/>
                <w:lang w:val="en-US"/>
              </w:rPr>
              <w:br/>
              <w:t>ARC-funded research</w:t>
            </w:r>
          </w:fldSimple>
          <w:r w:rsidR="002B32A0">
            <w:t xml:space="preserve"> </w:t>
          </w:r>
          <w:fldSimple w:instr=" STYLEREF &quot;Cp SubTitle&quot; \* MERGEFORMAT ">
            <w:r w:rsidRPr="002B6E41">
              <w:rPr>
                <w:b/>
                <w:bCs/>
                <w:noProof/>
                <w:lang w:val="en-US"/>
              </w:rPr>
              <w:t>Final report</w:t>
            </w:r>
          </w:fldSimple>
        </w:p>
      </w:tc>
      <w:tc>
        <w:tcPr>
          <w:tcW w:w="744" w:type="dxa"/>
          <w:tcMar>
            <w:bottom w:w="40" w:type="dxa"/>
          </w:tcMar>
          <w:vAlign w:val="bottom"/>
        </w:tcPr>
        <w:p w14:paraId="3F62A985" w14:textId="77777777" w:rsidR="002B32A0" w:rsidRDefault="002B32A0" w:rsidP="00327E78">
          <w:pPr>
            <w:pStyle w:val="pageNumber0"/>
          </w:pPr>
          <w:r>
            <w:fldChar w:fldCharType="begin"/>
          </w:r>
          <w:r>
            <w:instrText xml:space="preserve"> PAGE  \* MERGEFORMAT </w:instrText>
          </w:r>
          <w:r>
            <w:fldChar w:fldCharType="separate"/>
          </w:r>
          <w:r>
            <w:rPr>
              <w:noProof/>
            </w:rPr>
            <w:t>4</w:t>
          </w:r>
          <w:r>
            <w:fldChar w:fldCharType="end"/>
          </w:r>
        </w:p>
      </w:tc>
    </w:tr>
  </w:tbl>
  <w:p w14:paraId="07B31484" w14:textId="77777777" w:rsidR="002B32A0" w:rsidRPr="009337C5" w:rsidRDefault="002B32A0" w:rsidP="00327E78">
    <w:pPr>
      <w:pStyle w:val="Footer"/>
    </w:pP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BEF425" w14:textId="77777777" w:rsidR="002B32A0" w:rsidRPr="009337C5" w:rsidRDefault="002B32A0" w:rsidP="00327E78">
    <w:pPr>
      <w:pStyle w:val="Footer"/>
    </w:pP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19A7D3" w14:textId="77777777" w:rsidR="002B32A0" w:rsidRDefault="002B32A0">
    <w:pPr>
      <w:pStyle w:val="Footer"/>
    </w:pP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acTablenolines"/>
      <w:tblW w:w="7937" w:type="dxa"/>
      <w:tblLayout w:type="fixed"/>
      <w:tblLook w:val="04A0" w:firstRow="1" w:lastRow="0" w:firstColumn="1" w:lastColumn="0" w:noHBand="0" w:noVBand="1"/>
    </w:tblPr>
    <w:tblGrid>
      <w:gridCol w:w="7193"/>
      <w:gridCol w:w="744"/>
    </w:tblGrid>
    <w:tr w:rsidR="002B32A0" w14:paraId="14ABA1E0" w14:textId="77777777" w:rsidTr="000B0AC7">
      <w:trPr>
        <w:trHeight w:hRule="exact" w:val="620"/>
      </w:trPr>
      <w:tc>
        <w:tcPr>
          <w:tcW w:w="7193" w:type="dxa"/>
          <w:tcMar>
            <w:bottom w:w="40" w:type="dxa"/>
          </w:tcMar>
          <w:vAlign w:val="bottom"/>
        </w:tcPr>
        <w:p w14:paraId="272225FE" w14:textId="4F2ED633" w:rsidR="002B32A0" w:rsidRDefault="002B6E41" w:rsidP="00327E78">
          <w:pPr>
            <w:pStyle w:val="FooterText"/>
            <w:jc w:val="right"/>
          </w:pPr>
          <w:fldSimple w:instr=" STYLEREF &quot;Cp Title&quot; \* MERGEFORMAT ">
            <w:r w:rsidRPr="002B6E41">
              <w:rPr>
                <w:b/>
                <w:bCs/>
                <w:noProof/>
                <w:lang w:val="en-US"/>
              </w:rPr>
              <w:t>Impact assessment</w:t>
            </w:r>
            <w:r w:rsidRPr="002B6E41">
              <w:rPr>
                <w:b/>
                <w:noProof/>
              </w:rPr>
              <w:t xml:space="preserve"> of </w:t>
            </w:r>
            <w:r w:rsidRPr="002B6E41">
              <w:rPr>
                <w:b/>
                <w:noProof/>
              </w:rPr>
              <w:br/>
              <w:t>ARC-funded research</w:t>
            </w:r>
          </w:fldSimple>
          <w:r w:rsidR="002B32A0">
            <w:t xml:space="preserve"> </w:t>
          </w:r>
          <w:fldSimple w:instr=" STYLEREF &quot;Cp SubTitle&quot; \* MERGEFORMAT ">
            <w:r w:rsidRPr="002B6E41">
              <w:rPr>
                <w:b/>
                <w:noProof/>
              </w:rPr>
              <w:t>Final report</w:t>
            </w:r>
          </w:fldSimple>
        </w:p>
      </w:tc>
      <w:tc>
        <w:tcPr>
          <w:tcW w:w="744" w:type="dxa"/>
          <w:tcMar>
            <w:bottom w:w="40" w:type="dxa"/>
          </w:tcMar>
          <w:vAlign w:val="bottom"/>
        </w:tcPr>
        <w:p w14:paraId="64185617" w14:textId="77777777" w:rsidR="002B32A0" w:rsidRDefault="002B32A0" w:rsidP="00327E78">
          <w:pPr>
            <w:pStyle w:val="pageNumber0"/>
          </w:pPr>
          <w:r>
            <w:fldChar w:fldCharType="begin"/>
          </w:r>
          <w:r>
            <w:instrText xml:space="preserve"> PAGE  \* MERGEFORMAT </w:instrText>
          </w:r>
          <w:r>
            <w:fldChar w:fldCharType="separate"/>
          </w:r>
          <w:r>
            <w:t>i</w:t>
          </w:r>
          <w:r>
            <w:fldChar w:fldCharType="end"/>
          </w:r>
        </w:p>
      </w:tc>
    </w:tr>
  </w:tbl>
  <w:p w14:paraId="176DC8F9" w14:textId="77777777" w:rsidR="002B32A0" w:rsidRPr="00AB12E8" w:rsidRDefault="002B32A0" w:rsidP="00327E78">
    <w:pPr>
      <w:pStyle w:val="Footer"/>
    </w:pP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DE33BA" w14:textId="77777777" w:rsidR="002B32A0" w:rsidRDefault="002B32A0">
    <w:pPr>
      <w:pStyle w:val="Footer"/>
    </w:pP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acTablenolines"/>
      <w:tblW w:w="14742" w:type="dxa"/>
      <w:tblLayout w:type="fixed"/>
      <w:tblLook w:val="04A0" w:firstRow="1" w:lastRow="0" w:firstColumn="1" w:lastColumn="0" w:noHBand="0" w:noVBand="1"/>
    </w:tblPr>
    <w:tblGrid>
      <w:gridCol w:w="13750"/>
      <w:gridCol w:w="992"/>
    </w:tblGrid>
    <w:tr w:rsidR="00985A5C" w14:paraId="5AC6D54F" w14:textId="77777777" w:rsidTr="000B0AC7">
      <w:trPr>
        <w:trHeight w:hRule="exact" w:val="620"/>
      </w:trPr>
      <w:tc>
        <w:tcPr>
          <w:tcW w:w="13750" w:type="dxa"/>
          <w:tcMar>
            <w:bottom w:w="40" w:type="dxa"/>
          </w:tcMar>
          <w:vAlign w:val="bottom"/>
        </w:tcPr>
        <w:p w14:paraId="1B56A759" w14:textId="141AE7C9" w:rsidR="00985A5C" w:rsidRDefault="002B6E41" w:rsidP="00327E78">
          <w:pPr>
            <w:pStyle w:val="FooterText"/>
            <w:jc w:val="right"/>
          </w:pPr>
          <w:fldSimple w:instr=" STYLEREF &quot;Cp Title&quot; \* MERGEFORMAT ">
            <w:r w:rsidRPr="002B6E41">
              <w:rPr>
                <w:b/>
                <w:bCs/>
                <w:noProof/>
                <w:lang w:val="en-US"/>
              </w:rPr>
              <w:t>Impact assessment</w:t>
            </w:r>
            <w:r w:rsidRPr="002B6E41">
              <w:rPr>
                <w:b/>
                <w:noProof/>
              </w:rPr>
              <w:t xml:space="preserve"> of </w:t>
            </w:r>
            <w:r w:rsidRPr="002B6E41">
              <w:rPr>
                <w:b/>
                <w:noProof/>
              </w:rPr>
              <w:br/>
              <w:t>ARC-funded research</w:t>
            </w:r>
          </w:fldSimple>
          <w:r w:rsidR="00985A5C">
            <w:t xml:space="preserve"> </w:t>
          </w:r>
          <w:fldSimple w:instr=" STYLEREF &quot;Cp SubTitle&quot; \* MERGEFORMAT ">
            <w:r w:rsidRPr="002B6E41">
              <w:rPr>
                <w:b/>
                <w:noProof/>
              </w:rPr>
              <w:t>Final report</w:t>
            </w:r>
          </w:fldSimple>
        </w:p>
      </w:tc>
      <w:tc>
        <w:tcPr>
          <w:tcW w:w="992" w:type="dxa"/>
          <w:tcMar>
            <w:bottom w:w="40" w:type="dxa"/>
          </w:tcMar>
          <w:vAlign w:val="bottom"/>
        </w:tcPr>
        <w:p w14:paraId="665EB807" w14:textId="77777777" w:rsidR="00985A5C" w:rsidRDefault="00985A5C" w:rsidP="00327E78">
          <w:pPr>
            <w:pStyle w:val="pageNumber0"/>
          </w:pPr>
          <w:r>
            <w:fldChar w:fldCharType="begin"/>
          </w:r>
          <w:r>
            <w:instrText xml:space="preserve"> PAGE  \* MERGEFORMAT </w:instrText>
          </w:r>
          <w:r>
            <w:fldChar w:fldCharType="separate"/>
          </w:r>
          <w:r>
            <w:t>i</w:t>
          </w:r>
          <w:r>
            <w:fldChar w:fldCharType="end"/>
          </w:r>
        </w:p>
      </w:tc>
    </w:tr>
  </w:tbl>
  <w:p w14:paraId="18F21FB4" w14:textId="77777777" w:rsidR="00985A5C" w:rsidRPr="00AB12E8" w:rsidRDefault="00985A5C" w:rsidP="00327E78">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864E77" w14:textId="77777777" w:rsidR="002B32A0" w:rsidRPr="00667A67" w:rsidRDefault="002B32A0" w:rsidP="00667A67">
    <w:pPr>
      <w:pStyle w:val="Footer"/>
    </w:pP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6167E7" w14:textId="77777777" w:rsidR="002B32A0" w:rsidRPr="009337C5" w:rsidRDefault="002B32A0" w:rsidP="00327E78">
    <w:pPr>
      <w:pStyle w:val="Footer"/>
    </w:pP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acTablenolines"/>
      <w:tblW w:w="7936" w:type="dxa"/>
      <w:tblLayout w:type="fixed"/>
      <w:tblLook w:val="04A0" w:firstRow="1" w:lastRow="0" w:firstColumn="1" w:lastColumn="0" w:noHBand="0" w:noVBand="1"/>
    </w:tblPr>
    <w:tblGrid>
      <w:gridCol w:w="7192"/>
      <w:gridCol w:w="744"/>
    </w:tblGrid>
    <w:tr w:rsidR="002B32A0" w14:paraId="3AEC6ECF" w14:textId="77777777" w:rsidTr="000B0AC7">
      <w:trPr>
        <w:trHeight w:hRule="exact" w:val="620"/>
      </w:trPr>
      <w:tc>
        <w:tcPr>
          <w:tcW w:w="7192" w:type="dxa"/>
          <w:tcMar>
            <w:bottom w:w="40" w:type="dxa"/>
          </w:tcMar>
          <w:vAlign w:val="bottom"/>
        </w:tcPr>
        <w:p w14:paraId="6A3B594E" w14:textId="06A183DB" w:rsidR="002B32A0" w:rsidRDefault="002B6E41" w:rsidP="00327E78">
          <w:pPr>
            <w:pStyle w:val="FooterText"/>
            <w:jc w:val="right"/>
          </w:pPr>
          <w:fldSimple w:instr=" STYLEREF &quot;Cp Title&quot; \* MERGEFORMAT ">
            <w:r w:rsidRPr="002B6E41">
              <w:rPr>
                <w:b/>
                <w:bCs/>
                <w:noProof/>
                <w:lang w:val="en-US"/>
              </w:rPr>
              <w:t xml:space="preserve">Impact assessment of </w:t>
            </w:r>
            <w:r w:rsidRPr="002B6E41">
              <w:rPr>
                <w:b/>
                <w:bCs/>
                <w:noProof/>
                <w:lang w:val="en-US"/>
              </w:rPr>
              <w:br/>
              <w:t>ARC-funded research</w:t>
            </w:r>
          </w:fldSimple>
          <w:r w:rsidR="002B32A0">
            <w:t xml:space="preserve"> </w:t>
          </w:r>
          <w:fldSimple w:instr=" STYLEREF &quot;Cp SubTitle&quot; \* MERGEFORMAT ">
            <w:r w:rsidRPr="002B6E41">
              <w:rPr>
                <w:b/>
                <w:bCs/>
                <w:noProof/>
                <w:lang w:val="en-US"/>
              </w:rPr>
              <w:t>Final report</w:t>
            </w:r>
          </w:fldSimple>
        </w:p>
      </w:tc>
      <w:tc>
        <w:tcPr>
          <w:tcW w:w="744" w:type="dxa"/>
          <w:tcMar>
            <w:bottom w:w="40" w:type="dxa"/>
          </w:tcMar>
          <w:vAlign w:val="bottom"/>
        </w:tcPr>
        <w:p w14:paraId="01DDF429" w14:textId="77777777" w:rsidR="002B32A0" w:rsidRDefault="002B32A0" w:rsidP="00327E78">
          <w:pPr>
            <w:pStyle w:val="pageNumber0"/>
          </w:pPr>
          <w:r>
            <w:fldChar w:fldCharType="begin"/>
          </w:r>
          <w:r>
            <w:instrText xml:space="preserve"> PAGE  \* MERGEFORMAT </w:instrText>
          </w:r>
          <w:r>
            <w:fldChar w:fldCharType="separate"/>
          </w:r>
          <w:r>
            <w:rPr>
              <w:noProof/>
            </w:rPr>
            <w:t>2</w:t>
          </w:r>
          <w:r>
            <w:fldChar w:fldCharType="end"/>
          </w:r>
        </w:p>
      </w:tc>
    </w:tr>
  </w:tbl>
  <w:p w14:paraId="1B63D199" w14:textId="77777777" w:rsidR="002B32A0" w:rsidRPr="009337C5" w:rsidRDefault="002B32A0" w:rsidP="00327E78">
    <w:pPr>
      <w:pStyle w:val="Footer"/>
    </w:pP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69BD24" w14:textId="77777777" w:rsidR="002B32A0" w:rsidRPr="009337C5" w:rsidRDefault="002B32A0" w:rsidP="00327E78">
    <w:pPr>
      <w:pStyle w:val="Footer"/>
    </w:pP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34D1E" w14:textId="77777777" w:rsidR="002B32A0" w:rsidRPr="008A0C00" w:rsidRDefault="002B32A0" w:rsidP="008A0C00">
    <w:pPr>
      <w:pStyle w:val="Footer"/>
    </w:pP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acTablenolines"/>
      <w:tblW w:w="7936" w:type="dxa"/>
      <w:tblLayout w:type="fixed"/>
      <w:tblLook w:val="04A0" w:firstRow="1" w:lastRow="0" w:firstColumn="1" w:lastColumn="0" w:noHBand="0" w:noVBand="1"/>
    </w:tblPr>
    <w:tblGrid>
      <w:gridCol w:w="7192"/>
      <w:gridCol w:w="744"/>
    </w:tblGrid>
    <w:tr w:rsidR="002B32A0" w14:paraId="51E12342" w14:textId="77777777" w:rsidTr="000B0AC7">
      <w:trPr>
        <w:trHeight w:hRule="exact" w:val="620"/>
      </w:trPr>
      <w:tc>
        <w:tcPr>
          <w:tcW w:w="7192" w:type="dxa"/>
          <w:tcMar>
            <w:bottom w:w="40" w:type="dxa"/>
          </w:tcMar>
          <w:vAlign w:val="bottom"/>
        </w:tcPr>
        <w:p w14:paraId="0924A412" w14:textId="4BC49430" w:rsidR="002B32A0" w:rsidRDefault="002B6E41" w:rsidP="008A0C00">
          <w:pPr>
            <w:pStyle w:val="FooterText"/>
            <w:jc w:val="right"/>
          </w:pPr>
          <w:fldSimple w:instr=" STYLEREF &quot;Cp Title&quot; \* MERGEFORMAT ">
            <w:r w:rsidRPr="002B6E41">
              <w:rPr>
                <w:b/>
                <w:noProof/>
              </w:rPr>
              <w:t xml:space="preserve">Impact assessment of </w:t>
            </w:r>
            <w:r w:rsidRPr="002B6E41">
              <w:rPr>
                <w:b/>
                <w:noProof/>
              </w:rPr>
              <w:br/>
              <w:t>ARC-funded research</w:t>
            </w:r>
          </w:fldSimple>
          <w:r w:rsidR="002B32A0">
            <w:t xml:space="preserve"> </w:t>
          </w:r>
          <w:fldSimple w:instr=" STYLEREF &quot;Cp SubTitle&quot; \* MERGEFORMAT ">
            <w:r w:rsidRPr="002B6E41">
              <w:rPr>
                <w:b/>
                <w:noProof/>
              </w:rPr>
              <w:t>Final report</w:t>
            </w:r>
          </w:fldSimple>
        </w:p>
      </w:tc>
      <w:tc>
        <w:tcPr>
          <w:tcW w:w="744" w:type="dxa"/>
          <w:tcMar>
            <w:bottom w:w="40" w:type="dxa"/>
          </w:tcMar>
          <w:vAlign w:val="bottom"/>
        </w:tcPr>
        <w:p w14:paraId="5DB70900" w14:textId="77777777" w:rsidR="002B32A0" w:rsidRDefault="002B32A0" w:rsidP="008A0C00">
          <w:pPr>
            <w:pStyle w:val="pageNumber0"/>
          </w:pPr>
          <w:r>
            <w:fldChar w:fldCharType="begin"/>
          </w:r>
          <w:r>
            <w:instrText xml:space="preserve"> PAGE  \* MERGEFORMAT </w:instrText>
          </w:r>
          <w:r>
            <w:fldChar w:fldCharType="separate"/>
          </w:r>
          <w:r>
            <w:rPr>
              <w:noProof/>
            </w:rPr>
            <w:t>63</w:t>
          </w:r>
          <w:r>
            <w:fldChar w:fldCharType="end"/>
          </w:r>
        </w:p>
      </w:tc>
    </w:tr>
  </w:tbl>
  <w:p w14:paraId="45128826" w14:textId="77777777" w:rsidR="002B32A0" w:rsidRPr="008A0C00" w:rsidRDefault="002B32A0" w:rsidP="008A0C00">
    <w:pPr>
      <w:pStyle w:val="Footer"/>
    </w:pP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21B166" w14:textId="77777777" w:rsidR="002B32A0" w:rsidRPr="008A0C00" w:rsidRDefault="002B32A0" w:rsidP="008A0C00">
    <w:pPr>
      <w:pStyle w:val="Footer"/>
    </w:pP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26FB49" w14:textId="77777777" w:rsidR="002B32A0" w:rsidRPr="009337C5" w:rsidRDefault="002B32A0" w:rsidP="00327E78">
    <w:pPr>
      <w:pStyle w:val="Footer"/>
    </w:pP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acTablenolines"/>
      <w:tblW w:w="7936" w:type="dxa"/>
      <w:tblLayout w:type="fixed"/>
      <w:tblLook w:val="04A0" w:firstRow="1" w:lastRow="0" w:firstColumn="1" w:lastColumn="0" w:noHBand="0" w:noVBand="1"/>
    </w:tblPr>
    <w:tblGrid>
      <w:gridCol w:w="7192"/>
      <w:gridCol w:w="744"/>
    </w:tblGrid>
    <w:tr w:rsidR="002B32A0" w14:paraId="39FCE3B0" w14:textId="77777777" w:rsidTr="000B0AC7">
      <w:trPr>
        <w:trHeight w:hRule="exact" w:val="620"/>
      </w:trPr>
      <w:tc>
        <w:tcPr>
          <w:tcW w:w="7192" w:type="dxa"/>
          <w:tcMar>
            <w:bottom w:w="40" w:type="dxa"/>
          </w:tcMar>
          <w:vAlign w:val="bottom"/>
        </w:tcPr>
        <w:p w14:paraId="1B631E95" w14:textId="5F5F936C" w:rsidR="002B32A0" w:rsidRDefault="002B6E41" w:rsidP="00327E78">
          <w:pPr>
            <w:pStyle w:val="FooterText"/>
            <w:jc w:val="right"/>
          </w:pPr>
          <w:fldSimple w:instr=" STYLEREF &quot;Cp Title&quot; \* MERGEFORMAT ">
            <w:r w:rsidRPr="002B6E41">
              <w:rPr>
                <w:b/>
                <w:bCs/>
                <w:noProof/>
                <w:lang w:val="en-US"/>
              </w:rPr>
              <w:t xml:space="preserve">Impact assessment of </w:t>
            </w:r>
            <w:r w:rsidRPr="002B6E41">
              <w:rPr>
                <w:b/>
                <w:bCs/>
                <w:noProof/>
                <w:lang w:val="en-US"/>
              </w:rPr>
              <w:br/>
              <w:t>ARC-funded research</w:t>
            </w:r>
          </w:fldSimple>
          <w:r w:rsidR="002B32A0">
            <w:t xml:space="preserve"> </w:t>
          </w:r>
          <w:fldSimple w:instr=" STYLEREF &quot;Cp SubTitle&quot; \* MERGEFORMAT ">
            <w:r w:rsidRPr="002B6E41">
              <w:rPr>
                <w:b/>
                <w:bCs/>
                <w:noProof/>
                <w:lang w:val="en-US"/>
              </w:rPr>
              <w:t>Final report</w:t>
            </w:r>
          </w:fldSimple>
        </w:p>
      </w:tc>
      <w:tc>
        <w:tcPr>
          <w:tcW w:w="744" w:type="dxa"/>
          <w:tcMar>
            <w:bottom w:w="40" w:type="dxa"/>
          </w:tcMar>
          <w:vAlign w:val="bottom"/>
        </w:tcPr>
        <w:p w14:paraId="4498EE5B" w14:textId="77777777" w:rsidR="002B32A0" w:rsidRDefault="002B32A0" w:rsidP="00327E78">
          <w:pPr>
            <w:pStyle w:val="pageNumber0"/>
          </w:pPr>
          <w:r>
            <w:fldChar w:fldCharType="begin"/>
          </w:r>
          <w:r>
            <w:instrText xml:space="preserve"> PAGE  \* MERGEFORMAT </w:instrText>
          </w:r>
          <w:r>
            <w:fldChar w:fldCharType="separate"/>
          </w:r>
          <w:r>
            <w:rPr>
              <w:noProof/>
            </w:rPr>
            <w:t>2</w:t>
          </w:r>
          <w:r>
            <w:fldChar w:fldCharType="end"/>
          </w:r>
        </w:p>
      </w:tc>
    </w:tr>
  </w:tbl>
  <w:p w14:paraId="35B7AD7B" w14:textId="77777777" w:rsidR="002B32A0" w:rsidRPr="009337C5" w:rsidRDefault="002B32A0" w:rsidP="00327E78">
    <w:pPr>
      <w:pStyle w:val="Footer"/>
    </w:pP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26ADED" w14:textId="77777777" w:rsidR="002B32A0" w:rsidRPr="009337C5" w:rsidRDefault="002B32A0" w:rsidP="00327E78">
    <w:pPr>
      <w:pStyle w:val="Footer"/>
    </w:pP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339742" w14:textId="77777777" w:rsidR="002B32A0" w:rsidRPr="009337C5" w:rsidRDefault="002B32A0" w:rsidP="00327E78">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BF2E81" w14:textId="77777777" w:rsidR="002B32A0" w:rsidRPr="00667A67" w:rsidRDefault="002B32A0" w:rsidP="00667A67">
    <w:pPr>
      <w:pStyle w:val="Footer"/>
    </w:pP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acTablenolines"/>
      <w:tblW w:w="7936" w:type="dxa"/>
      <w:tblLayout w:type="fixed"/>
      <w:tblLook w:val="04A0" w:firstRow="1" w:lastRow="0" w:firstColumn="1" w:lastColumn="0" w:noHBand="0" w:noVBand="1"/>
    </w:tblPr>
    <w:tblGrid>
      <w:gridCol w:w="7192"/>
      <w:gridCol w:w="744"/>
    </w:tblGrid>
    <w:tr w:rsidR="002B32A0" w14:paraId="0BB57945" w14:textId="77777777" w:rsidTr="000B0AC7">
      <w:trPr>
        <w:trHeight w:hRule="exact" w:val="620"/>
      </w:trPr>
      <w:tc>
        <w:tcPr>
          <w:tcW w:w="7192" w:type="dxa"/>
          <w:tcMar>
            <w:bottom w:w="40" w:type="dxa"/>
          </w:tcMar>
          <w:vAlign w:val="bottom"/>
        </w:tcPr>
        <w:p w14:paraId="43A9B6DF" w14:textId="4D585391" w:rsidR="002B32A0" w:rsidRDefault="002B6E41" w:rsidP="00327E78">
          <w:pPr>
            <w:pStyle w:val="FooterText"/>
            <w:jc w:val="right"/>
          </w:pPr>
          <w:fldSimple w:instr=" STYLEREF &quot;Cp Title&quot; \* MERGEFORMAT ">
            <w:r w:rsidRPr="002B6E41">
              <w:rPr>
                <w:b/>
                <w:bCs/>
                <w:noProof/>
                <w:lang w:val="en-US"/>
              </w:rPr>
              <w:t xml:space="preserve">Impact assessment of </w:t>
            </w:r>
            <w:r w:rsidRPr="002B6E41">
              <w:rPr>
                <w:b/>
                <w:bCs/>
                <w:noProof/>
                <w:lang w:val="en-US"/>
              </w:rPr>
              <w:br/>
              <w:t>ARC-funded research</w:t>
            </w:r>
          </w:fldSimple>
          <w:r w:rsidR="002B32A0">
            <w:t xml:space="preserve"> </w:t>
          </w:r>
          <w:fldSimple w:instr=" STYLEREF &quot;Cp SubTitle&quot; \* MERGEFORMAT ">
            <w:r w:rsidRPr="002B6E41">
              <w:rPr>
                <w:b/>
                <w:bCs/>
                <w:noProof/>
                <w:lang w:val="en-US"/>
              </w:rPr>
              <w:t>Final report</w:t>
            </w:r>
          </w:fldSimple>
        </w:p>
      </w:tc>
      <w:tc>
        <w:tcPr>
          <w:tcW w:w="744" w:type="dxa"/>
          <w:tcMar>
            <w:bottom w:w="40" w:type="dxa"/>
          </w:tcMar>
          <w:vAlign w:val="bottom"/>
        </w:tcPr>
        <w:p w14:paraId="60D94EEB" w14:textId="77777777" w:rsidR="002B32A0" w:rsidRDefault="002B32A0" w:rsidP="00327E78">
          <w:pPr>
            <w:pStyle w:val="pageNumber0"/>
          </w:pPr>
          <w:r>
            <w:fldChar w:fldCharType="begin"/>
          </w:r>
          <w:r>
            <w:instrText xml:space="preserve"> PAGE  \* MERGEFORMAT </w:instrText>
          </w:r>
          <w:r>
            <w:fldChar w:fldCharType="separate"/>
          </w:r>
          <w:r>
            <w:rPr>
              <w:noProof/>
            </w:rPr>
            <w:t>4</w:t>
          </w:r>
          <w:r>
            <w:fldChar w:fldCharType="end"/>
          </w:r>
        </w:p>
      </w:tc>
    </w:tr>
  </w:tbl>
  <w:p w14:paraId="4BFA151F" w14:textId="77777777" w:rsidR="002B32A0" w:rsidRPr="009337C5" w:rsidRDefault="002B32A0" w:rsidP="00327E78">
    <w:pPr>
      <w:pStyle w:val="Footer"/>
    </w:pP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112672" w14:textId="77777777" w:rsidR="002B32A0" w:rsidRPr="009337C5" w:rsidRDefault="002B32A0" w:rsidP="00327E78">
    <w:pPr>
      <w:pStyle w:val="Footer"/>
    </w:pP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6B5C92" w14:textId="77777777" w:rsidR="002B32A0" w:rsidRPr="009337C5" w:rsidRDefault="002B32A0" w:rsidP="00327E78">
    <w:pPr>
      <w:pStyle w:val="Footer"/>
    </w:pP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acTablenolines"/>
      <w:tblW w:w="7936" w:type="dxa"/>
      <w:tblLayout w:type="fixed"/>
      <w:tblLook w:val="04A0" w:firstRow="1" w:lastRow="0" w:firstColumn="1" w:lastColumn="0" w:noHBand="0" w:noVBand="1"/>
    </w:tblPr>
    <w:tblGrid>
      <w:gridCol w:w="7192"/>
      <w:gridCol w:w="744"/>
    </w:tblGrid>
    <w:tr w:rsidR="002B32A0" w14:paraId="4712A57A" w14:textId="77777777" w:rsidTr="000B0AC7">
      <w:trPr>
        <w:trHeight w:hRule="exact" w:val="620"/>
      </w:trPr>
      <w:tc>
        <w:tcPr>
          <w:tcW w:w="7192" w:type="dxa"/>
          <w:tcMar>
            <w:bottom w:w="40" w:type="dxa"/>
          </w:tcMar>
          <w:vAlign w:val="bottom"/>
        </w:tcPr>
        <w:p w14:paraId="404714F8" w14:textId="6B25D352" w:rsidR="002B32A0" w:rsidRDefault="002B6E41" w:rsidP="00327E78">
          <w:pPr>
            <w:pStyle w:val="FooterText"/>
            <w:jc w:val="right"/>
          </w:pPr>
          <w:fldSimple w:instr=" STYLEREF &quot;Cp Title&quot; \* MERGEFORMAT ">
            <w:r w:rsidRPr="002B6E41">
              <w:rPr>
                <w:b/>
                <w:bCs/>
                <w:noProof/>
                <w:lang w:val="en-US"/>
              </w:rPr>
              <w:t xml:space="preserve">Impact assessment of </w:t>
            </w:r>
            <w:r w:rsidRPr="002B6E41">
              <w:rPr>
                <w:b/>
                <w:bCs/>
                <w:noProof/>
                <w:lang w:val="en-US"/>
              </w:rPr>
              <w:br/>
              <w:t>ARC-funded research</w:t>
            </w:r>
          </w:fldSimple>
          <w:r w:rsidR="002B32A0">
            <w:t xml:space="preserve"> </w:t>
          </w:r>
          <w:fldSimple w:instr=" STYLEREF &quot;Cp SubTitle&quot; \* MERGEFORMAT ">
            <w:r w:rsidRPr="002B6E41">
              <w:rPr>
                <w:b/>
                <w:bCs/>
                <w:noProof/>
                <w:lang w:val="en-US"/>
              </w:rPr>
              <w:t>Final report</w:t>
            </w:r>
          </w:fldSimple>
        </w:p>
      </w:tc>
      <w:tc>
        <w:tcPr>
          <w:tcW w:w="744" w:type="dxa"/>
          <w:tcMar>
            <w:bottom w:w="40" w:type="dxa"/>
          </w:tcMar>
          <w:vAlign w:val="bottom"/>
        </w:tcPr>
        <w:p w14:paraId="01FC4C95" w14:textId="77777777" w:rsidR="002B32A0" w:rsidRDefault="002B32A0" w:rsidP="00327E78">
          <w:pPr>
            <w:pStyle w:val="pageNumber0"/>
          </w:pPr>
          <w:r>
            <w:fldChar w:fldCharType="begin"/>
          </w:r>
          <w:r>
            <w:instrText xml:space="preserve"> PAGE  \* MERGEFORMAT </w:instrText>
          </w:r>
          <w:r>
            <w:fldChar w:fldCharType="separate"/>
          </w:r>
          <w:r>
            <w:rPr>
              <w:noProof/>
            </w:rPr>
            <w:t>4</w:t>
          </w:r>
          <w:r>
            <w:fldChar w:fldCharType="end"/>
          </w:r>
        </w:p>
      </w:tc>
    </w:tr>
  </w:tbl>
  <w:p w14:paraId="31631FC0" w14:textId="77777777" w:rsidR="002B32A0" w:rsidRPr="009337C5" w:rsidRDefault="002B32A0" w:rsidP="00327E78">
    <w:pPr>
      <w:pStyle w:val="Footer"/>
    </w:pP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9DF669" w14:textId="77777777" w:rsidR="002B32A0" w:rsidRPr="009337C5" w:rsidRDefault="002B32A0" w:rsidP="00327E78">
    <w:pPr>
      <w:pStyle w:val="Footer"/>
    </w:pP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6DAF27" w14:textId="77777777" w:rsidR="002B32A0" w:rsidRPr="008A0C00" w:rsidRDefault="002B32A0" w:rsidP="008A0C00">
    <w:pPr>
      <w:pStyle w:val="Footer"/>
    </w:pP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DFC087" w14:textId="77777777" w:rsidR="002B32A0" w:rsidRPr="008A0C00" w:rsidRDefault="002B32A0" w:rsidP="008A0C00">
    <w:pPr>
      <w:pStyle w:val="Footer"/>
    </w:pPr>
  </w:p>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965E19" w14:textId="77777777" w:rsidR="002B32A0" w:rsidRPr="008A0C00" w:rsidRDefault="002B32A0" w:rsidP="008A0C00">
    <w:pPr>
      <w:pStyle w:val="Footer"/>
    </w:pP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94E9FC" w14:textId="77777777" w:rsidR="002B32A0" w:rsidRDefault="002B32A0">
    <w:pPr>
      <w:pStyle w:val="Footer"/>
    </w:pPr>
  </w:p>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acTablenolines"/>
      <w:tblW w:w="7936" w:type="dxa"/>
      <w:tblLayout w:type="fixed"/>
      <w:tblLook w:val="04A0" w:firstRow="1" w:lastRow="0" w:firstColumn="1" w:lastColumn="0" w:noHBand="0" w:noVBand="1"/>
    </w:tblPr>
    <w:tblGrid>
      <w:gridCol w:w="7192"/>
      <w:gridCol w:w="744"/>
    </w:tblGrid>
    <w:tr w:rsidR="002B32A0" w14:paraId="0B7F73DF" w14:textId="77777777" w:rsidTr="000B0AC7">
      <w:trPr>
        <w:trHeight w:hRule="exact" w:val="620"/>
      </w:trPr>
      <w:tc>
        <w:tcPr>
          <w:tcW w:w="7192" w:type="dxa"/>
          <w:tcMar>
            <w:bottom w:w="40" w:type="dxa"/>
          </w:tcMar>
          <w:vAlign w:val="bottom"/>
        </w:tcPr>
        <w:p w14:paraId="5285560E" w14:textId="2897B3D2" w:rsidR="002B32A0" w:rsidRDefault="002B6E41" w:rsidP="00026E9C">
          <w:pPr>
            <w:pStyle w:val="FooterText"/>
            <w:jc w:val="right"/>
          </w:pPr>
          <w:fldSimple w:instr=" STYLEREF &quot;Cp Title&quot; \* MERGEFORMAT ">
            <w:r w:rsidRPr="002B6E41">
              <w:rPr>
                <w:b/>
                <w:bCs/>
                <w:noProof/>
                <w:lang w:val="en-US"/>
              </w:rPr>
              <w:t>Impact assessment</w:t>
            </w:r>
            <w:r w:rsidRPr="002B6E41">
              <w:rPr>
                <w:b/>
                <w:noProof/>
              </w:rPr>
              <w:t xml:space="preserve"> of </w:t>
            </w:r>
            <w:r w:rsidRPr="002B6E41">
              <w:rPr>
                <w:b/>
                <w:noProof/>
              </w:rPr>
              <w:br/>
              <w:t>ARC-funded research</w:t>
            </w:r>
          </w:fldSimple>
          <w:r w:rsidR="002B32A0">
            <w:t xml:space="preserve"> </w:t>
          </w:r>
          <w:fldSimple w:instr=" STYLEREF &quot;Cp SubTitle&quot; \* MERGEFORMAT ">
            <w:r w:rsidRPr="002B6E41">
              <w:rPr>
                <w:b/>
                <w:noProof/>
              </w:rPr>
              <w:t>Final report</w:t>
            </w:r>
          </w:fldSimple>
        </w:p>
      </w:tc>
      <w:tc>
        <w:tcPr>
          <w:tcW w:w="744" w:type="dxa"/>
          <w:tcMar>
            <w:bottom w:w="40" w:type="dxa"/>
          </w:tcMar>
          <w:vAlign w:val="bottom"/>
        </w:tcPr>
        <w:p w14:paraId="604328C2" w14:textId="77777777" w:rsidR="002B32A0" w:rsidRDefault="002B32A0" w:rsidP="00026E9C">
          <w:pPr>
            <w:pStyle w:val="pageNumber0"/>
          </w:pPr>
          <w:r>
            <w:fldChar w:fldCharType="begin"/>
          </w:r>
          <w:r>
            <w:instrText xml:space="preserve"> PAGE  \* MERGEFORMAT </w:instrText>
          </w:r>
          <w:r>
            <w:fldChar w:fldCharType="separate"/>
          </w:r>
          <w:r>
            <w:rPr>
              <w:noProof/>
            </w:rPr>
            <w:t>1</w:t>
          </w:r>
          <w:r>
            <w:fldChar w:fldCharType="end"/>
          </w:r>
        </w:p>
      </w:tc>
    </w:tr>
  </w:tbl>
  <w:p w14:paraId="338CD9E0" w14:textId="77777777" w:rsidR="002B32A0" w:rsidRPr="00026E9C" w:rsidRDefault="002B32A0" w:rsidP="00026E9C">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7596C1" w14:textId="77777777" w:rsidR="002B32A0" w:rsidRPr="000F0EC9" w:rsidRDefault="002B32A0" w:rsidP="000F0EC9">
    <w:pPr>
      <w:pStyle w:val="Footer"/>
    </w:pPr>
  </w:p>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6E8E8F" w14:textId="77777777" w:rsidR="002B32A0" w:rsidRDefault="002B32A0">
    <w:pPr>
      <w:pStyle w:val="Footer"/>
    </w:pPr>
  </w:p>
</w:ftr>
</file>

<file path=word/footer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6A0067" w14:textId="77777777" w:rsidR="002B32A0" w:rsidRPr="00B52181" w:rsidRDefault="002B32A0" w:rsidP="00B52181">
    <w:pPr>
      <w:pStyle w:val="Footer"/>
    </w:pPr>
  </w:p>
</w:ftr>
</file>

<file path=word/footer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acTablenolines"/>
      <w:tblW w:w="7936" w:type="dxa"/>
      <w:tblLayout w:type="fixed"/>
      <w:tblLook w:val="04A0" w:firstRow="1" w:lastRow="0" w:firstColumn="1" w:lastColumn="0" w:noHBand="0" w:noVBand="1"/>
    </w:tblPr>
    <w:tblGrid>
      <w:gridCol w:w="7192"/>
      <w:gridCol w:w="744"/>
    </w:tblGrid>
    <w:tr w:rsidR="002B32A0" w14:paraId="28B7B29C" w14:textId="77777777" w:rsidTr="000B0AC7">
      <w:trPr>
        <w:trHeight w:hRule="exact" w:val="620"/>
      </w:trPr>
      <w:tc>
        <w:tcPr>
          <w:tcW w:w="7192" w:type="dxa"/>
          <w:tcMar>
            <w:bottom w:w="40" w:type="dxa"/>
          </w:tcMar>
          <w:vAlign w:val="bottom"/>
        </w:tcPr>
        <w:p w14:paraId="7AE8D516" w14:textId="787FB177" w:rsidR="002B32A0" w:rsidRDefault="002B6E41" w:rsidP="00B52181">
          <w:pPr>
            <w:pStyle w:val="FooterText"/>
            <w:jc w:val="right"/>
          </w:pPr>
          <w:fldSimple w:instr=" STYLEREF &quot;Cp Title&quot; \* MERGEFORMAT ">
            <w:r w:rsidRPr="002B6E41">
              <w:rPr>
                <w:b/>
                <w:noProof/>
              </w:rPr>
              <w:t xml:space="preserve">Impact assessment of </w:t>
            </w:r>
            <w:r w:rsidRPr="002B6E41">
              <w:rPr>
                <w:b/>
                <w:noProof/>
              </w:rPr>
              <w:br/>
              <w:t>ARC-funded research</w:t>
            </w:r>
          </w:fldSimple>
          <w:r w:rsidR="002B32A0">
            <w:t xml:space="preserve"> </w:t>
          </w:r>
          <w:fldSimple w:instr=" STYLEREF &quot;Cp SubTitle&quot; \* MERGEFORMAT ">
            <w:r w:rsidRPr="002B6E41">
              <w:rPr>
                <w:b/>
                <w:noProof/>
              </w:rPr>
              <w:t>Final report</w:t>
            </w:r>
          </w:fldSimple>
        </w:p>
      </w:tc>
      <w:tc>
        <w:tcPr>
          <w:tcW w:w="744" w:type="dxa"/>
          <w:tcMar>
            <w:bottom w:w="40" w:type="dxa"/>
          </w:tcMar>
          <w:vAlign w:val="bottom"/>
        </w:tcPr>
        <w:p w14:paraId="514394FE" w14:textId="77777777" w:rsidR="002B32A0" w:rsidRDefault="002B32A0" w:rsidP="00B52181">
          <w:pPr>
            <w:pStyle w:val="pageNumber0"/>
          </w:pPr>
          <w:r>
            <w:fldChar w:fldCharType="begin"/>
          </w:r>
          <w:r>
            <w:instrText xml:space="preserve"> PAGE  \* MERGEFORMAT </w:instrText>
          </w:r>
          <w:r>
            <w:fldChar w:fldCharType="separate"/>
          </w:r>
          <w:r>
            <w:rPr>
              <w:noProof/>
            </w:rPr>
            <w:t>2</w:t>
          </w:r>
          <w:r>
            <w:fldChar w:fldCharType="end"/>
          </w:r>
        </w:p>
      </w:tc>
    </w:tr>
  </w:tbl>
  <w:p w14:paraId="2A4BD873" w14:textId="77777777" w:rsidR="002B32A0" w:rsidRPr="00B52181" w:rsidRDefault="002B32A0" w:rsidP="00B52181">
    <w:pPr>
      <w:pStyle w:val="Footer"/>
    </w:pPr>
  </w:p>
</w:ftr>
</file>

<file path=word/footer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F3203E" w14:textId="77777777" w:rsidR="002B32A0" w:rsidRPr="00B52181" w:rsidRDefault="002B32A0" w:rsidP="00B52181">
    <w:pPr>
      <w:pStyle w:val="Footer"/>
    </w:pPr>
  </w:p>
</w:ftr>
</file>

<file path=word/footer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F51292" w14:textId="77777777" w:rsidR="002B32A0" w:rsidRPr="00B52181" w:rsidRDefault="002B32A0" w:rsidP="00B52181">
    <w:pPr>
      <w:pStyle w:val="Footer"/>
    </w:pPr>
  </w:p>
</w:ftr>
</file>

<file path=word/footer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acTablenolines"/>
      <w:tblW w:w="7936" w:type="dxa"/>
      <w:tblLayout w:type="fixed"/>
      <w:tblLook w:val="04A0" w:firstRow="1" w:lastRow="0" w:firstColumn="1" w:lastColumn="0" w:noHBand="0" w:noVBand="1"/>
    </w:tblPr>
    <w:tblGrid>
      <w:gridCol w:w="7192"/>
      <w:gridCol w:w="744"/>
    </w:tblGrid>
    <w:tr w:rsidR="002B32A0" w14:paraId="70F21986" w14:textId="77777777" w:rsidTr="000B0AC7">
      <w:trPr>
        <w:trHeight w:hRule="exact" w:val="620"/>
      </w:trPr>
      <w:tc>
        <w:tcPr>
          <w:tcW w:w="7192" w:type="dxa"/>
          <w:tcMar>
            <w:bottom w:w="40" w:type="dxa"/>
          </w:tcMar>
          <w:vAlign w:val="bottom"/>
        </w:tcPr>
        <w:p w14:paraId="45349365" w14:textId="273E856B" w:rsidR="002B32A0" w:rsidRDefault="002B6E41" w:rsidP="00B52181">
          <w:pPr>
            <w:pStyle w:val="FooterText"/>
            <w:jc w:val="right"/>
          </w:pPr>
          <w:fldSimple w:instr=" STYLEREF &quot;Cp Title&quot; \* MERGEFORMAT ">
            <w:r w:rsidRPr="002B6E41">
              <w:rPr>
                <w:b/>
                <w:noProof/>
              </w:rPr>
              <w:t xml:space="preserve">Impact assessment of </w:t>
            </w:r>
            <w:r w:rsidRPr="002B6E41">
              <w:rPr>
                <w:b/>
                <w:noProof/>
              </w:rPr>
              <w:br/>
              <w:t>ARC-funded research</w:t>
            </w:r>
          </w:fldSimple>
          <w:r w:rsidR="002B32A0">
            <w:t xml:space="preserve"> </w:t>
          </w:r>
          <w:fldSimple w:instr=" STYLEREF &quot;Cp SubTitle&quot; \* MERGEFORMAT ">
            <w:r w:rsidRPr="002B6E41">
              <w:rPr>
                <w:b/>
                <w:noProof/>
              </w:rPr>
              <w:t>Final report</w:t>
            </w:r>
          </w:fldSimple>
        </w:p>
      </w:tc>
      <w:tc>
        <w:tcPr>
          <w:tcW w:w="744" w:type="dxa"/>
          <w:tcMar>
            <w:bottom w:w="40" w:type="dxa"/>
          </w:tcMar>
          <w:vAlign w:val="bottom"/>
        </w:tcPr>
        <w:p w14:paraId="0D076D20" w14:textId="77777777" w:rsidR="002B32A0" w:rsidRDefault="002B32A0" w:rsidP="00B52181">
          <w:pPr>
            <w:pStyle w:val="pageNumber0"/>
          </w:pPr>
          <w:r>
            <w:fldChar w:fldCharType="begin"/>
          </w:r>
          <w:r>
            <w:instrText xml:space="preserve"> PAGE  \* MERGEFORMAT </w:instrText>
          </w:r>
          <w:r>
            <w:fldChar w:fldCharType="separate"/>
          </w:r>
          <w:r>
            <w:rPr>
              <w:noProof/>
            </w:rPr>
            <w:t>2</w:t>
          </w:r>
          <w:r>
            <w:fldChar w:fldCharType="end"/>
          </w:r>
        </w:p>
      </w:tc>
    </w:tr>
  </w:tbl>
  <w:p w14:paraId="12CA0CAA" w14:textId="77777777" w:rsidR="002B32A0" w:rsidRPr="00B52181" w:rsidRDefault="002B32A0" w:rsidP="00B52181">
    <w:pPr>
      <w:pStyle w:val="Footer"/>
    </w:pPr>
  </w:p>
</w:ftr>
</file>

<file path=word/footer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BEA481" w14:textId="77777777" w:rsidR="002B32A0" w:rsidRPr="00B52181" w:rsidRDefault="002B32A0" w:rsidP="00B52181">
    <w:pPr>
      <w:pStyle w:val="Footer"/>
    </w:pPr>
  </w:p>
</w:ftr>
</file>

<file path=word/footer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B44177" w14:textId="77777777" w:rsidR="002B32A0" w:rsidRDefault="002B32A0">
    <w:pPr>
      <w:pStyle w:val="Footer"/>
    </w:pPr>
  </w:p>
</w:ftr>
</file>

<file path=word/footer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acTablenolines"/>
      <w:tblW w:w="7936" w:type="dxa"/>
      <w:tblLayout w:type="fixed"/>
      <w:tblLook w:val="04A0" w:firstRow="1" w:lastRow="0" w:firstColumn="1" w:lastColumn="0" w:noHBand="0" w:noVBand="1"/>
    </w:tblPr>
    <w:tblGrid>
      <w:gridCol w:w="7192"/>
      <w:gridCol w:w="744"/>
    </w:tblGrid>
    <w:tr w:rsidR="002B32A0" w14:paraId="65023265" w14:textId="77777777" w:rsidTr="000B0AC7">
      <w:trPr>
        <w:trHeight w:hRule="exact" w:val="620"/>
      </w:trPr>
      <w:tc>
        <w:tcPr>
          <w:tcW w:w="7192" w:type="dxa"/>
          <w:tcMar>
            <w:bottom w:w="40" w:type="dxa"/>
          </w:tcMar>
          <w:vAlign w:val="bottom"/>
        </w:tcPr>
        <w:p w14:paraId="6B6484E0" w14:textId="1CA754A8" w:rsidR="002B32A0" w:rsidRDefault="002B6E41" w:rsidP="002B32A0">
          <w:pPr>
            <w:pStyle w:val="FooterText"/>
            <w:jc w:val="right"/>
          </w:pPr>
          <w:fldSimple w:instr=" STYLEREF &quot;Cp Title&quot; \* MERGEFORMAT ">
            <w:r w:rsidRPr="002B6E41">
              <w:rPr>
                <w:b/>
                <w:bCs/>
                <w:noProof/>
                <w:lang w:val="en-US"/>
              </w:rPr>
              <w:t>Impact assessment</w:t>
            </w:r>
            <w:r w:rsidRPr="002B6E41">
              <w:rPr>
                <w:b/>
                <w:noProof/>
              </w:rPr>
              <w:t xml:space="preserve"> of </w:t>
            </w:r>
            <w:r w:rsidRPr="002B6E41">
              <w:rPr>
                <w:b/>
                <w:noProof/>
              </w:rPr>
              <w:br/>
              <w:t>ARC-funded research</w:t>
            </w:r>
          </w:fldSimple>
          <w:r w:rsidR="002B32A0">
            <w:t xml:space="preserve"> </w:t>
          </w:r>
          <w:fldSimple w:instr=" STYLEREF &quot;Cp SubTitle&quot; \* MERGEFORMAT ">
            <w:r w:rsidRPr="002B6E41">
              <w:rPr>
                <w:b/>
                <w:noProof/>
              </w:rPr>
              <w:t>Final report</w:t>
            </w:r>
          </w:fldSimple>
        </w:p>
      </w:tc>
      <w:tc>
        <w:tcPr>
          <w:tcW w:w="744" w:type="dxa"/>
          <w:tcMar>
            <w:bottom w:w="40" w:type="dxa"/>
          </w:tcMar>
          <w:vAlign w:val="bottom"/>
        </w:tcPr>
        <w:p w14:paraId="0A4A71F3" w14:textId="77777777" w:rsidR="002B32A0" w:rsidRDefault="002B32A0" w:rsidP="002B32A0">
          <w:pPr>
            <w:pStyle w:val="pageNumber0"/>
          </w:pPr>
          <w:r>
            <w:fldChar w:fldCharType="begin"/>
          </w:r>
          <w:r>
            <w:instrText xml:space="preserve"> PAGE  \* MERGEFORMAT </w:instrText>
          </w:r>
          <w:r>
            <w:fldChar w:fldCharType="separate"/>
          </w:r>
          <w:r>
            <w:t>C-1</w:t>
          </w:r>
          <w:r>
            <w:fldChar w:fldCharType="end"/>
          </w:r>
        </w:p>
      </w:tc>
    </w:tr>
  </w:tbl>
  <w:p w14:paraId="20543299" w14:textId="77777777" w:rsidR="002B32A0" w:rsidRPr="00026E9C" w:rsidRDefault="002B32A0" w:rsidP="002B32A0">
    <w:pPr>
      <w:pStyle w:val="Footer"/>
    </w:pPr>
  </w:p>
</w:ftr>
</file>

<file path=word/footer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D0238E" w14:textId="77777777" w:rsidR="002B32A0" w:rsidRDefault="002B32A0">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acTablenolines"/>
      <w:tblW w:w="7936" w:type="dxa"/>
      <w:tblLayout w:type="fixed"/>
      <w:tblLook w:val="04A0" w:firstRow="1" w:lastRow="0" w:firstColumn="1" w:lastColumn="0" w:noHBand="0" w:noVBand="1"/>
    </w:tblPr>
    <w:tblGrid>
      <w:gridCol w:w="7192"/>
      <w:gridCol w:w="744"/>
    </w:tblGrid>
    <w:tr w:rsidR="002B32A0" w14:paraId="53A8198F" w14:textId="77777777" w:rsidTr="000B0AC7">
      <w:trPr>
        <w:trHeight w:hRule="exact" w:val="620"/>
      </w:trPr>
      <w:tc>
        <w:tcPr>
          <w:tcW w:w="7192" w:type="dxa"/>
          <w:tcMar>
            <w:bottom w:w="40" w:type="dxa"/>
          </w:tcMar>
          <w:vAlign w:val="bottom"/>
        </w:tcPr>
        <w:p w14:paraId="16E5B433" w14:textId="50C752AC" w:rsidR="002B32A0" w:rsidRPr="00210D8F" w:rsidRDefault="00F51447" w:rsidP="000F0EC9">
          <w:pPr>
            <w:pStyle w:val="FooterText"/>
            <w:jc w:val="right"/>
            <w:rPr>
              <w:b/>
              <w:bCs/>
            </w:rPr>
          </w:pPr>
          <w:r w:rsidRPr="00210D8F">
            <w:rPr>
              <w:b/>
              <w:bCs/>
            </w:rPr>
            <w:fldChar w:fldCharType="begin"/>
          </w:r>
          <w:r w:rsidRPr="00210D8F">
            <w:rPr>
              <w:b/>
              <w:bCs/>
            </w:rPr>
            <w:instrText xml:space="preserve"> STYLEREF "Cp Title" \* MERGEFORMAT </w:instrText>
          </w:r>
          <w:r w:rsidRPr="00210D8F">
            <w:rPr>
              <w:b/>
              <w:bCs/>
            </w:rPr>
            <w:fldChar w:fldCharType="separate"/>
          </w:r>
          <w:r w:rsidR="006861F2">
            <w:rPr>
              <w:b/>
              <w:bCs/>
              <w:noProof/>
            </w:rPr>
            <w:t xml:space="preserve">Impact assessment of </w:t>
          </w:r>
          <w:r w:rsidR="006861F2">
            <w:rPr>
              <w:b/>
              <w:bCs/>
              <w:noProof/>
            </w:rPr>
            <w:br/>
            <w:t>ARC-funded research</w:t>
          </w:r>
          <w:r w:rsidRPr="00210D8F">
            <w:rPr>
              <w:b/>
              <w:bCs/>
              <w:noProof/>
            </w:rPr>
            <w:fldChar w:fldCharType="end"/>
          </w:r>
          <w:r w:rsidR="002B32A0" w:rsidRPr="00210D8F">
            <w:rPr>
              <w:b/>
              <w:bCs/>
            </w:rPr>
            <w:t xml:space="preserve"> </w:t>
          </w:r>
          <w:r w:rsidRPr="00210D8F">
            <w:rPr>
              <w:b/>
              <w:bCs/>
            </w:rPr>
            <w:fldChar w:fldCharType="begin"/>
          </w:r>
          <w:r w:rsidRPr="00210D8F">
            <w:rPr>
              <w:b/>
              <w:bCs/>
            </w:rPr>
            <w:instrText xml:space="preserve"> STYLEREF "Cp SubTitle" \* MERGEFORMAT </w:instrText>
          </w:r>
          <w:r w:rsidRPr="00210D8F">
            <w:rPr>
              <w:b/>
              <w:bCs/>
            </w:rPr>
            <w:fldChar w:fldCharType="separate"/>
          </w:r>
          <w:r w:rsidR="006861F2">
            <w:rPr>
              <w:b/>
              <w:bCs/>
              <w:noProof/>
            </w:rPr>
            <w:t>Final report</w:t>
          </w:r>
          <w:r w:rsidRPr="00210D8F">
            <w:rPr>
              <w:b/>
              <w:bCs/>
              <w:noProof/>
            </w:rPr>
            <w:fldChar w:fldCharType="end"/>
          </w:r>
        </w:p>
      </w:tc>
      <w:tc>
        <w:tcPr>
          <w:tcW w:w="744" w:type="dxa"/>
          <w:tcMar>
            <w:bottom w:w="40" w:type="dxa"/>
          </w:tcMar>
          <w:vAlign w:val="bottom"/>
        </w:tcPr>
        <w:p w14:paraId="053EC214" w14:textId="77777777" w:rsidR="002B32A0" w:rsidRDefault="002B32A0" w:rsidP="000F0EC9">
          <w:pPr>
            <w:pStyle w:val="pageNumber0"/>
          </w:pPr>
          <w:r>
            <w:fldChar w:fldCharType="begin"/>
          </w:r>
          <w:r>
            <w:instrText xml:space="preserve"> PAGE  \* MERGEFORMAT </w:instrText>
          </w:r>
          <w:r>
            <w:fldChar w:fldCharType="separate"/>
          </w:r>
          <w:r>
            <w:rPr>
              <w:noProof/>
            </w:rPr>
            <w:t>4</w:t>
          </w:r>
          <w:r>
            <w:fldChar w:fldCharType="end"/>
          </w:r>
        </w:p>
      </w:tc>
    </w:tr>
  </w:tbl>
  <w:p w14:paraId="72E967CD" w14:textId="77777777" w:rsidR="002B32A0" w:rsidRPr="000F0EC9" w:rsidRDefault="002B32A0" w:rsidP="000F0EC9">
    <w:pPr>
      <w:pStyle w:val="Footer"/>
    </w:pPr>
  </w:p>
</w:ftr>
</file>

<file path=word/footer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E740B6" w14:textId="77777777" w:rsidR="0093618B" w:rsidRDefault="0093618B">
    <w:pPr>
      <w:pStyle w:val="Footer"/>
    </w:pPr>
  </w:p>
</w:ftr>
</file>

<file path=word/footer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EA9C40" w14:textId="77777777" w:rsidR="0093618B" w:rsidRPr="0093618B" w:rsidRDefault="0093618B" w:rsidP="0093618B">
    <w:pPr>
      <w:pStyle w:val="Footer"/>
    </w:pPr>
  </w:p>
</w:ftr>
</file>

<file path=word/footer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536A78" w14:textId="77777777" w:rsidR="0093618B" w:rsidRPr="0093618B" w:rsidRDefault="0093618B" w:rsidP="0093618B">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134A9F" w14:textId="77777777" w:rsidR="002B32A0" w:rsidRPr="000F0EC9" w:rsidRDefault="002B32A0" w:rsidP="000F0EC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F76E717" w14:textId="77777777" w:rsidR="0052330D" w:rsidRDefault="0052330D" w:rsidP="00786D98">
      <w:pPr>
        <w:spacing w:before="0" w:after="0" w:line="240" w:lineRule="auto"/>
      </w:pPr>
      <w:r>
        <w:separator/>
      </w:r>
    </w:p>
  </w:footnote>
  <w:footnote w:type="continuationSeparator" w:id="0">
    <w:p w14:paraId="3FCF9A9D" w14:textId="77777777" w:rsidR="0052330D" w:rsidRDefault="0052330D" w:rsidP="00B649EB">
      <w:pPr>
        <w:spacing w:before="0" w:after="0" w:line="240" w:lineRule="auto"/>
      </w:pPr>
      <w:r>
        <w:continuationSeparator/>
      </w:r>
    </w:p>
    <w:p w14:paraId="1A6B5679" w14:textId="77777777" w:rsidR="0052330D" w:rsidRDefault="0052330D"/>
  </w:footnote>
  <w:footnote w:id="1">
    <w:p w14:paraId="25FDEE17" w14:textId="77777777" w:rsidR="002B32A0" w:rsidRPr="00EC5B1D" w:rsidRDefault="002B32A0" w:rsidP="002B32A0">
      <w:pPr>
        <w:pStyle w:val="FootnoteText"/>
      </w:pPr>
      <w:r>
        <w:rPr>
          <w:rStyle w:val="FootnoteReference"/>
        </w:rPr>
        <w:footnoteRef/>
      </w:r>
      <w:r>
        <w:t xml:space="preserve"> </w:t>
      </w:r>
      <w:r>
        <w:rPr>
          <w:lang w:val="en-US"/>
        </w:rPr>
        <w:t xml:space="preserve">Australian Research Council (2022a). </w:t>
      </w:r>
      <w:r w:rsidRPr="00EC5B1D">
        <w:rPr>
          <w:i/>
          <w:iCs/>
          <w:lang w:val="en-US"/>
        </w:rPr>
        <w:t>Australian Research Council Strategy 2022-2025</w:t>
      </w:r>
      <w:r>
        <w:rPr>
          <w:lang w:val="en-US"/>
        </w:rPr>
        <w:t xml:space="preserve">. Canberra: Commonwealth of Australia. </w:t>
      </w:r>
    </w:p>
  </w:footnote>
  <w:footnote w:id="2">
    <w:p w14:paraId="19A3B443" w14:textId="77777777" w:rsidR="002B32A0" w:rsidRDefault="002B32A0" w:rsidP="002B32A0">
      <w:pPr>
        <w:pStyle w:val="FootnoteText"/>
      </w:pPr>
      <w:r>
        <w:rPr>
          <w:rStyle w:val="FootnoteReference"/>
        </w:rPr>
        <w:footnoteRef/>
      </w:r>
      <w:r>
        <w:t xml:space="preserve"> The 5 funding schemes are: Discovery Projects (DP), Discovery Early Career Researcher Award (DE), Future Fellowships (FT), Australian Laureate Fellowships (FL), and Discovery Indigenous (DI).</w:t>
      </w:r>
    </w:p>
  </w:footnote>
  <w:footnote w:id="3">
    <w:p w14:paraId="384721E4" w14:textId="77777777" w:rsidR="002B32A0" w:rsidRPr="00B9436B" w:rsidRDefault="002B32A0" w:rsidP="002B32A0">
      <w:pPr>
        <w:pStyle w:val="FootnoteText"/>
      </w:pPr>
      <w:r>
        <w:rPr>
          <w:rStyle w:val="FootnoteReference"/>
        </w:rPr>
        <w:footnoteRef/>
      </w:r>
      <w:r>
        <w:t xml:space="preserve"> Australian Research Council (2022b). </w:t>
      </w:r>
      <w:r w:rsidRPr="00F4180F">
        <w:rPr>
          <w:i/>
          <w:iCs/>
        </w:rPr>
        <w:t>Grant Guidelines for schemes under the Discovery Program (2021 edition)</w:t>
      </w:r>
      <w:r>
        <w:t xml:space="preserve">. Accessed 1 August 2022: </w:t>
      </w:r>
      <w:hyperlink r:id="rId1" w:history="1">
        <w:r w:rsidRPr="00B81511">
          <w:rPr>
            <w:rStyle w:val="Hyperlink"/>
          </w:rPr>
          <w:t>https://www.grants.gov.au/Fo/Show?FoUuid=a7f42e2b-c84c-44b6-8577-798b33ff3d67</w:t>
        </w:r>
      </w:hyperlink>
      <w:r>
        <w:t xml:space="preserve">. </w:t>
      </w:r>
    </w:p>
  </w:footnote>
  <w:footnote w:id="4">
    <w:p w14:paraId="1BEC0079" w14:textId="77777777" w:rsidR="002B32A0" w:rsidRDefault="002B32A0" w:rsidP="002B32A0">
      <w:pPr>
        <w:pStyle w:val="FootnoteText"/>
      </w:pPr>
      <w:r>
        <w:rPr>
          <w:rStyle w:val="FootnoteReference"/>
        </w:rPr>
        <w:footnoteRef/>
      </w:r>
      <w:r>
        <w:t xml:space="preserve"> The 8 schemes are: ARC Centres of Excellence (CE), Industrial Transformation Research Program (IH), Linkage Infrastructure, Equipment and Facilities (LE), Linkage Learned Academies Special Projects (LA), Linkage Projects (LP), Special Research Initiatives (SR), Supporting Responses to Commonwealth Science Council Priorities (CS), and Industry Fellowships (new and not included in this report).</w:t>
      </w:r>
    </w:p>
  </w:footnote>
  <w:footnote w:id="5">
    <w:p w14:paraId="47DAD0DD" w14:textId="77777777" w:rsidR="002B32A0" w:rsidRPr="00E80D71" w:rsidRDefault="002B32A0" w:rsidP="002B32A0">
      <w:pPr>
        <w:pStyle w:val="FootnoteText"/>
        <w:rPr>
          <w:lang w:val="en-US"/>
        </w:rPr>
      </w:pPr>
      <w:r>
        <w:rPr>
          <w:rStyle w:val="FootnoteReference"/>
        </w:rPr>
        <w:footnoteRef/>
      </w:r>
      <w:r>
        <w:t xml:space="preserve"> Australian Research Council (2020b). </w:t>
      </w:r>
      <w:r w:rsidRPr="00FA4083">
        <w:t>Op. cit.</w:t>
      </w:r>
    </w:p>
  </w:footnote>
  <w:footnote w:id="6">
    <w:p w14:paraId="308B7CE3" w14:textId="77777777" w:rsidR="002B32A0" w:rsidRPr="00FB3A50" w:rsidRDefault="002B32A0" w:rsidP="002B32A0">
      <w:pPr>
        <w:pStyle w:val="FootnoteText"/>
        <w:rPr>
          <w:lang w:val="en-US"/>
        </w:rPr>
      </w:pPr>
      <w:r>
        <w:rPr>
          <w:rStyle w:val="FootnoteReference"/>
        </w:rPr>
        <w:footnoteRef/>
      </w:r>
      <w:r>
        <w:t xml:space="preserve"> Federation of Australian Scientific and Technological Societies (2002). </w:t>
      </w:r>
      <w:r w:rsidRPr="00FB3A50">
        <w:rPr>
          <w:i/>
          <w:iCs/>
        </w:rPr>
        <w:t>Australian Science: Investing in the Future</w:t>
      </w:r>
      <w:r>
        <w:t>. Canberra: Federation of Australian Scientific and Technological Societies.</w:t>
      </w:r>
    </w:p>
  </w:footnote>
  <w:footnote w:id="7">
    <w:p w14:paraId="7242D8B1" w14:textId="77777777" w:rsidR="002B32A0" w:rsidRPr="00E45E85" w:rsidRDefault="002B32A0" w:rsidP="002B32A0">
      <w:pPr>
        <w:pStyle w:val="FootnoteText"/>
        <w:rPr>
          <w:spacing w:val="-4"/>
          <w:lang w:val="en-US"/>
        </w:rPr>
      </w:pPr>
      <w:r>
        <w:rPr>
          <w:rStyle w:val="FootnoteReference"/>
        </w:rPr>
        <w:footnoteRef/>
      </w:r>
      <w:r>
        <w:t xml:space="preserve"> STIP Compass, OECD (2021). </w:t>
      </w:r>
      <w:r w:rsidRPr="00FB3A50">
        <w:rPr>
          <w:i/>
          <w:iCs/>
        </w:rPr>
        <w:t>National science and research priorities</w:t>
      </w:r>
      <w:r>
        <w:t xml:space="preserve">. Accessed February 2023: </w:t>
      </w:r>
      <w:hyperlink r:id="rId2" w:history="1">
        <w:r w:rsidRPr="00E45E85">
          <w:rPr>
            <w:rStyle w:val="Hyperlink"/>
            <w:spacing w:val="-4"/>
          </w:rPr>
          <w:t>https://stip.oecd.org/stip/interactive-dashboards/policy-initiatives/2021%2Fdata%2FpolicyInitiatives%2F13921</w:t>
        </w:r>
      </w:hyperlink>
      <w:r w:rsidRPr="00E45E85">
        <w:rPr>
          <w:spacing w:val="-4"/>
        </w:rPr>
        <w:t xml:space="preserve">. </w:t>
      </w:r>
    </w:p>
  </w:footnote>
  <w:footnote w:id="8">
    <w:p w14:paraId="09800267" w14:textId="77777777" w:rsidR="002B32A0" w:rsidRPr="00585C97" w:rsidRDefault="002B32A0" w:rsidP="002B32A0">
      <w:pPr>
        <w:pStyle w:val="FootnoteText"/>
        <w:rPr>
          <w:lang w:val="en-US"/>
        </w:rPr>
      </w:pPr>
      <w:r>
        <w:rPr>
          <w:rStyle w:val="FootnoteReference"/>
        </w:rPr>
        <w:footnoteRef/>
      </w:r>
      <w:r>
        <w:t xml:space="preserve"> The current priorities are </w:t>
      </w:r>
      <w:r w:rsidRPr="00D60D89">
        <w:rPr>
          <w:lang w:eastAsia="ja-JP"/>
        </w:rPr>
        <w:t>Food</w:t>
      </w:r>
      <w:r>
        <w:rPr>
          <w:lang w:eastAsia="ja-JP"/>
        </w:rPr>
        <w:t xml:space="preserve">, </w:t>
      </w:r>
      <w:r w:rsidRPr="00D60D89">
        <w:rPr>
          <w:lang w:eastAsia="ja-JP"/>
        </w:rPr>
        <w:t>Soil</w:t>
      </w:r>
      <w:r>
        <w:rPr>
          <w:lang w:eastAsia="ja-JP"/>
        </w:rPr>
        <w:t xml:space="preserve"> </w:t>
      </w:r>
      <w:r w:rsidRPr="00D60D89">
        <w:rPr>
          <w:lang w:eastAsia="ja-JP"/>
        </w:rPr>
        <w:t>and</w:t>
      </w:r>
      <w:r>
        <w:rPr>
          <w:lang w:eastAsia="ja-JP"/>
        </w:rPr>
        <w:t xml:space="preserve"> </w:t>
      </w:r>
      <w:r w:rsidRPr="00D60D89">
        <w:rPr>
          <w:lang w:eastAsia="ja-JP"/>
        </w:rPr>
        <w:t>Water</w:t>
      </w:r>
      <w:r>
        <w:rPr>
          <w:lang w:eastAsia="ja-JP"/>
        </w:rPr>
        <w:t xml:space="preserve">, </w:t>
      </w:r>
      <w:r w:rsidRPr="00D60D89">
        <w:rPr>
          <w:lang w:eastAsia="ja-JP"/>
        </w:rPr>
        <w:t>Transport</w:t>
      </w:r>
      <w:r>
        <w:rPr>
          <w:lang w:eastAsia="ja-JP"/>
        </w:rPr>
        <w:t xml:space="preserve">, </w:t>
      </w:r>
      <w:r w:rsidRPr="00D60D89">
        <w:rPr>
          <w:lang w:eastAsia="ja-JP"/>
        </w:rPr>
        <w:t>Cybersecurity</w:t>
      </w:r>
      <w:r>
        <w:rPr>
          <w:lang w:eastAsia="ja-JP"/>
        </w:rPr>
        <w:t xml:space="preserve">, </w:t>
      </w:r>
      <w:r w:rsidRPr="00D60D89">
        <w:rPr>
          <w:lang w:eastAsia="ja-JP"/>
        </w:rPr>
        <w:t>Energy</w:t>
      </w:r>
      <w:r>
        <w:rPr>
          <w:lang w:eastAsia="ja-JP"/>
        </w:rPr>
        <w:t xml:space="preserve">, </w:t>
      </w:r>
      <w:r w:rsidRPr="00D60D89">
        <w:rPr>
          <w:lang w:eastAsia="ja-JP"/>
        </w:rPr>
        <w:t>Resources</w:t>
      </w:r>
      <w:r>
        <w:rPr>
          <w:lang w:eastAsia="ja-JP"/>
        </w:rPr>
        <w:t xml:space="preserve">, </w:t>
      </w:r>
      <w:r w:rsidRPr="00D60D89">
        <w:rPr>
          <w:lang w:eastAsia="ja-JP"/>
        </w:rPr>
        <w:t>Advanced</w:t>
      </w:r>
      <w:r>
        <w:rPr>
          <w:lang w:eastAsia="ja-JP"/>
        </w:rPr>
        <w:t xml:space="preserve"> </w:t>
      </w:r>
      <w:r w:rsidRPr="00D60D89">
        <w:rPr>
          <w:lang w:eastAsia="ja-JP"/>
        </w:rPr>
        <w:t>Manufacturing</w:t>
      </w:r>
      <w:r>
        <w:rPr>
          <w:lang w:eastAsia="ja-JP"/>
        </w:rPr>
        <w:t xml:space="preserve">, </w:t>
      </w:r>
      <w:r w:rsidRPr="00D60D89">
        <w:rPr>
          <w:lang w:eastAsia="ja-JP"/>
        </w:rPr>
        <w:t>Environmental</w:t>
      </w:r>
      <w:r>
        <w:rPr>
          <w:lang w:eastAsia="ja-JP"/>
        </w:rPr>
        <w:t xml:space="preserve"> </w:t>
      </w:r>
      <w:r w:rsidRPr="00D60D89">
        <w:rPr>
          <w:lang w:eastAsia="ja-JP"/>
        </w:rPr>
        <w:t>Change</w:t>
      </w:r>
      <w:r>
        <w:rPr>
          <w:lang w:eastAsia="ja-JP"/>
        </w:rPr>
        <w:t xml:space="preserve">, and </w:t>
      </w:r>
      <w:r w:rsidRPr="00D60D89">
        <w:rPr>
          <w:lang w:eastAsia="ja-JP"/>
        </w:rPr>
        <w:t>Health</w:t>
      </w:r>
      <w:r>
        <w:rPr>
          <w:lang w:eastAsia="ja-JP"/>
        </w:rPr>
        <w:t xml:space="preserve">. </w:t>
      </w:r>
    </w:p>
  </w:footnote>
  <w:footnote w:id="9">
    <w:p w14:paraId="0EE8E5E3" w14:textId="77777777" w:rsidR="002B32A0" w:rsidRPr="00AC2E4E" w:rsidRDefault="002B32A0" w:rsidP="002B32A0">
      <w:pPr>
        <w:pStyle w:val="FootnoteText"/>
        <w:rPr>
          <w:lang w:val="en-US"/>
        </w:rPr>
      </w:pPr>
      <w:r>
        <w:rPr>
          <w:rStyle w:val="FootnoteReference"/>
        </w:rPr>
        <w:footnoteRef/>
      </w:r>
      <w:r>
        <w:t xml:space="preserve"> Australian Research Council (2022d). </w:t>
      </w:r>
      <w:r w:rsidRPr="000D2172">
        <w:rPr>
          <w:i/>
          <w:iCs/>
          <w:lang w:val="en-US"/>
        </w:rPr>
        <w:t>Science and Research Priorities</w:t>
      </w:r>
      <w:r>
        <w:rPr>
          <w:lang w:val="en-US"/>
        </w:rPr>
        <w:t>.</w:t>
      </w:r>
      <w:r w:rsidRPr="000D2172">
        <w:t xml:space="preserve"> </w:t>
      </w:r>
      <w:r>
        <w:t xml:space="preserve">Accessed February 2023: </w:t>
      </w:r>
      <w:hyperlink r:id="rId3" w:history="1">
        <w:r w:rsidRPr="00B81511">
          <w:rPr>
            <w:rStyle w:val="Hyperlink"/>
            <w:lang w:val="en-US"/>
          </w:rPr>
          <w:t>https://www.arc.gov.au/funding-research/apply-funding/grant-application/science-and-research-priorities</w:t>
        </w:r>
      </w:hyperlink>
      <w:r>
        <w:rPr>
          <w:lang w:val="en-US"/>
        </w:rPr>
        <w:t xml:space="preserve">. </w:t>
      </w:r>
    </w:p>
  </w:footnote>
  <w:footnote w:id="10">
    <w:p w14:paraId="17C7FF59" w14:textId="77777777" w:rsidR="002B32A0" w:rsidRPr="008845DF" w:rsidRDefault="002B32A0" w:rsidP="002B32A0">
      <w:pPr>
        <w:pStyle w:val="FootnoteText"/>
        <w:rPr>
          <w:lang w:val="en-US"/>
        </w:rPr>
      </w:pPr>
      <w:r>
        <w:rPr>
          <w:rStyle w:val="FootnoteReference"/>
        </w:rPr>
        <w:footnoteRef/>
      </w:r>
      <w:r>
        <w:t xml:space="preserve"> Ibid. </w:t>
      </w:r>
    </w:p>
  </w:footnote>
  <w:footnote w:id="11">
    <w:p w14:paraId="6E9BB08D" w14:textId="77777777" w:rsidR="002B32A0" w:rsidRPr="00E817CB" w:rsidRDefault="002B32A0" w:rsidP="002B32A0">
      <w:pPr>
        <w:pStyle w:val="FootnoteText"/>
        <w:rPr>
          <w:lang w:val="en-US"/>
        </w:rPr>
      </w:pPr>
      <w:r>
        <w:rPr>
          <w:rStyle w:val="FootnoteReference"/>
        </w:rPr>
        <w:footnoteRef/>
      </w:r>
      <w:r>
        <w:t xml:space="preserve"> Australian Government (2022). </w:t>
      </w:r>
      <w:r w:rsidRPr="00E817CB">
        <w:rPr>
          <w:i/>
          <w:iCs/>
        </w:rPr>
        <w:t>Australian Government to revitalise our science priorities</w:t>
      </w:r>
      <w:r>
        <w:t xml:space="preserve">. Accessed 29 September 2022: </w:t>
      </w:r>
      <w:hyperlink r:id="rId4" w:history="1">
        <w:r w:rsidRPr="00BC34A8">
          <w:rPr>
            <w:rStyle w:val="Hyperlink"/>
          </w:rPr>
          <w:t>https://www.industry.gov.au/news/australian-government-revitalise-our-science-priorities</w:t>
        </w:r>
      </w:hyperlink>
      <w:r>
        <w:t xml:space="preserve">. </w:t>
      </w:r>
    </w:p>
  </w:footnote>
  <w:footnote w:id="12">
    <w:p w14:paraId="65D10C67" w14:textId="77777777" w:rsidR="002B32A0" w:rsidRPr="00E45E85" w:rsidRDefault="002B32A0" w:rsidP="002B32A0">
      <w:pPr>
        <w:pStyle w:val="FootnoteText"/>
        <w:rPr>
          <w:spacing w:val="-4"/>
          <w:lang w:val="en-US"/>
        </w:rPr>
      </w:pPr>
      <w:r>
        <w:rPr>
          <w:rStyle w:val="FootnoteReference"/>
        </w:rPr>
        <w:footnoteRef/>
      </w:r>
      <w:r>
        <w:t xml:space="preserve"> Department of Education (2022). </w:t>
      </w:r>
      <w:r w:rsidRPr="00971690">
        <w:rPr>
          <w:i/>
          <w:iCs/>
        </w:rPr>
        <w:t>Review of the Australian Research Council Act 2001</w:t>
      </w:r>
      <w:r>
        <w:t>.</w:t>
      </w:r>
      <w:r w:rsidRPr="00971690">
        <w:t xml:space="preserve"> </w:t>
      </w:r>
      <w:r>
        <w:t xml:space="preserve">Accessed 28 September 2022: </w:t>
      </w:r>
      <w:hyperlink r:id="rId5" w:history="1">
        <w:r w:rsidRPr="00E45E85">
          <w:rPr>
            <w:rStyle w:val="Hyperlink"/>
            <w:spacing w:val="-4"/>
          </w:rPr>
          <w:t>https://www.education.gov.au/higher-education/review-australian-research-council-act-2001</w:t>
        </w:r>
      </w:hyperlink>
      <w:r w:rsidRPr="00E45E85">
        <w:rPr>
          <w:spacing w:val="-4"/>
        </w:rPr>
        <w:t xml:space="preserve">. </w:t>
      </w:r>
    </w:p>
  </w:footnote>
  <w:footnote w:id="13">
    <w:p w14:paraId="1FD5BCF0" w14:textId="77777777" w:rsidR="002B32A0" w:rsidRPr="00E45E85" w:rsidRDefault="002B32A0" w:rsidP="002B32A0">
      <w:pPr>
        <w:pStyle w:val="FootnoteText"/>
        <w:rPr>
          <w:spacing w:val="-4"/>
          <w:lang w:val="en-US"/>
        </w:rPr>
      </w:pPr>
      <w:r>
        <w:rPr>
          <w:rStyle w:val="FootnoteReference"/>
        </w:rPr>
        <w:footnoteRef/>
      </w:r>
      <w:r>
        <w:t xml:space="preserve"> Parliament of Australia (2022). </w:t>
      </w:r>
      <w:r w:rsidRPr="007524BD">
        <w:rPr>
          <w:i/>
          <w:iCs/>
        </w:rPr>
        <w:t>Science and Research Budget Review 202</w:t>
      </w:r>
      <w:r>
        <w:rPr>
          <w:i/>
          <w:iCs/>
        </w:rPr>
        <w:t>2</w:t>
      </w:r>
      <w:r w:rsidRPr="007524BD">
        <w:rPr>
          <w:i/>
          <w:iCs/>
        </w:rPr>
        <w:t>–2</w:t>
      </w:r>
      <w:r>
        <w:rPr>
          <w:i/>
          <w:iCs/>
        </w:rPr>
        <w:t>3</w:t>
      </w:r>
      <w:r w:rsidRPr="007524BD">
        <w:rPr>
          <w:i/>
          <w:iCs/>
        </w:rPr>
        <w:t xml:space="preserve"> Index</w:t>
      </w:r>
      <w:r>
        <w:t xml:space="preserve">. Accessed March 2023: </w:t>
      </w:r>
      <w:hyperlink r:id="rId6" w:history="1">
        <w:r w:rsidRPr="008F0B6D">
          <w:rPr>
            <w:rStyle w:val="Hyperlink"/>
            <w:spacing w:val="-4"/>
          </w:rPr>
          <w:t>https://www.aph.gov.au/About_Parliament/Parliamentary_Departments/Parliamentary_Library/pubs/rp/</w:t>
        </w:r>
        <w:r w:rsidRPr="008F0B6D">
          <w:rPr>
            <w:rStyle w:val="Hyperlink"/>
            <w:spacing w:val="-4"/>
          </w:rPr>
          <w:br/>
          <w:t>BudgetReview202223/ScienceResearch</w:t>
        </w:r>
      </w:hyperlink>
      <w:r w:rsidRPr="00E45E85">
        <w:rPr>
          <w:spacing w:val="-4"/>
        </w:rPr>
        <w:t xml:space="preserve">. </w:t>
      </w:r>
    </w:p>
  </w:footnote>
  <w:footnote w:id="14">
    <w:p w14:paraId="65BDFDC8" w14:textId="77777777" w:rsidR="002B32A0" w:rsidRPr="00E45E85" w:rsidRDefault="002B32A0" w:rsidP="002B32A0">
      <w:pPr>
        <w:pStyle w:val="FootnoteText"/>
        <w:rPr>
          <w:spacing w:val="-4"/>
          <w:lang w:val="en-US"/>
        </w:rPr>
      </w:pPr>
      <w:r>
        <w:rPr>
          <w:rStyle w:val="FootnoteReference"/>
        </w:rPr>
        <w:footnoteRef/>
      </w:r>
      <w:r>
        <w:t xml:space="preserve"> Australian Research Council (2022). </w:t>
      </w:r>
      <w:r w:rsidRPr="00DE4C61">
        <w:rPr>
          <w:i/>
          <w:iCs/>
        </w:rPr>
        <w:t>Entity resources and planned performance</w:t>
      </w:r>
      <w:r>
        <w:t xml:space="preserve">. Accessed March 2023: </w:t>
      </w:r>
      <w:hyperlink r:id="rId7" w:anchor=":~:text=The%202022%E2%80%9323%20figure%20includes,during%202022%2D23%20March%20budget" w:history="1">
        <w:r w:rsidRPr="008F0B6D">
          <w:rPr>
            <w:rStyle w:val="Hyperlink"/>
            <w:spacing w:val="-4"/>
          </w:rPr>
          <w:t>https://www.arc.gov.au/sites/default/files/2022-11/2022-23%20ARC%20Budget%20Oct.docx#:~:text=</w:t>
        </w:r>
        <w:r w:rsidRPr="008F0B6D">
          <w:rPr>
            <w:rStyle w:val="Hyperlink"/>
            <w:spacing w:val="-4"/>
          </w:rPr>
          <w:br/>
          <w:t>The%202022%E2%80%9323%20figure%20includes,during%202022%2D23%20March%20budget</w:t>
        </w:r>
      </w:hyperlink>
      <w:r w:rsidRPr="00E45E85">
        <w:rPr>
          <w:spacing w:val="-4"/>
        </w:rPr>
        <w:t xml:space="preserve">. </w:t>
      </w:r>
    </w:p>
  </w:footnote>
  <w:footnote w:id="15">
    <w:p w14:paraId="44BDBD25" w14:textId="77777777" w:rsidR="002B32A0" w:rsidRPr="009144B0" w:rsidRDefault="002B32A0" w:rsidP="002B32A0">
      <w:pPr>
        <w:pStyle w:val="FootnoteText"/>
        <w:rPr>
          <w:lang w:val="en-US"/>
        </w:rPr>
      </w:pPr>
      <w:r>
        <w:rPr>
          <w:rStyle w:val="FootnoteReference"/>
        </w:rPr>
        <w:footnoteRef/>
      </w:r>
      <w:r>
        <w:t xml:space="preserve"> Australian Government (2021). </w:t>
      </w:r>
      <w:r w:rsidRPr="00C65C7C">
        <w:rPr>
          <w:i/>
          <w:iCs/>
        </w:rPr>
        <w:t>Science, research and innovation (SRI) budget tables</w:t>
      </w:r>
      <w:r>
        <w:t>. Accessed February 2023:</w:t>
      </w:r>
      <w:r w:rsidRPr="00C65C7C">
        <w:t xml:space="preserve"> </w:t>
      </w:r>
      <w:hyperlink r:id="rId8" w:history="1">
        <w:r w:rsidRPr="000C7D29">
          <w:rPr>
            <w:rStyle w:val="Hyperlink"/>
          </w:rPr>
          <w:t>https://www.industry.gov.au/publications/science-research-and-innovation-sri-budget-tables</w:t>
        </w:r>
      </w:hyperlink>
      <w:r>
        <w:t xml:space="preserve">. </w:t>
      </w:r>
    </w:p>
  </w:footnote>
  <w:footnote w:id="16">
    <w:p w14:paraId="3E0E05F7" w14:textId="77777777" w:rsidR="002B32A0" w:rsidRPr="00AB089C" w:rsidRDefault="002B32A0" w:rsidP="002B32A0">
      <w:pPr>
        <w:pStyle w:val="FootnoteText"/>
        <w:rPr>
          <w:lang w:val="en-US"/>
        </w:rPr>
      </w:pPr>
      <w:r>
        <w:rPr>
          <w:rStyle w:val="FootnoteReference"/>
        </w:rPr>
        <w:footnoteRef/>
      </w:r>
      <w:r>
        <w:t xml:space="preserve"> Australian Research Council (2022e). </w:t>
      </w:r>
      <w:r w:rsidRPr="00AB089C">
        <w:rPr>
          <w:i/>
          <w:iCs/>
        </w:rPr>
        <w:t>Selection Report: Discovery Projects 2022</w:t>
      </w:r>
      <w:r>
        <w:t xml:space="preserve">. Accessed February 2023: </w:t>
      </w:r>
      <w:hyperlink r:id="rId9" w:history="1">
        <w:r w:rsidRPr="00E45E85">
          <w:rPr>
            <w:rStyle w:val="Hyperlink"/>
            <w:spacing w:val="-4"/>
          </w:rPr>
          <w:t>https://www.arc.gov.au/funding-research/funding-outcome/selection-outcome-reports/selection-report-discovery-projects-2022</w:t>
        </w:r>
      </w:hyperlink>
      <w:r w:rsidRPr="00E45E85">
        <w:rPr>
          <w:spacing w:val="-4"/>
        </w:rPr>
        <w:t xml:space="preserve">. </w:t>
      </w:r>
    </w:p>
  </w:footnote>
  <w:footnote w:id="17">
    <w:p w14:paraId="3B07A02F" w14:textId="77777777" w:rsidR="002B32A0" w:rsidRDefault="002B32A0" w:rsidP="002B32A0">
      <w:pPr>
        <w:pStyle w:val="FootnoteText"/>
      </w:pPr>
      <w:r>
        <w:rPr>
          <w:rStyle w:val="FootnoteReference"/>
        </w:rPr>
        <w:footnoteRef/>
      </w:r>
      <w:r>
        <w:t xml:space="preserve"> Noting that reference to Government’s broad strategic priorities includes priorities beyond the </w:t>
      </w:r>
      <w:r w:rsidRPr="00FB3A50">
        <w:t>National Science and Research Priorities</w:t>
      </w:r>
      <w:r>
        <w:t>, as agreed with the ARC.</w:t>
      </w:r>
    </w:p>
  </w:footnote>
  <w:footnote w:id="18">
    <w:p w14:paraId="2E99018B" w14:textId="77777777" w:rsidR="002B32A0" w:rsidRPr="00791785" w:rsidRDefault="002B32A0" w:rsidP="002B32A0">
      <w:pPr>
        <w:pStyle w:val="FootnoteText"/>
        <w:rPr>
          <w:lang w:val="en-US"/>
        </w:rPr>
      </w:pPr>
      <w:r>
        <w:rPr>
          <w:rStyle w:val="FootnoteReference"/>
        </w:rPr>
        <w:footnoteRef/>
      </w:r>
      <w:r>
        <w:t xml:space="preserve"> </w:t>
      </w:r>
      <w:r>
        <w:rPr>
          <w:lang w:val="en-US"/>
        </w:rPr>
        <w:t>Python is a programming language that is used for data analysis of qualitative and quantitative analysis.</w:t>
      </w:r>
    </w:p>
  </w:footnote>
  <w:footnote w:id="19">
    <w:p w14:paraId="3EDCFC80" w14:textId="77777777" w:rsidR="002B32A0" w:rsidRDefault="002B32A0" w:rsidP="002B32A0">
      <w:pPr>
        <w:pStyle w:val="FootnoteText"/>
        <w:rPr>
          <w:lang w:val="en-US"/>
        </w:rPr>
      </w:pPr>
      <w:r>
        <w:rPr>
          <w:rStyle w:val="FootnoteReference"/>
        </w:rPr>
        <w:footnoteRef/>
      </w:r>
      <w:r>
        <w:t xml:space="preserve"> That is, the discounted present value using a 7% discount rate.</w:t>
      </w:r>
    </w:p>
  </w:footnote>
  <w:footnote w:id="20">
    <w:p w14:paraId="3ECF8D85" w14:textId="77777777" w:rsidR="002B32A0" w:rsidRDefault="002B32A0" w:rsidP="002B32A0">
      <w:pPr>
        <w:pStyle w:val="FootnoteText"/>
        <w:rPr>
          <w:lang w:val="en-US"/>
        </w:rPr>
      </w:pPr>
      <w:r>
        <w:rPr>
          <w:rStyle w:val="FootnoteReference"/>
        </w:rPr>
        <w:footnoteRef/>
      </w:r>
      <w:r>
        <w:t xml:space="preserve"> Department of the Prime Minister and Cabinet</w:t>
      </w:r>
      <w:r>
        <w:rPr>
          <w:lang w:val="en-US"/>
        </w:rPr>
        <w:t xml:space="preserve"> (2023). </w:t>
      </w:r>
      <w:r w:rsidRPr="002616BD">
        <w:rPr>
          <w:i/>
          <w:iCs/>
          <w:lang w:val="en-US"/>
        </w:rPr>
        <w:t>Cost–benefit analysis</w:t>
      </w:r>
      <w:r>
        <w:rPr>
          <w:lang w:val="en-US"/>
        </w:rPr>
        <w:t>. Canberra:</w:t>
      </w:r>
      <w:r w:rsidRPr="00874FA7">
        <w:rPr>
          <w:lang w:val="en-US"/>
        </w:rPr>
        <w:t xml:space="preserve"> </w:t>
      </w:r>
      <w:r>
        <w:rPr>
          <w:lang w:val="en-US"/>
        </w:rPr>
        <w:t xml:space="preserve">Australian Government. </w:t>
      </w:r>
    </w:p>
  </w:footnote>
  <w:footnote w:id="21">
    <w:p w14:paraId="3B750B0C" w14:textId="77777777" w:rsidR="002B32A0" w:rsidRDefault="002B32A0" w:rsidP="002B32A0">
      <w:pPr>
        <w:pStyle w:val="FootnoteText"/>
      </w:pPr>
      <w:r>
        <w:rPr>
          <w:rStyle w:val="FootnoteReference"/>
        </w:rPr>
        <w:footnoteRef/>
      </w:r>
      <w:r>
        <w:t xml:space="preserve"> Additional explanation about these economic terms is provided in the appendices in Part III.</w:t>
      </w:r>
    </w:p>
  </w:footnote>
  <w:footnote w:id="22">
    <w:p w14:paraId="14359C23" w14:textId="77777777" w:rsidR="002B32A0" w:rsidRDefault="002B32A0" w:rsidP="002B32A0">
      <w:pPr>
        <w:pStyle w:val="FootnoteText"/>
        <w:spacing w:after="0"/>
        <w:rPr>
          <w:sz w:val="16"/>
          <w:szCs w:val="16"/>
          <w:lang w:val="en-US"/>
        </w:rPr>
      </w:pPr>
      <w:r>
        <w:rPr>
          <w:rStyle w:val="FootnoteReference"/>
          <w:sz w:val="16"/>
          <w:szCs w:val="16"/>
        </w:rPr>
        <w:footnoteRef/>
      </w:r>
      <w:r>
        <w:rPr>
          <w:sz w:val="16"/>
          <w:szCs w:val="16"/>
        </w:rPr>
        <w:t xml:space="preserve"> </w:t>
      </w:r>
      <w:r>
        <w:rPr>
          <w:lang w:val="en-US"/>
        </w:rPr>
        <w:t>A 7%real discount rate is based on the Commonwealth Office of Impact Analysis Guidelines on evaluation of projects.</w:t>
      </w:r>
      <w:r>
        <w:rPr>
          <w:sz w:val="16"/>
          <w:szCs w:val="16"/>
          <w:lang w:val="en-US"/>
        </w:rPr>
        <w:t xml:space="preserve"> </w:t>
      </w:r>
    </w:p>
  </w:footnote>
  <w:footnote w:id="23">
    <w:p w14:paraId="67B396D8" w14:textId="77777777" w:rsidR="002B32A0" w:rsidRDefault="002B32A0" w:rsidP="002B32A0">
      <w:pPr>
        <w:pStyle w:val="FootnoteText"/>
        <w:rPr>
          <w:lang w:val="en-US"/>
        </w:rPr>
      </w:pPr>
      <w:r>
        <w:rPr>
          <w:rStyle w:val="FootnoteReference"/>
        </w:rPr>
        <w:footnoteRef/>
      </w:r>
      <w:r>
        <w:t xml:space="preserve"> Notably, while the last round of grants modelled are those awarded in 2021, there are projects awarded in 2020 which will receive funding over 7 years (until 2026) and hence the costs to the Australian Government extend over the period 2002-2026.</w:t>
      </w:r>
    </w:p>
  </w:footnote>
  <w:footnote w:id="24">
    <w:p w14:paraId="6FAEDC25" w14:textId="10E1A264" w:rsidR="002B32A0" w:rsidRDefault="002B32A0" w:rsidP="002B32A0">
      <w:pPr>
        <w:pStyle w:val="FootnoteText"/>
        <w:rPr>
          <w:lang w:val="en-US"/>
        </w:rPr>
      </w:pPr>
      <w:r>
        <w:rPr>
          <w:rStyle w:val="FootnoteReference"/>
        </w:rPr>
        <w:footnoteRef/>
      </w:r>
      <w:r>
        <w:t xml:space="preserve"> See </w:t>
      </w:r>
      <w:r>
        <w:fldChar w:fldCharType="begin"/>
      </w:r>
      <w:r>
        <w:instrText xml:space="preserve"> REF _Ref129617319 \h </w:instrText>
      </w:r>
      <w:r>
        <w:fldChar w:fldCharType="separate"/>
      </w:r>
      <w:r w:rsidR="00C56296" w:rsidRPr="00CE1D7F">
        <w:rPr>
          <w:rStyle w:val="CaptionLabel"/>
        </w:rPr>
        <w:t>Table </w:t>
      </w:r>
      <w:r w:rsidR="00C56296">
        <w:rPr>
          <w:rStyle w:val="CaptionLabel"/>
          <w:noProof/>
        </w:rPr>
        <w:t>2</w:t>
      </w:r>
      <w:r w:rsidR="00C56296" w:rsidRPr="00CE1D7F">
        <w:rPr>
          <w:rStyle w:val="CaptionLabel"/>
        </w:rPr>
        <w:t>.</w:t>
      </w:r>
      <w:r w:rsidR="00C56296">
        <w:rPr>
          <w:rStyle w:val="CaptionLabel"/>
          <w:noProof/>
        </w:rPr>
        <w:t>1</w:t>
      </w:r>
      <w:r>
        <w:fldChar w:fldCharType="end"/>
      </w:r>
      <w:r>
        <w:t xml:space="preserve"> for an overview of the modelling inputs and assumptions affecting the profile of these impacts.</w:t>
      </w:r>
    </w:p>
  </w:footnote>
  <w:footnote w:id="25">
    <w:p w14:paraId="22406510" w14:textId="77777777" w:rsidR="002B32A0" w:rsidRDefault="002B32A0" w:rsidP="002B32A0">
      <w:pPr>
        <w:pStyle w:val="FootnoteText"/>
        <w:rPr>
          <w:lang w:val="en-US"/>
        </w:rPr>
      </w:pPr>
      <w:r>
        <w:rPr>
          <w:rStyle w:val="FootnoteReference"/>
        </w:rPr>
        <w:footnoteRef/>
      </w:r>
      <w:r>
        <w:t xml:space="preserve"> Number of years until the total accumulated GDP benefits associated with the NCGP equal the total accumulated costs to society. Any benefits that continue to accrue after this point represent a net benefit to society in the long run.</w:t>
      </w:r>
    </w:p>
  </w:footnote>
  <w:footnote w:id="26">
    <w:p w14:paraId="1B71E6C3" w14:textId="77777777" w:rsidR="002B32A0" w:rsidRDefault="002B32A0" w:rsidP="002B32A0">
      <w:pPr>
        <w:pStyle w:val="FootnoteText"/>
      </w:pPr>
      <w:r>
        <w:rPr>
          <w:rStyle w:val="FootnoteReference"/>
        </w:rPr>
        <w:footnoteRef/>
      </w:r>
      <w:r>
        <w:t xml:space="preserve"> The small negatives at the end of the projection period reflect the inertia of the structural adjustments in the Australian and world economies in the previous year’s driven particularly changes in capital accumulation and net foreign debt. This effect would be expected to return to zero if the simulations were continued into the future.</w:t>
      </w:r>
    </w:p>
  </w:footnote>
  <w:footnote w:id="27">
    <w:p w14:paraId="7BAE9968" w14:textId="77777777" w:rsidR="002B32A0" w:rsidRDefault="002B32A0" w:rsidP="002B32A0">
      <w:pPr>
        <w:pStyle w:val="FootnoteText"/>
      </w:pPr>
      <w:r>
        <w:rPr>
          <w:rStyle w:val="FootnoteReference"/>
        </w:rPr>
        <w:footnoteRef/>
      </w:r>
      <w:r>
        <w:t xml:space="preserve"> That is, the discounted present values of the projected changes in real income using a 7% real discount rate.</w:t>
      </w:r>
    </w:p>
  </w:footnote>
  <w:footnote w:id="28">
    <w:p w14:paraId="7440316D" w14:textId="77777777" w:rsidR="002B32A0" w:rsidRDefault="002B32A0" w:rsidP="002B32A0">
      <w:pPr>
        <w:pStyle w:val="FootnoteText"/>
        <w:rPr>
          <w:lang w:val="en-US"/>
        </w:rPr>
      </w:pPr>
      <w:r>
        <w:rPr>
          <w:rStyle w:val="FootnoteReference"/>
        </w:rPr>
        <w:footnoteRef/>
      </w:r>
      <w:r>
        <w:t xml:space="preserve"> </w:t>
      </w:r>
      <w:r>
        <w:rPr>
          <w:lang w:val="en-US"/>
        </w:rPr>
        <w:t>Figure has been calculated as NPV of real income at 7% discount ($30,327 million) divided by the total Australian population (25,890,773 persons).</w:t>
      </w:r>
    </w:p>
  </w:footnote>
  <w:footnote w:id="29">
    <w:p w14:paraId="5DB50C2C" w14:textId="77777777" w:rsidR="002B32A0" w:rsidRDefault="002B32A0" w:rsidP="002B32A0">
      <w:pPr>
        <w:pStyle w:val="FootnoteText"/>
        <w:rPr>
          <w:lang w:val="en-US"/>
        </w:rPr>
      </w:pPr>
      <w:r>
        <w:rPr>
          <w:rStyle w:val="FootnoteReference"/>
        </w:rPr>
        <w:footnoteRef/>
      </w:r>
      <w:r>
        <w:t xml:space="preserve"> </w:t>
      </w:r>
      <w:r>
        <w:rPr>
          <w:lang w:val="en-US"/>
        </w:rPr>
        <w:t xml:space="preserve">As </w:t>
      </w:r>
      <w:r>
        <w:t xml:space="preserve">with other CGE models, the standard assumption within </w:t>
      </w:r>
      <w:r>
        <w:rPr>
          <w:i/>
        </w:rPr>
        <w:t>Tasman Global</w:t>
      </w:r>
      <w:r>
        <w:t xml:space="preserve"> is that all markets clear (i.e., demand equals supply) at the start and end of each time period, including the labour market. CGE models place explicit limits on the availability of factors and the nature of the constraints can greatly change the magnitude and nature of the results. In contrast, most other tools used to assess economic impacts, including I-O multiplier analysis, do not place constraints on the</w:t>
      </w:r>
      <w:r>
        <w:rPr>
          <w:lang w:val="en-US"/>
        </w:rPr>
        <w:t xml:space="preserve"> availability of factors. Consequently, non-CGE methods tend to overestimate the impacts of a project or policy. </w:t>
      </w:r>
    </w:p>
  </w:footnote>
  <w:footnote w:id="30">
    <w:p w14:paraId="05A0CB48" w14:textId="77777777" w:rsidR="002B32A0" w:rsidRDefault="002B32A0" w:rsidP="002B32A0">
      <w:pPr>
        <w:pStyle w:val="FootnoteText"/>
        <w:rPr>
          <w:lang w:val="en-US"/>
        </w:rPr>
      </w:pPr>
      <w:r>
        <w:rPr>
          <w:rStyle w:val="FootnoteReference"/>
        </w:rPr>
        <w:footnoteRef/>
      </w:r>
      <w:r>
        <w:t xml:space="preserve"> The underlying logic for this assumption is that the NCGP does not have any significant effect on the Australian Government’s immigration policy.</w:t>
      </w:r>
    </w:p>
  </w:footnote>
  <w:footnote w:id="31">
    <w:p w14:paraId="04A32DBA" w14:textId="77777777" w:rsidR="002B32A0" w:rsidRDefault="002B32A0" w:rsidP="002B32A0">
      <w:pPr>
        <w:pStyle w:val="FootnoteText"/>
        <w:rPr>
          <w:lang w:val="en-US"/>
        </w:rPr>
      </w:pPr>
      <w:r>
        <w:rPr>
          <w:rStyle w:val="FootnoteReference"/>
        </w:rPr>
        <w:footnoteRef/>
      </w:r>
      <w:r>
        <w:t xml:space="preserve"> An employee year is employment of one full time equivalent (FTE) person for one year or one 0.5 FTE person for 2 years.</w:t>
      </w:r>
    </w:p>
  </w:footnote>
  <w:footnote w:id="32">
    <w:p w14:paraId="031DDE43" w14:textId="3CFDF7C6" w:rsidR="002B32A0" w:rsidRDefault="002B32A0" w:rsidP="002B32A0">
      <w:pPr>
        <w:pStyle w:val="FootnoteText"/>
      </w:pPr>
      <w:r>
        <w:rPr>
          <w:rStyle w:val="FootnoteReference"/>
        </w:rPr>
        <w:footnoteRef/>
      </w:r>
      <w:r>
        <w:t xml:space="preserve"> Final report data supports this, showing that r</w:t>
      </w:r>
      <w:r w:rsidRPr="00470859">
        <w:t>esearchers deliver economic impacts, such as increases in productivity, human capital build-up and employment. Linkage Program project</w:t>
      </w:r>
      <w:r>
        <w:t xml:space="preserve"> researchers</w:t>
      </w:r>
      <w:r w:rsidRPr="00470859">
        <w:t xml:space="preserve"> were more likely to report broad economic impacts compared with Discovery Program (see </w:t>
      </w:r>
      <w:r w:rsidRPr="00081906">
        <w:fldChar w:fldCharType="begin"/>
      </w:r>
      <w:r w:rsidRPr="00081906">
        <w:instrText xml:space="preserve"> REF _Ref129355501 \h  \* MERGEFORMAT </w:instrText>
      </w:r>
      <w:r w:rsidRPr="00081906">
        <w:fldChar w:fldCharType="separate"/>
      </w:r>
      <w:r w:rsidR="00C56296" w:rsidRPr="00C56296">
        <w:t>Figure C.2</w:t>
      </w:r>
      <w:r w:rsidRPr="00081906">
        <w:fldChar w:fldCharType="end"/>
      </w:r>
      <w:r w:rsidRPr="00470859">
        <w:t>).</w:t>
      </w:r>
      <w:r w:rsidRPr="00164C64">
        <w:t xml:space="preserve"> Survey recipients report a higher proportion of projects likely to result in economic impacts, likely a result of the longer time allowed for impacts to emerge</w:t>
      </w:r>
      <w:r>
        <w:t xml:space="preserve"> following submission of final reports</w:t>
      </w:r>
      <w:r w:rsidRPr="00164C64">
        <w:t>.</w:t>
      </w:r>
    </w:p>
  </w:footnote>
  <w:footnote w:id="33">
    <w:p w14:paraId="2BE471D4" w14:textId="77777777" w:rsidR="002B32A0" w:rsidRPr="007F7065" w:rsidRDefault="002B32A0" w:rsidP="002B32A0">
      <w:pPr>
        <w:pStyle w:val="FootnoteText"/>
        <w:rPr>
          <w:lang w:val="en-US"/>
        </w:rPr>
      </w:pPr>
      <w:r>
        <w:rPr>
          <w:rStyle w:val="FootnoteReference"/>
        </w:rPr>
        <w:footnoteRef/>
      </w:r>
      <w:r>
        <w:t xml:space="preserve"> WillowSoft (2019). </w:t>
      </w:r>
      <w:r w:rsidRPr="007F7065">
        <w:rPr>
          <w:i/>
          <w:iCs/>
        </w:rPr>
        <w:t>WillowSoft Student Success</w:t>
      </w:r>
      <w:r>
        <w:t xml:space="preserve">. Accessed February 2023: </w:t>
      </w:r>
      <w:hyperlink r:id="rId10" w:history="1">
        <w:r w:rsidRPr="00247E01">
          <w:rPr>
            <w:rStyle w:val="Hyperlink"/>
          </w:rPr>
          <w:t>https://www.willowsoft.com.au/</w:t>
        </w:r>
      </w:hyperlink>
      <w:r>
        <w:t xml:space="preserve">. </w:t>
      </w:r>
    </w:p>
  </w:footnote>
  <w:footnote w:id="34">
    <w:p w14:paraId="75EFA26A" w14:textId="77777777" w:rsidR="002B32A0" w:rsidRPr="00983565" w:rsidRDefault="002B32A0" w:rsidP="002B32A0">
      <w:pPr>
        <w:pStyle w:val="FootnoteText"/>
        <w:rPr>
          <w:lang w:val="en-US"/>
        </w:rPr>
      </w:pPr>
      <w:r>
        <w:rPr>
          <w:rStyle w:val="FootnoteReference"/>
        </w:rPr>
        <w:footnoteRef/>
      </w:r>
      <w:r>
        <w:t xml:space="preserve"> Water Corporation (2022). </w:t>
      </w:r>
      <w:r w:rsidRPr="00AD5109">
        <w:rPr>
          <w:i/>
          <w:iCs/>
        </w:rPr>
        <w:t>$320m investment doubles Perth’s rainfall-independent water source</w:t>
      </w:r>
      <w:r>
        <w:t>. Accessed March 2023:</w:t>
      </w:r>
      <w:r w:rsidRPr="00AD5109">
        <w:t xml:space="preserve"> </w:t>
      </w:r>
      <w:hyperlink r:id="rId11" w:history="1">
        <w:r w:rsidRPr="00E1182D">
          <w:rPr>
            <w:rStyle w:val="Hyperlink"/>
          </w:rPr>
          <w:t>https://www.watercorporation.com.au/About-us/Media-releases/2022/August-2022/Stage-Two-Groundwater-Replenishment-Scheme</w:t>
        </w:r>
      </w:hyperlink>
      <w:r>
        <w:rPr>
          <w:rStyle w:val="Hyperlink"/>
        </w:rPr>
        <w:t>.</w:t>
      </w:r>
      <w:r>
        <w:t xml:space="preserve"> </w:t>
      </w:r>
    </w:p>
  </w:footnote>
  <w:footnote w:id="35">
    <w:p w14:paraId="0536A988" w14:textId="77777777" w:rsidR="002B32A0" w:rsidRDefault="002B32A0" w:rsidP="002B32A0">
      <w:pPr>
        <w:pStyle w:val="FootnoteText"/>
      </w:pPr>
      <w:r>
        <w:rPr>
          <w:rStyle w:val="FootnoteReference"/>
        </w:rPr>
        <w:footnoteRef/>
      </w:r>
      <w:r>
        <w:t xml:space="preserve"> </w:t>
      </w:r>
      <w:r w:rsidRPr="00A53B99">
        <w:t xml:space="preserve">National Domestic and Family Violence Bench Book (2022). </w:t>
      </w:r>
      <w:r w:rsidRPr="00A53B99">
        <w:rPr>
          <w:i/>
          <w:iCs/>
        </w:rPr>
        <w:t>Understanding domestic and family violence</w:t>
      </w:r>
      <w:r w:rsidRPr="00A53B99">
        <w:t xml:space="preserve">. Accessed January 2023: </w:t>
      </w:r>
      <w:hyperlink r:id="rId12" w:history="1">
        <w:r w:rsidRPr="00A53B99">
          <w:rPr>
            <w:rStyle w:val="Hyperlink"/>
          </w:rPr>
          <w:t>https://dfvbenchbook.aija.org.au/contents</w:t>
        </w:r>
      </w:hyperlink>
      <w:r w:rsidRPr="00A53B99">
        <w:t>.</w:t>
      </w:r>
    </w:p>
  </w:footnote>
  <w:footnote w:id="36">
    <w:p w14:paraId="1D1284F9" w14:textId="77777777" w:rsidR="002B32A0" w:rsidRDefault="002B32A0" w:rsidP="002B32A0">
      <w:pPr>
        <w:pStyle w:val="FootnoteText"/>
      </w:pPr>
      <w:r>
        <w:rPr>
          <w:rStyle w:val="FootnoteReference"/>
        </w:rPr>
        <w:footnoteRef/>
      </w:r>
      <w:r>
        <w:t xml:space="preserve"> In-kind contributions were not recorded for most Discovery Program scheme applications. DE, FT, and FL do not record in-kind contributions, DP and IN only began recording in-kind contributions since 2015.</w:t>
      </w:r>
    </w:p>
  </w:footnote>
  <w:footnote w:id="37">
    <w:p w14:paraId="6A8411A2" w14:textId="77777777" w:rsidR="002B32A0" w:rsidRPr="00E827DD" w:rsidRDefault="002B32A0" w:rsidP="002B32A0">
      <w:pPr>
        <w:pStyle w:val="FootnoteText"/>
        <w:rPr>
          <w:lang w:val="en-US"/>
        </w:rPr>
      </w:pPr>
      <w:r>
        <w:rPr>
          <w:rStyle w:val="FootnoteReference"/>
        </w:rPr>
        <w:footnoteRef/>
      </w:r>
      <w:r>
        <w:t xml:space="preserve"> In addition, m</w:t>
      </w:r>
      <w:r w:rsidRPr="00E827DD">
        <w:t>any Honours and Bachelor Chemistry graduates have been employed at WAWC over the years</w:t>
      </w:r>
      <w:r>
        <w:t>.</w:t>
      </w:r>
    </w:p>
  </w:footnote>
  <w:footnote w:id="38">
    <w:p w14:paraId="67A55123" w14:textId="77777777" w:rsidR="002B32A0" w:rsidRPr="009E1688" w:rsidRDefault="002B32A0" w:rsidP="002B32A0">
      <w:pPr>
        <w:pStyle w:val="FootnoteText"/>
      </w:pPr>
      <w:r>
        <w:rPr>
          <w:rStyle w:val="FootnoteReference"/>
        </w:rPr>
        <w:footnoteRef/>
      </w:r>
      <w:r>
        <w:t xml:space="preserve"> The Hon Lisa Neville MP (2022). </w:t>
      </w:r>
      <w:r w:rsidRPr="008B3272">
        <w:rPr>
          <w:i/>
          <w:iCs/>
        </w:rPr>
        <w:t>Successful Connections Project Delivers Extra Water</w:t>
      </w:r>
      <w:r>
        <w:t xml:space="preserve">. Available online at: </w:t>
      </w:r>
      <w:hyperlink r:id="rId13" w:history="1">
        <w:r w:rsidRPr="00E7211B">
          <w:rPr>
            <w:rStyle w:val="Hyperlink"/>
          </w:rPr>
          <w:t>https://www.premier.vic.gov.au/successful-connections-project-delivers-extra-water</w:t>
        </w:r>
      </w:hyperlink>
      <w:r>
        <w:t xml:space="preserve">. </w:t>
      </w:r>
    </w:p>
  </w:footnote>
  <w:footnote w:id="39">
    <w:p w14:paraId="4C268B06" w14:textId="77777777" w:rsidR="002B32A0" w:rsidRDefault="002B32A0" w:rsidP="002B32A0">
      <w:pPr>
        <w:pStyle w:val="FootnoteText"/>
      </w:pPr>
      <w:r>
        <w:rPr>
          <w:rStyle w:val="FootnoteReference"/>
        </w:rPr>
        <w:footnoteRef/>
      </w:r>
      <w:r>
        <w:t xml:space="preserve"> Australian National University (2021). </w:t>
      </w:r>
      <w:r w:rsidRPr="007B5F7D">
        <w:rPr>
          <w:i/>
          <w:iCs/>
        </w:rPr>
        <w:t>Repatriation, healing and wellbeing: understanding success for repatriation policy and practice</w:t>
      </w:r>
      <w:r>
        <w:t xml:space="preserve">. Accessed March 2023: </w:t>
      </w:r>
      <w:hyperlink r:id="rId14" w:history="1">
        <w:r w:rsidRPr="001345EC">
          <w:rPr>
            <w:rStyle w:val="Hyperlink"/>
          </w:rPr>
          <w:t>https://chms.cass.anu.edu.au/research/projects/repatriation-healing-and-wellbeing-understanding-success-repatriation-policy-and</w:t>
        </w:r>
      </w:hyperlink>
      <w:r>
        <w:t xml:space="preserve">. </w:t>
      </w:r>
    </w:p>
  </w:footnote>
  <w:footnote w:id="40">
    <w:p w14:paraId="7DB040D0" w14:textId="77777777" w:rsidR="002B32A0" w:rsidRPr="006A6E8F" w:rsidRDefault="002B32A0" w:rsidP="002B32A0">
      <w:pPr>
        <w:pStyle w:val="FootnoteText"/>
        <w:rPr>
          <w:lang w:val="en-US"/>
        </w:rPr>
      </w:pPr>
      <w:r>
        <w:rPr>
          <w:rStyle w:val="FootnoteReference"/>
        </w:rPr>
        <w:footnoteRef/>
      </w:r>
      <w:r>
        <w:t xml:space="preserve"> </w:t>
      </w:r>
      <w:r>
        <w:rPr>
          <w:lang w:val="en-US"/>
        </w:rPr>
        <w:t>Ibid.</w:t>
      </w:r>
    </w:p>
  </w:footnote>
  <w:footnote w:id="41">
    <w:p w14:paraId="6DB37162" w14:textId="77777777" w:rsidR="002B32A0" w:rsidRDefault="002B32A0" w:rsidP="002B32A0">
      <w:pPr>
        <w:pStyle w:val="FootnoteText"/>
      </w:pPr>
      <w:r>
        <w:rPr>
          <w:rStyle w:val="FootnoteReference"/>
        </w:rPr>
        <w:footnoteRef/>
      </w:r>
      <w:r>
        <w:t xml:space="preserve"> OECD (2022). </w:t>
      </w:r>
      <w:r w:rsidRPr="00FD5C88">
        <w:rPr>
          <w:i/>
          <w:iCs/>
        </w:rPr>
        <w:t>Education GPS: Economic and Social Outcomes</w:t>
      </w:r>
      <w:r>
        <w:t xml:space="preserve">. Accessed February 2023: </w:t>
      </w:r>
      <w:hyperlink r:id="rId15" w:anchor="!node=41761&amp;filter=all" w:history="1">
        <w:r w:rsidRPr="00612F07">
          <w:rPr>
            <w:rStyle w:val="Hyperlink"/>
          </w:rPr>
          <w:t>https://gpseducation.oecd.org/revieweducationpolicies/#!node=41761&amp;filter=all</w:t>
        </w:r>
      </w:hyperlink>
      <w:r>
        <w:t xml:space="preserve">. </w:t>
      </w:r>
    </w:p>
  </w:footnote>
  <w:footnote w:id="42">
    <w:p w14:paraId="1811A654" w14:textId="77777777" w:rsidR="002B32A0" w:rsidRPr="00E53B08" w:rsidRDefault="002B32A0" w:rsidP="002B32A0">
      <w:pPr>
        <w:pStyle w:val="FootnoteText"/>
      </w:pPr>
      <w:r>
        <w:rPr>
          <w:rStyle w:val="FootnoteReference"/>
        </w:rPr>
        <w:footnoteRef/>
      </w:r>
      <w:r>
        <w:t xml:space="preserve"> Refer: </w:t>
      </w:r>
      <w:r w:rsidRPr="00E53B08">
        <w:t>https://www.climate.gov/news-features/climate-and/climate-lobsters</w:t>
      </w:r>
    </w:p>
  </w:footnote>
  <w:footnote w:id="43">
    <w:p w14:paraId="7826A361" w14:textId="77777777" w:rsidR="002B32A0" w:rsidRPr="003349F5" w:rsidRDefault="002B32A0" w:rsidP="002B32A0">
      <w:pPr>
        <w:pStyle w:val="FootnoteText"/>
      </w:pPr>
      <w:r>
        <w:rPr>
          <w:rStyle w:val="FootnoteReference"/>
        </w:rPr>
        <w:footnoteRef/>
      </w:r>
      <w:r>
        <w:t xml:space="preserve"> </w:t>
      </w:r>
      <w:r w:rsidRPr="003349F5">
        <w:t>Marsden Jacob Associates</w:t>
      </w:r>
      <w:r>
        <w:t xml:space="preserve">, 2003, </w:t>
      </w:r>
      <w:r w:rsidRPr="003349F5">
        <w:rPr>
          <w:i/>
          <w:iCs/>
        </w:rPr>
        <w:t>Improving water-use efficiency in irrigation conveyance systems</w:t>
      </w:r>
      <w:r>
        <w:t xml:space="preserve">, available online at </w:t>
      </w:r>
      <w:hyperlink r:id="rId16" w:history="1">
        <w:r w:rsidRPr="00B925BE">
          <w:rPr>
            <w:rStyle w:val="Hyperlink"/>
          </w:rPr>
          <w:t>http://www.insidecotton.com/jspui/bitstream/1/1756/2/pr030516.pdf</w:t>
        </w:r>
      </w:hyperlink>
    </w:p>
  </w:footnote>
  <w:footnote w:id="44">
    <w:p w14:paraId="7D56A949" w14:textId="77777777" w:rsidR="002B32A0" w:rsidRPr="0097068E" w:rsidRDefault="002B32A0" w:rsidP="002B32A0">
      <w:pPr>
        <w:pStyle w:val="FootnoteText"/>
      </w:pPr>
      <w:r>
        <w:rPr>
          <w:rStyle w:val="FootnoteReference"/>
        </w:rPr>
        <w:footnoteRef/>
      </w:r>
      <w:r>
        <w:t xml:space="preserve"> The Hon Lisa Neville MP, 2022, </w:t>
      </w:r>
      <w:r w:rsidRPr="0097068E">
        <w:t>Successful Connections Project Delivers Extra Water</w:t>
      </w:r>
      <w:r>
        <w:t xml:space="preserve">, available online at: </w:t>
      </w:r>
      <w:hyperlink r:id="rId17" w:history="1">
        <w:r w:rsidRPr="00E7211B">
          <w:rPr>
            <w:rStyle w:val="Hyperlink"/>
          </w:rPr>
          <w:t>https://www.premier.vic.gov.au/successful-connections-project-delivers-extra-water</w:t>
        </w:r>
      </w:hyperlink>
      <w:r>
        <w:t xml:space="preserve">. </w:t>
      </w:r>
    </w:p>
  </w:footnote>
  <w:footnote w:id="45">
    <w:p w14:paraId="00A948D7" w14:textId="77777777" w:rsidR="002B32A0" w:rsidRPr="00947970" w:rsidRDefault="002B32A0" w:rsidP="002B32A0">
      <w:pPr>
        <w:pStyle w:val="FootnoteText"/>
      </w:pPr>
      <w:r>
        <w:rPr>
          <w:rStyle w:val="FootnoteReference"/>
        </w:rPr>
        <w:footnoteRef/>
      </w:r>
      <w:r>
        <w:t xml:space="preserve"> Refer: </w:t>
      </w:r>
      <w:hyperlink r:id="rId18" w:history="1">
        <w:r w:rsidRPr="00E7211B">
          <w:rPr>
            <w:rStyle w:val="Hyperlink"/>
          </w:rPr>
          <w:t>https://urbanwater.melbourne.vic.gov.au/melbournes-water-story/water-use-facts/</w:t>
        </w:r>
      </w:hyperlink>
      <w:r>
        <w:t xml:space="preserve">. </w:t>
      </w:r>
    </w:p>
  </w:footnote>
  <w:footnote w:id="46">
    <w:p w14:paraId="795C0232" w14:textId="77777777" w:rsidR="002B32A0" w:rsidRPr="00947970" w:rsidRDefault="002B32A0" w:rsidP="002B32A0">
      <w:pPr>
        <w:pStyle w:val="FootnoteText"/>
      </w:pPr>
      <w:r>
        <w:rPr>
          <w:rStyle w:val="FootnoteReference"/>
        </w:rPr>
        <w:footnoteRef/>
      </w:r>
      <w:r>
        <w:t xml:space="preserve"> Refer: </w:t>
      </w:r>
      <w:hyperlink r:id="rId19" w:history="1">
        <w:r w:rsidRPr="00E7211B">
          <w:rPr>
            <w:rStyle w:val="Hyperlink"/>
          </w:rPr>
          <w:t>https://www.melbournewater.com.au/water-and-environment/water-management/allocating-melbournes-water-resources/water-environment</w:t>
        </w:r>
      </w:hyperlink>
      <w:r>
        <w:t xml:space="preserve">. </w:t>
      </w:r>
    </w:p>
  </w:footnote>
  <w:footnote w:id="47">
    <w:p w14:paraId="59CD2ACE" w14:textId="77777777" w:rsidR="002B32A0" w:rsidRPr="009C4490" w:rsidRDefault="002B32A0" w:rsidP="002B32A0">
      <w:pPr>
        <w:pStyle w:val="FootnoteText"/>
      </w:pPr>
      <w:r>
        <w:rPr>
          <w:rStyle w:val="FootnoteReference"/>
        </w:rPr>
        <w:footnoteRef/>
      </w:r>
      <w:r>
        <w:t xml:space="preserve"> Australian Government Productivity Commission, 2017, National Water Reform: PC Inquiry Report, available online at: </w:t>
      </w:r>
      <w:hyperlink r:id="rId20" w:history="1">
        <w:r w:rsidRPr="00B925BE">
          <w:rPr>
            <w:rStyle w:val="Hyperlink"/>
          </w:rPr>
          <w:t>https://www.pc.gov.au/__data/assets/pdf_file/0009/228177/water-reform-overview.pdf</w:t>
        </w:r>
      </w:hyperlink>
    </w:p>
  </w:footnote>
  <w:footnote w:id="48">
    <w:p w14:paraId="2EF002C5" w14:textId="77777777" w:rsidR="002B32A0" w:rsidRPr="00FD28F8" w:rsidRDefault="002B32A0" w:rsidP="002B32A0">
      <w:pPr>
        <w:pStyle w:val="FootnoteText"/>
        <w:rPr>
          <w:lang w:val="en-US"/>
        </w:rPr>
      </w:pPr>
      <w:r>
        <w:rPr>
          <w:rStyle w:val="FootnoteReference"/>
        </w:rPr>
        <w:footnoteRef/>
      </w:r>
      <w:r>
        <w:t xml:space="preserve"> Australian National University (2021). </w:t>
      </w:r>
      <w:r w:rsidRPr="00FD28F8">
        <w:rPr>
          <w:i/>
          <w:iCs/>
        </w:rPr>
        <w:t>Repatriation, healing and wellbeing: understanding success for repatriation policy and practice</w:t>
      </w:r>
      <w:r>
        <w:t xml:space="preserve">. Accessed February 2023: </w:t>
      </w:r>
      <w:hyperlink r:id="rId21" w:history="1">
        <w:r w:rsidRPr="00D342E9">
          <w:rPr>
            <w:rStyle w:val="Hyperlink"/>
          </w:rPr>
          <w:t>https://chms.cass.anu.edu.au/research/projects/repatriation-healing-and-wellbeing-understanding-success-repatriation-policy-and</w:t>
        </w:r>
      </w:hyperlink>
      <w:r>
        <w:t xml:space="preserve">. </w:t>
      </w:r>
    </w:p>
  </w:footnote>
  <w:footnote w:id="49">
    <w:p w14:paraId="48A7028D" w14:textId="77777777" w:rsidR="002B32A0" w:rsidRPr="00433D11" w:rsidRDefault="002B32A0" w:rsidP="002B32A0">
      <w:pPr>
        <w:pStyle w:val="FootnoteText"/>
        <w:rPr>
          <w:lang w:val="en-US"/>
        </w:rPr>
      </w:pPr>
      <w:r>
        <w:rPr>
          <w:rStyle w:val="FootnoteReference"/>
        </w:rPr>
        <w:footnoteRef/>
      </w:r>
      <w:r>
        <w:t xml:space="preserve"> Department of Industry, Science and Resources (2020). </w:t>
      </w:r>
      <w:r w:rsidRPr="00EC4174">
        <w:rPr>
          <w:i/>
          <w:iCs/>
        </w:rPr>
        <w:t>Modern Manufacturing Initiative and National Manufacturing Priorities announced</w:t>
      </w:r>
      <w:r>
        <w:t xml:space="preserve">. Accessed 21 December 2022: </w:t>
      </w:r>
      <w:hyperlink r:id="rId22" w:history="1">
        <w:r w:rsidRPr="000E79CD">
          <w:rPr>
            <w:rStyle w:val="Hyperlink"/>
          </w:rPr>
          <w:t>https://www.industry.gov.au/news/</w:t>
        </w:r>
        <w:r w:rsidRPr="000E79CD">
          <w:rPr>
            <w:rStyle w:val="Hyperlink"/>
          </w:rPr>
          <w:br/>
          <w:t>modern-manufacturing-initiative-and-national-manufacturing-priorities-announced</w:t>
        </w:r>
      </w:hyperlink>
      <w:r>
        <w:t>.</w:t>
      </w:r>
    </w:p>
  </w:footnote>
  <w:footnote w:id="50">
    <w:p w14:paraId="4A19C3E6" w14:textId="77777777" w:rsidR="002B32A0" w:rsidRPr="00433D11" w:rsidRDefault="002B32A0" w:rsidP="002B32A0">
      <w:pPr>
        <w:pStyle w:val="FootnoteText"/>
        <w:rPr>
          <w:lang w:val="en-US"/>
        </w:rPr>
      </w:pPr>
      <w:r>
        <w:rPr>
          <w:rStyle w:val="FootnoteReference"/>
        </w:rPr>
        <w:footnoteRef/>
      </w:r>
      <w:r>
        <w:t xml:space="preserve"> Department of Industry, Science and Resources (2020). </w:t>
      </w:r>
      <w:r w:rsidRPr="00717B53">
        <w:rPr>
          <w:i/>
          <w:iCs/>
        </w:rPr>
        <w:t>National Reconstruction Fund: diversifying and transforming Australia’s industry and economy</w:t>
      </w:r>
      <w:r>
        <w:t xml:space="preserve">. Accessed 21 December 2022: </w:t>
      </w:r>
      <w:hyperlink r:id="rId23" w:history="1">
        <w:r w:rsidRPr="000E79CD">
          <w:rPr>
            <w:rStyle w:val="Hyperlink"/>
          </w:rPr>
          <w:t>https://www.industry.gov.au/</w:t>
        </w:r>
        <w:r w:rsidRPr="000E79CD">
          <w:rPr>
            <w:rStyle w:val="Hyperlink"/>
          </w:rPr>
          <w:br/>
          <w:t>news/national-reconstruction-fund-diversifying-and-transforming-australias-industry-and-economy</w:t>
        </w:r>
      </w:hyperlink>
      <w:r>
        <w:t>.</w:t>
      </w:r>
    </w:p>
  </w:footnote>
  <w:footnote w:id="51">
    <w:p w14:paraId="597D1EE0" w14:textId="77777777" w:rsidR="002B32A0" w:rsidRPr="002129CD" w:rsidRDefault="002B32A0" w:rsidP="002B32A0">
      <w:pPr>
        <w:pStyle w:val="FootnoteText"/>
        <w:rPr>
          <w:lang w:val="en-US"/>
        </w:rPr>
      </w:pPr>
      <w:r>
        <w:rPr>
          <w:rStyle w:val="FootnoteReference"/>
        </w:rPr>
        <w:footnoteRef/>
      </w:r>
      <w:r>
        <w:t xml:space="preserve"> </w:t>
      </w:r>
      <w:r>
        <w:rPr>
          <w:lang w:val="en-US"/>
        </w:rPr>
        <w:t xml:space="preserve">UKRI (2023). </w:t>
      </w:r>
      <w:r w:rsidRPr="002129CD">
        <w:rPr>
          <w:i/>
          <w:iCs/>
          <w:lang w:val="en-US"/>
        </w:rPr>
        <w:t>Our relationship with the government</w:t>
      </w:r>
      <w:r>
        <w:rPr>
          <w:lang w:val="en-US"/>
        </w:rPr>
        <w:t xml:space="preserve">. </w:t>
      </w:r>
      <w:r>
        <w:t xml:space="preserve">Accessed January 2023: </w:t>
      </w:r>
      <w:hyperlink r:id="rId24" w:history="1">
        <w:r w:rsidRPr="00041012">
          <w:rPr>
            <w:rStyle w:val="Hyperlink"/>
          </w:rPr>
          <w:t>https://www.ukri.org/about-us/how-we-are-governed/our-relationship-with-the-government/</w:t>
        </w:r>
      </w:hyperlink>
      <w:r>
        <w:t xml:space="preserve">. </w:t>
      </w:r>
    </w:p>
  </w:footnote>
  <w:footnote w:id="52">
    <w:p w14:paraId="30166CCA" w14:textId="77777777" w:rsidR="002B32A0" w:rsidRPr="002129CD" w:rsidRDefault="002B32A0" w:rsidP="002B32A0">
      <w:pPr>
        <w:pStyle w:val="FootnoteText"/>
        <w:rPr>
          <w:lang w:val="en-US"/>
        </w:rPr>
      </w:pPr>
      <w:r>
        <w:rPr>
          <w:rStyle w:val="FootnoteReference"/>
        </w:rPr>
        <w:footnoteRef/>
      </w:r>
      <w:r>
        <w:t xml:space="preserve"> </w:t>
      </w:r>
      <w:r>
        <w:rPr>
          <w:lang w:val="en-US"/>
        </w:rPr>
        <w:t>Ibid</w:t>
      </w:r>
      <w:r w:rsidRPr="0012551B">
        <w:rPr>
          <w:lang w:val="en-US"/>
        </w:rPr>
        <w:t>.</w:t>
      </w:r>
      <w:r>
        <w:t xml:space="preserve"> </w:t>
      </w:r>
    </w:p>
  </w:footnote>
  <w:footnote w:id="53">
    <w:p w14:paraId="67584D0F" w14:textId="77777777" w:rsidR="002B32A0" w:rsidRPr="00AA68FB" w:rsidRDefault="002B32A0" w:rsidP="002B32A0">
      <w:pPr>
        <w:pStyle w:val="FootnoteText"/>
        <w:rPr>
          <w:lang w:val="en-US"/>
        </w:rPr>
      </w:pPr>
      <w:r>
        <w:rPr>
          <w:rStyle w:val="FootnoteReference"/>
        </w:rPr>
        <w:footnoteRef/>
      </w:r>
      <w:r>
        <w:t xml:space="preserve"> Australian Government (2022). Op. cit.</w:t>
      </w:r>
    </w:p>
  </w:footnote>
  <w:footnote w:id="54">
    <w:p w14:paraId="419123D2" w14:textId="77777777" w:rsidR="002B32A0" w:rsidRPr="00F559B7" w:rsidRDefault="002B32A0" w:rsidP="002B32A0">
      <w:pPr>
        <w:pStyle w:val="FootnoteText"/>
        <w:rPr>
          <w:lang w:val="en-US"/>
        </w:rPr>
      </w:pPr>
      <w:r>
        <w:rPr>
          <w:rStyle w:val="FootnoteReference"/>
        </w:rPr>
        <w:footnoteRef/>
      </w:r>
      <w:r>
        <w:t xml:space="preserve"> Ibid. </w:t>
      </w:r>
    </w:p>
  </w:footnote>
  <w:footnote w:id="55">
    <w:p w14:paraId="7818144A" w14:textId="77777777" w:rsidR="002B32A0" w:rsidRPr="001E4CF3" w:rsidRDefault="002B32A0" w:rsidP="002B32A0">
      <w:pPr>
        <w:pStyle w:val="FootnoteText"/>
        <w:rPr>
          <w:lang w:val="en-US"/>
        </w:rPr>
      </w:pPr>
      <w:r>
        <w:rPr>
          <w:rStyle w:val="FootnoteReference"/>
        </w:rPr>
        <w:footnoteRef/>
      </w:r>
      <w:r>
        <w:t xml:space="preserve"> Department of Health and Aged Care (n.d.). </w:t>
      </w:r>
      <w:r w:rsidRPr="001E4CF3">
        <w:rPr>
          <w:i/>
          <w:iCs/>
        </w:rPr>
        <w:t>Medical Research Future Fund</w:t>
      </w:r>
      <w:r>
        <w:t xml:space="preserve">. Accessed February 2023: </w:t>
      </w:r>
      <w:hyperlink r:id="rId25" w:history="1">
        <w:r w:rsidRPr="00127E4A">
          <w:rPr>
            <w:rStyle w:val="Hyperlink"/>
          </w:rPr>
          <w:t>https://www.health.gov.au/our-work/medical-research-future-fund</w:t>
        </w:r>
      </w:hyperlink>
      <w:r>
        <w:t xml:space="preserve">. </w:t>
      </w:r>
    </w:p>
  </w:footnote>
  <w:footnote w:id="56">
    <w:p w14:paraId="4ECF5564" w14:textId="77777777" w:rsidR="002B32A0" w:rsidRPr="00DF7524" w:rsidRDefault="002B32A0" w:rsidP="002B32A0">
      <w:pPr>
        <w:pStyle w:val="FootnoteText"/>
        <w:rPr>
          <w:lang w:val="en-US"/>
        </w:rPr>
      </w:pPr>
      <w:r>
        <w:rPr>
          <w:rStyle w:val="FootnoteReference"/>
        </w:rPr>
        <w:footnoteRef/>
      </w:r>
      <w:r>
        <w:t xml:space="preserve"> Commonwealth of Australia (2022). </w:t>
      </w:r>
      <w:r>
        <w:rPr>
          <w:i/>
          <w:iCs/>
        </w:rPr>
        <w:t xml:space="preserve">National Plan to End Violence against Women and Children 2022-2032. </w:t>
      </w:r>
      <w:r>
        <w:t>Brisbane: Queensland Government.</w:t>
      </w:r>
    </w:p>
  </w:footnote>
  <w:footnote w:id="57">
    <w:p w14:paraId="030BB692" w14:textId="77777777" w:rsidR="002B32A0" w:rsidRPr="00DF7524" w:rsidRDefault="002B32A0" w:rsidP="002B32A0">
      <w:pPr>
        <w:pStyle w:val="FootnoteText"/>
        <w:rPr>
          <w:lang w:val="en-US"/>
        </w:rPr>
      </w:pPr>
      <w:r>
        <w:rPr>
          <w:rStyle w:val="FootnoteReference"/>
        </w:rPr>
        <w:footnoteRef/>
      </w:r>
      <w:r>
        <w:t xml:space="preserve"> </w:t>
      </w:r>
      <w:r w:rsidRPr="00974658">
        <w:t xml:space="preserve">Queensland Government Department of Justice and Attorney-General (2021). </w:t>
      </w:r>
      <w:r w:rsidRPr="00974658">
        <w:rPr>
          <w:i/>
          <w:iCs/>
        </w:rPr>
        <w:t>Not now, not ever report</w:t>
      </w:r>
      <w:r>
        <w:rPr>
          <w:i/>
          <w:iCs/>
        </w:rPr>
        <w:t>.</w:t>
      </w:r>
      <w:r>
        <w:t xml:space="preserve"> Brisbane: Queensland Government.</w:t>
      </w:r>
    </w:p>
  </w:footnote>
  <w:footnote w:id="58">
    <w:p w14:paraId="7367BF53" w14:textId="77777777" w:rsidR="002B32A0" w:rsidRPr="001443BE" w:rsidRDefault="002B32A0" w:rsidP="002B32A0">
      <w:pPr>
        <w:pStyle w:val="FootnoteText"/>
      </w:pPr>
      <w:r>
        <w:rPr>
          <w:rStyle w:val="FootnoteReference"/>
        </w:rPr>
        <w:footnoteRef/>
      </w:r>
      <w:r>
        <w:t xml:space="preserve"> Queensland Government (2021). </w:t>
      </w:r>
      <w:r w:rsidRPr="00D04919">
        <w:rPr>
          <w:i/>
          <w:iCs/>
        </w:rPr>
        <w:t>Domestic and family violence prevention strategy 2016-2026</w:t>
      </w:r>
      <w:r>
        <w:t xml:space="preserve">. Accessed March 2023: </w:t>
      </w:r>
      <w:hyperlink r:id="rId26" w:history="1">
        <w:r w:rsidRPr="005E663A">
          <w:rPr>
            <w:rStyle w:val="Hyperlink"/>
            <w:spacing w:val="-4"/>
          </w:rPr>
          <w:t>https://www.publications.qld.gov.au/dataset/not-now-not-ever/resource/008db60d-06e9-4702-bb87-48be367edf93</w:t>
        </w:r>
      </w:hyperlink>
      <w:r>
        <w:rPr>
          <w:rStyle w:val="Hyperlink"/>
          <w:spacing w:val="-4"/>
        </w:rPr>
        <w:t>.</w:t>
      </w:r>
    </w:p>
  </w:footnote>
  <w:footnote w:id="59">
    <w:p w14:paraId="6E23CD83" w14:textId="77777777" w:rsidR="002B32A0" w:rsidRPr="00F93D43" w:rsidRDefault="002B32A0" w:rsidP="002B32A0">
      <w:pPr>
        <w:pStyle w:val="FootnoteText"/>
        <w:rPr>
          <w:lang w:val="en-US"/>
        </w:rPr>
      </w:pPr>
      <w:r>
        <w:rPr>
          <w:rStyle w:val="FootnoteReference"/>
        </w:rPr>
        <w:footnoteRef/>
      </w:r>
      <w:r>
        <w:t xml:space="preserve"> Australian Government</w:t>
      </w:r>
      <w:r w:rsidRPr="00857EE8">
        <w:t xml:space="preserve"> (</w:t>
      </w:r>
      <w:r w:rsidRPr="00614D96">
        <w:t>2023</w:t>
      </w:r>
      <w:r w:rsidRPr="00857EE8">
        <w:t xml:space="preserve">). </w:t>
      </w:r>
      <w:r w:rsidRPr="00FD5C88">
        <w:rPr>
          <w:i/>
          <w:iCs/>
        </w:rPr>
        <w:t>Closing the gap: targets and outcomes</w:t>
      </w:r>
      <w:r w:rsidRPr="00857EE8">
        <w:t xml:space="preserve">. Accessed February 2023: </w:t>
      </w:r>
      <w:hyperlink r:id="rId27" w:history="1">
        <w:r w:rsidRPr="00612F07">
          <w:rPr>
            <w:rStyle w:val="Hyperlink"/>
          </w:rPr>
          <w:t>https://www.closingthegap.gov.au/national-agreement/targets</w:t>
        </w:r>
      </w:hyperlink>
      <w:r>
        <w:t>.</w:t>
      </w:r>
    </w:p>
  </w:footnote>
  <w:footnote w:id="60">
    <w:p w14:paraId="6E8FFCD1" w14:textId="77777777" w:rsidR="002B32A0" w:rsidRDefault="002B32A0" w:rsidP="002B32A0">
      <w:pPr>
        <w:pStyle w:val="FootnoteText"/>
      </w:pPr>
      <w:r>
        <w:rPr>
          <w:rStyle w:val="FootnoteReference"/>
        </w:rPr>
        <w:footnoteRef/>
      </w:r>
      <w:r>
        <w:t xml:space="preserve"> Australian Government. Department of Infrastructure, Transport, Regional Development, Communication and the Arts. ‘Indigenous Repatriation’. Accessed February 2023: </w:t>
      </w:r>
      <w:hyperlink r:id="rId28" w:history="1">
        <w:r w:rsidRPr="00446AD6">
          <w:rPr>
            <w:rStyle w:val="Hyperlink"/>
          </w:rPr>
          <w:t>https://www.arts.gov.au/what-we-do/cultural-heritage/indigenous-repatriation</w:t>
        </w:r>
      </w:hyperlink>
      <w:r>
        <w:rPr>
          <w:rStyle w:val="Hyperlink"/>
        </w:rPr>
        <w:t>.</w:t>
      </w:r>
    </w:p>
  </w:footnote>
  <w:footnote w:id="61">
    <w:p w14:paraId="24E2E33A" w14:textId="77777777" w:rsidR="002B32A0" w:rsidRPr="00A87259" w:rsidRDefault="002B32A0" w:rsidP="002B32A0">
      <w:pPr>
        <w:pStyle w:val="FootnoteText"/>
        <w:rPr>
          <w:lang w:val="en-US"/>
        </w:rPr>
      </w:pPr>
      <w:r>
        <w:rPr>
          <w:rStyle w:val="FootnoteReference"/>
        </w:rPr>
        <w:footnoteRef/>
      </w:r>
      <w:r>
        <w:t xml:space="preserve"> </w:t>
      </w:r>
      <w:r>
        <w:rPr>
          <w:lang w:val="en-US"/>
        </w:rPr>
        <w:t>Note that respondents were likely referring to Discovery Projects grants and Linkages Projects grants.</w:t>
      </w:r>
    </w:p>
  </w:footnote>
  <w:footnote w:id="62">
    <w:p w14:paraId="2F33E0F1" w14:textId="77777777" w:rsidR="002B32A0" w:rsidRPr="00215E1E" w:rsidRDefault="002B32A0" w:rsidP="002B32A0">
      <w:pPr>
        <w:pStyle w:val="FootnoteText"/>
        <w:rPr>
          <w:lang w:val="en-US"/>
        </w:rPr>
      </w:pPr>
      <w:r>
        <w:rPr>
          <w:rStyle w:val="FootnoteReference"/>
        </w:rPr>
        <w:footnoteRef/>
      </w:r>
      <w:r>
        <w:t xml:space="preserve"> The TRL scale is used to assess the maturity level of a technology, from 1 (basic research technology) to 9 (system test, launch and operations).</w:t>
      </w:r>
      <w:r>
        <w:br/>
      </w:r>
      <w:r w:rsidRPr="00215E1E">
        <w:t xml:space="preserve">ARENA (2014). </w:t>
      </w:r>
      <w:r w:rsidRPr="00215E1E">
        <w:rPr>
          <w:i/>
          <w:iCs/>
        </w:rPr>
        <w:t>Technology Readiness Levels for Renewable Energy Sectors</w:t>
      </w:r>
      <w:r w:rsidRPr="00215E1E">
        <w:t>. Canberra: Australian Renewable Energy Agency.</w:t>
      </w:r>
    </w:p>
  </w:footnote>
  <w:footnote w:id="63">
    <w:p w14:paraId="74495238" w14:textId="77777777" w:rsidR="002B32A0" w:rsidRPr="002A6A12" w:rsidRDefault="002B32A0" w:rsidP="002B32A0">
      <w:pPr>
        <w:pStyle w:val="FootnoteText"/>
        <w:rPr>
          <w:lang w:val="en-US"/>
        </w:rPr>
      </w:pPr>
      <w:r>
        <w:rPr>
          <w:rStyle w:val="FootnoteReference"/>
        </w:rPr>
        <w:footnoteRef/>
      </w:r>
      <w:r>
        <w:t xml:space="preserve"> Ferguson, H. (2022). </w:t>
      </w:r>
      <w:r w:rsidRPr="002A6A12">
        <w:rPr>
          <w:i/>
          <w:iCs/>
        </w:rPr>
        <w:t>University research funding: a quick guide</w:t>
      </w:r>
      <w:r>
        <w:t xml:space="preserve">. </w:t>
      </w:r>
      <w:r>
        <w:rPr>
          <w:lang w:val="en-US"/>
        </w:rPr>
        <w:t>Accessed 5 January 2023:</w:t>
      </w:r>
      <w:r w:rsidRPr="002A6A12">
        <w:t xml:space="preserve"> </w:t>
      </w:r>
      <w:hyperlink r:id="rId29" w:history="1">
        <w:r w:rsidRPr="00477868">
          <w:rPr>
            <w:rStyle w:val="Hyperlink"/>
            <w:lang w:val="en-US"/>
          </w:rPr>
          <w:t>https://www.aph.gov.au/About_Parliament/Parliamentary_Departments/Parliamentary_Library/pubs/rp/rp2122/Quick_Guides/UniversityResearchFunding</w:t>
        </w:r>
      </w:hyperlink>
      <w:r>
        <w:rPr>
          <w:lang w:val="en-US"/>
        </w:rPr>
        <w:t xml:space="preserve">. </w:t>
      </w:r>
    </w:p>
  </w:footnote>
  <w:footnote w:id="64">
    <w:p w14:paraId="3BE411ED" w14:textId="77777777" w:rsidR="002B32A0" w:rsidRPr="00DA0744" w:rsidRDefault="002B32A0" w:rsidP="002B32A0">
      <w:pPr>
        <w:pStyle w:val="FootnoteText"/>
        <w:rPr>
          <w:lang w:val="en-US"/>
        </w:rPr>
      </w:pPr>
      <w:r>
        <w:rPr>
          <w:rStyle w:val="FootnoteReference"/>
        </w:rPr>
        <w:footnoteRef/>
      </w:r>
      <w:r>
        <w:t xml:space="preserve"> Ibid.</w:t>
      </w:r>
    </w:p>
  </w:footnote>
  <w:footnote w:id="65">
    <w:p w14:paraId="37907402" w14:textId="77777777" w:rsidR="002B32A0" w:rsidRPr="00DA0744" w:rsidRDefault="002B32A0" w:rsidP="002B32A0">
      <w:pPr>
        <w:pStyle w:val="FootnoteText"/>
        <w:rPr>
          <w:lang w:val="en-US"/>
        </w:rPr>
      </w:pPr>
      <w:r>
        <w:rPr>
          <w:rStyle w:val="FootnoteReference"/>
        </w:rPr>
        <w:footnoteRef/>
      </w:r>
      <w:r>
        <w:t xml:space="preserve"> Group of Eight Australia (2022). </w:t>
      </w:r>
      <w:r w:rsidRPr="00DA0744">
        <w:rPr>
          <w:i/>
          <w:iCs/>
        </w:rPr>
        <w:t>Essential decisions for national success Supporting Australian research</w:t>
      </w:r>
      <w:r>
        <w:t>. Canberra: Go8.</w:t>
      </w:r>
    </w:p>
  </w:footnote>
  <w:footnote w:id="66">
    <w:p w14:paraId="3BBF526F" w14:textId="77777777" w:rsidR="002B32A0" w:rsidRPr="004F2A79" w:rsidRDefault="002B32A0" w:rsidP="002B32A0">
      <w:pPr>
        <w:pStyle w:val="FootnoteText"/>
        <w:rPr>
          <w:lang w:val="en-US"/>
        </w:rPr>
      </w:pPr>
      <w:r>
        <w:rPr>
          <w:rStyle w:val="FootnoteReference"/>
        </w:rPr>
        <w:footnoteRef/>
      </w:r>
      <w:r>
        <w:t xml:space="preserve"> </w:t>
      </w:r>
      <w:r>
        <w:rPr>
          <w:lang w:val="en-US"/>
        </w:rPr>
        <w:t>Australian Government</w:t>
      </w:r>
      <w:r w:rsidRPr="004F2A79">
        <w:t xml:space="preserve"> </w:t>
      </w:r>
      <w:r>
        <w:t xml:space="preserve">Department of Education (2022). </w:t>
      </w:r>
      <w:r w:rsidRPr="004F2A79">
        <w:rPr>
          <w:i/>
          <w:iCs/>
          <w:lang w:val="en-US"/>
        </w:rPr>
        <w:t>Research Block Grants</w:t>
      </w:r>
      <w:r>
        <w:rPr>
          <w:lang w:val="en-US"/>
        </w:rPr>
        <w:t xml:space="preserve">. Accessed 5 January 2023: </w:t>
      </w:r>
      <w:hyperlink r:id="rId30" w:history="1">
        <w:r w:rsidRPr="00477868">
          <w:rPr>
            <w:rStyle w:val="Hyperlink"/>
            <w:lang w:val="en-US"/>
          </w:rPr>
          <w:t>https://www.education.gov.au/research-block-grants</w:t>
        </w:r>
      </w:hyperlink>
      <w:r>
        <w:rPr>
          <w:lang w:val="en-US"/>
        </w:rPr>
        <w:t xml:space="preserve">. </w:t>
      </w:r>
    </w:p>
  </w:footnote>
  <w:footnote w:id="67">
    <w:p w14:paraId="35CA40C5" w14:textId="77777777" w:rsidR="002B32A0" w:rsidRPr="003E5E36" w:rsidRDefault="002B32A0" w:rsidP="002B32A0">
      <w:pPr>
        <w:pStyle w:val="FootnoteText"/>
        <w:rPr>
          <w:lang w:val="en-US"/>
        </w:rPr>
      </w:pPr>
      <w:r>
        <w:rPr>
          <w:rStyle w:val="FootnoteReference"/>
        </w:rPr>
        <w:footnoteRef/>
      </w:r>
      <w:r>
        <w:t xml:space="preserve"> Australian Government Department of Education (2022). </w:t>
      </w:r>
      <w:r w:rsidRPr="003E5E36">
        <w:rPr>
          <w:i/>
          <w:iCs/>
        </w:rPr>
        <w:t>Trailblazer Universities Program</w:t>
      </w:r>
      <w:r>
        <w:t xml:space="preserve">. Accessed 4 January 2023: </w:t>
      </w:r>
      <w:hyperlink r:id="rId31" w:history="1">
        <w:r w:rsidRPr="00477868">
          <w:rPr>
            <w:rStyle w:val="Hyperlink"/>
          </w:rPr>
          <w:t>https://www.education.gov.au/trailblazer-universities-program</w:t>
        </w:r>
      </w:hyperlink>
      <w:r>
        <w:t xml:space="preserve">. </w:t>
      </w:r>
    </w:p>
  </w:footnote>
  <w:footnote w:id="68">
    <w:p w14:paraId="2B23943E" w14:textId="77777777" w:rsidR="002B32A0" w:rsidRPr="003E5E36" w:rsidRDefault="002B32A0" w:rsidP="002B32A0">
      <w:pPr>
        <w:pStyle w:val="FootnoteText"/>
        <w:rPr>
          <w:lang w:val="en-US"/>
        </w:rPr>
      </w:pPr>
      <w:r>
        <w:rPr>
          <w:rStyle w:val="FootnoteReference"/>
        </w:rPr>
        <w:footnoteRef/>
      </w:r>
      <w:r>
        <w:t xml:space="preserve"> Australian Government Department of Education (2022). </w:t>
      </w:r>
      <w:r w:rsidRPr="003E5E36">
        <w:rPr>
          <w:i/>
          <w:iCs/>
        </w:rPr>
        <w:t>Australia’s Economic Accelerator</w:t>
      </w:r>
      <w:r>
        <w:t xml:space="preserve">. Accessed 4 January 2023: </w:t>
      </w:r>
      <w:hyperlink r:id="rId32" w:history="1">
        <w:r w:rsidRPr="00477868">
          <w:rPr>
            <w:rStyle w:val="Hyperlink"/>
          </w:rPr>
          <w:t>https://www.education.gov.au/university-research-commercialisation-package/australias-economic-accelerator</w:t>
        </w:r>
      </w:hyperlink>
      <w:r>
        <w:t xml:space="preserve">. </w:t>
      </w:r>
    </w:p>
  </w:footnote>
  <w:footnote w:id="69">
    <w:p w14:paraId="0EFADDBA" w14:textId="77777777" w:rsidR="002B32A0" w:rsidRPr="005E12C2" w:rsidRDefault="002B32A0" w:rsidP="002B32A0">
      <w:pPr>
        <w:pStyle w:val="FootnoteText"/>
        <w:rPr>
          <w:lang w:val="en-US"/>
        </w:rPr>
      </w:pPr>
      <w:r>
        <w:rPr>
          <w:rStyle w:val="FootnoteReference"/>
        </w:rPr>
        <w:footnoteRef/>
      </w:r>
      <w:r>
        <w:t xml:space="preserve"> </w:t>
      </w:r>
      <w:r>
        <w:rPr>
          <w:lang w:val="en-US"/>
        </w:rPr>
        <w:t xml:space="preserve">NSW Government Chief Scientist and Engineer (n.d.). </w:t>
      </w:r>
      <w:r w:rsidRPr="005E12C2">
        <w:rPr>
          <w:i/>
          <w:iCs/>
          <w:lang w:val="en-US"/>
        </w:rPr>
        <w:t>Research and Development</w:t>
      </w:r>
      <w:r>
        <w:rPr>
          <w:lang w:val="en-US"/>
        </w:rPr>
        <w:t xml:space="preserve">. Accessed 5 January 2023: </w:t>
      </w:r>
      <w:hyperlink r:id="rId33" w:history="1">
        <w:r w:rsidRPr="00477868">
          <w:rPr>
            <w:rStyle w:val="Hyperlink"/>
            <w:lang w:val="en-US"/>
          </w:rPr>
          <w:t>https://www.chiefscientist.nsw.gov.au/funding/research-and-development</w:t>
        </w:r>
      </w:hyperlink>
      <w:r>
        <w:rPr>
          <w:lang w:val="en-US"/>
        </w:rPr>
        <w:t xml:space="preserve">. </w:t>
      </w:r>
    </w:p>
  </w:footnote>
  <w:footnote w:id="70">
    <w:p w14:paraId="4918DBD2" w14:textId="77777777" w:rsidR="002B32A0" w:rsidRPr="005E12C2" w:rsidRDefault="002B32A0" w:rsidP="002B32A0">
      <w:pPr>
        <w:pStyle w:val="FootnoteText"/>
        <w:rPr>
          <w:lang w:val="en-US"/>
        </w:rPr>
      </w:pPr>
      <w:r>
        <w:rPr>
          <w:rStyle w:val="FootnoteReference"/>
        </w:rPr>
        <w:footnoteRef/>
      </w:r>
      <w:r>
        <w:t xml:space="preserve"> Breakthrough Victoria (2023). </w:t>
      </w:r>
      <w:r w:rsidRPr="00FF5F35">
        <w:rPr>
          <w:i/>
          <w:iCs/>
        </w:rPr>
        <w:t>Breakthrough Victoria – University Innovation Platform</w:t>
      </w:r>
      <w:r>
        <w:rPr>
          <w:lang w:val="en-US"/>
        </w:rPr>
        <w:t xml:space="preserve">. Accessed 5 January 2023: </w:t>
      </w:r>
      <w:hyperlink r:id="rId34" w:history="1">
        <w:r w:rsidRPr="00477868">
          <w:rPr>
            <w:rStyle w:val="Hyperlink"/>
          </w:rPr>
          <w:t>https://breakthroughvictoria.com/stories/university-innovation-platform-launch/</w:t>
        </w:r>
      </w:hyperlink>
      <w:r>
        <w:t xml:space="preserve">. </w:t>
      </w:r>
    </w:p>
  </w:footnote>
  <w:footnote w:id="71">
    <w:p w14:paraId="59B5EA6B" w14:textId="77777777" w:rsidR="002B32A0" w:rsidRPr="00FF5F35" w:rsidRDefault="002B32A0" w:rsidP="002B32A0">
      <w:pPr>
        <w:pStyle w:val="FootnoteText"/>
        <w:rPr>
          <w:lang w:val="en-US"/>
        </w:rPr>
      </w:pPr>
      <w:r>
        <w:rPr>
          <w:rStyle w:val="FootnoteReference"/>
        </w:rPr>
        <w:footnoteRef/>
      </w:r>
      <w:r>
        <w:t xml:space="preserve"> Government of </w:t>
      </w:r>
      <w:r w:rsidRPr="00FF5F35">
        <w:t xml:space="preserve">South </w:t>
      </w:r>
      <w:r>
        <w:t xml:space="preserve">Australia Department for Industry, Innovation and Science (2023). </w:t>
      </w:r>
      <w:r w:rsidRPr="00FF5F35">
        <w:rPr>
          <w:i/>
          <w:iCs/>
        </w:rPr>
        <w:t>Research and Innovation Fund</w:t>
      </w:r>
      <w:r>
        <w:t>.</w:t>
      </w:r>
      <w:r w:rsidRPr="00FF5F35">
        <w:rPr>
          <w:lang w:val="en-US"/>
        </w:rPr>
        <w:t xml:space="preserve"> </w:t>
      </w:r>
      <w:r>
        <w:rPr>
          <w:lang w:val="en-US"/>
        </w:rPr>
        <w:t>Accessed 5 January 2023:</w:t>
      </w:r>
      <w:r w:rsidRPr="00FF5F35">
        <w:t xml:space="preserve"> </w:t>
      </w:r>
      <w:hyperlink r:id="rId35" w:history="1">
        <w:r w:rsidRPr="00477868">
          <w:rPr>
            <w:rStyle w:val="Hyperlink"/>
            <w:lang w:val="en-US"/>
          </w:rPr>
          <w:t>https://www.diis.sa.gov.au/innovation/entrepreneurship-and-future-industries/funding/research-and-innovation-fund</w:t>
        </w:r>
      </w:hyperlink>
      <w:r>
        <w:rPr>
          <w:lang w:val="en-US"/>
        </w:rPr>
        <w:t xml:space="preserve">. </w:t>
      </w:r>
    </w:p>
  </w:footnote>
  <w:footnote w:id="72">
    <w:p w14:paraId="32EEF0A0" w14:textId="77777777" w:rsidR="002B32A0" w:rsidRDefault="002B32A0" w:rsidP="002B32A0">
      <w:pPr>
        <w:pStyle w:val="FootnoteText"/>
      </w:pPr>
      <w:r>
        <w:rPr>
          <w:rStyle w:val="FootnoteReference"/>
        </w:rPr>
        <w:footnoteRef/>
      </w:r>
      <w:r>
        <w:t xml:space="preserve"> </w:t>
      </w:r>
      <w:r>
        <w:rPr>
          <w:lang w:val="en-US"/>
        </w:rPr>
        <w:t>Australian Research Council (2022a). Op. cit.</w:t>
      </w:r>
    </w:p>
  </w:footnote>
  <w:footnote w:id="73">
    <w:p w14:paraId="1391F73B" w14:textId="77777777" w:rsidR="002B32A0" w:rsidRDefault="002B32A0" w:rsidP="002B32A0">
      <w:pPr>
        <w:pStyle w:val="FootnoteText"/>
      </w:pPr>
      <w:r>
        <w:rPr>
          <w:rStyle w:val="FootnoteReference"/>
        </w:rPr>
        <w:footnoteRef/>
      </w:r>
      <w:r>
        <w:t xml:space="preserve"> Australian Research Council (2022f). </w:t>
      </w:r>
      <w:r w:rsidRPr="00585F5C">
        <w:rPr>
          <w:i/>
          <w:iCs/>
        </w:rPr>
        <w:t>Evaluation</w:t>
      </w:r>
      <w:r>
        <w:t xml:space="preserve">. Accessed March 2023: </w:t>
      </w:r>
      <w:hyperlink r:id="rId36" w:history="1">
        <w:r w:rsidRPr="00F61E9C">
          <w:rPr>
            <w:rStyle w:val="Hyperlink"/>
          </w:rPr>
          <w:t>https://www.arc.gov.au/about-arc/strategies/evaluation</w:t>
        </w:r>
      </w:hyperlink>
      <w:r>
        <w:t xml:space="preserve">. </w:t>
      </w:r>
    </w:p>
  </w:footnote>
  <w:footnote w:id="74">
    <w:p w14:paraId="61C64263" w14:textId="77777777" w:rsidR="002B32A0" w:rsidRDefault="002B32A0" w:rsidP="002B32A0">
      <w:pPr>
        <w:pStyle w:val="FootnoteText"/>
      </w:pPr>
      <w:r>
        <w:rPr>
          <w:rStyle w:val="FootnoteReference"/>
        </w:rPr>
        <w:footnoteRef/>
      </w:r>
      <w:r>
        <w:t xml:space="preserve"> Ibid.</w:t>
      </w:r>
    </w:p>
  </w:footnote>
  <w:footnote w:id="75">
    <w:p w14:paraId="0DEDB366" w14:textId="77777777" w:rsidR="002B32A0" w:rsidRPr="00386D28" w:rsidRDefault="002B32A0" w:rsidP="002B32A0">
      <w:pPr>
        <w:pStyle w:val="FootnoteText"/>
        <w:rPr>
          <w:lang w:val="en-US"/>
        </w:rPr>
      </w:pPr>
      <w:r>
        <w:rPr>
          <w:rStyle w:val="FootnoteReference"/>
        </w:rPr>
        <w:footnoteRef/>
      </w:r>
      <w:r>
        <w:t xml:space="preserve"> Group of Eight and </w:t>
      </w:r>
      <w:r w:rsidRPr="00BE5327">
        <w:t>A</w:t>
      </w:r>
      <w:r>
        <w:t xml:space="preserve">ustralian </w:t>
      </w:r>
      <w:r w:rsidRPr="00BE5327">
        <w:t>T</w:t>
      </w:r>
      <w:r>
        <w:t xml:space="preserve">echnology </w:t>
      </w:r>
      <w:r w:rsidRPr="00BE5327">
        <w:t>N</w:t>
      </w:r>
      <w:r>
        <w:t xml:space="preserve">etwork (2012). </w:t>
      </w:r>
      <w:r w:rsidRPr="00386D28">
        <w:rPr>
          <w:i/>
          <w:iCs/>
        </w:rPr>
        <w:t>Excellence in Innovation: Research impacting our nation’s future – assessing the benefits</w:t>
      </w:r>
      <w:r>
        <w:t xml:space="preserve">. Accessed January 2023: </w:t>
      </w:r>
      <w:hyperlink r:id="rId37" w:history="1">
        <w:r w:rsidRPr="00D92610">
          <w:rPr>
            <w:rStyle w:val="Hyperlink"/>
          </w:rPr>
          <w:t>https://atn.edu.au/wp-content/uploads/2021/12/atn-go8-report-web-pdf.pdf</w:t>
        </w:r>
      </w:hyperlink>
      <w:r>
        <w:t xml:space="preserve">. </w:t>
      </w:r>
    </w:p>
  </w:footnote>
  <w:footnote w:id="76">
    <w:p w14:paraId="730804F4" w14:textId="77777777" w:rsidR="002B32A0" w:rsidRPr="002E59EA" w:rsidRDefault="002B32A0" w:rsidP="002B32A0">
      <w:pPr>
        <w:pStyle w:val="FootnoteText"/>
        <w:rPr>
          <w:lang w:val="en-US"/>
        </w:rPr>
      </w:pPr>
      <w:r>
        <w:rPr>
          <w:rStyle w:val="FootnoteReference"/>
        </w:rPr>
        <w:footnoteRef/>
      </w:r>
      <w:r>
        <w:t xml:space="preserve"> </w:t>
      </w:r>
      <w:r>
        <w:rPr>
          <w:lang w:val="en-US"/>
        </w:rPr>
        <w:t>Ibid.</w:t>
      </w:r>
    </w:p>
  </w:footnote>
  <w:footnote w:id="77">
    <w:p w14:paraId="15B2E7A0" w14:textId="77777777" w:rsidR="002B32A0" w:rsidRDefault="002B32A0" w:rsidP="002B32A0">
      <w:pPr>
        <w:pStyle w:val="FootnoteText"/>
      </w:pPr>
      <w:r>
        <w:rPr>
          <w:rStyle w:val="FootnoteReference"/>
        </w:rPr>
        <w:footnoteRef/>
      </w:r>
      <w:r>
        <w:t xml:space="preserve"> Tableau Public (2022). </w:t>
      </w:r>
      <w:r w:rsidRPr="00A014AC">
        <w:rPr>
          <w:i/>
          <w:iCs/>
        </w:rPr>
        <w:t>Researchfish Outputs 2021</w:t>
      </w:r>
      <w:r>
        <w:t xml:space="preserve">. Accessed March 2023: </w:t>
      </w:r>
      <w:hyperlink r:id="rId38" w:history="1">
        <w:r w:rsidRPr="00CB0434">
          <w:rPr>
            <w:rStyle w:val="Hyperlink"/>
          </w:rPr>
          <w:t>https://public.tableau.com/app/profile/uk.research.and.innovation.ukri./viz/ResearchfishOutputs2021/Overview?publish=yes</w:t>
        </w:r>
      </w:hyperlink>
      <w:r>
        <w:t xml:space="preserve">. </w:t>
      </w:r>
    </w:p>
  </w:footnote>
  <w:footnote w:id="78">
    <w:p w14:paraId="0B6C96A8" w14:textId="77777777" w:rsidR="002B32A0" w:rsidRDefault="002B32A0" w:rsidP="002B32A0">
      <w:pPr>
        <w:pStyle w:val="FootnoteText"/>
      </w:pPr>
      <w:r>
        <w:rPr>
          <w:rStyle w:val="FootnoteReference"/>
        </w:rPr>
        <w:footnoteRef/>
      </w:r>
      <w:r>
        <w:t xml:space="preserve"> UK Research and Innovation (2023). </w:t>
      </w:r>
      <w:r w:rsidRPr="00A014AC">
        <w:rPr>
          <w:i/>
          <w:iCs/>
        </w:rPr>
        <w:t>Browse our evaluation reports</w:t>
      </w:r>
      <w:r>
        <w:t xml:space="preserve">. Accessed March 2023: </w:t>
      </w:r>
      <w:r w:rsidRPr="006D1894">
        <w:t>https://www.ukri.org/about-us/how-we-are-doing/evaluation-reports/browse/</w:t>
      </w:r>
      <w:r>
        <w:t xml:space="preserve">. </w:t>
      </w:r>
    </w:p>
  </w:footnote>
  <w:footnote w:id="79">
    <w:p w14:paraId="5FDC60FA" w14:textId="77777777" w:rsidR="002B32A0" w:rsidRDefault="002B32A0" w:rsidP="002B32A0">
      <w:pPr>
        <w:pStyle w:val="FootnoteText"/>
      </w:pPr>
      <w:r>
        <w:rPr>
          <w:rStyle w:val="FootnoteReference"/>
        </w:rPr>
        <w:footnoteRef/>
      </w:r>
      <w:r>
        <w:t xml:space="preserve"> Australian Research Council (2022). </w:t>
      </w:r>
      <w:r w:rsidRPr="007D39F7">
        <w:rPr>
          <w:i/>
          <w:iCs/>
        </w:rPr>
        <w:t>Making a Difference</w:t>
      </w:r>
      <w:r>
        <w:t xml:space="preserve">. Accessed April 2023: </w:t>
      </w:r>
      <w:hyperlink r:id="rId39" w:anchor=":~:text=Making%20a%20difference%E2%80%94Outcomes%20of,to%20Australia%20and%20the%20world" w:history="1">
        <w:r w:rsidRPr="00920262">
          <w:rPr>
            <w:rStyle w:val="Hyperlink"/>
          </w:rPr>
          <w:t>https://www.arc.gov.au/news-publications/publications/making-difference#:~:text=Making%20a%20difference%E2%80%94Outcomes%20of,to%20Australia%20and%20the%20world</w:t>
        </w:r>
      </w:hyperlink>
      <w:r>
        <w:t xml:space="preserve">. </w:t>
      </w:r>
    </w:p>
  </w:footnote>
  <w:footnote w:id="80">
    <w:p w14:paraId="24814EA2" w14:textId="77777777" w:rsidR="002B32A0" w:rsidRPr="008350FF" w:rsidRDefault="002B32A0" w:rsidP="002B32A0">
      <w:pPr>
        <w:pStyle w:val="FootnoteText"/>
        <w:rPr>
          <w:lang w:val="en-US"/>
        </w:rPr>
      </w:pPr>
      <w:r>
        <w:rPr>
          <w:rStyle w:val="FootnoteReference"/>
        </w:rPr>
        <w:footnoteRef/>
      </w:r>
      <w:r>
        <w:t xml:space="preserve"> GovHack is </w:t>
      </w:r>
      <w:r w:rsidRPr="000D07F8">
        <w:t>an annual international open government data competition held in Australia and New Zealand</w:t>
      </w:r>
      <w:r>
        <w:t>.</w:t>
      </w:r>
      <w:r>
        <w:br/>
        <w:t xml:space="preserve">GovHack (2023). </w:t>
      </w:r>
      <w:r w:rsidRPr="008350FF">
        <w:t>About</w:t>
      </w:r>
      <w:r>
        <w:t xml:space="preserve">. Accessed January 2023: </w:t>
      </w:r>
      <w:hyperlink r:id="rId40" w:history="1">
        <w:r w:rsidRPr="00D92610">
          <w:rPr>
            <w:rStyle w:val="Hyperlink"/>
          </w:rPr>
          <w:t>https://govhack.org/about/</w:t>
        </w:r>
      </w:hyperlink>
      <w:r>
        <w:t xml:space="preserve">. </w:t>
      </w:r>
    </w:p>
  </w:footnote>
  <w:footnote w:id="81">
    <w:p w14:paraId="3264F281" w14:textId="5CBF3F0A" w:rsidR="0024263C" w:rsidRDefault="002B32A0" w:rsidP="002B32A0">
      <w:pPr>
        <w:pStyle w:val="FootnoteText"/>
        <w:rPr>
          <w:lang w:val="en-US"/>
        </w:rPr>
      </w:pPr>
      <w:r>
        <w:rPr>
          <w:rStyle w:val="FootnoteReference"/>
        </w:rPr>
        <w:footnoteRef/>
      </w:r>
      <w:r>
        <w:t xml:space="preserve"> Department of Industry, Innovation and Science and Australian Academy of Technology and Engineering (2019). </w:t>
      </w:r>
      <w:hyperlink r:id="rId41" w:history="1">
        <w:r w:rsidRPr="0083288F">
          <w:rPr>
            <w:i/>
            <w:iCs/>
          </w:rPr>
          <w:t>Improving</w:t>
        </w:r>
      </w:hyperlink>
      <w:r w:rsidRPr="0083288F">
        <w:rPr>
          <w:i/>
          <w:iCs/>
        </w:rPr>
        <w:t xml:space="preserve"> Innovation Indicators: Better data to track innovation in Australia.</w:t>
      </w:r>
      <w:r w:rsidRPr="008A2FCD">
        <w:rPr>
          <w:i/>
          <w:iCs/>
        </w:rPr>
        <w:t xml:space="preserve"> </w:t>
      </w:r>
      <w:r>
        <w:t>Canberra: Australian Government.</w:t>
      </w:r>
    </w:p>
  </w:footnote>
  <w:footnote w:id="82">
    <w:p w14:paraId="494CFAD5" w14:textId="77777777" w:rsidR="002B32A0" w:rsidRPr="0024263C" w:rsidRDefault="002B32A0" w:rsidP="0024263C">
      <w:pPr>
        <w:pStyle w:val="FootnoteText"/>
        <w:spacing w:after="0"/>
        <w:rPr>
          <w:sz w:val="2"/>
          <w:szCs w:val="2"/>
          <w:lang w:val="en-US"/>
        </w:rPr>
      </w:pPr>
    </w:p>
  </w:footnote>
  <w:footnote w:id="83">
    <w:p w14:paraId="293F8802" w14:textId="77777777" w:rsidR="002B32A0" w:rsidRDefault="002B32A0" w:rsidP="002B32A0">
      <w:pPr>
        <w:pStyle w:val="FootnoteText"/>
        <w:rPr>
          <w:lang w:val="en-US"/>
        </w:rPr>
      </w:pPr>
      <w:r>
        <w:rPr>
          <w:rStyle w:val="FootnoteReference"/>
        </w:rPr>
        <w:footnoteRef/>
      </w:r>
      <w:r>
        <w:t xml:space="preserve"> Department of Economic and Social Affairs (n.d.). </w:t>
      </w:r>
      <w:r w:rsidRPr="0083288F">
        <w:rPr>
          <w:i/>
          <w:iCs/>
        </w:rPr>
        <w:t>The 17 Goals</w:t>
      </w:r>
      <w:r>
        <w:t xml:space="preserve">. Accessed March 2023: </w:t>
      </w:r>
      <w:hyperlink r:id="rId42" w:history="1">
        <w:r w:rsidRPr="00874FA7">
          <w:rPr>
            <w:rStyle w:val="Hyperlink"/>
          </w:rPr>
          <w:t>https://sdgs.un.org/goals</w:t>
        </w:r>
      </w:hyperlink>
      <w:r>
        <w:t>.</w:t>
      </w:r>
    </w:p>
  </w:footnote>
  <w:footnote w:id="84">
    <w:p w14:paraId="05518B46" w14:textId="77777777" w:rsidR="002B32A0" w:rsidRDefault="002B32A0" w:rsidP="002B32A0">
      <w:pPr>
        <w:pStyle w:val="FootnoteText"/>
        <w:rPr>
          <w:lang w:val="en-US"/>
        </w:rPr>
      </w:pPr>
      <w:r>
        <w:rPr>
          <w:rStyle w:val="FootnoteReference"/>
        </w:rPr>
        <w:footnoteRef/>
      </w:r>
      <w:r>
        <w:t xml:space="preserve"> That is, the discounted present value using a 7% discount rate.</w:t>
      </w:r>
    </w:p>
  </w:footnote>
  <w:footnote w:id="85">
    <w:p w14:paraId="2458A80A" w14:textId="77777777" w:rsidR="002B32A0" w:rsidRPr="003C6572" w:rsidRDefault="002B32A0" w:rsidP="002B32A0">
      <w:pPr>
        <w:pStyle w:val="FootnoteText"/>
        <w:rPr>
          <w:lang w:val="en-US"/>
        </w:rPr>
      </w:pPr>
      <w:r>
        <w:rPr>
          <w:rStyle w:val="FootnoteReference"/>
        </w:rPr>
        <w:footnoteRef/>
      </w:r>
      <w:r>
        <w:t xml:space="preserve"> </w:t>
      </w:r>
      <w:r w:rsidRPr="00974658">
        <w:t xml:space="preserve">The approach is based on that outlined in the CSIRO Impact Evaluation Guide. See </w:t>
      </w:r>
      <w:hyperlink r:id="rId43" w:history="1">
        <w:r w:rsidRPr="00974658">
          <w:rPr>
            <w:rStyle w:val="Hyperlink"/>
          </w:rPr>
          <w:t>https://www.csiro.au/~/media/About/Files/Our-impact-framework/CSIROImpactEvaluationGuide_Nov2015_WEB.pdf?la=en&amp;hash=B351D24FB3CE02CB34FB859F2C34AA3940EE6D1F</w:t>
        </w:r>
      </w:hyperlink>
      <w:r w:rsidRPr="00974658">
        <w:t>.</w:t>
      </w:r>
    </w:p>
  </w:footnote>
  <w:footnote w:id="86">
    <w:p w14:paraId="78335687" w14:textId="77777777" w:rsidR="002B32A0" w:rsidRDefault="002B32A0" w:rsidP="002B32A0">
      <w:pPr>
        <w:pStyle w:val="FootnoteText"/>
      </w:pPr>
      <w:r>
        <w:rPr>
          <w:rStyle w:val="FootnoteReference"/>
        </w:rPr>
        <w:footnoteRef/>
      </w:r>
      <w:r>
        <w:t xml:space="preserve"> CSIRO 2020, Growing Australia’s Quantum Technology Industry, accessed on 30 December 2022 at </w:t>
      </w:r>
      <w:hyperlink r:id="rId44" w:history="1">
        <w:r w:rsidRPr="00A95C8A">
          <w:rPr>
            <w:rStyle w:val="Hyperlink"/>
          </w:rPr>
          <w:t>https://www.csiro.au/en/work-with-us/services/consultancy-strategic-advice-services/csiro-futures/future-industries/quantum</w:t>
        </w:r>
      </w:hyperlink>
      <w:r>
        <w:t xml:space="preserve"> </w:t>
      </w:r>
    </w:p>
  </w:footnote>
  <w:footnote w:id="87">
    <w:p w14:paraId="648B8382" w14:textId="77777777" w:rsidR="002B32A0" w:rsidRPr="0067509A" w:rsidRDefault="002B32A0" w:rsidP="002B32A0">
      <w:pPr>
        <w:pStyle w:val="FootnoteText"/>
      </w:pPr>
      <w:r>
        <w:rPr>
          <w:rStyle w:val="FootnoteReference"/>
        </w:rPr>
        <w:footnoteRef/>
      </w:r>
      <w:r>
        <w:t xml:space="preserve"> Cathy Foley in Foreword to CSIRO, 2020, Growing Australia’s Quantum Technology Industry</w:t>
      </w:r>
    </w:p>
  </w:footnote>
  <w:footnote w:id="88">
    <w:p w14:paraId="574105D7" w14:textId="77777777" w:rsidR="002B32A0" w:rsidRPr="00A46ACF" w:rsidRDefault="002B32A0" w:rsidP="002B32A0">
      <w:pPr>
        <w:pStyle w:val="FootnoteText"/>
      </w:pPr>
      <w:r>
        <w:rPr>
          <w:rStyle w:val="FootnoteReference"/>
        </w:rPr>
        <w:footnoteRef/>
      </w:r>
      <w:r>
        <w:t xml:space="preserve"> The 9 work packages are: architecture &amp; algorithms, scale-up engineering, logical qubits, quantum interconnects, protocol development, integrated optical platform, deterministic entanglement, memory technologies, and communication networks.</w:t>
      </w:r>
    </w:p>
  </w:footnote>
  <w:footnote w:id="89">
    <w:p w14:paraId="7489ED5B" w14:textId="77777777" w:rsidR="002B32A0" w:rsidRPr="00A46ACF" w:rsidRDefault="002B32A0" w:rsidP="002B32A0">
      <w:pPr>
        <w:pStyle w:val="FootnoteText"/>
      </w:pPr>
      <w:r>
        <w:rPr>
          <w:rStyle w:val="FootnoteReference"/>
        </w:rPr>
        <w:footnoteRef/>
      </w:r>
      <w:r>
        <w:t xml:space="preserve"> Simmons, M.Y, 2020 and 2014, </w:t>
      </w:r>
      <w:r w:rsidRPr="00A46ACF">
        <w:t xml:space="preserve">CQC²T </w:t>
      </w:r>
      <w:r>
        <w:t xml:space="preserve">Midterm Reviews, supplied by </w:t>
      </w:r>
      <w:r w:rsidRPr="00A46ACF">
        <w:t>CQC²</w:t>
      </w:r>
      <w:r>
        <w:t xml:space="preserve"> and 22 annual reports since 2000.</w:t>
      </w:r>
    </w:p>
  </w:footnote>
  <w:footnote w:id="90">
    <w:p w14:paraId="6A63BD9B" w14:textId="77777777" w:rsidR="002B32A0" w:rsidRPr="00AD765A" w:rsidRDefault="002B32A0" w:rsidP="002B32A0">
      <w:pPr>
        <w:pStyle w:val="FootnoteText"/>
      </w:pPr>
      <w:r>
        <w:rPr>
          <w:rStyle w:val="FootnoteReference"/>
        </w:rPr>
        <w:footnoteRef/>
      </w:r>
      <w:r>
        <w:t xml:space="preserve"> </w:t>
      </w:r>
      <w:r w:rsidRPr="00AD765A">
        <w:t xml:space="preserve">A qubit (or quantum bit) is the quantum mechanical analogue of a classical bit. In classical computing the information is encoded in bits, where each bit can have the value zero or one. In quantum computing the information is encoded in qubits. A qubit is a two-level quantum system where the two basis qubit states are usually written </w:t>
      </w:r>
      <w:r w:rsidRPr="00AD765A">
        <w:rPr>
          <w:rFonts w:ascii="Cambria Math" w:hAnsi="Cambria Math" w:cs="Cambria Math"/>
        </w:rPr>
        <w:t>∣</w:t>
      </w:r>
      <w:r w:rsidRPr="00AD765A">
        <w:t>0</w:t>
      </w:r>
      <w:r w:rsidRPr="00AD765A">
        <w:rPr>
          <w:rFonts w:ascii="Cambria Math" w:hAnsi="Cambria Math" w:cs="Cambria Math"/>
        </w:rPr>
        <w:t>⟩</w:t>
      </w:r>
      <w:r>
        <w:t xml:space="preserve"> </w:t>
      </w:r>
      <w:r w:rsidRPr="00AD765A">
        <w:t xml:space="preserve">and </w:t>
      </w:r>
      <w:r w:rsidRPr="00AD765A">
        <w:rPr>
          <w:rFonts w:ascii="Cambria Math" w:hAnsi="Cambria Math" w:cs="Cambria Math"/>
        </w:rPr>
        <w:t>∣</w:t>
      </w:r>
      <w:r w:rsidRPr="00AD765A">
        <w:t>1</w:t>
      </w:r>
      <w:r w:rsidRPr="00AD765A">
        <w:rPr>
          <w:rFonts w:ascii="Cambria Math" w:hAnsi="Cambria Math" w:cs="Cambria Math"/>
        </w:rPr>
        <w:t>⟩</w:t>
      </w:r>
      <w:r w:rsidRPr="00AD765A">
        <w:t xml:space="preserve">. A qubit can be in state </w:t>
      </w:r>
      <w:r w:rsidRPr="00AD765A">
        <w:rPr>
          <w:rFonts w:ascii="Cambria Math" w:hAnsi="Cambria Math" w:cs="Cambria Math"/>
        </w:rPr>
        <w:t>∣</w:t>
      </w:r>
      <w:r w:rsidRPr="00AD765A">
        <w:t>0</w:t>
      </w:r>
      <w:r w:rsidRPr="00AD765A">
        <w:rPr>
          <w:rFonts w:ascii="Cambria Math" w:hAnsi="Cambria Math" w:cs="Cambria Math"/>
        </w:rPr>
        <w:t>⟩</w:t>
      </w:r>
      <w:r>
        <w:t xml:space="preserve">, </w:t>
      </w:r>
      <w:r w:rsidRPr="00AD765A">
        <w:rPr>
          <w:rFonts w:ascii="Cambria Math" w:hAnsi="Cambria Math" w:cs="Cambria Math"/>
        </w:rPr>
        <w:t>∣</w:t>
      </w:r>
      <w:r w:rsidRPr="00AD765A">
        <w:t>1</w:t>
      </w:r>
      <w:r w:rsidRPr="00AD765A">
        <w:rPr>
          <w:rFonts w:ascii="Cambria Math" w:hAnsi="Cambria Math" w:cs="Cambria Math"/>
        </w:rPr>
        <w:t>⟩</w:t>
      </w:r>
      <w:r w:rsidRPr="00AD765A">
        <w:t xml:space="preserve"> or (unlike a classical bit) in a linear combination of both states.</w:t>
      </w:r>
      <w:r>
        <w:t xml:space="preserve"> Refer: </w:t>
      </w:r>
      <w:r w:rsidRPr="00AD765A">
        <w:t>https://www.quantum-inspire.com/kbase/what-is-a-qubit/</w:t>
      </w:r>
      <w:r>
        <w:t xml:space="preserve"> </w:t>
      </w:r>
    </w:p>
  </w:footnote>
  <w:footnote w:id="91">
    <w:p w14:paraId="0F6DE5C3" w14:textId="77777777" w:rsidR="002B32A0" w:rsidRPr="001211D7" w:rsidRDefault="002B32A0" w:rsidP="002B32A0">
      <w:pPr>
        <w:pStyle w:val="FootnoteText"/>
      </w:pPr>
      <w:r>
        <w:rPr>
          <w:rStyle w:val="FootnoteReference"/>
        </w:rPr>
        <w:footnoteRef/>
      </w:r>
      <w:r>
        <w:t xml:space="preserve"> KLM stands for </w:t>
      </w:r>
      <w:r w:rsidRPr="001211D7">
        <w:t>Knill, Laflamme, and Milburn</w:t>
      </w:r>
      <w:r>
        <w:t xml:space="preserve">, which are the surnames of the researchers who developed the Scheme. </w:t>
      </w:r>
    </w:p>
  </w:footnote>
  <w:footnote w:id="92">
    <w:p w14:paraId="06142663" w14:textId="77777777" w:rsidR="002B32A0" w:rsidRPr="00EC606A" w:rsidRDefault="002B32A0" w:rsidP="002B32A0">
      <w:pPr>
        <w:pStyle w:val="FootnoteText"/>
      </w:pPr>
      <w:r>
        <w:rPr>
          <w:rStyle w:val="FootnoteReference"/>
        </w:rPr>
        <w:footnoteRef/>
      </w:r>
      <w:r>
        <w:t xml:space="preserve"> Spatial-spectral holography using spectral hole burning materials is a powerful technique for performing real-time, wide-bandwidth information storage and signal processing. For operation in the important 1.5 µm communication band, the material Er</w:t>
      </w:r>
      <w:r w:rsidRPr="00791668">
        <w:rPr>
          <w:vertAlign w:val="superscript"/>
        </w:rPr>
        <w:t>3+</w:t>
      </w:r>
      <w:r>
        <w:t>:Y</w:t>
      </w:r>
      <w:r w:rsidRPr="00791668">
        <w:rPr>
          <w:vertAlign w:val="subscript"/>
        </w:rPr>
        <w:t>2</w:t>
      </w:r>
      <w:r>
        <w:t>SiO</w:t>
      </w:r>
      <w:r w:rsidRPr="00791668">
        <w:rPr>
          <w:vertAlign w:val="subscript"/>
        </w:rPr>
        <w:t>5</w:t>
      </w:r>
      <w:r>
        <w:t xml:space="preserve"> enables applications such as laser frequency stabilization, all-optical correlators, analog signal processing, and data storage. Refer: </w:t>
      </w:r>
      <w:r w:rsidRPr="00726FC7">
        <w:t>https://repository.usfca.edu/cgi/viewcontent.cgi?article=1062&amp;context=phys</w:t>
      </w:r>
    </w:p>
  </w:footnote>
  <w:footnote w:id="93">
    <w:p w14:paraId="4E114E73" w14:textId="77777777" w:rsidR="002B32A0" w:rsidRDefault="002B32A0" w:rsidP="002B32A0">
      <w:pPr>
        <w:pStyle w:val="FootnoteText"/>
        <w:rPr>
          <w:lang w:eastAsia="en-AU"/>
        </w:rPr>
      </w:pPr>
      <w:r>
        <w:rPr>
          <w:rStyle w:val="FootnoteReference"/>
        </w:rPr>
        <w:footnoteRef/>
      </w:r>
      <w:r>
        <w:t xml:space="preserve"> </w:t>
      </w:r>
      <w:r>
        <w:rPr>
          <w:lang w:eastAsia="en-AU"/>
        </w:rPr>
        <w:t>Note that to reduce the length of the case study, the full citation for the texts cited in this section are located in the publications and media releases section below.</w:t>
      </w:r>
    </w:p>
  </w:footnote>
  <w:footnote w:id="94">
    <w:p w14:paraId="08FB6B3F" w14:textId="77777777" w:rsidR="002B32A0" w:rsidRPr="00C546DB" w:rsidRDefault="002B32A0" w:rsidP="002B32A0">
      <w:pPr>
        <w:pStyle w:val="FootnoteText"/>
      </w:pPr>
      <w:r>
        <w:rPr>
          <w:rStyle w:val="FootnoteReference"/>
        </w:rPr>
        <w:footnoteRef/>
      </w:r>
      <w:r>
        <w:t xml:space="preserve"> </w:t>
      </w:r>
      <w:r w:rsidRPr="003A4DE8">
        <w:t>https://www.csiro.au/en/work-with-us/services/consultancy-strategic-advice-services/CSIRO-futures/Future-Industries/Quantum</w:t>
      </w:r>
    </w:p>
  </w:footnote>
  <w:footnote w:id="95">
    <w:p w14:paraId="304DFEB8" w14:textId="77777777" w:rsidR="002B32A0" w:rsidRDefault="002B32A0" w:rsidP="002B32A0">
      <w:pPr>
        <w:pStyle w:val="FootnoteText"/>
      </w:pPr>
      <w:r>
        <w:rPr>
          <w:rStyle w:val="FootnoteReference"/>
        </w:rPr>
        <w:footnoteRef/>
      </w:r>
      <w:r>
        <w:t xml:space="preserve"> T.C. Ralph and A.P. Lund. ‘Nondeterministic noiseless linear amplification of quantum systems’, In AIP Conference Proceedings, vol. 1110, no. 1, pp. 155-160. American Institute of Physics, 2009.</w:t>
      </w:r>
    </w:p>
  </w:footnote>
  <w:footnote w:id="96">
    <w:p w14:paraId="3B31A07A" w14:textId="77777777" w:rsidR="002B32A0" w:rsidRPr="003301BC" w:rsidRDefault="002B32A0" w:rsidP="002B32A0">
      <w:pPr>
        <w:pStyle w:val="FootnoteText"/>
      </w:pPr>
      <w:r>
        <w:rPr>
          <w:rStyle w:val="FootnoteReference"/>
        </w:rPr>
        <w:footnoteRef/>
      </w:r>
      <w:r>
        <w:t xml:space="preserve"> </w:t>
      </w:r>
      <w:r w:rsidRPr="003301BC">
        <w:t>D. Keith et al.</w:t>
      </w:r>
      <w:r>
        <w:t xml:space="preserve"> (2019).</w:t>
      </w:r>
      <w:r w:rsidRPr="003301BC">
        <w:t xml:space="preserve"> New Journal of Physics 21, 063011 has been provided as an online tool on Github:silicon-quantumcomputing/qubit_readout.</w:t>
      </w:r>
    </w:p>
  </w:footnote>
  <w:footnote w:id="97">
    <w:p w14:paraId="79E634AB" w14:textId="77777777" w:rsidR="002B32A0" w:rsidRPr="00791668" w:rsidRDefault="002B32A0" w:rsidP="002B32A0">
      <w:pPr>
        <w:pStyle w:val="FootnoteText"/>
        <w:rPr>
          <w:lang w:val="en-US"/>
        </w:rPr>
      </w:pPr>
      <w:r>
        <w:rPr>
          <w:rStyle w:val="FootnoteReference"/>
        </w:rPr>
        <w:footnoteRef/>
      </w:r>
      <w:r>
        <w:t xml:space="preserve"> Symul, T., et al. (2011). </w:t>
      </w:r>
      <w:r w:rsidRPr="004B2804">
        <w:t>Real time demonstration of high bitrate quantum random number generation with coherent laser light</w:t>
      </w:r>
      <w:r>
        <w:t>.</w:t>
      </w:r>
      <w:r w:rsidRPr="004B2804">
        <w:t xml:space="preserve"> Appl. Phys. Letters 98, 231103</w:t>
      </w:r>
      <w:r>
        <w:t>.</w:t>
      </w:r>
    </w:p>
  </w:footnote>
  <w:footnote w:id="98">
    <w:p w14:paraId="0F7F87D9" w14:textId="77777777" w:rsidR="002B32A0" w:rsidRPr="00704563" w:rsidRDefault="002B32A0" w:rsidP="002B32A0">
      <w:pPr>
        <w:pStyle w:val="FootnoteText"/>
      </w:pPr>
      <w:r>
        <w:rPr>
          <w:rStyle w:val="FootnoteReference"/>
        </w:rPr>
        <w:footnoteRef/>
      </w:r>
      <w:r>
        <w:t xml:space="preserve"> Refer: </w:t>
      </w:r>
      <w:hyperlink r:id="rId45" w:history="1">
        <w:r w:rsidRPr="001345EC">
          <w:rPr>
            <w:rStyle w:val="Hyperlink"/>
            <w:rFonts w:eastAsia="Times New Roman"/>
          </w:rPr>
          <w:t>https://aws.amazon.com/marketplace/seller-profile?id=e78f02ee-ea04-4fc2-8b56-456f2dc2ffc8</w:t>
        </w:r>
      </w:hyperlink>
      <w:r>
        <w:rPr>
          <w:rFonts w:eastAsia="Times New Roman"/>
        </w:rPr>
        <w:t xml:space="preserve">. </w:t>
      </w:r>
    </w:p>
  </w:footnote>
  <w:footnote w:id="99">
    <w:p w14:paraId="2A8B4FE6" w14:textId="77777777" w:rsidR="002B32A0" w:rsidRPr="003D56F7" w:rsidRDefault="002B32A0" w:rsidP="002B32A0">
      <w:pPr>
        <w:shd w:val="clear" w:color="auto" w:fill="FFFFFF"/>
        <w:spacing w:before="0" w:after="0" w:line="300" w:lineRule="atLeast"/>
        <w:rPr>
          <w:rFonts w:ascii="Roboto" w:hAnsi="Roboto"/>
          <w:color w:val="333333"/>
          <w:sz w:val="20"/>
          <w:szCs w:val="20"/>
        </w:rPr>
      </w:pPr>
      <w:r>
        <w:rPr>
          <w:rStyle w:val="FootnoteReference"/>
        </w:rPr>
        <w:footnoteRef/>
      </w:r>
      <w:r>
        <w:t xml:space="preserve"> </w:t>
      </w:r>
      <w:r w:rsidRPr="003D56F7">
        <w:rPr>
          <w:color w:val="000100"/>
          <w:sz w:val="20"/>
          <w:szCs w:val="20"/>
        </w:rPr>
        <w:t>Refer</w:t>
      </w:r>
      <w:r>
        <w:rPr>
          <w:color w:val="000100"/>
          <w:sz w:val="20"/>
          <w:szCs w:val="20"/>
        </w:rPr>
        <w:t xml:space="preserve">: </w:t>
      </w:r>
      <w:hyperlink r:id="rId46" w:history="1">
        <w:r w:rsidRPr="001345EC">
          <w:rPr>
            <w:rStyle w:val="Hyperlink"/>
            <w:sz w:val="20"/>
            <w:szCs w:val="20"/>
          </w:rPr>
          <w:t>https://patents.google.com/patent/WO2005019095A1/en</w:t>
        </w:r>
      </w:hyperlink>
      <w:r>
        <w:rPr>
          <w:sz w:val="20"/>
          <w:szCs w:val="20"/>
        </w:rPr>
        <w:t xml:space="preserve">. </w:t>
      </w:r>
    </w:p>
  </w:footnote>
  <w:footnote w:id="100">
    <w:p w14:paraId="3D84E9A5" w14:textId="77777777" w:rsidR="002B32A0" w:rsidRPr="004274BD" w:rsidRDefault="002B32A0" w:rsidP="002B32A0">
      <w:pPr>
        <w:pStyle w:val="FootnoteText"/>
      </w:pPr>
      <w:r>
        <w:rPr>
          <w:rStyle w:val="FootnoteReference"/>
        </w:rPr>
        <w:footnoteRef/>
      </w:r>
      <w:r>
        <w:t xml:space="preserve"> Refer: </w:t>
      </w:r>
      <w:hyperlink r:id="rId47" w:history="1">
        <w:r w:rsidRPr="001345EC">
          <w:rPr>
            <w:rStyle w:val="Hyperlink"/>
          </w:rPr>
          <w:t>https://patents.google.com/patent/AU2005242730B2</w:t>
        </w:r>
      </w:hyperlink>
      <w:r>
        <w:t xml:space="preserve">. </w:t>
      </w:r>
    </w:p>
  </w:footnote>
  <w:footnote w:id="101">
    <w:p w14:paraId="2F043689" w14:textId="77777777" w:rsidR="002B32A0" w:rsidRPr="003D56F7" w:rsidRDefault="002B32A0" w:rsidP="002B32A0">
      <w:pPr>
        <w:pStyle w:val="FootnoteText"/>
      </w:pPr>
      <w:r>
        <w:rPr>
          <w:rStyle w:val="FootnoteReference"/>
        </w:rPr>
        <w:footnoteRef/>
      </w:r>
      <w:r>
        <w:t xml:space="preserve"> Refer: </w:t>
      </w:r>
      <w:hyperlink r:id="rId48" w:history="1">
        <w:r w:rsidRPr="00CB0434">
          <w:rPr>
            <w:rStyle w:val="Hyperlink"/>
          </w:rPr>
          <w:t>https://patents.google.com/patent/WO2009097643A1/en</w:t>
        </w:r>
      </w:hyperlink>
      <w:r>
        <w:t xml:space="preserve">. </w:t>
      </w:r>
    </w:p>
  </w:footnote>
  <w:footnote w:id="102">
    <w:p w14:paraId="4FACE635" w14:textId="77777777" w:rsidR="002B32A0" w:rsidRPr="00F00104" w:rsidRDefault="002B32A0" w:rsidP="002B32A0">
      <w:pPr>
        <w:pStyle w:val="FootnoteText"/>
      </w:pPr>
      <w:r>
        <w:rPr>
          <w:rStyle w:val="FootnoteReference"/>
        </w:rPr>
        <w:footnoteRef/>
      </w:r>
      <w:r>
        <w:t xml:space="preserve"> Refer: </w:t>
      </w:r>
      <w:hyperlink r:id="rId49" w:history="1">
        <w:r w:rsidRPr="00CB0434">
          <w:rPr>
            <w:rStyle w:val="Hyperlink"/>
          </w:rPr>
          <w:t>https://patents.google.com/patent/AU2015252051B2/en</w:t>
        </w:r>
      </w:hyperlink>
      <w:r>
        <w:t>.</w:t>
      </w:r>
    </w:p>
  </w:footnote>
  <w:footnote w:id="103">
    <w:p w14:paraId="37086130" w14:textId="77777777" w:rsidR="002B32A0" w:rsidRPr="00F00104" w:rsidRDefault="002B32A0" w:rsidP="002B32A0">
      <w:pPr>
        <w:pStyle w:val="FootnoteText"/>
      </w:pPr>
      <w:r>
        <w:rPr>
          <w:rStyle w:val="FootnoteReference"/>
        </w:rPr>
        <w:footnoteRef/>
      </w:r>
      <w:r>
        <w:t xml:space="preserve"> Refer: </w:t>
      </w:r>
      <w:hyperlink r:id="rId50" w:history="1">
        <w:r w:rsidRPr="00CB0434">
          <w:rPr>
            <w:rStyle w:val="Hyperlink"/>
          </w:rPr>
          <w:t>https://patents.google.com/patent/US10229365B2/en?oq=10229365</w:t>
        </w:r>
      </w:hyperlink>
      <w:r>
        <w:t xml:space="preserve">. </w:t>
      </w:r>
    </w:p>
  </w:footnote>
  <w:footnote w:id="104">
    <w:p w14:paraId="5785316C" w14:textId="77777777" w:rsidR="002B32A0" w:rsidRPr="00F00104" w:rsidRDefault="002B32A0" w:rsidP="002B32A0">
      <w:pPr>
        <w:pStyle w:val="FootnoteText"/>
      </w:pPr>
      <w:r>
        <w:rPr>
          <w:rStyle w:val="FootnoteReference"/>
        </w:rPr>
        <w:footnoteRef/>
      </w:r>
      <w:r>
        <w:t xml:space="preserve"> </w:t>
      </w:r>
      <w:r w:rsidRPr="00F00104">
        <w:t>Australian Patent: 2022228109, 22nd December (2021). Under examination in Canada, USA, Europe, Japan, China, Taiwan, South Korea, Singapore.</w:t>
      </w:r>
    </w:p>
  </w:footnote>
  <w:footnote w:id="105">
    <w:p w14:paraId="2BC5E4E9" w14:textId="77777777" w:rsidR="002B32A0" w:rsidRPr="00E37C42" w:rsidRDefault="002B32A0" w:rsidP="002B32A0">
      <w:pPr>
        <w:pStyle w:val="FootnoteText"/>
      </w:pPr>
      <w:r>
        <w:rPr>
          <w:rStyle w:val="FootnoteReference"/>
        </w:rPr>
        <w:footnoteRef/>
      </w:r>
      <w:r>
        <w:t xml:space="preserve"> </w:t>
      </w:r>
      <w:hyperlink r:id="rId51" w:history="1">
        <w:r w:rsidRPr="00B925BE">
          <w:rPr>
            <w:rStyle w:val="Hyperlink"/>
          </w:rPr>
          <w:t>https://newsroom.unsw.edu.au/news/science-tech/national-centre-excellence-quantum-opens-unsw</w:t>
        </w:r>
      </w:hyperlink>
    </w:p>
  </w:footnote>
  <w:footnote w:id="106">
    <w:p w14:paraId="61EB8EF7" w14:textId="77777777" w:rsidR="002B32A0" w:rsidRPr="00753295" w:rsidRDefault="002B32A0" w:rsidP="002B32A0">
      <w:pPr>
        <w:pStyle w:val="FootnoteText"/>
      </w:pPr>
      <w:r>
        <w:rPr>
          <w:rStyle w:val="FootnoteReference"/>
        </w:rPr>
        <w:footnoteRef/>
      </w:r>
      <w:r>
        <w:t xml:space="preserve"> Simmons, M, 2020, </w:t>
      </w:r>
      <w:r w:rsidRPr="00A46ACF">
        <w:t xml:space="preserve">CQC²T </w:t>
      </w:r>
      <w:r>
        <w:t xml:space="preserve">Midterm Review, supplied by </w:t>
      </w:r>
      <w:r w:rsidRPr="00A46ACF">
        <w:t>CQC²T</w:t>
      </w:r>
    </w:p>
  </w:footnote>
  <w:footnote w:id="107">
    <w:p w14:paraId="24D88F25" w14:textId="77777777" w:rsidR="002B32A0" w:rsidRPr="00DE3188" w:rsidRDefault="002B32A0" w:rsidP="002B32A0">
      <w:pPr>
        <w:pStyle w:val="FootnoteText"/>
      </w:pPr>
      <w:r>
        <w:rPr>
          <w:rStyle w:val="FootnoteReference"/>
        </w:rPr>
        <w:footnoteRef/>
      </w:r>
      <w:r>
        <w:t xml:space="preserve"> Ibid.</w:t>
      </w:r>
    </w:p>
  </w:footnote>
  <w:footnote w:id="108">
    <w:p w14:paraId="22F84A1F" w14:textId="77777777" w:rsidR="002B32A0" w:rsidRPr="001321E1" w:rsidRDefault="002B32A0" w:rsidP="002B32A0">
      <w:pPr>
        <w:pStyle w:val="FootnoteText"/>
        <w:rPr>
          <w:lang w:val="en-US"/>
        </w:rPr>
      </w:pPr>
      <w:r>
        <w:rPr>
          <w:rStyle w:val="FootnoteReference"/>
        </w:rPr>
        <w:footnoteRef/>
      </w:r>
      <w:r>
        <w:t xml:space="preserve"> </w:t>
      </w:r>
      <w:hyperlink r:id="rId52" w:history="1">
        <w:r w:rsidRPr="00753295">
          <w:t>https://newsroom.unsw.edu.au/news/science-tech/national-centre-excellence-quantum-opens-unsw</w:t>
        </w:r>
      </w:hyperlink>
    </w:p>
  </w:footnote>
  <w:footnote w:id="109">
    <w:p w14:paraId="2A404C46" w14:textId="77777777" w:rsidR="002B32A0" w:rsidRPr="003750C6" w:rsidRDefault="002B32A0" w:rsidP="002B32A0">
      <w:pPr>
        <w:pStyle w:val="FootnoteText"/>
        <w:rPr>
          <w:lang w:val="en-US"/>
        </w:rPr>
      </w:pPr>
      <w:r>
        <w:rPr>
          <w:rStyle w:val="FootnoteReference"/>
        </w:rPr>
        <w:footnoteRef/>
      </w:r>
      <w:r>
        <w:t xml:space="preserve"> Ibid.</w:t>
      </w:r>
    </w:p>
  </w:footnote>
  <w:footnote w:id="110">
    <w:p w14:paraId="7FBAD811" w14:textId="77777777" w:rsidR="002B32A0" w:rsidRPr="00B71C22" w:rsidRDefault="002B32A0" w:rsidP="002B32A0">
      <w:pPr>
        <w:pStyle w:val="FootnoteText"/>
        <w:rPr>
          <w:lang w:val="en-US"/>
        </w:rPr>
      </w:pPr>
      <w:r>
        <w:rPr>
          <w:rStyle w:val="FootnoteReference"/>
        </w:rPr>
        <w:footnoteRef/>
      </w:r>
      <w:r>
        <w:t xml:space="preserve"> </w:t>
      </w:r>
      <w:r w:rsidRPr="00B71C22">
        <w:t>https://www.industry.gov.au/news/australias-vision-quantum</w:t>
      </w:r>
    </w:p>
  </w:footnote>
  <w:footnote w:id="111">
    <w:p w14:paraId="3DFFFEAF" w14:textId="77777777" w:rsidR="002B32A0" w:rsidRPr="00603978" w:rsidRDefault="002B32A0" w:rsidP="002B32A0">
      <w:pPr>
        <w:pStyle w:val="FootnoteText"/>
      </w:pPr>
      <w:r>
        <w:rPr>
          <w:rStyle w:val="FootnoteReference"/>
        </w:rPr>
        <w:footnoteRef/>
      </w:r>
      <w:r>
        <w:t xml:space="preserve"> </w:t>
      </w:r>
      <w:r w:rsidRPr="00AD3E64">
        <w:t>https://www.industry.gov.au/news/national-quantum-advisory-committee-strengthen-australias-quantum-industry</w:t>
      </w:r>
    </w:p>
  </w:footnote>
  <w:footnote w:id="112">
    <w:p w14:paraId="20DA58D1" w14:textId="77777777" w:rsidR="002B32A0" w:rsidRPr="00791668" w:rsidRDefault="002B32A0" w:rsidP="002B32A0">
      <w:pPr>
        <w:pStyle w:val="FootnoteText"/>
        <w:rPr>
          <w:lang w:val="en-US"/>
        </w:rPr>
      </w:pPr>
      <w:r>
        <w:rPr>
          <w:rStyle w:val="FootnoteReference"/>
        </w:rPr>
        <w:footnoteRef/>
      </w:r>
      <w:r>
        <w:t xml:space="preserve"> </w:t>
      </w:r>
      <w:r w:rsidRPr="00AD3E64">
        <w:t>https://techcouncil.com.au/members/quantum/</w:t>
      </w:r>
    </w:p>
  </w:footnote>
  <w:footnote w:id="113">
    <w:p w14:paraId="738E0A36" w14:textId="77777777" w:rsidR="002B32A0" w:rsidRDefault="002B32A0" w:rsidP="002B32A0">
      <w:pPr>
        <w:pStyle w:val="FootnoteText"/>
      </w:pPr>
      <w:r>
        <w:rPr>
          <w:rStyle w:val="FootnoteReference"/>
        </w:rPr>
        <w:footnoteRef/>
      </w:r>
      <w:r>
        <w:t xml:space="preserve"> McKinsey &amp; Co, 2021, Quantum computing: An emerging ecosystem and industry use cases, accessed on 30 December 2022 at </w:t>
      </w:r>
      <w:hyperlink r:id="rId53" w:history="1">
        <w:r w:rsidRPr="00A95C8A">
          <w:rPr>
            <w:rStyle w:val="Hyperlink"/>
          </w:rPr>
          <w:t>https://www.mckinsey.com/~/media/mckinsey/business%20functions/mckinsey%20digital/our%20insights/quantum%20computing%20use%20cases%20are%20getting%20real%20what%20you%20need%20to%20know/quantum-computing-an-emerging-ecosystem.pdf</w:t>
        </w:r>
      </w:hyperlink>
      <w:r>
        <w:t xml:space="preserve"> </w:t>
      </w:r>
    </w:p>
  </w:footnote>
  <w:footnote w:id="114">
    <w:p w14:paraId="2B2AB3FA" w14:textId="77777777" w:rsidR="002B32A0" w:rsidRPr="00F820A5" w:rsidRDefault="002B32A0" w:rsidP="002B32A0">
      <w:pPr>
        <w:pStyle w:val="FootnoteText"/>
      </w:pPr>
      <w:r>
        <w:rPr>
          <w:rStyle w:val="FootnoteReference"/>
        </w:rPr>
        <w:footnoteRef/>
      </w:r>
      <w:r>
        <w:t xml:space="preserve"> </w:t>
      </w:r>
      <w:r w:rsidRPr="00F6403C">
        <w:t>https://www.csiro.au/en/work-with-us/services/consultancy-strategic-advice-services/CSIRO-futures/Future-Industries/Quantum</w:t>
      </w:r>
    </w:p>
  </w:footnote>
  <w:footnote w:id="115">
    <w:p w14:paraId="20474920" w14:textId="77777777" w:rsidR="002B32A0" w:rsidRDefault="002B32A0" w:rsidP="002B32A0">
      <w:pPr>
        <w:pStyle w:val="FootnoteText"/>
      </w:pPr>
      <w:r>
        <w:rPr>
          <w:rStyle w:val="FootnoteReference"/>
        </w:rPr>
        <w:footnoteRef/>
      </w:r>
      <w:r>
        <w:t xml:space="preserve"> CSIRO, 2022, </w:t>
      </w:r>
      <w:r w:rsidRPr="001E3A81">
        <w:t>https://www.csiro.au/en/work-with-us/services/consultancy-strategic-advice-services/csiro-futures/future-industries/quantum</w:t>
      </w:r>
    </w:p>
  </w:footnote>
  <w:footnote w:id="116">
    <w:p w14:paraId="69CD1927" w14:textId="77777777" w:rsidR="002B32A0" w:rsidRPr="00791668" w:rsidRDefault="002B32A0" w:rsidP="002B32A0">
      <w:pPr>
        <w:pStyle w:val="FootnoteText"/>
        <w:rPr>
          <w:lang w:val="en-US"/>
        </w:rPr>
      </w:pPr>
      <w:r>
        <w:rPr>
          <w:rStyle w:val="FootnoteReference"/>
        </w:rPr>
        <w:footnoteRef/>
      </w:r>
      <w:r>
        <w:t xml:space="preserve"> Figures are based</w:t>
      </w:r>
      <w:r>
        <w:rPr>
          <w:lang w:val="en-US"/>
        </w:rPr>
        <w:t xml:space="preserve"> on </w:t>
      </w:r>
      <w:r w:rsidRPr="00E83B26">
        <w:rPr>
          <w:lang w:val="en-US"/>
        </w:rPr>
        <w:t xml:space="preserve">discussions with </w:t>
      </w:r>
      <w:r w:rsidRPr="00791668">
        <w:t>CQC</w:t>
      </w:r>
      <w:r w:rsidRPr="00791668">
        <w:rPr>
          <w:vertAlign w:val="superscript"/>
        </w:rPr>
        <w:t>2</w:t>
      </w:r>
      <w:r w:rsidRPr="00791668">
        <w:t>T</w:t>
      </w:r>
      <w:r w:rsidRPr="00E83B26">
        <w:t>. CQC</w:t>
      </w:r>
      <w:r w:rsidRPr="00E83B26">
        <w:rPr>
          <w:vertAlign w:val="superscript"/>
        </w:rPr>
        <w:t>2</w:t>
      </w:r>
      <w:r w:rsidRPr="00E83B26">
        <w:t>T</w:t>
      </w:r>
      <w:r>
        <w:t xml:space="preserve"> has been running for 23 years being highly focussed on quantum computing throughout this time and incorporating quantum communications in 2011. In 2011 </w:t>
      </w:r>
      <w:r w:rsidRPr="00791668">
        <w:t>CQC</w:t>
      </w:r>
      <w:r w:rsidRPr="00791668">
        <w:rPr>
          <w:vertAlign w:val="superscript"/>
        </w:rPr>
        <w:t>2</w:t>
      </w:r>
      <w:r w:rsidRPr="00791668">
        <w:t>T</w:t>
      </w:r>
      <w:r>
        <w:t xml:space="preserve"> also spun out a second Centre, EQUIS whose focus has been on </w:t>
      </w:r>
      <w:r w:rsidRPr="00C0192F">
        <w:t>quantum materials, quantum engines and quantum imaging systems</w:t>
      </w:r>
      <w:r>
        <w:t xml:space="preserve">. EQUIS has a greater focus on quantum sensing and measurement, hence why only 5% of these benefits are attributed to </w:t>
      </w:r>
      <w:r w:rsidRPr="00C253F9">
        <w:t>CQC</w:t>
      </w:r>
      <w:r w:rsidRPr="00527A5B">
        <w:rPr>
          <w:vertAlign w:val="superscript"/>
        </w:rPr>
        <w:t>2</w:t>
      </w:r>
      <w:r w:rsidRPr="00C253F9">
        <w:t>T</w:t>
      </w:r>
      <w:r>
        <w:t xml:space="preserve"> in the CBA. This figure was not tested given the small proportion that has been attributed.</w:t>
      </w:r>
    </w:p>
  </w:footnote>
  <w:footnote w:id="117">
    <w:p w14:paraId="7C4AE6C6" w14:textId="77777777" w:rsidR="002B32A0" w:rsidRPr="001E3A81" w:rsidRDefault="002B32A0" w:rsidP="002B32A0">
      <w:pPr>
        <w:pStyle w:val="FootnoteText"/>
        <w:rPr>
          <w:lang w:val="en-US"/>
        </w:rPr>
      </w:pPr>
      <w:r>
        <w:rPr>
          <w:rStyle w:val="FootnoteReference"/>
        </w:rPr>
        <w:footnoteRef/>
      </w:r>
      <w:r>
        <w:t xml:space="preserve"> CSIRO, 2022, </w:t>
      </w:r>
      <w:r w:rsidRPr="00115123">
        <w:t>Growing Australia’s Quantum Technology Industry: Updated economic modelling</w:t>
      </w:r>
      <w:r>
        <w:t xml:space="preserve">, available online at: </w:t>
      </w:r>
      <w:r w:rsidRPr="00115123">
        <w:t>https://www.csiro.au/en/work-with-us/services/consultancy-strategic-advice-services/csiro-futures/future-industries/quantum</w:t>
      </w:r>
    </w:p>
  </w:footnote>
  <w:footnote w:id="118">
    <w:p w14:paraId="60843290" w14:textId="77777777" w:rsidR="002B32A0" w:rsidRPr="0094680A" w:rsidRDefault="002B32A0" w:rsidP="002B32A0">
      <w:pPr>
        <w:pStyle w:val="FootnoteText"/>
      </w:pPr>
      <w:r>
        <w:rPr>
          <w:rStyle w:val="FootnoteReference"/>
        </w:rPr>
        <w:footnoteRef/>
      </w:r>
      <w:r>
        <w:t xml:space="preserve"> </w:t>
      </w:r>
      <w:r w:rsidRPr="00880D02">
        <w:t>For example, in 2022, using CSIRO growth estimates, the size of the Quantum opportunity in Australia was estimated at $650,725,820. Of this figure, $394,982,225 is the opportunity in quantum computing, $157,826,347 is the opportunity in quantum sensing and measurement, and $97,917,248 is the opportunity for quantum communications. This is adjusted for the attribution of the CQC</w:t>
      </w:r>
      <w:r w:rsidRPr="00880D02">
        <w:rPr>
          <w:vertAlign w:val="superscript"/>
        </w:rPr>
        <w:t>2</w:t>
      </w:r>
      <w:r w:rsidRPr="00880D02">
        <w:t xml:space="preserve">T, which is estimated at </w:t>
      </w:r>
      <w:r w:rsidRPr="007F3DC9">
        <w:t>75</w:t>
      </w:r>
      <w:r w:rsidRPr="00880D02">
        <w:t xml:space="preserve">% for quantum computing, 5% for quantum computing and measurement and </w:t>
      </w:r>
      <w:r w:rsidRPr="007F3DC9">
        <w:t>70</w:t>
      </w:r>
      <w:r w:rsidRPr="00880D02">
        <w:t>% for quantum communication. The figure attributed to CQC</w:t>
      </w:r>
      <w:r w:rsidRPr="00880D02">
        <w:rPr>
          <w:vertAlign w:val="superscript"/>
        </w:rPr>
        <w:t>2</w:t>
      </w:r>
      <w:r w:rsidRPr="00880D02">
        <w:t>T in 2022 is $372,670,060. This is adjusted for attribution to the ARC (</w:t>
      </w:r>
      <w:r>
        <w:t>31</w:t>
      </w:r>
      <w:r w:rsidRPr="00880D02">
        <w:t xml:space="preserve">%), which results in a total nominal benefit of </w:t>
      </w:r>
      <w:r w:rsidRPr="007C1476">
        <w:t>$115,527,719</w:t>
      </w:r>
      <w:r>
        <w:t xml:space="preserve"> </w:t>
      </w:r>
      <w:r w:rsidRPr="00880D02">
        <w:t>for 2022.</w:t>
      </w:r>
      <w:r>
        <w:t xml:space="preserve"> </w:t>
      </w:r>
    </w:p>
  </w:footnote>
  <w:footnote w:id="119">
    <w:p w14:paraId="4A94A93C" w14:textId="77777777" w:rsidR="002B32A0" w:rsidRPr="0029419F" w:rsidRDefault="002B32A0" w:rsidP="002B32A0">
      <w:pPr>
        <w:pStyle w:val="FootnoteText"/>
      </w:pPr>
      <w:r>
        <w:rPr>
          <w:rStyle w:val="FootnoteReference"/>
        </w:rPr>
        <w:footnoteRef/>
      </w:r>
      <w:r>
        <w:t xml:space="preserve"> The 3% and 10% discount rates are the Federal Government Office of Impact Analysis’ recommended rates for sensitivity testing. Refer: </w:t>
      </w:r>
      <w:hyperlink r:id="rId54" w:history="1">
        <w:r w:rsidRPr="00CB0434">
          <w:rPr>
            <w:rStyle w:val="Hyperlink"/>
          </w:rPr>
          <w:t>https://oia.pmc.gov.au/sites/default/files/2021-09/cost-benefit-analysis.pdf</w:t>
        </w:r>
      </w:hyperlink>
      <w:r>
        <w:t xml:space="preserve">. </w:t>
      </w:r>
    </w:p>
  </w:footnote>
  <w:footnote w:id="120">
    <w:p w14:paraId="442D445B" w14:textId="77777777" w:rsidR="002B32A0" w:rsidRPr="006D4B86" w:rsidRDefault="002B32A0" w:rsidP="002B32A0">
      <w:pPr>
        <w:pStyle w:val="FootnoteText"/>
        <w:rPr>
          <w:lang w:val="en-US"/>
        </w:rPr>
      </w:pPr>
      <w:r>
        <w:rPr>
          <w:rStyle w:val="FootnoteReference"/>
        </w:rPr>
        <w:footnoteRef/>
      </w:r>
      <w:r>
        <w:t xml:space="preserve"> Sensitivity analysis conducted for the other ARC case studies holds all other values constant except for the variable being tested. The researcher requested that for the sensitivity analysis of </w:t>
      </w:r>
      <w:r w:rsidRPr="009A4E88">
        <w:t>the attribution of Australia’s quantum opportunity in computing and communications to the CQC</w:t>
      </w:r>
      <w:r w:rsidRPr="006D4B86">
        <w:rPr>
          <w:vertAlign w:val="superscript"/>
        </w:rPr>
        <w:t>2</w:t>
      </w:r>
      <w:r w:rsidRPr="009A4E88">
        <w:t>T</w:t>
      </w:r>
      <w:r>
        <w:t>, that the benefits and costs of quantum computing and communications be split out, to ensure that the reader can see the impact of the quantum computing research to the quantum communications research.</w:t>
      </w:r>
    </w:p>
  </w:footnote>
  <w:footnote w:id="121">
    <w:p w14:paraId="17A41D92" w14:textId="77777777" w:rsidR="002B32A0" w:rsidRPr="00F6403C" w:rsidRDefault="002B32A0" w:rsidP="002B32A0">
      <w:pPr>
        <w:pStyle w:val="FootnoteText"/>
      </w:pPr>
      <w:r>
        <w:rPr>
          <w:rStyle w:val="FootnoteReference"/>
        </w:rPr>
        <w:footnoteRef/>
      </w:r>
      <w:r>
        <w:t xml:space="preserve"> Ibid.</w:t>
      </w:r>
    </w:p>
  </w:footnote>
  <w:footnote w:id="122">
    <w:p w14:paraId="0E0F1A99" w14:textId="01E8D477" w:rsidR="002B32A0" w:rsidRPr="008F339D" w:rsidRDefault="002B32A0" w:rsidP="002B32A0">
      <w:pPr>
        <w:pStyle w:val="FootnoteText"/>
        <w:rPr>
          <w:lang w:val="en-US"/>
        </w:rPr>
      </w:pPr>
      <w:r>
        <w:rPr>
          <w:rStyle w:val="FootnoteReference"/>
        </w:rPr>
        <w:footnoteRef/>
      </w:r>
      <w:r>
        <w:t xml:space="preserve"> University staff is made up </w:t>
      </w:r>
      <w:r w:rsidR="00054253">
        <w:t>of</w:t>
      </w:r>
      <w:r>
        <w:t xml:space="preserve"> </w:t>
      </w:r>
      <w:r w:rsidRPr="008F339D">
        <w:t xml:space="preserve">44 tenured academic staff, </w:t>
      </w:r>
      <w:r>
        <w:t xml:space="preserve">and </w:t>
      </w:r>
      <w:r w:rsidRPr="008F339D">
        <w:t>338 research, technical staff and professional staff</w:t>
      </w:r>
      <w:r>
        <w:t>.</w:t>
      </w:r>
    </w:p>
  </w:footnote>
  <w:footnote w:id="123">
    <w:p w14:paraId="747C07AA" w14:textId="77777777" w:rsidR="002B32A0" w:rsidRPr="00F00104" w:rsidRDefault="002B32A0" w:rsidP="002B32A0">
      <w:pPr>
        <w:pStyle w:val="FootnoteText"/>
      </w:pPr>
      <w:r>
        <w:rPr>
          <w:rStyle w:val="FootnoteReference"/>
        </w:rPr>
        <w:footnoteRef/>
      </w:r>
      <w:r>
        <w:t xml:space="preserve"> 41 FTE at </w:t>
      </w:r>
      <w:r w:rsidRPr="00F00104">
        <w:t>Quintessence</w:t>
      </w:r>
      <w:r>
        <w:t xml:space="preserve"> </w:t>
      </w:r>
      <w:r w:rsidRPr="00F00104">
        <w:t>Labs</w:t>
      </w:r>
      <w:r>
        <w:t>, 49 FTE at Silicon Quantum Computing, 27 FTE at Diraq, and 5 FTE at Aqacia.</w:t>
      </w:r>
    </w:p>
  </w:footnote>
  <w:footnote w:id="124">
    <w:p w14:paraId="553F0BC7" w14:textId="77777777" w:rsidR="002B32A0" w:rsidRPr="00E83B26" w:rsidRDefault="002B32A0" w:rsidP="002B32A0">
      <w:pPr>
        <w:pStyle w:val="FootnoteText"/>
      </w:pPr>
      <w:r>
        <w:rPr>
          <w:rStyle w:val="FootnoteReference"/>
        </w:rPr>
        <w:footnoteRef/>
      </w:r>
      <w:r>
        <w:t xml:space="preserve"> The researchers were Clark, Simmons, Dzurak, Hamilton, Hollenberg, Jamieson, Kane, Prawer</w:t>
      </w:r>
    </w:p>
  </w:footnote>
  <w:footnote w:id="125">
    <w:p w14:paraId="6EB3B76B" w14:textId="77777777" w:rsidR="002B32A0" w:rsidRPr="00E83B26" w:rsidRDefault="002B32A0" w:rsidP="002B32A0">
      <w:pPr>
        <w:pStyle w:val="FootnoteText"/>
      </w:pPr>
      <w:r>
        <w:rPr>
          <w:rStyle w:val="FootnoteReference"/>
        </w:rPr>
        <w:footnoteRef/>
      </w:r>
      <w:r>
        <w:t xml:space="preserve"> TRL 3 means that</w:t>
      </w:r>
      <w:r w:rsidRPr="00E83B26">
        <w:t xml:space="preserve"> </w:t>
      </w:r>
      <w:r>
        <w:t xml:space="preserve">the </w:t>
      </w:r>
      <w:r w:rsidRPr="00E83B26">
        <w:t xml:space="preserve">critical function or proof of concept </w:t>
      </w:r>
      <w:r>
        <w:t xml:space="preserve">has been </w:t>
      </w:r>
      <w:r w:rsidRPr="00E83B26">
        <w:t>established</w:t>
      </w:r>
      <w:r>
        <w:t xml:space="preserve">, and TRL 4 means lab testing/validation of an alpha prototype has commenced. More information at: </w:t>
      </w:r>
      <w:r w:rsidRPr="00E83B26">
        <w:t>https://www.dst.defence.gov.au/sites/default/files/basic_pages/documents/TRL%20Explanations_1.pdf</w:t>
      </w:r>
    </w:p>
  </w:footnote>
  <w:footnote w:id="126">
    <w:p w14:paraId="7F9073CF" w14:textId="77777777" w:rsidR="002B32A0" w:rsidRPr="00F00104" w:rsidRDefault="002B32A0" w:rsidP="002B32A0">
      <w:pPr>
        <w:pStyle w:val="FootnoteText"/>
      </w:pPr>
      <w:r>
        <w:rPr>
          <w:rStyle w:val="FootnoteReference"/>
        </w:rPr>
        <w:footnoteRef/>
      </w:r>
      <w:r>
        <w:t xml:space="preserve"> Refer: </w:t>
      </w:r>
      <w:r w:rsidRPr="00F00104">
        <w:t>https://www.innovationaus.com/quantum-software-alliance-forms-to-keep-australia-ahead/</w:t>
      </w:r>
    </w:p>
  </w:footnote>
  <w:footnote w:id="127">
    <w:p w14:paraId="63B7DAC9" w14:textId="77777777" w:rsidR="002B32A0" w:rsidRPr="00DE3188" w:rsidRDefault="002B32A0" w:rsidP="002B32A0">
      <w:pPr>
        <w:pStyle w:val="FootnoteText"/>
      </w:pPr>
      <w:r>
        <w:rPr>
          <w:rStyle w:val="FootnoteReference"/>
        </w:rPr>
        <w:footnoteRef/>
      </w:r>
      <w:r>
        <w:t xml:space="preserve"> </w:t>
      </w:r>
      <w:r w:rsidRPr="003A4DE8">
        <w:t>https://www.csiro.au/en/work-with-us/services/consultancy-strategic-advice-services/CSIRO-futures/Future-Industries/Quantum</w:t>
      </w:r>
    </w:p>
  </w:footnote>
  <w:footnote w:id="128">
    <w:p w14:paraId="1F514456" w14:textId="77777777" w:rsidR="002B32A0" w:rsidRPr="00FA4A91" w:rsidRDefault="002B32A0" w:rsidP="002B32A0">
      <w:pPr>
        <w:pStyle w:val="FootnoteText"/>
      </w:pPr>
      <w:r>
        <w:rPr>
          <w:rStyle w:val="FootnoteReference"/>
        </w:rPr>
        <w:footnoteRef/>
      </w:r>
      <w:r>
        <w:t xml:space="preserve"> e.g.,</w:t>
      </w:r>
      <w:r w:rsidRPr="00FA4A91">
        <w:t xml:space="preserve"> </w:t>
      </w:r>
      <w:r>
        <w:t xml:space="preserve">Q-CTRL, which is a company with ties to </w:t>
      </w:r>
      <w:r w:rsidRPr="00FA4A91">
        <w:t>the ARC Centre of Excellence for Engineered Quantum Systems</w:t>
      </w:r>
      <w:r>
        <w:t xml:space="preserve"> provides quantum control engineering solutions. </w:t>
      </w:r>
    </w:p>
  </w:footnote>
  <w:footnote w:id="129">
    <w:p w14:paraId="0BB75FA0" w14:textId="3701D141" w:rsidR="002B32A0" w:rsidRPr="003C6572" w:rsidRDefault="002B32A0" w:rsidP="002B32A0">
      <w:pPr>
        <w:pStyle w:val="FootnoteText"/>
        <w:rPr>
          <w:lang w:val="en-US"/>
        </w:rPr>
      </w:pPr>
      <w:r>
        <w:rPr>
          <w:rStyle w:val="FootnoteReference"/>
        </w:rPr>
        <w:footnoteRef/>
      </w:r>
      <w:r>
        <w:t xml:space="preserve"> </w:t>
      </w:r>
      <w:r w:rsidRPr="00974658">
        <w:t xml:space="preserve">The approach is based on that outlined in the CSIRO Impact Evaluation Guide. See </w:t>
      </w:r>
      <w:hyperlink r:id="rId55" w:history="1">
        <w:r w:rsidR="00AF39FB" w:rsidRPr="00C6678F">
          <w:rPr>
            <w:rStyle w:val="Hyperlink"/>
          </w:rPr>
          <w:t>https://www.csiro.au/~/media/About/Files/Our-impact-framework/CSIROImpactEvaluationGuide_Nov2015_WEB.pdf?la=en&amp;hash=B351D24FB3CE02CB34FB859F2C34AA3940EE6D1F</w:t>
        </w:r>
      </w:hyperlink>
      <w:r w:rsidRPr="00974658">
        <w:t>.</w:t>
      </w:r>
    </w:p>
  </w:footnote>
  <w:footnote w:id="130">
    <w:p w14:paraId="14DC4270" w14:textId="77777777" w:rsidR="002B32A0" w:rsidRPr="008148AA" w:rsidRDefault="002B32A0" w:rsidP="002B32A0">
      <w:pPr>
        <w:pStyle w:val="FootnoteText"/>
        <w:rPr>
          <w:lang w:val="en-US"/>
        </w:rPr>
      </w:pPr>
      <w:r>
        <w:rPr>
          <w:rStyle w:val="FootnoteReference"/>
        </w:rPr>
        <w:footnoteRef/>
      </w:r>
      <w:r>
        <w:t xml:space="preserve"> WA Water Corporation (2023). </w:t>
      </w:r>
      <w:r w:rsidRPr="000F65DB">
        <w:rPr>
          <w:i/>
          <w:iCs/>
        </w:rPr>
        <w:t xml:space="preserve">Climate </w:t>
      </w:r>
      <w:r>
        <w:rPr>
          <w:i/>
          <w:iCs/>
        </w:rPr>
        <w:t>&amp;</w:t>
      </w:r>
      <w:r w:rsidRPr="000F65DB">
        <w:rPr>
          <w:i/>
          <w:iCs/>
        </w:rPr>
        <w:t xml:space="preserve"> Perth</w:t>
      </w:r>
      <w:r>
        <w:t xml:space="preserve">. Accessed March 2023: </w:t>
      </w:r>
      <w:hyperlink r:id="rId56" w:history="1">
        <w:r w:rsidRPr="00E1182D">
          <w:rPr>
            <w:rStyle w:val="Hyperlink"/>
          </w:rPr>
          <w:t>https://www.watercorporation.com.au/Our-water/Climate-change-and-WA/Climate-and-Perth</w:t>
        </w:r>
      </w:hyperlink>
      <w:r>
        <w:t>.</w:t>
      </w:r>
    </w:p>
  </w:footnote>
  <w:footnote w:id="131">
    <w:p w14:paraId="60ED76D6" w14:textId="77777777" w:rsidR="002B32A0" w:rsidRPr="000F65DB" w:rsidRDefault="002B32A0" w:rsidP="002B32A0">
      <w:pPr>
        <w:pStyle w:val="FootnoteText"/>
      </w:pPr>
      <w:r>
        <w:rPr>
          <w:rStyle w:val="FootnoteReference"/>
        </w:rPr>
        <w:footnoteRef/>
      </w:r>
      <w:r>
        <w:t xml:space="preserve"> WA Water Corporation (2009). </w:t>
      </w:r>
      <w:r w:rsidRPr="003679D3">
        <w:rPr>
          <w:i/>
          <w:iCs/>
        </w:rPr>
        <w:t>Water forever – towards climate resilience</w:t>
      </w:r>
      <w:r>
        <w:t xml:space="preserve">. Accessed March 2023: </w:t>
      </w:r>
      <w:hyperlink r:id="rId57" w:history="1">
        <w:r w:rsidRPr="00E1182D">
          <w:rPr>
            <w:rStyle w:val="Hyperlink"/>
          </w:rPr>
          <w:t>https://pw-cdn.watercorporation.com.au/-/media/WaterCorp/Documents/Our-Water/Groundwater/water-forever-50-year-plan.pdf?rev=32235003c4e04f2bb1fb916dd973c2d6&amp;hash=B77B7F33E2B6545DC6A2BA1548940400</w:t>
        </w:r>
      </w:hyperlink>
      <w:r>
        <w:t>.</w:t>
      </w:r>
    </w:p>
  </w:footnote>
  <w:footnote w:id="132">
    <w:p w14:paraId="10F4D9C5" w14:textId="77777777" w:rsidR="002B32A0" w:rsidRPr="00A92E86" w:rsidRDefault="002B32A0" w:rsidP="002B32A0">
      <w:pPr>
        <w:pStyle w:val="FootnoteText"/>
        <w:rPr>
          <w:lang w:val="en-US"/>
        </w:rPr>
      </w:pPr>
      <w:r>
        <w:rPr>
          <w:rStyle w:val="FootnoteReference"/>
        </w:rPr>
        <w:footnoteRef/>
      </w:r>
      <w:r>
        <w:t xml:space="preserve"> </w:t>
      </w:r>
      <w:r>
        <w:rPr>
          <w:lang w:val="en-US"/>
        </w:rPr>
        <w:t>In 2016 the WAWC decided that it wanted to broaden its ability to collaborate with researchers from other institutions and ended its formal support of the CWQRC. However, around 40% of its commissioned external research is still done by Curtin University.</w:t>
      </w:r>
    </w:p>
  </w:footnote>
  <w:footnote w:id="133">
    <w:p w14:paraId="1C530EDE" w14:textId="77777777" w:rsidR="002B32A0" w:rsidRPr="006472F2" w:rsidRDefault="002B32A0" w:rsidP="002B32A0">
      <w:pPr>
        <w:pStyle w:val="FootnoteText"/>
        <w:rPr>
          <w:lang w:val="en-US"/>
        </w:rPr>
      </w:pPr>
      <w:r>
        <w:rPr>
          <w:rStyle w:val="FootnoteReference"/>
        </w:rPr>
        <w:footnoteRef/>
      </w:r>
      <w:r>
        <w:t xml:space="preserve"> At the time the research was being done Water Research Australia was called Water Quality Research Australia.</w:t>
      </w:r>
    </w:p>
  </w:footnote>
  <w:footnote w:id="134">
    <w:p w14:paraId="396E2C3F" w14:textId="77777777" w:rsidR="002B32A0" w:rsidRPr="008B09C7" w:rsidRDefault="002B32A0" w:rsidP="002B32A0">
      <w:pPr>
        <w:pStyle w:val="FootnoteText"/>
        <w:rPr>
          <w:lang w:val="en-US"/>
        </w:rPr>
      </w:pPr>
      <w:r>
        <w:rPr>
          <w:rStyle w:val="FootnoteReference"/>
        </w:rPr>
        <w:footnoteRef/>
      </w:r>
      <w:r>
        <w:t xml:space="preserve"> Architecture &amp; Design (2013). </w:t>
      </w:r>
      <w:r w:rsidRPr="003679D3">
        <w:rPr>
          <w:i/>
          <w:iCs/>
        </w:rPr>
        <w:t>2013 Project management achievement awards winners</w:t>
      </w:r>
      <w:r>
        <w:t xml:space="preserve">. Accessed March 2022: </w:t>
      </w:r>
      <w:hyperlink r:id="rId58" w:history="1">
        <w:r w:rsidRPr="00E1182D">
          <w:rPr>
            <w:rStyle w:val="Hyperlink"/>
          </w:rPr>
          <w:t>https://www.architectureanddesign.com.au/news/2013-project-management-achievement-awards-winners#</w:t>
        </w:r>
      </w:hyperlink>
      <w:r>
        <w:rPr>
          <w:rStyle w:val="Hyperlink"/>
        </w:rPr>
        <w:t>.</w:t>
      </w:r>
      <w:r>
        <w:t xml:space="preserve"> </w:t>
      </w:r>
    </w:p>
  </w:footnote>
  <w:footnote w:id="135">
    <w:p w14:paraId="52A43F4F" w14:textId="77777777" w:rsidR="002B32A0" w:rsidRPr="00DF044B" w:rsidRDefault="002B32A0" w:rsidP="002B32A0">
      <w:pPr>
        <w:pStyle w:val="FootnoteText"/>
        <w:rPr>
          <w:lang w:val="en-US"/>
        </w:rPr>
      </w:pPr>
      <w:r>
        <w:rPr>
          <w:rStyle w:val="FootnoteReference"/>
        </w:rPr>
        <w:footnoteRef/>
      </w:r>
      <w:r>
        <w:t xml:space="preserve"> </w:t>
      </w:r>
      <w:hyperlink r:id="rId59" w:history="1">
        <w:r w:rsidRPr="00E1182D">
          <w:rPr>
            <w:rStyle w:val="Hyperlink"/>
          </w:rPr>
          <w:t>https://14568786.fs1.hubspotusercontent-na1.net/hubfs/14568786/WA%20State%20Awards%20Honour%20Roll.pdf</w:t>
        </w:r>
      </w:hyperlink>
      <w:r>
        <w:t xml:space="preserve"> </w:t>
      </w:r>
    </w:p>
  </w:footnote>
  <w:footnote w:id="136">
    <w:p w14:paraId="021D8C0D" w14:textId="77777777" w:rsidR="002B32A0" w:rsidRPr="00DF044B" w:rsidRDefault="002B32A0" w:rsidP="002B32A0">
      <w:pPr>
        <w:pStyle w:val="FootnoteText"/>
        <w:rPr>
          <w:lang w:val="en-US"/>
        </w:rPr>
      </w:pPr>
      <w:r>
        <w:rPr>
          <w:rStyle w:val="FootnoteReference"/>
        </w:rPr>
        <w:footnoteRef/>
      </w:r>
      <w:r>
        <w:t xml:space="preserve"> </w:t>
      </w:r>
      <w:hyperlink r:id="rId60" w:history="1">
        <w:r w:rsidRPr="00E1182D">
          <w:rPr>
            <w:rStyle w:val="Hyperlink"/>
          </w:rPr>
          <w:t>https://14568786.fs1.hubspotusercontent-na1.net/hubfs/14568786/WA%20State%20Awards%20Honour%20Roll.pdf</w:t>
        </w:r>
      </w:hyperlink>
      <w:r>
        <w:t xml:space="preserve"> </w:t>
      </w:r>
    </w:p>
  </w:footnote>
  <w:footnote w:id="137">
    <w:p w14:paraId="429273BD" w14:textId="77777777" w:rsidR="002B32A0" w:rsidRPr="007A6198" w:rsidRDefault="002B32A0" w:rsidP="002B32A0">
      <w:pPr>
        <w:pStyle w:val="FootnoteText"/>
        <w:rPr>
          <w:lang w:val="en-US"/>
        </w:rPr>
      </w:pPr>
      <w:r>
        <w:rPr>
          <w:rStyle w:val="FootnoteReference"/>
        </w:rPr>
        <w:footnoteRef/>
      </w:r>
      <w:r>
        <w:t xml:space="preserve"> International Water Association (2022). </w:t>
      </w:r>
      <w:r w:rsidRPr="003679D3">
        <w:rPr>
          <w:i/>
          <w:iCs/>
        </w:rPr>
        <w:t>18 winners at the 13</w:t>
      </w:r>
      <w:r w:rsidRPr="003679D3">
        <w:rPr>
          <w:i/>
          <w:iCs/>
          <w:vertAlign w:val="superscript"/>
        </w:rPr>
        <w:t>th</w:t>
      </w:r>
      <w:r w:rsidRPr="003679D3">
        <w:rPr>
          <w:i/>
          <w:iCs/>
        </w:rPr>
        <w:t xml:space="preserve"> IWA project innovation awards</w:t>
      </w:r>
      <w:r>
        <w:t xml:space="preserve">. Accessed March 2023: </w:t>
      </w:r>
      <w:hyperlink r:id="rId61" w:history="1">
        <w:r w:rsidRPr="004974D8">
          <w:rPr>
            <w:rStyle w:val="Hyperlink"/>
          </w:rPr>
          <w:t>https://iwa-network.org/press/18-winners-at-the-13th-iwa-project-innovation-awards/</w:t>
        </w:r>
      </w:hyperlink>
      <w:r>
        <w:t>.</w:t>
      </w:r>
    </w:p>
  </w:footnote>
  <w:footnote w:id="138">
    <w:p w14:paraId="076EE92A" w14:textId="77777777" w:rsidR="002B32A0" w:rsidRPr="00983565" w:rsidRDefault="002B32A0" w:rsidP="002B32A0">
      <w:pPr>
        <w:pStyle w:val="FootnoteText"/>
        <w:rPr>
          <w:lang w:val="en-US"/>
        </w:rPr>
      </w:pPr>
      <w:r>
        <w:rPr>
          <w:rStyle w:val="FootnoteReference"/>
        </w:rPr>
        <w:footnoteRef/>
      </w:r>
      <w:r>
        <w:t xml:space="preserve"> WA Water Corporation (2022). </w:t>
      </w:r>
      <w:r w:rsidRPr="003679D3">
        <w:rPr>
          <w:i/>
          <w:iCs/>
        </w:rPr>
        <w:t>$320m investment doubles Perth’s rainfall-dependent water source</w:t>
      </w:r>
      <w:r>
        <w:t xml:space="preserve">. Accessed March 2023: </w:t>
      </w:r>
      <w:hyperlink r:id="rId62" w:history="1">
        <w:r w:rsidRPr="004974D8">
          <w:rPr>
            <w:rStyle w:val="Hyperlink"/>
          </w:rPr>
          <w:t>https://www.watercorporation.com.au/About-us/Media-releases/2022/August-2022/Stage-Two-Groundwater-Replenishment-Scheme</w:t>
        </w:r>
      </w:hyperlink>
      <w:r>
        <w:t>.</w:t>
      </w:r>
    </w:p>
  </w:footnote>
  <w:footnote w:id="139">
    <w:p w14:paraId="44F3B006" w14:textId="77777777" w:rsidR="002B32A0" w:rsidRPr="002D157B" w:rsidRDefault="002B32A0" w:rsidP="002B32A0">
      <w:pPr>
        <w:pStyle w:val="FootnoteText"/>
        <w:rPr>
          <w:lang w:val="en-US"/>
        </w:rPr>
      </w:pPr>
      <w:r>
        <w:rPr>
          <w:rStyle w:val="FootnoteReference"/>
        </w:rPr>
        <w:footnoteRef/>
      </w:r>
      <w:r>
        <w:t xml:space="preserve"> </w:t>
      </w:r>
      <w:hyperlink r:id="rId63" w:history="1">
        <w:r w:rsidRPr="00E1182D">
          <w:rPr>
            <w:rStyle w:val="Hyperlink"/>
          </w:rPr>
          <w:t>https://www.watercorporation.com.au/About-us/Media-releases/2022/August-2022/Stage-Two-Groundwater-Replenishment-Scheme</w:t>
        </w:r>
      </w:hyperlink>
      <w:r>
        <w:t xml:space="preserve"> </w:t>
      </w:r>
    </w:p>
  </w:footnote>
  <w:footnote w:id="140">
    <w:p w14:paraId="53B49FC2" w14:textId="77777777" w:rsidR="002B32A0" w:rsidRPr="00D34608" w:rsidRDefault="002B32A0" w:rsidP="002B32A0">
      <w:pPr>
        <w:pStyle w:val="FootnoteText"/>
        <w:rPr>
          <w:lang w:val="en-US"/>
        </w:rPr>
      </w:pPr>
      <w:r>
        <w:rPr>
          <w:rStyle w:val="FootnoteReference"/>
        </w:rPr>
        <w:footnoteRef/>
      </w:r>
      <w:r>
        <w:t xml:space="preserve"> All Options on the Table - Urban Water Supply Options for Australia, </w:t>
      </w:r>
      <w:r w:rsidRPr="00D34608">
        <w:t>Water Services Association of Australia</w:t>
      </w:r>
      <w:r>
        <w:t>, August 2020</w:t>
      </w:r>
    </w:p>
  </w:footnote>
  <w:footnote w:id="141">
    <w:p w14:paraId="5361BD8D" w14:textId="77777777" w:rsidR="002B32A0" w:rsidRPr="0060639E" w:rsidRDefault="002B32A0" w:rsidP="002B32A0">
      <w:pPr>
        <w:pStyle w:val="FootnoteText"/>
      </w:pPr>
      <w:r>
        <w:rPr>
          <w:rStyle w:val="FootnoteReference"/>
        </w:rPr>
        <w:footnoteRef/>
      </w:r>
      <w:r>
        <w:t xml:space="preserve"> Australian Research Council (2023). </w:t>
      </w:r>
      <w:r w:rsidRPr="003679D3">
        <w:rPr>
          <w:i/>
          <w:iCs/>
        </w:rPr>
        <w:t>Science and research priorities</w:t>
      </w:r>
      <w:r>
        <w:t xml:space="preserve">. Accessed March 2023: </w:t>
      </w:r>
      <w:hyperlink r:id="rId64" w:history="1">
        <w:r w:rsidRPr="004974D8">
          <w:rPr>
            <w:rStyle w:val="Hyperlink"/>
          </w:rPr>
          <w:t>https://www.arc.gov.au/funding-research/apply-funding/grant-application/science-and-research-priorities</w:t>
        </w:r>
      </w:hyperlink>
      <w:r>
        <w:t>.</w:t>
      </w:r>
    </w:p>
  </w:footnote>
  <w:footnote w:id="142">
    <w:p w14:paraId="67B1AF86" w14:textId="77777777" w:rsidR="002B32A0" w:rsidRPr="007D3587" w:rsidRDefault="002B32A0" w:rsidP="002B32A0">
      <w:pPr>
        <w:pStyle w:val="FootnoteText"/>
        <w:rPr>
          <w:lang w:val="en-US"/>
        </w:rPr>
      </w:pPr>
      <w:r>
        <w:rPr>
          <w:rStyle w:val="FootnoteReference"/>
        </w:rPr>
        <w:footnoteRef/>
      </w:r>
      <w:r>
        <w:t xml:space="preserve"> Department of Industry, Science and Resources (n.d.). </w:t>
      </w:r>
      <w:r w:rsidRPr="003679D3">
        <w:rPr>
          <w:i/>
          <w:iCs/>
        </w:rPr>
        <w:t>Terms of reference</w:t>
      </w:r>
      <w:r>
        <w:t xml:space="preserve">. Accessed March 2023: </w:t>
      </w:r>
      <w:hyperlink r:id="rId65" w:history="1">
        <w:r w:rsidRPr="004974D8">
          <w:rPr>
            <w:rStyle w:val="Hyperlink"/>
          </w:rPr>
          <w:t>https://www.industry.gov.au/science-technology-and-innovation/revitalising-australias-vision-science-and-research/terms-reference</w:t>
        </w:r>
      </w:hyperlink>
      <w:r>
        <w:t>.</w:t>
      </w:r>
    </w:p>
  </w:footnote>
  <w:footnote w:id="143">
    <w:p w14:paraId="26A797B3" w14:textId="77777777" w:rsidR="002B32A0" w:rsidRPr="001556B8" w:rsidRDefault="002B32A0" w:rsidP="002B32A0">
      <w:pPr>
        <w:pStyle w:val="FootnoteText"/>
        <w:rPr>
          <w:lang w:val="en-US"/>
        </w:rPr>
      </w:pPr>
      <w:r>
        <w:rPr>
          <w:rStyle w:val="FootnoteReference"/>
        </w:rPr>
        <w:footnoteRef/>
      </w:r>
      <w:r>
        <w:t xml:space="preserve"> </w:t>
      </w:r>
      <w:r>
        <w:rPr>
          <w:lang w:val="en-US"/>
        </w:rPr>
        <w:t>Ibid.</w:t>
      </w:r>
    </w:p>
  </w:footnote>
  <w:footnote w:id="144">
    <w:p w14:paraId="067376B6" w14:textId="77777777" w:rsidR="002B32A0" w:rsidRPr="00075355" w:rsidRDefault="002B32A0" w:rsidP="002B32A0">
      <w:pPr>
        <w:pStyle w:val="FootnoteText"/>
      </w:pPr>
      <w:r>
        <w:rPr>
          <w:rStyle w:val="FootnoteReference"/>
        </w:rPr>
        <w:footnoteRef/>
      </w:r>
      <w:r>
        <w:t xml:space="preserve"> Water Services Association of Australia (2020). Op. Cit. </w:t>
      </w:r>
    </w:p>
  </w:footnote>
  <w:footnote w:id="145">
    <w:p w14:paraId="169DDEF0" w14:textId="77777777" w:rsidR="002B32A0" w:rsidRPr="0085608D" w:rsidRDefault="002B32A0" w:rsidP="002B32A0">
      <w:pPr>
        <w:pStyle w:val="FootnoteText"/>
      </w:pPr>
      <w:r>
        <w:rPr>
          <w:rStyle w:val="FootnoteReference"/>
        </w:rPr>
        <w:footnoteRef/>
      </w:r>
      <w:r>
        <w:t xml:space="preserve"> </w:t>
      </w:r>
      <w:r w:rsidRPr="0085608D">
        <w:t>For example, in 2016</w:t>
      </w:r>
      <w:r>
        <w:t xml:space="preserve">, 7 GL of water was saved. At a cost savings </w:t>
      </w:r>
      <w:r w:rsidRPr="00574767">
        <w:t>of $740,000/GL ($0.74/</w:t>
      </w:r>
      <w:r>
        <w:t>KL</w:t>
      </w:r>
      <w:r w:rsidRPr="00574767">
        <w:t>)</w:t>
      </w:r>
      <w:r>
        <w:t xml:space="preserve"> compared to desalination (which would have likely been the alternative method for drinking water in the absence of aquifer recharge), this leads to </w:t>
      </w:r>
      <w:r w:rsidRPr="000D42EE">
        <w:t>$5,180,000</w:t>
      </w:r>
      <w:r>
        <w:t xml:space="preserve"> of savings. Adjusting for attribution to ARC of 40%, this results in a </w:t>
      </w:r>
      <w:r w:rsidRPr="000D42EE">
        <w:t>$2,072,000</w:t>
      </w:r>
      <w:r>
        <w:t xml:space="preserve"> nominal benefit in 2016 that can be attributed to ARC.</w:t>
      </w:r>
    </w:p>
  </w:footnote>
  <w:footnote w:id="146">
    <w:p w14:paraId="417E6738" w14:textId="77777777" w:rsidR="002B32A0" w:rsidRPr="0029419F" w:rsidRDefault="002B32A0" w:rsidP="002B32A0">
      <w:pPr>
        <w:pStyle w:val="FootnoteText"/>
      </w:pPr>
      <w:r>
        <w:rPr>
          <w:rStyle w:val="FootnoteReference"/>
        </w:rPr>
        <w:footnoteRef/>
      </w:r>
      <w:r>
        <w:t xml:space="preserve"> The 3% and 10% discount rates are the Federal Government Office of Impact Analysis’ recommended rates for sensitivity testing. Refer: </w:t>
      </w:r>
      <w:r w:rsidRPr="0029419F">
        <w:t>https://oia.pmc.gov.au/sites/default/files/2021-09/cost-benefit-analysis.pdf</w:t>
      </w:r>
    </w:p>
  </w:footnote>
  <w:footnote w:id="147">
    <w:p w14:paraId="294A9481" w14:textId="77777777" w:rsidR="002B32A0" w:rsidRPr="0029419F" w:rsidRDefault="002B32A0" w:rsidP="002B32A0">
      <w:pPr>
        <w:pStyle w:val="FootnoteText"/>
      </w:pPr>
      <w:r>
        <w:rPr>
          <w:rStyle w:val="FootnoteReference"/>
        </w:rPr>
        <w:footnoteRef/>
      </w:r>
      <w:r>
        <w:t xml:space="preserve"> Water Services Association of Australia (2020). Op. Cit.</w:t>
      </w:r>
    </w:p>
  </w:footnote>
  <w:footnote w:id="148">
    <w:p w14:paraId="2D2FE571" w14:textId="77777777" w:rsidR="002B32A0" w:rsidRPr="00E827DD" w:rsidRDefault="002B32A0" w:rsidP="002B32A0">
      <w:pPr>
        <w:pStyle w:val="FootnoteText"/>
        <w:rPr>
          <w:lang w:val="en-US"/>
        </w:rPr>
      </w:pPr>
      <w:r>
        <w:rPr>
          <w:rStyle w:val="FootnoteReference"/>
        </w:rPr>
        <w:footnoteRef/>
      </w:r>
      <w:r>
        <w:t xml:space="preserve"> In addition, m</w:t>
      </w:r>
      <w:r w:rsidRPr="00E827DD">
        <w:t>any Honours and Bachelor Chemistry graduates have been employed at WAWC over the years</w:t>
      </w:r>
      <w:r>
        <w:t>.</w:t>
      </w:r>
    </w:p>
  </w:footnote>
  <w:footnote w:id="149">
    <w:p w14:paraId="2181EBF5" w14:textId="77777777" w:rsidR="002B32A0" w:rsidRPr="003C6572" w:rsidRDefault="002B32A0" w:rsidP="002B32A0">
      <w:pPr>
        <w:pStyle w:val="FootnoteText"/>
        <w:rPr>
          <w:lang w:val="en-US"/>
        </w:rPr>
      </w:pPr>
      <w:r>
        <w:rPr>
          <w:rStyle w:val="FootnoteReference"/>
        </w:rPr>
        <w:footnoteRef/>
      </w:r>
      <w:r>
        <w:t xml:space="preserve"> </w:t>
      </w:r>
      <w:r w:rsidRPr="00974658">
        <w:t xml:space="preserve">The approach is based on that outlined in the CSIRO Impact Evaluation Guide. See </w:t>
      </w:r>
      <w:hyperlink r:id="rId66" w:history="1">
        <w:r w:rsidRPr="00974658">
          <w:rPr>
            <w:rStyle w:val="Hyperlink"/>
          </w:rPr>
          <w:t>https://www.csiro.au/~/media/About/Files/Our-impact-framework/CSIROImpactEvaluationGuide_Nov2015_WEB.pdf?la=en&amp;hash=B351D24FB3CE02CB34FB859F2C34AA3940EE6D1F</w:t>
        </w:r>
      </w:hyperlink>
      <w:r w:rsidRPr="00974658">
        <w:t>.</w:t>
      </w:r>
    </w:p>
  </w:footnote>
  <w:footnote w:id="150">
    <w:p w14:paraId="1045C98F" w14:textId="77777777" w:rsidR="002B32A0" w:rsidRPr="004D7389" w:rsidRDefault="002B32A0" w:rsidP="002B32A0">
      <w:pPr>
        <w:pStyle w:val="FootnoteText"/>
      </w:pPr>
      <w:r>
        <w:rPr>
          <w:rStyle w:val="FootnoteReference"/>
        </w:rPr>
        <w:footnoteRef/>
      </w:r>
      <w:r>
        <w:t xml:space="preserve">Rubicon Water’s commercial model is to offer site management solutions to provide remote control and monitoring of a particular location or group of sites – with the scalability to introduce TCC technology as a whole-of-network control solution. </w:t>
      </w:r>
      <w:r w:rsidRPr="00592D21">
        <w:t xml:space="preserve">The Demand-Integrated Network Control solution is made up of modular TCC </w:t>
      </w:r>
      <w:r>
        <w:t xml:space="preserve">components including integrated irrigation control gates and meters (FlumeGates, SlipMeters, PikoMeters), dedicated irrigation management software to handle district functions and sophisticated telemetry that enables the inter-communication between gates throughout the network and communicated back to a central control room. </w:t>
      </w:r>
    </w:p>
  </w:footnote>
  <w:footnote w:id="151">
    <w:p w14:paraId="60522539" w14:textId="77777777" w:rsidR="002B32A0" w:rsidRPr="00B363F4" w:rsidRDefault="002B32A0" w:rsidP="002B32A0">
      <w:pPr>
        <w:pStyle w:val="FootnoteText"/>
        <w:rPr>
          <w:lang w:val="en-US"/>
        </w:rPr>
      </w:pPr>
      <w:r>
        <w:rPr>
          <w:rStyle w:val="FootnoteReference"/>
        </w:rPr>
        <w:footnoteRef/>
      </w:r>
      <w:r>
        <w:t xml:space="preserve"> Rubicon Water (2021). </w:t>
      </w:r>
      <w:r w:rsidRPr="00A8526D">
        <w:rPr>
          <w:i/>
          <w:iCs/>
        </w:rPr>
        <w:t>Demand-integrated network control solution</w:t>
      </w:r>
      <w:r>
        <w:t xml:space="preserve">. Accessed March 2023: </w:t>
      </w:r>
      <w:hyperlink r:id="rId67" w:history="1">
        <w:r w:rsidRPr="004974D8">
          <w:rPr>
            <w:rStyle w:val="Hyperlink"/>
          </w:rPr>
          <w:t>https://rubiconwater.com/en/demand-integrated-network-control-solution/</w:t>
        </w:r>
      </w:hyperlink>
      <w:r>
        <w:t>.</w:t>
      </w:r>
    </w:p>
  </w:footnote>
  <w:footnote w:id="152">
    <w:p w14:paraId="4A6AF757" w14:textId="77777777" w:rsidR="002B32A0" w:rsidRPr="00FF16F4" w:rsidRDefault="002B32A0" w:rsidP="002B32A0">
      <w:pPr>
        <w:pStyle w:val="FootnoteText"/>
      </w:pPr>
      <w:r w:rsidRPr="00590365">
        <w:rPr>
          <w:rStyle w:val="FootnoteReference"/>
        </w:rPr>
        <w:footnoteRef/>
      </w:r>
      <w:r w:rsidRPr="00590365">
        <w:t xml:space="preserve"> Refer: </w:t>
      </w:r>
      <w:hyperlink r:id="rId68" w:history="1">
        <w:r w:rsidRPr="001345EC">
          <w:rPr>
            <w:rStyle w:val="Hyperlink"/>
          </w:rPr>
          <w:t>https://patents.google.com/patent/US9952601B2/en</w:t>
        </w:r>
      </w:hyperlink>
      <w:r>
        <w:t xml:space="preserve"> </w:t>
      </w:r>
    </w:p>
  </w:footnote>
  <w:footnote w:id="153">
    <w:p w14:paraId="049F9336" w14:textId="77777777" w:rsidR="002B32A0" w:rsidRPr="006F7CE0" w:rsidRDefault="002B32A0" w:rsidP="002B32A0">
      <w:pPr>
        <w:pStyle w:val="FootnoteText"/>
        <w:rPr>
          <w:lang w:val="en-US"/>
        </w:rPr>
      </w:pPr>
      <w:r>
        <w:rPr>
          <w:rStyle w:val="FootnoteReference"/>
        </w:rPr>
        <w:footnoteRef/>
      </w:r>
      <w:r>
        <w:t xml:space="preserve"> University of Melbourne (n.d.). </w:t>
      </w:r>
      <w:r w:rsidRPr="00A8526D">
        <w:rPr>
          <w:i/>
          <w:iCs/>
        </w:rPr>
        <w:t>Addressing the global challenge to conserve irrigation water</w:t>
      </w:r>
      <w:r>
        <w:t xml:space="preserve">. Accessed March 2023: </w:t>
      </w:r>
      <w:hyperlink r:id="rId69" w:history="1">
        <w:r w:rsidRPr="004974D8">
          <w:rPr>
            <w:rStyle w:val="Hyperlink"/>
          </w:rPr>
          <w:t>https://research.unimelb.edu.au/research-at-melbourne/climate-hub/climate-collaboration/irrigation-conservation</w:t>
        </w:r>
      </w:hyperlink>
      <w:r>
        <w:t>.</w:t>
      </w:r>
    </w:p>
  </w:footnote>
  <w:footnote w:id="154">
    <w:p w14:paraId="78DF207B" w14:textId="77777777" w:rsidR="002B32A0" w:rsidRPr="003349F5" w:rsidRDefault="002B32A0" w:rsidP="002B32A0">
      <w:pPr>
        <w:pStyle w:val="FootnoteText"/>
      </w:pPr>
      <w:r>
        <w:rPr>
          <w:rStyle w:val="FootnoteReference"/>
        </w:rPr>
        <w:footnoteRef/>
      </w:r>
      <w:r>
        <w:t xml:space="preserve"> </w:t>
      </w:r>
      <w:r w:rsidRPr="003349F5">
        <w:t>Marsden Jacob Associates</w:t>
      </w:r>
      <w:r>
        <w:t xml:space="preserve"> (2003). </w:t>
      </w:r>
      <w:r w:rsidRPr="003349F5">
        <w:rPr>
          <w:i/>
          <w:iCs/>
        </w:rPr>
        <w:t>Improving water-use efficiency in irrigation conveyance systems</w:t>
      </w:r>
      <w:r>
        <w:t xml:space="preserve">. Accessed March 2023: </w:t>
      </w:r>
      <w:hyperlink r:id="rId70" w:history="1">
        <w:r w:rsidRPr="00B925BE">
          <w:rPr>
            <w:rStyle w:val="Hyperlink"/>
          </w:rPr>
          <w:t>http://www.insidecotton.com/jspui/bitstream/1/1756/2/pr030516.pdf</w:t>
        </w:r>
      </w:hyperlink>
      <w:r>
        <w:rPr>
          <w:rStyle w:val="Hyperlink"/>
        </w:rPr>
        <w:t>.</w:t>
      </w:r>
    </w:p>
  </w:footnote>
  <w:footnote w:id="155">
    <w:p w14:paraId="22EE12C9" w14:textId="77777777" w:rsidR="002B32A0" w:rsidRPr="003349F5" w:rsidRDefault="002B32A0" w:rsidP="002B32A0">
      <w:pPr>
        <w:pStyle w:val="FootnoteText"/>
      </w:pPr>
      <w:r>
        <w:rPr>
          <w:rStyle w:val="FootnoteReference"/>
        </w:rPr>
        <w:footnoteRef/>
      </w:r>
      <w:r>
        <w:t xml:space="preserve"> Rubicon Water, 2022, </w:t>
      </w:r>
      <w:r w:rsidRPr="009C4490">
        <w:rPr>
          <w:i/>
          <w:iCs/>
        </w:rPr>
        <w:t>Narayanpur Left Bank Canal Automation: Achieving World's Best Practice Irrigation Modernisation</w:t>
      </w:r>
      <w:r>
        <w:t>, supplied by Rubicon Water</w:t>
      </w:r>
    </w:p>
  </w:footnote>
  <w:footnote w:id="156">
    <w:p w14:paraId="2253657D" w14:textId="77777777" w:rsidR="002B32A0" w:rsidRPr="00E629AC" w:rsidRDefault="002B32A0" w:rsidP="002B32A0">
      <w:r>
        <w:rPr>
          <w:rStyle w:val="FootnoteReference"/>
        </w:rPr>
        <w:footnoteRef/>
      </w:r>
      <w:r>
        <w:rPr>
          <w:color w:val="000100"/>
          <w:sz w:val="20"/>
          <w:szCs w:val="20"/>
        </w:rPr>
        <w:t xml:space="preserve"> </w:t>
      </w:r>
      <w:r w:rsidRPr="003349F5">
        <w:rPr>
          <w:color w:val="000100"/>
          <w:sz w:val="20"/>
          <w:szCs w:val="20"/>
        </w:rPr>
        <w:t xml:space="preserve">Tippet, G, n.d., </w:t>
      </w:r>
      <w:r w:rsidRPr="003349F5">
        <w:rPr>
          <w:i/>
          <w:iCs/>
          <w:color w:val="000100"/>
          <w:sz w:val="20"/>
          <w:szCs w:val="20"/>
        </w:rPr>
        <w:t>Food That Doesn't Waste Water</w:t>
      </w:r>
      <w:r w:rsidRPr="003349F5">
        <w:rPr>
          <w:color w:val="000100"/>
          <w:sz w:val="20"/>
          <w:szCs w:val="20"/>
        </w:rPr>
        <w:t>, https://pursuit.unimelb.edu.au/features/food-that-does-not-waste-water</w:t>
      </w:r>
    </w:p>
  </w:footnote>
  <w:footnote w:id="157">
    <w:p w14:paraId="74693649" w14:textId="77777777" w:rsidR="002B32A0" w:rsidRPr="004A3DC5" w:rsidRDefault="002B32A0" w:rsidP="002B32A0">
      <w:pPr>
        <w:pStyle w:val="FootnoteText"/>
        <w:rPr>
          <w:lang w:val="en-US"/>
        </w:rPr>
      </w:pPr>
      <w:r>
        <w:rPr>
          <w:rStyle w:val="FootnoteReference"/>
        </w:rPr>
        <w:footnoteRef/>
      </w:r>
      <w:r>
        <w:t xml:space="preserve"> The Hon Lisa Neville MP (2022). </w:t>
      </w:r>
      <w:r w:rsidRPr="00A8526D">
        <w:rPr>
          <w:i/>
          <w:iCs/>
        </w:rPr>
        <w:t>Successful connections project delivers extra water</w:t>
      </w:r>
      <w:r>
        <w:t xml:space="preserve">. Accessed March 2023: </w:t>
      </w:r>
      <w:hyperlink r:id="rId71" w:history="1">
        <w:r w:rsidRPr="004974D8">
          <w:rPr>
            <w:rStyle w:val="Hyperlink"/>
          </w:rPr>
          <w:t>https://www.premier.vic.gov.au/successful-connections-project-delivers-extra-water</w:t>
        </w:r>
      </w:hyperlink>
      <w:r>
        <w:t>.</w:t>
      </w:r>
    </w:p>
  </w:footnote>
  <w:footnote w:id="158">
    <w:p w14:paraId="03549279" w14:textId="77777777" w:rsidR="002B32A0" w:rsidRPr="00BA0208" w:rsidRDefault="002B32A0" w:rsidP="002B32A0">
      <w:pPr>
        <w:pStyle w:val="FootnoteText"/>
      </w:pPr>
      <w:r>
        <w:rPr>
          <w:rStyle w:val="FootnoteReference"/>
        </w:rPr>
        <w:footnoteRef/>
      </w:r>
      <w:r>
        <w:t xml:space="preserve"> Consultation with Rubicon Water </w:t>
      </w:r>
    </w:p>
  </w:footnote>
  <w:footnote w:id="159">
    <w:p w14:paraId="5E83DA7C" w14:textId="77777777" w:rsidR="002B32A0" w:rsidRPr="000B1DF9" w:rsidRDefault="002B32A0" w:rsidP="002B32A0">
      <w:pPr>
        <w:pStyle w:val="FootnoteText"/>
      </w:pPr>
      <w:r>
        <w:rPr>
          <w:rStyle w:val="FootnoteReference"/>
        </w:rPr>
        <w:footnoteRef/>
      </w:r>
      <w:r>
        <w:t xml:space="preserve"> </w:t>
      </w:r>
      <w:r w:rsidRPr="000B1DF9">
        <w:t>Supervisory control and data acquisition (SCADA) is a system of software and hardware elements that allows industrial organizations to: Control industrial processes locally or at remote locations. Monitor, gather, and process real-time data.</w:t>
      </w:r>
    </w:p>
  </w:footnote>
  <w:footnote w:id="160">
    <w:p w14:paraId="0361BF8A" w14:textId="77777777" w:rsidR="002B32A0" w:rsidRPr="009C4490" w:rsidRDefault="002B32A0" w:rsidP="002B32A0">
      <w:pPr>
        <w:pStyle w:val="FootnoteText"/>
      </w:pPr>
      <w:r>
        <w:rPr>
          <w:rStyle w:val="FootnoteReference"/>
        </w:rPr>
        <w:footnoteRef/>
      </w:r>
      <w:r>
        <w:t xml:space="preserve"> Rubicon Water, 2022, </w:t>
      </w:r>
      <w:r w:rsidRPr="009C4490">
        <w:rPr>
          <w:i/>
          <w:iCs/>
        </w:rPr>
        <w:t>Narayanpur Left Bank Canal Automation: Achieving World's Best Practice Irrigation Modernisation</w:t>
      </w:r>
      <w:r>
        <w:t>, supplied by Rubicon Water.</w:t>
      </w:r>
    </w:p>
  </w:footnote>
  <w:footnote w:id="161">
    <w:p w14:paraId="57FDB83F" w14:textId="77777777" w:rsidR="002B32A0" w:rsidRPr="001F5395" w:rsidRDefault="002B32A0" w:rsidP="002B32A0">
      <w:pPr>
        <w:pStyle w:val="FootnoteText"/>
        <w:rPr>
          <w:lang w:val="en-US"/>
        </w:rPr>
      </w:pPr>
      <w:r>
        <w:rPr>
          <w:rStyle w:val="FootnoteReference"/>
        </w:rPr>
        <w:footnoteRef/>
      </w:r>
      <w:r>
        <w:t xml:space="preserve"> Rubicon Water, n.d.,</w:t>
      </w:r>
      <w:r w:rsidRPr="009C4490">
        <w:t xml:space="preserve"> </w:t>
      </w:r>
      <w:r w:rsidRPr="009C4490">
        <w:rPr>
          <w:i/>
          <w:iCs/>
        </w:rPr>
        <w:t>Oakdale implements Network Control for stable water levels and to eliminate outfalls</w:t>
      </w:r>
      <w:r>
        <w:t xml:space="preserve">. Accessed March 2023: </w:t>
      </w:r>
      <w:hyperlink r:id="rId72" w:history="1">
        <w:r w:rsidRPr="004974D8">
          <w:rPr>
            <w:rStyle w:val="Hyperlink"/>
          </w:rPr>
          <w:t>https://rubiconwater.com/en/project/oakdale-irrigation-district/</w:t>
        </w:r>
      </w:hyperlink>
      <w:r>
        <w:t>.</w:t>
      </w:r>
    </w:p>
  </w:footnote>
  <w:footnote w:id="162">
    <w:p w14:paraId="3B921BAF" w14:textId="77777777" w:rsidR="002B32A0" w:rsidRPr="00AB6244" w:rsidRDefault="002B32A0" w:rsidP="002B32A0">
      <w:pPr>
        <w:pStyle w:val="FootnoteText"/>
        <w:rPr>
          <w:lang w:val="en-US"/>
        </w:rPr>
      </w:pPr>
      <w:r w:rsidRPr="001F7EB1">
        <w:rPr>
          <w:rStyle w:val="FootnoteReference"/>
        </w:rPr>
        <w:footnoteRef/>
      </w:r>
      <w:r w:rsidRPr="001F7EB1">
        <w:t xml:space="preserve"> </w:t>
      </w:r>
      <w:r w:rsidRPr="001F7EB1">
        <w:rPr>
          <w:lang w:val="en-US"/>
        </w:rPr>
        <w:t xml:space="preserve">Rubicon Water (2023). </w:t>
      </w:r>
      <w:r w:rsidRPr="001F7EB1">
        <w:rPr>
          <w:i/>
          <w:iCs/>
          <w:lang w:val="en-US"/>
        </w:rPr>
        <w:t>Rubicon Water’s Post</w:t>
      </w:r>
      <w:r w:rsidRPr="001F7EB1">
        <w:rPr>
          <w:lang w:val="en-US"/>
        </w:rPr>
        <w:t xml:space="preserve">. Accessed March 2023: </w:t>
      </w:r>
      <w:hyperlink r:id="rId73" w:history="1">
        <w:r w:rsidRPr="001F7EB1">
          <w:rPr>
            <w:rStyle w:val="Hyperlink"/>
            <w:lang w:val="en-US"/>
          </w:rPr>
          <w:t>https://www.linkedin.com/posts/rubicon-water_irrigation-automation-agtech-activity-7022077154318319616-2Zk0/</w:t>
        </w:r>
      </w:hyperlink>
      <w:r w:rsidRPr="001F7EB1">
        <w:rPr>
          <w:lang w:val="en-US"/>
        </w:rPr>
        <w:t>.</w:t>
      </w:r>
      <w:r>
        <w:rPr>
          <w:lang w:val="en-US"/>
        </w:rPr>
        <w:t xml:space="preserve"> </w:t>
      </w:r>
    </w:p>
  </w:footnote>
  <w:footnote w:id="163">
    <w:p w14:paraId="6F3CD765" w14:textId="77777777" w:rsidR="002B32A0" w:rsidRPr="008815A6" w:rsidRDefault="002B32A0" w:rsidP="002B32A0">
      <w:pPr>
        <w:pStyle w:val="FootnoteText"/>
      </w:pPr>
      <w:r>
        <w:rPr>
          <w:rStyle w:val="FootnoteReference"/>
        </w:rPr>
        <w:footnoteRef/>
      </w:r>
      <w:r>
        <w:t xml:space="preserve"> Ibid.</w:t>
      </w:r>
    </w:p>
  </w:footnote>
  <w:footnote w:id="164">
    <w:p w14:paraId="0C204132" w14:textId="77777777" w:rsidR="002B32A0" w:rsidRPr="00CF2BD3" w:rsidRDefault="002B32A0" w:rsidP="002B32A0">
      <w:pPr>
        <w:pStyle w:val="FootnoteText"/>
      </w:pPr>
      <w:r>
        <w:rPr>
          <w:rStyle w:val="FootnoteReference"/>
        </w:rPr>
        <w:footnoteRef/>
      </w:r>
      <w:r>
        <w:t xml:space="preserve"> </w:t>
      </w:r>
      <w:r>
        <w:rPr>
          <w:lang w:eastAsia="ja-JP"/>
        </w:rPr>
        <w:t xml:space="preserve">The </w:t>
      </w:r>
      <w:r w:rsidRPr="00D50491">
        <w:rPr>
          <w:lang w:eastAsia="ja-JP"/>
        </w:rPr>
        <w:t>Goulburn-Murray Irrigation District</w:t>
      </w:r>
      <w:r>
        <w:rPr>
          <w:lang w:eastAsia="ja-JP"/>
        </w:rPr>
        <w:t xml:space="preserve"> project, discussed above, was part of the </w:t>
      </w:r>
      <w:r w:rsidRPr="00D50491">
        <w:rPr>
          <w:lang w:eastAsia="ja-JP"/>
        </w:rPr>
        <w:t xml:space="preserve">Delivering </w:t>
      </w:r>
      <w:r>
        <w:rPr>
          <w:lang w:eastAsia="ja-JP"/>
        </w:rPr>
        <w:t xml:space="preserve">on </w:t>
      </w:r>
      <w:r w:rsidRPr="00D50491">
        <w:rPr>
          <w:lang w:eastAsia="ja-JP"/>
        </w:rPr>
        <w:t>Murray-Darling Basin Plan</w:t>
      </w:r>
      <w:r>
        <w:rPr>
          <w:lang w:eastAsia="ja-JP"/>
        </w:rPr>
        <w:t>.</w:t>
      </w:r>
    </w:p>
  </w:footnote>
  <w:footnote w:id="165">
    <w:p w14:paraId="4C71C63F" w14:textId="77777777" w:rsidR="002B32A0" w:rsidRPr="00D50491" w:rsidRDefault="002B32A0" w:rsidP="002B32A0">
      <w:pPr>
        <w:pStyle w:val="FootnoteText"/>
      </w:pPr>
      <w:r>
        <w:rPr>
          <w:rStyle w:val="FootnoteReference"/>
        </w:rPr>
        <w:footnoteRef/>
      </w:r>
      <w:r>
        <w:t xml:space="preserve"> </w:t>
      </w:r>
      <w:r w:rsidRPr="00D50491">
        <w:t>The Hon Tanya Plibersek MP</w:t>
      </w:r>
      <w:r>
        <w:t xml:space="preserve"> (2022). </w:t>
      </w:r>
      <w:r w:rsidRPr="009C4490">
        <w:rPr>
          <w:i/>
          <w:iCs/>
        </w:rPr>
        <w:t>Australian Government delivers on its Water for Australia plan</w:t>
      </w:r>
      <w:r>
        <w:t xml:space="preserve">. Accessed March 2023: </w:t>
      </w:r>
      <w:hyperlink r:id="rId74" w:history="1">
        <w:r w:rsidRPr="004974D8">
          <w:rPr>
            <w:rStyle w:val="Hyperlink"/>
          </w:rPr>
          <w:t>https://minister.dcceew.gov.au/plibersek/media-releases/australian-government-delivers-its-water-australia-plan</w:t>
        </w:r>
      </w:hyperlink>
      <w:r>
        <w:t>.</w:t>
      </w:r>
    </w:p>
  </w:footnote>
  <w:footnote w:id="166">
    <w:p w14:paraId="43CF49BC" w14:textId="7541F58E" w:rsidR="002B32A0" w:rsidRPr="00F81651" w:rsidRDefault="002B32A0" w:rsidP="002B32A0">
      <w:pPr>
        <w:pStyle w:val="FootnoteText"/>
      </w:pPr>
      <w:r>
        <w:rPr>
          <w:rStyle w:val="FootnoteReference"/>
        </w:rPr>
        <w:footnoteRef/>
      </w:r>
      <w:r>
        <w:t xml:space="preserve"> The </w:t>
      </w:r>
      <w:r w:rsidRPr="00F81651">
        <w:t xml:space="preserve">CBA analysis was based on the Connections project </w:t>
      </w:r>
      <w:r>
        <w:t>due to</w:t>
      </w:r>
      <w:r w:rsidRPr="00F81651">
        <w:t xml:space="preserve"> the availability of </w:t>
      </w:r>
      <w:r>
        <w:t xml:space="preserve">publicly available </w:t>
      </w:r>
      <w:r w:rsidRPr="00F81651">
        <w:t>audited and documented costs and benefits</w:t>
      </w:r>
      <w:r>
        <w:t>. A</w:t>
      </w:r>
      <w:r w:rsidRPr="00F81651">
        <w:t>lthough not quantified</w:t>
      </w:r>
      <w:r>
        <w:t>,</w:t>
      </w:r>
      <w:r w:rsidRPr="00F81651">
        <w:t xml:space="preserve"> </w:t>
      </w:r>
      <w:r>
        <w:t xml:space="preserve">Rubicon Water noted that there </w:t>
      </w:r>
      <w:r w:rsidRPr="00F81651">
        <w:t>are also additional benefits associated with the deployment of the technology in canal networks</w:t>
      </w:r>
      <w:r>
        <w:t xml:space="preserve"> in Australia and</w:t>
      </w:r>
      <w:r w:rsidRPr="00F81651">
        <w:t xml:space="preserve"> throughout the globe</w:t>
      </w:r>
      <w:r>
        <w:t>. These include water savings from other projects, as well as other impacts such as on the environment (described in section </w:t>
      </w:r>
      <w:r>
        <w:fldChar w:fldCharType="begin"/>
      </w:r>
      <w:r>
        <w:instrText xml:space="preserve"> REF _Ref129343475 \r \h </w:instrText>
      </w:r>
      <w:r>
        <w:fldChar w:fldCharType="separate"/>
      </w:r>
      <w:r w:rsidR="00C56296">
        <w:t>9.8.2</w:t>
      </w:r>
      <w:r>
        <w:fldChar w:fldCharType="end"/>
      </w:r>
      <w:r>
        <w:t xml:space="preserve">) and impacts on wellbeing and time savings (e.g. due </w:t>
      </w:r>
      <w:r w:rsidRPr="00E629AC">
        <w:t xml:space="preserve">to </w:t>
      </w:r>
      <w:r>
        <w:t>the ability to schedule water deliveries and irrigate crops remotely).</w:t>
      </w:r>
    </w:p>
  </w:footnote>
  <w:footnote w:id="167">
    <w:p w14:paraId="024C8BE4" w14:textId="77777777" w:rsidR="002B32A0" w:rsidRPr="00756D3E" w:rsidRDefault="002B32A0" w:rsidP="002B32A0">
      <w:pPr>
        <w:pStyle w:val="FootnoteText"/>
      </w:pPr>
      <w:r>
        <w:rPr>
          <w:rStyle w:val="FootnoteReference"/>
        </w:rPr>
        <w:footnoteRef/>
      </w:r>
      <w:r>
        <w:t xml:space="preserve"> A</w:t>
      </w:r>
      <w:r w:rsidRPr="00756D3E">
        <w:t>ttribution describes the percentage of benefits that can be reasonably attributed to the ARC due to its role in funding the research.</w:t>
      </w:r>
      <w:r w:rsidRPr="005D7B40">
        <w:t xml:space="preserve"> </w:t>
      </w:r>
      <w:r>
        <w:t>T</w:t>
      </w:r>
      <w:r w:rsidRPr="002A4EB1">
        <w:t>he level of attribution of benefits to the ARC could not be reported due to commercial sensitivities</w:t>
      </w:r>
      <w:r w:rsidRPr="005D7B40">
        <w:t>. It focuses on the benefits generated through the Connections Project, which the ARC has indirectly supported through its funding of the University of Melbourne and Rubicon Water research partnership. Rubicon Water has stated that the ARC funding has supported the development of the Total Channel Control algorithm, which is part of the system responsible for delivering benefits under the Connections Project. The attribution amount is not specified at the request of Rubicon Water.</w:t>
      </w:r>
    </w:p>
  </w:footnote>
  <w:footnote w:id="168">
    <w:p w14:paraId="4D9F4E18" w14:textId="77777777" w:rsidR="002B32A0" w:rsidRPr="003D2484" w:rsidRDefault="002B32A0" w:rsidP="002B32A0">
      <w:pPr>
        <w:pStyle w:val="FootnoteText"/>
      </w:pPr>
      <w:r>
        <w:rPr>
          <w:rStyle w:val="FootnoteReference"/>
        </w:rPr>
        <w:footnoteRef/>
      </w:r>
      <w:r>
        <w:t xml:space="preserve"> Department of Energy, Environment and Climate Action (2023). Independent audit of water recovery – GMW connections project. Accessed March 2023: </w:t>
      </w:r>
      <w:hyperlink r:id="rId75" w:history="1">
        <w:r w:rsidRPr="004974D8">
          <w:rPr>
            <w:rStyle w:val="Hyperlink"/>
          </w:rPr>
          <w:t>https://www.water.vic.gov.au/water-for-agriculture/investment-in-irrigation-efficiency/Connections-Water-Recovery</w:t>
        </w:r>
      </w:hyperlink>
      <w:r>
        <w:t>.</w:t>
      </w:r>
    </w:p>
  </w:footnote>
  <w:footnote w:id="169">
    <w:p w14:paraId="7383C543" w14:textId="77777777" w:rsidR="002B32A0" w:rsidRPr="00FA1BB1" w:rsidRDefault="002B32A0" w:rsidP="002B32A0">
      <w:pPr>
        <w:pStyle w:val="FootnoteText"/>
      </w:pPr>
      <w:r>
        <w:rPr>
          <w:rStyle w:val="FootnoteReference"/>
        </w:rPr>
        <w:footnoteRef/>
      </w:r>
      <w:r>
        <w:t xml:space="preserve"> For example, in 2021, the quantity of water saved due to the upgraded infrastructure of the Connections Project was 433,046 megalitres. Multiplied by the value of water in Victoria of $2,990 per megalitre ($2.99 per kilolitre), this results in a total nominal benefit in 2021 of </w:t>
      </w:r>
      <w:r w:rsidRPr="00FA1BB1">
        <w:t>$1,294,808,437</w:t>
      </w:r>
      <w:r>
        <w:t>.</w:t>
      </w:r>
    </w:p>
  </w:footnote>
  <w:footnote w:id="170">
    <w:p w14:paraId="21338451" w14:textId="77777777" w:rsidR="002B32A0" w:rsidRPr="00FA1BB1" w:rsidRDefault="002B32A0" w:rsidP="002B32A0">
      <w:pPr>
        <w:pStyle w:val="FootnoteText"/>
      </w:pPr>
      <w:r>
        <w:rPr>
          <w:rStyle w:val="FootnoteReference"/>
        </w:rPr>
        <w:footnoteRef/>
      </w:r>
      <w:r>
        <w:t xml:space="preserve"> For example, in 2021, the operational expenditure under the reference case was</w:t>
      </w:r>
      <w:r w:rsidRPr="00B73187">
        <w:t xml:space="preserve"> $29,825,000</w:t>
      </w:r>
      <w:r>
        <w:t xml:space="preserve">, and the operational expenditure under the counterfactual case (if the upgrades did not happen and costs remained the same as before the upgrades) was </w:t>
      </w:r>
      <w:r w:rsidRPr="00FA1BB1">
        <w:t>$34,500,000</w:t>
      </w:r>
      <w:r>
        <w:t xml:space="preserve">. The savings in operational expenditure is therefore </w:t>
      </w:r>
      <w:r w:rsidRPr="00B73187">
        <w:t>$4,675,000</w:t>
      </w:r>
      <w:r>
        <w:t>, which is the nominal benefit counted in 2021.</w:t>
      </w:r>
    </w:p>
  </w:footnote>
  <w:footnote w:id="171">
    <w:p w14:paraId="5067DD55" w14:textId="77777777" w:rsidR="002B32A0" w:rsidRPr="0029419F" w:rsidRDefault="002B32A0" w:rsidP="002B32A0">
      <w:pPr>
        <w:pStyle w:val="FootnoteText"/>
      </w:pPr>
      <w:r>
        <w:rPr>
          <w:rStyle w:val="FootnoteReference"/>
        </w:rPr>
        <w:footnoteRef/>
      </w:r>
      <w:r>
        <w:t xml:space="preserve"> The 3% and 10% discount rates are the Federal Government Office of Impact Analysis’ recommended rates for sensitivity testing. Refer: </w:t>
      </w:r>
      <w:r w:rsidRPr="0029419F">
        <w:t>https://oia.pmc.gov.au/sites/default/files/2021-09/cost-benefit-analysis.pdf</w:t>
      </w:r>
    </w:p>
  </w:footnote>
  <w:footnote w:id="172">
    <w:p w14:paraId="3BA2F1C7" w14:textId="77777777" w:rsidR="002B32A0" w:rsidRPr="007C0ACC" w:rsidRDefault="002B32A0" w:rsidP="002B32A0">
      <w:pPr>
        <w:pStyle w:val="FootnoteText"/>
      </w:pPr>
      <w:r>
        <w:rPr>
          <w:rStyle w:val="FootnoteReference"/>
        </w:rPr>
        <w:footnoteRef/>
      </w:r>
      <w:r>
        <w:t xml:space="preserve"> Team Poly (2018). Water prices in Australia. Accessed March 2023: </w:t>
      </w:r>
      <w:hyperlink r:id="rId76" w:history="1">
        <w:r w:rsidRPr="004974D8">
          <w:rPr>
            <w:rStyle w:val="Hyperlink"/>
          </w:rPr>
          <w:t>https://teampoly.com.au/2018/06/15/water-prices-in-australia/</w:t>
        </w:r>
      </w:hyperlink>
      <w:r>
        <w:t>.</w:t>
      </w:r>
    </w:p>
  </w:footnote>
  <w:footnote w:id="173">
    <w:p w14:paraId="75222858" w14:textId="77777777" w:rsidR="002B32A0" w:rsidRPr="0097068E" w:rsidRDefault="002B32A0" w:rsidP="002B32A0">
      <w:pPr>
        <w:pStyle w:val="FootnoteText"/>
      </w:pPr>
      <w:r>
        <w:rPr>
          <w:rStyle w:val="FootnoteReference"/>
        </w:rPr>
        <w:footnoteRef/>
      </w:r>
      <w:r>
        <w:t xml:space="preserve"> The Hon Lisa Neville MP (2022). </w:t>
      </w:r>
      <w:r w:rsidRPr="00027C19">
        <w:rPr>
          <w:i/>
          <w:iCs/>
        </w:rPr>
        <w:t>Successful Connections Project Delivers Extra Water</w:t>
      </w:r>
      <w:r>
        <w:rPr>
          <w:i/>
          <w:iCs/>
        </w:rPr>
        <w:t xml:space="preserve">. </w:t>
      </w:r>
      <w:r>
        <w:t xml:space="preserve">Accessed March 2023: </w:t>
      </w:r>
      <w:hyperlink r:id="rId77" w:history="1">
        <w:r w:rsidRPr="00E7211B">
          <w:rPr>
            <w:rStyle w:val="Hyperlink"/>
          </w:rPr>
          <w:t>https://www.premier.vic.gov.au/successful-connections-project-delivers-extra-water</w:t>
        </w:r>
      </w:hyperlink>
      <w:r>
        <w:t xml:space="preserve">. </w:t>
      </w:r>
    </w:p>
  </w:footnote>
  <w:footnote w:id="174">
    <w:p w14:paraId="3A72BBFE" w14:textId="77777777" w:rsidR="002B32A0" w:rsidRPr="00947970" w:rsidRDefault="002B32A0" w:rsidP="002B32A0">
      <w:pPr>
        <w:pStyle w:val="FootnoteText"/>
      </w:pPr>
      <w:r>
        <w:rPr>
          <w:rStyle w:val="FootnoteReference"/>
        </w:rPr>
        <w:footnoteRef/>
      </w:r>
      <w:r>
        <w:t xml:space="preserve"> City of Melbourne (n.d.). </w:t>
      </w:r>
      <w:r w:rsidRPr="00027C19">
        <w:rPr>
          <w:i/>
          <w:iCs/>
        </w:rPr>
        <w:t>Water use facts</w:t>
      </w:r>
      <w:r>
        <w:t xml:space="preserve">. Accessed March 2023: </w:t>
      </w:r>
      <w:hyperlink r:id="rId78" w:history="1">
        <w:r w:rsidRPr="00E7211B">
          <w:rPr>
            <w:rStyle w:val="Hyperlink"/>
          </w:rPr>
          <w:t>https://urbanwater.melbourne.vic.gov.au/melbournes-water-story/water-use-facts/</w:t>
        </w:r>
      </w:hyperlink>
      <w:r>
        <w:t xml:space="preserve">. </w:t>
      </w:r>
    </w:p>
  </w:footnote>
  <w:footnote w:id="175">
    <w:p w14:paraId="5EA2DB35" w14:textId="77777777" w:rsidR="002B32A0" w:rsidRPr="00947970" w:rsidRDefault="002B32A0" w:rsidP="002B32A0">
      <w:pPr>
        <w:pStyle w:val="FootnoteText"/>
      </w:pPr>
      <w:r>
        <w:rPr>
          <w:rStyle w:val="FootnoteReference"/>
        </w:rPr>
        <w:footnoteRef/>
      </w:r>
      <w:r>
        <w:t xml:space="preserve"> Melbourne Water (2021). </w:t>
      </w:r>
      <w:r w:rsidRPr="00027C19">
        <w:rPr>
          <w:i/>
          <w:iCs/>
        </w:rPr>
        <w:t>Water for the environment</w:t>
      </w:r>
      <w:r>
        <w:t xml:space="preserve">. Accessed March 2023: </w:t>
      </w:r>
      <w:hyperlink r:id="rId79" w:history="1">
        <w:r w:rsidRPr="00E7211B">
          <w:rPr>
            <w:rStyle w:val="Hyperlink"/>
          </w:rPr>
          <w:t>https://www.melbournewater.com.au/water-and-environment/water-management/allocating-melbournes-water-resources/water-environment</w:t>
        </w:r>
      </w:hyperlink>
      <w:r>
        <w:t xml:space="preserve">. </w:t>
      </w:r>
    </w:p>
  </w:footnote>
  <w:footnote w:id="176">
    <w:p w14:paraId="28C07B96" w14:textId="77777777" w:rsidR="002B32A0" w:rsidRPr="009C4490" w:rsidRDefault="002B32A0" w:rsidP="002B32A0">
      <w:pPr>
        <w:pStyle w:val="FootnoteText"/>
      </w:pPr>
      <w:r>
        <w:rPr>
          <w:rStyle w:val="FootnoteReference"/>
        </w:rPr>
        <w:footnoteRef/>
      </w:r>
      <w:r>
        <w:t xml:space="preserve"> Productivity Commission (2017). </w:t>
      </w:r>
      <w:r w:rsidRPr="00027C19">
        <w:rPr>
          <w:i/>
          <w:iCs/>
        </w:rPr>
        <w:t>National Water Reform: PC Inquiry Report</w:t>
      </w:r>
      <w:r>
        <w:t xml:space="preserve">. Accessed March 2023: </w:t>
      </w:r>
      <w:hyperlink r:id="rId80" w:history="1">
        <w:r w:rsidRPr="00B925BE">
          <w:rPr>
            <w:rStyle w:val="Hyperlink"/>
          </w:rPr>
          <w:t>https://www.pc.gov.au/__data/assets/pdf_file/0009/228177/water-reform-overview.pdf</w:t>
        </w:r>
      </w:hyperlink>
    </w:p>
  </w:footnote>
  <w:footnote w:id="177">
    <w:p w14:paraId="7B520294" w14:textId="77777777" w:rsidR="002B32A0" w:rsidRPr="009851B5" w:rsidRDefault="002B32A0" w:rsidP="002B32A0">
      <w:pPr>
        <w:pStyle w:val="FootnoteText"/>
      </w:pPr>
      <w:r>
        <w:rPr>
          <w:rStyle w:val="FootnoteReference"/>
        </w:rPr>
        <w:footnoteRef/>
      </w:r>
      <w:r>
        <w:t xml:space="preserve"> Futurum (2022). </w:t>
      </w:r>
      <w:r w:rsidRPr="00027C19">
        <w:rPr>
          <w:i/>
          <w:iCs/>
        </w:rPr>
        <w:t>How are control engineers improving the sustainability of irrigated agriculture</w:t>
      </w:r>
      <w:r>
        <w:t xml:space="preserve">? Accessed March 2023: </w:t>
      </w:r>
      <w:hyperlink r:id="rId81" w:history="1">
        <w:r w:rsidRPr="00E7211B">
          <w:rPr>
            <w:rStyle w:val="Hyperlink"/>
          </w:rPr>
          <w:t>https://futurumcareers.com/how-are-control-engineers-improving-the-sustainability-of-irrigated-agriculture</w:t>
        </w:r>
      </w:hyperlink>
      <w:r>
        <w:t xml:space="preserve">. </w:t>
      </w:r>
    </w:p>
  </w:footnote>
  <w:footnote w:id="178">
    <w:p w14:paraId="1439E6D9" w14:textId="77777777" w:rsidR="002B32A0" w:rsidRPr="00E629AC" w:rsidRDefault="002B32A0" w:rsidP="002B32A0">
      <w:pPr>
        <w:pStyle w:val="FootnoteText"/>
        <w:rPr>
          <w:lang w:val="en-US"/>
        </w:rPr>
      </w:pPr>
      <w:r>
        <w:rPr>
          <w:rStyle w:val="FootnoteReference"/>
        </w:rPr>
        <w:footnoteRef/>
      </w:r>
      <w:r>
        <w:t xml:space="preserve"> </w:t>
      </w:r>
      <w:r w:rsidRPr="00E629AC">
        <w:t>Rubicon</w:t>
      </w:r>
      <w:r>
        <w:t xml:space="preserve"> water</w:t>
      </w:r>
      <w:r w:rsidRPr="00E629AC">
        <w:t xml:space="preserve"> </w:t>
      </w:r>
      <w:r>
        <w:t>(</w:t>
      </w:r>
      <w:r w:rsidRPr="00E629AC">
        <w:t>2022</w:t>
      </w:r>
      <w:r>
        <w:t>).</w:t>
      </w:r>
      <w:r w:rsidRPr="00E629AC">
        <w:t xml:space="preserve"> </w:t>
      </w:r>
      <w:r w:rsidRPr="00027C19">
        <w:rPr>
          <w:i/>
          <w:iCs/>
        </w:rPr>
        <w:t>Rubicon Water signs MOU with the Ministry of Water Resources of the Republic of Uzbekistan</w:t>
      </w:r>
      <w:r>
        <w:t>. Accessed March 2023</w:t>
      </w:r>
      <w:r w:rsidRPr="00E629AC">
        <w:t xml:space="preserve">: </w:t>
      </w:r>
      <w:hyperlink r:id="rId82" w:history="1">
        <w:r w:rsidRPr="00E7211B">
          <w:rPr>
            <w:rStyle w:val="Hyperlink"/>
          </w:rPr>
          <w:t>https://rubiconwater.com/en/rubicon-water-signs-mou-with-the-ministry-of-water-resources-of-the-republic-of-uzbekistan/</w:t>
        </w:r>
      </w:hyperlink>
      <w:r>
        <w:t xml:space="preserve">. </w:t>
      </w:r>
    </w:p>
  </w:footnote>
  <w:footnote w:id="179">
    <w:p w14:paraId="0C59C8B5" w14:textId="26F6314B" w:rsidR="002B32A0" w:rsidRPr="003C6572" w:rsidRDefault="002B32A0" w:rsidP="002B32A0">
      <w:pPr>
        <w:pStyle w:val="FootnoteText"/>
        <w:rPr>
          <w:lang w:val="en-US"/>
        </w:rPr>
      </w:pPr>
      <w:r>
        <w:rPr>
          <w:rStyle w:val="FootnoteReference"/>
        </w:rPr>
        <w:footnoteRef/>
      </w:r>
      <w:r>
        <w:t xml:space="preserve"> </w:t>
      </w:r>
      <w:r w:rsidRPr="00974658">
        <w:t xml:space="preserve">The approach is based on that outlined in the CSIRO Impact Evaluation Guide. See </w:t>
      </w:r>
      <w:hyperlink r:id="rId83" w:history="1">
        <w:r w:rsidR="00913725" w:rsidRPr="00C6678F">
          <w:rPr>
            <w:rStyle w:val="Hyperlink"/>
          </w:rPr>
          <w:t>https://www.csiro.au/~/media/About/Files/Our-impact-framework/CSIROImpactEvaluationGuide_Nov2015_WEB.pdf?la=en&amp;hash=B351D24FB3CE02CB34FB859F2C34AA3940EE6D1F</w:t>
        </w:r>
      </w:hyperlink>
      <w:r w:rsidRPr="00974658">
        <w:t>.</w:t>
      </w:r>
    </w:p>
  </w:footnote>
  <w:footnote w:id="180">
    <w:p w14:paraId="6B75923B" w14:textId="77777777" w:rsidR="002B32A0" w:rsidRPr="00EA78D1" w:rsidRDefault="002B32A0" w:rsidP="002B32A0">
      <w:pPr>
        <w:pStyle w:val="FootnoteText"/>
        <w:rPr>
          <w:lang w:val="en-US"/>
        </w:rPr>
      </w:pPr>
      <w:r>
        <w:rPr>
          <w:rStyle w:val="FootnoteReference"/>
        </w:rPr>
        <w:footnoteRef/>
      </w:r>
      <w:r>
        <w:t xml:space="preserve"> Australian Research Council (2022). </w:t>
      </w:r>
      <w:r w:rsidRPr="00A014AC">
        <w:rPr>
          <w:i/>
          <w:iCs/>
        </w:rPr>
        <w:t>Science and research priorities</w:t>
      </w:r>
      <w:r>
        <w:t xml:space="preserve">. Accessed March 2023: </w:t>
      </w:r>
      <w:hyperlink r:id="rId84" w:history="1">
        <w:r w:rsidRPr="004974D8">
          <w:rPr>
            <w:rStyle w:val="Hyperlink"/>
          </w:rPr>
          <w:t>https://www.arc.gov.au/funding-research/apply-funding/grant-application/science-and-research-priorities</w:t>
        </w:r>
      </w:hyperlink>
      <w:r>
        <w:t>.</w:t>
      </w:r>
    </w:p>
  </w:footnote>
  <w:footnote w:id="181">
    <w:p w14:paraId="1877D068" w14:textId="77777777" w:rsidR="002B32A0" w:rsidRPr="00567827" w:rsidRDefault="002B32A0" w:rsidP="002B32A0">
      <w:pPr>
        <w:pStyle w:val="FootnoteText"/>
        <w:rPr>
          <w:lang w:val="en-US"/>
        </w:rPr>
      </w:pPr>
      <w:r>
        <w:rPr>
          <w:rStyle w:val="FootnoteReference"/>
        </w:rPr>
        <w:footnoteRef/>
      </w:r>
      <w:r>
        <w:t xml:space="preserve"> I</w:t>
      </w:r>
      <w:r w:rsidRPr="00567827">
        <w:t>n September 2022</w:t>
      </w:r>
      <w:r>
        <w:t>,</w:t>
      </w:r>
      <w:r w:rsidRPr="00567827">
        <w:t xml:space="preserve"> the Australian Government announced plans to refresh Australia’s </w:t>
      </w:r>
      <w:r>
        <w:t xml:space="preserve">National </w:t>
      </w:r>
      <w:r w:rsidRPr="00567827">
        <w:t xml:space="preserve">Science and Research Priorities. Australia’s Chief Scientist, Dr Cathy Foley AO PSM, is leading a taskforce that will consult with stakeholders </w:t>
      </w:r>
      <w:r>
        <w:t xml:space="preserve">and is expected </w:t>
      </w:r>
      <w:r w:rsidRPr="00567827">
        <w:t>to develop</w:t>
      </w:r>
      <w:r>
        <w:t xml:space="preserve"> a</w:t>
      </w:r>
      <w:r w:rsidRPr="00567827">
        <w:t xml:space="preserve"> refresh</w:t>
      </w:r>
      <w:r>
        <w:t>ed set of</w:t>
      </w:r>
      <w:r w:rsidRPr="00567827">
        <w:t xml:space="preserve"> priorities and a re</w:t>
      </w:r>
      <w:r>
        <w:t>newed</w:t>
      </w:r>
      <w:r w:rsidRPr="00567827">
        <w:t xml:space="preserve"> National Science Statement</w:t>
      </w:r>
      <w:r>
        <w:t xml:space="preserve"> by September 2023</w:t>
      </w:r>
      <w:r w:rsidRPr="00567827">
        <w:t xml:space="preserve">. </w:t>
      </w:r>
    </w:p>
  </w:footnote>
  <w:footnote w:id="182">
    <w:p w14:paraId="4782D9B5" w14:textId="77777777" w:rsidR="002B32A0" w:rsidRPr="007D3587" w:rsidRDefault="002B32A0" w:rsidP="002B32A0">
      <w:pPr>
        <w:pStyle w:val="FootnoteText"/>
        <w:rPr>
          <w:lang w:val="en-US"/>
        </w:rPr>
      </w:pPr>
      <w:r>
        <w:rPr>
          <w:rStyle w:val="FootnoteReference"/>
        </w:rPr>
        <w:footnoteRef/>
      </w:r>
      <w:r>
        <w:t xml:space="preserve"> Department of Industry, Science and Resources (2022). Terms of reference. Accessed March 2023: </w:t>
      </w:r>
      <w:hyperlink r:id="rId85" w:history="1">
        <w:r w:rsidRPr="004974D8">
          <w:rPr>
            <w:rStyle w:val="Hyperlink"/>
          </w:rPr>
          <w:t>https://www.industry.gov.au/science-technology-and-innovation/revitalising-australias-vision-science-and-research/terms-reference</w:t>
        </w:r>
      </w:hyperlink>
      <w:r>
        <w:t>.</w:t>
      </w:r>
    </w:p>
  </w:footnote>
  <w:footnote w:id="183">
    <w:p w14:paraId="01E6C9E0" w14:textId="77777777" w:rsidR="002B32A0" w:rsidRPr="009859EE" w:rsidRDefault="002B32A0" w:rsidP="002B32A0">
      <w:pPr>
        <w:pStyle w:val="FootnoteText"/>
      </w:pPr>
      <w:r>
        <w:rPr>
          <w:rStyle w:val="FootnoteReference"/>
        </w:rPr>
        <w:footnoteRef/>
      </w:r>
      <w:r>
        <w:t xml:space="preserve"> Ornatas has stated that this includes operational expenditure.</w:t>
      </w:r>
    </w:p>
  </w:footnote>
  <w:footnote w:id="184">
    <w:p w14:paraId="0DDB570B" w14:textId="77777777" w:rsidR="002B32A0" w:rsidRPr="0086558E" w:rsidRDefault="002B32A0" w:rsidP="002B32A0">
      <w:pPr>
        <w:pStyle w:val="FootnoteText"/>
      </w:pPr>
      <w:r>
        <w:rPr>
          <w:rStyle w:val="FootnoteReference"/>
        </w:rPr>
        <w:footnoteRef/>
      </w:r>
      <w:r>
        <w:t xml:space="preserve"> For example, in 2025 Ornatas expect to produce 20 tonnes of lobster, at an estimated value of $100 per kilogram, which will result in total production value of $2 million. This figure is adjusted for attribution to ARC of 50%, which results in a nominal benefit of $1 million that can be attributed to the ARC in 2025.</w:t>
      </w:r>
    </w:p>
  </w:footnote>
  <w:footnote w:id="185">
    <w:p w14:paraId="32A6EB1C" w14:textId="77777777" w:rsidR="002B32A0" w:rsidRPr="0029419F" w:rsidRDefault="002B32A0" w:rsidP="002B32A0">
      <w:pPr>
        <w:pStyle w:val="FootnoteText"/>
      </w:pPr>
      <w:r>
        <w:rPr>
          <w:rStyle w:val="FootnoteReference"/>
        </w:rPr>
        <w:footnoteRef/>
      </w:r>
      <w:r>
        <w:t xml:space="preserve"> The 3% and 10% discount rates are the Federal Government Office of Impact Analysis’ recommended rates for sensitivity testing. Refer: </w:t>
      </w:r>
      <w:r w:rsidRPr="0029419F">
        <w:t>https://oia.pmc.gov.au/sites/default/files/2021-09/cost-benefit-analysis.pdf</w:t>
      </w:r>
    </w:p>
  </w:footnote>
  <w:footnote w:id="186">
    <w:p w14:paraId="48965ECC" w14:textId="77777777" w:rsidR="002B32A0" w:rsidRPr="003C6572" w:rsidRDefault="002B32A0" w:rsidP="002B32A0">
      <w:pPr>
        <w:pStyle w:val="FootnoteText"/>
        <w:rPr>
          <w:lang w:val="en-US"/>
        </w:rPr>
      </w:pPr>
      <w:r>
        <w:rPr>
          <w:rStyle w:val="FootnoteReference"/>
        </w:rPr>
        <w:footnoteRef/>
      </w:r>
      <w:r>
        <w:t xml:space="preserve"> </w:t>
      </w:r>
      <w:r w:rsidRPr="00974658">
        <w:t xml:space="preserve">The approach is based on that outlined in the CSIRO Impact Evaluation Guide. See </w:t>
      </w:r>
      <w:hyperlink r:id="rId86" w:history="1">
        <w:r w:rsidRPr="00974658">
          <w:rPr>
            <w:rStyle w:val="Hyperlink"/>
          </w:rPr>
          <w:t>https://www.csiro.au/~/media/About/Files/Our-impact-framework/CSIROImpactEvaluationGuide_Nov2015_WEB.pdf?la=en&amp;hash=B351D24FB3CE02CB34FB859F2C34AA3940EE6D1F</w:t>
        </w:r>
      </w:hyperlink>
      <w:r w:rsidRPr="00974658">
        <w:t>.</w:t>
      </w:r>
    </w:p>
  </w:footnote>
  <w:footnote w:id="187">
    <w:p w14:paraId="4BBF98D7" w14:textId="77777777" w:rsidR="002B32A0" w:rsidRPr="00A53B99" w:rsidRDefault="002B32A0" w:rsidP="002B32A0">
      <w:pPr>
        <w:pStyle w:val="FootnoteText"/>
      </w:pPr>
      <w:r w:rsidRPr="00A53B99">
        <w:rPr>
          <w:rStyle w:val="FootnoteReference"/>
        </w:rPr>
        <w:footnoteRef/>
      </w:r>
      <w:r w:rsidRPr="00A53B99">
        <w:t xml:space="preserve"> Domestic Violence Service Management (2021). </w:t>
      </w:r>
      <w:r w:rsidRPr="00A53B99">
        <w:rPr>
          <w:i/>
          <w:iCs/>
        </w:rPr>
        <w:t>What is domestic and family violence?</w:t>
      </w:r>
      <w:r w:rsidRPr="00A53B99">
        <w:t xml:space="preserve"> Accessed January 2023: </w:t>
      </w:r>
      <w:hyperlink r:id="rId87" w:history="1">
        <w:r w:rsidRPr="00A53B99">
          <w:rPr>
            <w:rStyle w:val="Hyperlink"/>
          </w:rPr>
          <w:t>https://dvnswsm.org.au/help-articles-guidelines/what-is-domestic-family-violence/</w:t>
        </w:r>
      </w:hyperlink>
      <w:r w:rsidRPr="00A53B99">
        <w:t xml:space="preserve">. </w:t>
      </w:r>
    </w:p>
  </w:footnote>
  <w:footnote w:id="188">
    <w:p w14:paraId="10575D0E" w14:textId="77777777" w:rsidR="002B32A0" w:rsidRPr="00A53B99" w:rsidRDefault="002B32A0" w:rsidP="002B32A0">
      <w:pPr>
        <w:pStyle w:val="FootnoteText"/>
      </w:pPr>
      <w:r w:rsidRPr="00A53B99">
        <w:rPr>
          <w:rStyle w:val="FootnoteReference"/>
        </w:rPr>
        <w:footnoteRef/>
      </w:r>
      <w:r w:rsidRPr="00A53B99">
        <w:t xml:space="preserve"> </w:t>
      </w:r>
      <w:bookmarkStart w:id="488" w:name="_Hlk129081879"/>
      <w:r w:rsidRPr="00A53B99">
        <w:t xml:space="preserve">National Domestic and Family Violence Bench Book (2022). </w:t>
      </w:r>
      <w:r w:rsidRPr="00A53B99">
        <w:rPr>
          <w:i/>
          <w:iCs/>
        </w:rPr>
        <w:t>Understanding domestic and family violence</w:t>
      </w:r>
      <w:r w:rsidRPr="00A53B99">
        <w:t xml:space="preserve">. Accessed January 2023: </w:t>
      </w:r>
      <w:hyperlink r:id="rId88" w:history="1">
        <w:r w:rsidRPr="00A53B99">
          <w:rPr>
            <w:rStyle w:val="Hyperlink"/>
          </w:rPr>
          <w:t>https://dfvbenchbook.aija.org.au/contents</w:t>
        </w:r>
      </w:hyperlink>
      <w:r w:rsidRPr="00A53B99">
        <w:t>.</w:t>
      </w:r>
      <w:r>
        <w:t xml:space="preserve"> </w:t>
      </w:r>
      <w:bookmarkEnd w:id="488"/>
    </w:p>
  </w:footnote>
  <w:footnote w:id="189">
    <w:p w14:paraId="0299999D" w14:textId="77777777" w:rsidR="002B32A0" w:rsidRPr="00711A1B" w:rsidRDefault="002B32A0" w:rsidP="002B32A0">
      <w:pPr>
        <w:pStyle w:val="FootnoteText"/>
        <w:rPr>
          <w:lang w:val="en-US"/>
        </w:rPr>
      </w:pPr>
      <w:r>
        <w:rPr>
          <w:rStyle w:val="FootnoteReference"/>
        </w:rPr>
        <w:footnoteRef/>
      </w:r>
      <w:r>
        <w:t xml:space="preserve"> Particularly vulnerable groups include people with children, children, young and older people, pregnant people, those with disability, impairment or mental illness, those from culturally and linguistically diverse backgrounds, people living in regional, rural and remote communities, those affected by substance misuse, Aboriginal and Torres Strait Islander peoples, people who are gay, lesbian, bisexual, transgender, intersex and queer, those with poor literacy skills. </w:t>
      </w:r>
      <w:r>
        <w:br/>
      </w:r>
      <w:r w:rsidRPr="00711A1B">
        <w:t>National Domestic and Family Violence Bench Book (2022).</w:t>
      </w:r>
      <w:r>
        <w:rPr>
          <w:i/>
          <w:iCs/>
        </w:rPr>
        <w:t xml:space="preserve"> </w:t>
      </w:r>
      <w:r>
        <w:t>Op. cit</w:t>
      </w:r>
      <w:r>
        <w:rPr>
          <w:i/>
          <w:iCs/>
        </w:rPr>
        <w:t>.</w:t>
      </w:r>
    </w:p>
  </w:footnote>
  <w:footnote w:id="190">
    <w:p w14:paraId="59A6C000" w14:textId="77777777" w:rsidR="002B32A0" w:rsidRDefault="002B32A0" w:rsidP="002B32A0">
      <w:pPr>
        <w:pStyle w:val="FootnoteText"/>
      </w:pPr>
      <w:r>
        <w:rPr>
          <w:rStyle w:val="FootnoteReference"/>
        </w:rPr>
        <w:footnoteRef/>
      </w:r>
      <w:r>
        <w:t xml:space="preserve"> </w:t>
      </w:r>
      <w:r w:rsidRPr="00A53B99">
        <w:t>National Domestic and Family Violence Bench Book (2022).</w:t>
      </w:r>
      <w:r>
        <w:t xml:space="preserve"> Op. cit.</w:t>
      </w:r>
      <w:r w:rsidRPr="00A53B99">
        <w:t xml:space="preserve"> </w:t>
      </w:r>
    </w:p>
  </w:footnote>
  <w:footnote w:id="191">
    <w:p w14:paraId="6D20A108" w14:textId="77777777" w:rsidR="002B32A0" w:rsidRDefault="002B32A0" w:rsidP="002B32A0">
      <w:pPr>
        <w:pStyle w:val="FootnoteText"/>
      </w:pPr>
      <w:r>
        <w:rPr>
          <w:rStyle w:val="FootnoteReference"/>
        </w:rPr>
        <w:footnoteRef/>
      </w:r>
      <w:r>
        <w:t xml:space="preserve"> Examples of coercive control include the deprivation of liberty and autonomy, isolating an individual from friends, family or wider society, withholding or controlling access to resources (e.g. money), psychological control and manipulation, stalking and intimidation, physical assault or threats of physical assault, sexual assault, reproductive coercion, threatening to take the victim’s children away.</w:t>
      </w:r>
      <w:r>
        <w:br/>
        <w:t xml:space="preserve">NSW Communities and Justice (2020). </w:t>
      </w:r>
      <w:r w:rsidRPr="0087619A">
        <w:rPr>
          <w:i/>
          <w:iCs/>
        </w:rPr>
        <w:t>Coercive control discussion paper</w:t>
      </w:r>
      <w:r>
        <w:t>.</w:t>
      </w:r>
    </w:p>
  </w:footnote>
  <w:footnote w:id="192">
    <w:p w14:paraId="17CEA95E" w14:textId="77777777" w:rsidR="002B32A0" w:rsidRDefault="002B32A0" w:rsidP="002B32A0">
      <w:pPr>
        <w:pStyle w:val="FootnoteText"/>
      </w:pPr>
      <w:r>
        <w:rPr>
          <w:rStyle w:val="FootnoteReference"/>
        </w:rPr>
        <w:footnoteRef/>
      </w:r>
      <w:r>
        <w:t xml:space="preserve"> NSW Communities and Justice (2020). Op. cit.</w:t>
      </w:r>
    </w:p>
  </w:footnote>
  <w:footnote w:id="193">
    <w:p w14:paraId="6E443F8E" w14:textId="77777777" w:rsidR="002B32A0" w:rsidRDefault="002B32A0" w:rsidP="002B32A0">
      <w:pPr>
        <w:pStyle w:val="FootnoteText"/>
      </w:pPr>
      <w:r>
        <w:rPr>
          <w:rStyle w:val="FootnoteReference"/>
        </w:rPr>
        <w:footnoteRef/>
      </w:r>
      <w:r>
        <w:t xml:space="preserve"> Sharman, L, Douglas, H &amp; Fitzgerald, R (2021). </w:t>
      </w:r>
      <w:r w:rsidRPr="00FB0C06">
        <w:rPr>
          <w:i/>
          <w:iCs/>
        </w:rPr>
        <w:t>Review of domestic violence deaths involving fatal or non-fatal strangulation in Queensland.</w:t>
      </w:r>
      <w:r>
        <w:t xml:space="preserve"> Brisbane: The University of Melbourne/The University of Queensland.</w:t>
      </w:r>
    </w:p>
  </w:footnote>
  <w:footnote w:id="194">
    <w:p w14:paraId="4B472492" w14:textId="77777777" w:rsidR="002B32A0" w:rsidRPr="0087619A" w:rsidRDefault="002B32A0" w:rsidP="002B32A0">
      <w:pPr>
        <w:pStyle w:val="FootnoteText"/>
      </w:pPr>
      <w:r>
        <w:rPr>
          <w:rStyle w:val="FootnoteReference"/>
        </w:rPr>
        <w:footnoteRef/>
      </w:r>
      <w:r>
        <w:t xml:space="preserve"> Douglas, H (2019). </w:t>
      </w:r>
      <w:r w:rsidRPr="0092077E">
        <w:rPr>
          <w:i/>
          <w:iCs/>
        </w:rPr>
        <w:t>DP200101020</w:t>
      </w:r>
      <w:r>
        <w:rPr>
          <w:i/>
          <w:iCs/>
        </w:rPr>
        <w:t xml:space="preserve"> – Australian Research Council, Proposal for Funding Commencing in 2020.</w:t>
      </w:r>
    </w:p>
  </w:footnote>
  <w:footnote w:id="195">
    <w:p w14:paraId="0352C3CB" w14:textId="77777777" w:rsidR="002B32A0" w:rsidRDefault="002B32A0" w:rsidP="002B32A0">
      <w:pPr>
        <w:pStyle w:val="FootnoteText"/>
      </w:pPr>
      <w:r>
        <w:rPr>
          <w:rStyle w:val="FootnoteReference"/>
        </w:rPr>
        <w:footnoteRef/>
      </w:r>
      <w:r>
        <w:t xml:space="preserve"> Sharman, L, Douglas, H &amp; Fitzgerald, R (2021). Op. cit.</w:t>
      </w:r>
    </w:p>
  </w:footnote>
  <w:footnote w:id="196">
    <w:p w14:paraId="192DF28E" w14:textId="77777777" w:rsidR="002B32A0" w:rsidRDefault="002B32A0" w:rsidP="002B32A0">
      <w:pPr>
        <w:pStyle w:val="FootnoteText"/>
      </w:pPr>
      <w:r>
        <w:rPr>
          <w:rStyle w:val="FootnoteReference"/>
        </w:rPr>
        <w:footnoteRef/>
      </w:r>
      <w:r>
        <w:t xml:space="preserve"> Ibid.</w:t>
      </w:r>
    </w:p>
  </w:footnote>
  <w:footnote w:id="197">
    <w:p w14:paraId="12BEE0B9" w14:textId="77777777" w:rsidR="002B32A0" w:rsidRDefault="002B32A0" w:rsidP="002B32A0">
      <w:pPr>
        <w:pStyle w:val="FootnoteText"/>
      </w:pPr>
      <w:r>
        <w:rPr>
          <w:rStyle w:val="FootnoteReference"/>
        </w:rPr>
        <w:footnoteRef/>
      </w:r>
      <w:r>
        <w:t xml:space="preserve"> Ibid</w:t>
      </w:r>
      <w:r w:rsidDel="00A04065">
        <w:t>.</w:t>
      </w:r>
    </w:p>
  </w:footnote>
  <w:footnote w:id="198">
    <w:p w14:paraId="3FBFC6FD" w14:textId="77777777" w:rsidR="002B32A0" w:rsidRDefault="002B32A0" w:rsidP="002B32A0">
      <w:pPr>
        <w:pStyle w:val="FootnoteText"/>
      </w:pPr>
      <w:r>
        <w:rPr>
          <w:rStyle w:val="FootnoteReference"/>
        </w:rPr>
        <w:footnoteRef/>
      </w:r>
      <w:r>
        <w:t xml:space="preserve"> </w:t>
      </w:r>
      <w:r w:rsidRPr="00C1131C">
        <w:t>Australian Institute of Health and Welfare</w:t>
      </w:r>
      <w:r>
        <w:t xml:space="preserve"> (</w:t>
      </w:r>
      <w:r w:rsidRPr="00C1131C">
        <w:t>2022</w:t>
      </w:r>
      <w:r>
        <w:t xml:space="preserve">). </w:t>
      </w:r>
      <w:r w:rsidRPr="005D5B5E">
        <w:rPr>
          <w:i/>
          <w:iCs/>
        </w:rPr>
        <w:t>Family, domestic and sexual violence</w:t>
      </w:r>
      <w:r w:rsidRPr="00C1131C">
        <w:t>.</w:t>
      </w:r>
      <w:r>
        <w:t xml:space="preserve"> Accessed January 2023:</w:t>
      </w:r>
      <w:r w:rsidRPr="00C1131C">
        <w:t xml:space="preserve"> </w:t>
      </w:r>
      <w:hyperlink r:id="rId89" w:history="1">
        <w:r w:rsidRPr="00A45FDA">
          <w:rPr>
            <w:rStyle w:val="Hyperlink"/>
          </w:rPr>
          <w:t>https://www.aihw.gov.au/reports/domestic-violence/family-domestic-and-sexual-violence</w:t>
        </w:r>
      </w:hyperlink>
      <w:r>
        <w:t xml:space="preserve">. </w:t>
      </w:r>
    </w:p>
  </w:footnote>
  <w:footnote w:id="199">
    <w:p w14:paraId="3B41B113" w14:textId="77777777" w:rsidR="002B32A0" w:rsidRPr="00345D23" w:rsidRDefault="002B32A0" w:rsidP="002B32A0">
      <w:pPr>
        <w:pStyle w:val="FootnoteText"/>
        <w:rPr>
          <w:lang w:val="en-US"/>
        </w:rPr>
      </w:pPr>
      <w:r>
        <w:rPr>
          <w:rStyle w:val="FootnoteReference"/>
        </w:rPr>
        <w:footnoteRef/>
      </w:r>
      <w:r>
        <w:t xml:space="preserve"> KPMG (2016). </w:t>
      </w:r>
      <w:r w:rsidRPr="00345D23">
        <w:rPr>
          <w:i/>
          <w:iCs/>
        </w:rPr>
        <w:t>The cost of violence against women and their children in Australia Final Report prepared for the Department of Social Services</w:t>
      </w:r>
      <w:r>
        <w:t>. Australia: KPMG.</w:t>
      </w:r>
    </w:p>
  </w:footnote>
  <w:footnote w:id="200">
    <w:p w14:paraId="62330596" w14:textId="77777777" w:rsidR="002B32A0" w:rsidRDefault="002B32A0" w:rsidP="002B32A0">
      <w:pPr>
        <w:pStyle w:val="FootnoteText"/>
      </w:pPr>
      <w:r>
        <w:rPr>
          <w:rStyle w:val="FootnoteReference"/>
        </w:rPr>
        <w:footnoteRef/>
      </w:r>
      <w:r>
        <w:t xml:space="preserve"> </w:t>
      </w:r>
      <w:r w:rsidRPr="00387CA5">
        <w:t xml:space="preserve">Sorenson, S. B., Joshi, M., &amp; Sivitz, E. (2014). </w:t>
      </w:r>
      <w:r w:rsidRPr="000C5CDF">
        <w:rPr>
          <w:i/>
          <w:iCs/>
        </w:rPr>
        <w:t>A systematic review of the epidemiology of nonfatal strangulation, a human rights and health concern</w:t>
      </w:r>
      <w:r w:rsidRPr="00387CA5">
        <w:t xml:space="preserve">. </w:t>
      </w:r>
      <w:r w:rsidRPr="00974658">
        <w:rPr>
          <w:i/>
          <w:iCs/>
        </w:rPr>
        <w:t>American Journal of Public Health</w:t>
      </w:r>
      <w:r w:rsidRPr="00387CA5">
        <w:t>, 104(11), 54-61.</w:t>
      </w:r>
    </w:p>
  </w:footnote>
  <w:footnote w:id="201">
    <w:p w14:paraId="5A6A239B" w14:textId="77777777" w:rsidR="002B32A0" w:rsidRDefault="002B32A0" w:rsidP="002B32A0">
      <w:pPr>
        <w:pStyle w:val="FootnoteText"/>
      </w:pPr>
      <w:r>
        <w:rPr>
          <w:rStyle w:val="FootnoteReference"/>
        </w:rPr>
        <w:footnoteRef/>
      </w:r>
      <w:r>
        <w:t xml:space="preserve"> Ibid.</w:t>
      </w:r>
    </w:p>
  </w:footnote>
  <w:footnote w:id="202">
    <w:p w14:paraId="34E4E287" w14:textId="77777777" w:rsidR="002B32A0" w:rsidRDefault="002B32A0" w:rsidP="002B32A0">
      <w:pPr>
        <w:pStyle w:val="FootnoteText"/>
      </w:pPr>
      <w:r>
        <w:rPr>
          <w:rStyle w:val="FootnoteReference"/>
        </w:rPr>
        <w:footnoteRef/>
      </w:r>
      <w:r>
        <w:t xml:space="preserve"> </w:t>
      </w:r>
      <w:r w:rsidRPr="00AD07BF">
        <w:t xml:space="preserve">Douglas, H., &amp; Fitzgerald, R. (2021). </w:t>
      </w:r>
      <w:r w:rsidRPr="000C5CDF">
        <w:rPr>
          <w:i/>
          <w:iCs/>
        </w:rPr>
        <w:t>Proving non-fatal strangulation in family violence cases: A case study on the criminalisation of family violence</w:t>
      </w:r>
      <w:r w:rsidRPr="00AD07BF">
        <w:t xml:space="preserve">. </w:t>
      </w:r>
      <w:r w:rsidRPr="00974658">
        <w:rPr>
          <w:i/>
          <w:iCs/>
        </w:rPr>
        <w:t>The International Journal of Evidence &amp; Proof</w:t>
      </w:r>
      <w:r w:rsidRPr="00AD07BF">
        <w:t>, 25(4), 350–370.</w:t>
      </w:r>
    </w:p>
  </w:footnote>
  <w:footnote w:id="203">
    <w:p w14:paraId="4BD31A20" w14:textId="77777777" w:rsidR="002B32A0" w:rsidRDefault="002B32A0" w:rsidP="002B32A0">
      <w:pPr>
        <w:pStyle w:val="FootnoteText"/>
      </w:pPr>
      <w:r>
        <w:rPr>
          <w:rStyle w:val="FootnoteReference"/>
        </w:rPr>
        <w:footnoteRef/>
      </w:r>
      <w:r>
        <w:t xml:space="preserve"> Ibid.</w:t>
      </w:r>
    </w:p>
  </w:footnote>
  <w:footnote w:id="204">
    <w:p w14:paraId="7C9E2998" w14:textId="77777777" w:rsidR="002B32A0" w:rsidRPr="0038687E" w:rsidRDefault="002B32A0" w:rsidP="002B32A0">
      <w:pPr>
        <w:pStyle w:val="FootnoteText"/>
        <w:rPr>
          <w:lang w:val="en-US"/>
        </w:rPr>
      </w:pPr>
      <w:r>
        <w:rPr>
          <w:rStyle w:val="FootnoteReference"/>
        </w:rPr>
        <w:footnoteRef/>
      </w:r>
      <w:r>
        <w:t xml:space="preserve"> </w:t>
      </w:r>
      <w:r>
        <w:rPr>
          <w:lang w:val="en-US"/>
        </w:rPr>
        <w:t xml:space="preserve">me too (2023). </w:t>
      </w:r>
      <w:r w:rsidRPr="0038687E">
        <w:rPr>
          <w:i/>
          <w:iCs/>
          <w:lang w:val="en-US"/>
        </w:rPr>
        <w:t>History and inception</w:t>
      </w:r>
      <w:r>
        <w:rPr>
          <w:lang w:val="en-US"/>
        </w:rPr>
        <w:t xml:space="preserve">. Accessed January 2023: </w:t>
      </w:r>
      <w:hyperlink r:id="rId90" w:history="1">
        <w:r w:rsidRPr="00477868">
          <w:rPr>
            <w:rStyle w:val="Hyperlink"/>
            <w:lang w:val="en-US"/>
          </w:rPr>
          <w:t>https://metoomvmt.org/</w:t>
        </w:r>
      </w:hyperlink>
      <w:r>
        <w:rPr>
          <w:lang w:val="en-US"/>
        </w:rPr>
        <w:t xml:space="preserve">. </w:t>
      </w:r>
    </w:p>
  </w:footnote>
  <w:footnote w:id="205">
    <w:p w14:paraId="5AAEA29B" w14:textId="77777777" w:rsidR="002B32A0" w:rsidRPr="009D0F4A" w:rsidRDefault="002B32A0" w:rsidP="002B32A0">
      <w:pPr>
        <w:pStyle w:val="FootnoteText"/>
      </w:pPr>
      <w:r>
        <w:rPr>
          <w:rStyle w:val="FootnoteReference"/>
        </w:rPr>
        <w:footnoteRef/>
      </w:r>
      <w:r>
        <w:t xml:space="preserve"> </w:t>
      </w:r>
      <w:bookmarkStart w:id="490" w:name="_Hlk129082073"/>
      <w:r>
        <w:t xml:space="preserve">Commonwealth of Australia (2022). </w:t>
      </w:r>
      <w:r>
        <w:rPr>
          <w:i/>
          <w:iCs/>
        </w:rPr>
        <w:t xml:space="preserve">National Plan to End Violence against Women and Children 2022-2032. </w:t>
      </w:r>
      <w:r>
        <w:t xml:space="preserve">Brisbane: Queensland Government. </w:t>
      </w:r>
      <w:bookmarkEnd w:id="490"/>
    </w:p>
  </w:footnote>
  <w:footnote w:id="206">
    <w:p w14:paraId="78A0EDD8" w14:textId="77777777" w:rsidR="002B32A0" w:rsidRPr="00481896" w:rsidRDefault="002B32A0" w:rsidP="002B32A0">
      <w:pPr>
        <w:pStyle w:val="FootnoteText"/>
        <w:rPr>
          <w:lang w:val="en-US"/>
        </w:rPr>
      </w:pPr>
      <w:r>
        <w:rPr>
          <w:rStyle w:val="FootnoteReference"/>
        </w:rPr>
        <w:footnoteRef/>
      </w:r>
      <w:r>
        <w:t xml:space="preserve"> Australian Government Department of Social Services (2022). </w:t>
      </w:r>
      <w:r w:rsidRPr="0094079D">
        <w:rPr>
          <w:i/>
          <w:iCs/>
        </w:rPr>
        <w:t>Women’s Safety measures</w:t>
      </w:r>
      <w:r>
        <w:t xml:space="preserve">. Accessed </w:t>
      </w:r>
      <w:r>
        <w:rPr>
          <w:lang w:val="en-US"/>
        </w:rPr>
        <w:t>January 2023:</w:t>
      </w:r>
      <w:r w:rsidRPr="003C06F6">
        <w:t xml:space="preserve"> </w:t>
      </w:r>
      <w:hyperlink r:id="rId91" w:history="1">
        <w:r w:rsidRPr="00477868">
          <w:rPr>
            <w:rStyle w:val="Hyperlink"/>
            <w:lang w:val="en-US"/>
          </w:rPr>
          <w:t>https://www.dss.gov.au/sites/default/files/documents/04_2022/fact_sheet_-budget_22-23_womens_safety.pdf</w:t>
        </w:r>
      </w:hyperlink>
      <w:r>
        <w:rPr>
          <w:lang w:val="en-US"/>
        </w:rPr>
        <w:t xml:space="preserve">. </w:t>
      </w:r>
    </w:p>
  </w:footnote>
  <w:footnote w:id="207">
    <w:p w14:paraId="50D179FE" w14:textId="77777777" w:rsidR="002B32A0" w:rsidRPr="0094079D" w:rsidRDefault="002B32A0" w:rsidP="002B32A0">
      <w:pPr>
        <w:pStyle w:val="FootnoteText"/>
        <w:rPr>
          <w:lang w:val="en-US"/>
        </w:rPr>
      </w:pPr>
      <w:r>
        <w:rPr>
          <w:rStyle w:val="FootnoteReference"/>
        </w:rPr>
        <w:footnoteRef/>
      </w:r>
      <w:r>
        <w:t xml:space="preserve"> Our Watch (2023). </w:t>
      </w:r>
      <w:r w:rsidRPr="0094079D">
        <w:rPr>
          <w:i/>
          <w:iCs/>
        </w:rPr>
        <w:t>About us</w:t>
      </w:r>
      <w:r>
        <w:t xml:space="preserve">. </w:t>
      </w:r>
      <w:r>
        <w:rPr>
          <w:lang w:val="en-US"/>
        </w:rPr>
        <w:t xml:space="preserve">Accessed January 2023: </w:t>
      </w:r>
      <w:hyperlink r:id="rId92" w:history="1">
        <w:r w:rsidRPr="00477868">
          <w:rPr>
            <w:rStyle w:val="Hyperlink"/>
          </w:rPr>
          <w:t>https://www.ourwatch.org.au/about-us/</w:t>
        </w:r>
      </w:hyperlink>
      <w:r>
        <w:t xml:space="preserve">. </w:t>
      </w:r>
    </w:p>
  </w:footnote>
  <w:footnote w:id="208">
    <w:p w14:paraId="0F41EF4D" w14:textId="77777777" w:rsidR="002B32A0" w:rsidRPr="0094079D" w:rsidRDefault="002B32A0" w:rsidP="002B32A0">
      <w:pPr>
        <w:pStyle w:val="FootnoteText"/>
        <w:rPr>
          <w:lang w:val="en-US"/>
        </w:rPr>
      </w:pPr>
      <w:r>
        <w:rPr>
          <w:rStyle w:val="FootnoteReference"/>
        </w:rPr>
        <w:footnoteRef/>
      </w:r>
      <w:r>
        <w:t xml:space="preserve"> ANROWS (2021). </w:t>
      </w:r>
      <w:r w:rsidRPr="0094079D">
        <w:rPr>
          <w:i/>
          <w:iCs/>
        </w:rPr>
        <w:t>Who we are</w:t>
      </w:r>
      <w:r>
        <w:t xml:space="preserve">. </w:t>
      </w:r>
      <w:r>
        <w:rPr>
          <w:lang w:val="en-US"/>
        </w:rPr>
        <w:t xml:space="preserve">Accessed January 2023: </w:t>
      </w:r>
      <w:hyperlink r:id="rId93" w:history="1">
        <w:r w:rsidRPr="00477868">
          <w:rPr>
            <w:rStyle w:val="Hyperlink"/>
            <w:lang w:val="en-US"/>
          </w:rPr>
          <w:t>https://www.anrows.org.au/about/</w:t>
        </w:r>
      </w:hyperlink>
      <w:r>
        <w:rPr>
          <w:lang w:val="en-US"/>
        </w:rPr>
        <w:t xml:space="preserve">. </w:t>
      </w:r>
    </w:p>
  </w:footnote>
  <w:footnote w:id="209">
    <w:p w14:paraId="6F861145" w14:textId="77777777" w:rsidR="002B32A0" w:rsidRPr="00974658" w:rsidRDefault="002B32A0" w:rsidP="002B32A0">
      <w:pPr>
        <w:pStyle w:val="FootnoteText"/>
        <w:rPr>
          <w:i/>
          <w:iCs/>
        </w:rPr>
      </w:pPr>
      <w:bookmarkStart w:id="491" w:name="_Hlk129082048"/>
      <w:r>
        <w:rPr>
          <w:rStyle w:val="FootnoteReference"/>
        </w:rPr>
        <w:footnoteRef/>
      </w:r>
      <w:r>
        <w:t xml:space="preserve"> </w:t>
      </w:r>
      <w:r w:rsidRPr="00974658">
        <w:t xml:space="preserve">Queensland Government Department of Justice and Attorney-General (2021). </w:t>
      </w:r>
      <w:r w:rsidRPr="00974658">
        <w:rPr>
          <w:i/>
          <w:iCs/>
        </w:rPr>
        <w:t>Not now, not ever report</w:t>
      </w:r>
      <w:r>
        <w:rPr>
          <w:i/>
          <w:iCs/>
        </w:rPr>
        <w:t>.</w:t>
      </w:r>
      <w:r>
        <w:t xml:space="preserve"> Brisbane: Queensland Government. </w:t>
      </w:r>
      <w:bookmarkEnd w:id="491"/>
    </w:p>
  </w:footnote>
  <w:footnote w:id="210">
    <w:p w14:paraId="05517C08" w14:textId="77777777" w:rsidR="002B32A0" w:rsidRPr="00091E08" w:rsidRDefault="002B32A0" w:rsidP="002B32A0">
      <w:pPr>
        <w:pStyle w:val="FootnoteText"/>
      </w:pPr>
      <w:r w:rsidRPr="00974658">
        <w:rPr>
          <w:rStyle w:val="FootnoteReference"/>
        </w:rPr>
        <w:footnoteRef/>
      </w:r>
      <w:r w:rsidRPr="00974658">
        <w:t xml:space="preserve"> </w:t>
      </w:r>
      <w:r>
        <w:t>Ibid</w:t>
      </w:r>
      <w:r w:rsidRPr="00974658">
        <w:t>.</w:t>
      </w:r>
    </w:p>
  </w:footnote>
  <w:footnote w:id="211">
    <w:p w14:paraId="220FEB0B" w14:textId="77777777" w:rsidR="002B32A0" w:rsidRDefault="002B32A0" w:rsidP="002B32A0">
      <w:pPr>
        <w:pStyle w:val="FootnoteText"/>
      </w:pPr>
      <w:r>
        <w:rPr>
          <w:rStyle w:val="FootnoteReference"/>
        </w:rPr>
        <w:footnoteRef/>
      </w:r>
      <w:r>
        <w:t xml:space="preserve"> </w:t>
      </w:r>
      <w:bookmarkStart w:id="492" w:name="_Hlk129082340"/>
      <w:r>
        <w:t xml:space="preserve">Queensland Government (2021). </w:t>
      </w:r>
      <w:r w:rsidRPr="00D04919">
        <w:rPr>
          <w:i/>
          <w:iCs/>
        </w:rPr>
        <w:t>Domestic and family violence prevention strategy 2016-2026</w:t>
      </w:r>
      <w:r>
        <w:t xml:space="preserve">. </w:t>
      </w:r>
    </w:p>
    <w:p w14:paraId="57B8B7F2" w14:textId="77777777" w:rsidR="002B32A0" w:rsidRPr="00D04919" w:rsidRDefault="002B32A0" w:rsidP="002B32A0">
      <w:pPr>
        <w:pStyle w:val="FootnoteText"/>
      </w:pPr>
      <w:r>
        <w:t xml:space="preserve">Accessed March 2023: </w:t>
      </w:r>
      <w:hyperlink r:id="rId94" w:history="1">
        <w:r w:rsidRPr="008927A8">
          <w:rPr>
            <w:rStyle w:val="Hyperlink"/>
          </w:rPr>
          <w:t>https://www.publications.qld.gov.au/dataset/not-now-not-ever/resource/008db60d-06e9-4702-bb87-48be367edf93</w:t>
        </w:r>
      </w:hyperlink>
      <w:r>
        <w:rPr>
          <w:rStyle w:val="Hyperlink"/>
        </w:rPr>
        <w:t>.</w:t>
      </w:r>
    </w:p>
    <w:bookmarkEnd w:id="492"/>
  </w:footnote>
  <w:footnote w:id="212">
    <w:p w14:paraId="6475AC88" w14:textId="77777777" w:rsidR="002B32A0" w:rsidRPr="006A1796" w:rsidRDefault="002B32A0" w:rsidP="002B32A0">
      <w:pPr>
        <w:pStyle w:val="FootnoteText"/>
        <w:rPr>
          <w:lang w:val="en-US"/>
        </w:rPr>
      </w:pPr>
      <w:r>
        <w:rPr>
          <w:rStyle w:val="FootnoteReference"/>
        </w:rPr>
        <w:footnoteRef/>
      </w:r>
      <w:r>
        <w:t xml:space="preserve"> </w:t>
      </w:r>
      <w:r w:rsidRPr="006A1796">
        <w:t xml:space="preserve">Douglas, H. (2021). </w:t>
      </w:r>
      <w:r w:rsidRPr="006A1796">
        <w:rPr>
          <w:i/>
          <w:iCs/>
        </w:rPr>
        <w:t>Women, intimate partner violence, and the law</w:t>
      </w:r>
      <w:r w:rsidRPr="006A1796">
        <w:t>. Oxford University Press.</w:t>
      </w:r>
    </w:p>
  </w:footnote>
  <w:footnote w:id="213">
    <w:p w14:paraId="1168D3A5" w14:textId="77777777" w:rsidR="002B32A0" w:rsidRPr="006A1796" w:rsidRDefault="002B32A0" w:rsidP="002B32A0">
      <w:pPr>
        <w:pStyle w:val="FootnoteText"/>
        <w:rPr>
          <w:lang w:val="en-US"/>
        </w:rPr>
      </w:pPr>
      <w:r>
        <w:rPr>
          <w:rStyle w:val="FootnoteReference"/>
        </w:rPr>
        <w:footnoteRef/>
      </w:r>
      <w:r>
        <w:t xml:space="preserve"> </w:t>
      </w:r>
      <w:r w:rsidRPr="006A1796">
        <w:t xml:space="preserve">Douglas, H., Bartlett, F., Luker, T., &amp; Hunter, R. (Eds.). (2014). </w:t>
      </w:r>
      <w:r w:rsidRPr="006A1796">
        <w:rPr>
          <w:i/>
          <w:iCs/>
        </w:rPr>
        <w:t>Australian feminist judgments: Righting and rewriting law</w:t>
      </w:r>
      <w:r w:rsidRPr="006A1796">
        <w:t>. Bloomsbury Publishing.</w:t>
      </w:r>
    </w:p>
  </w:footnote>
  <w:footnote w:id="214">
    <w:p w14:paraId="7D8C2C8A" w14:textId="77777777" w:rsidR="002B32A0" w:rsidRPr="006A1796" w:rsidRDefault="002B32A0" w:rsidP="002B32A0">
      <w:pPr>
        <w:pStyle w:val="FootnoteText"/>
        <w:rPr>
          <w:lang w:val="en-US"/>
        </w:rPr>
      </w:pPr>
      <w:r>
        <w:rPr>
          <w:rStyle w:val="FootnoteReference"/>
        </w:rPr>
        <w:footnoteRef/>
      </w:r>
      <w:r>
        <w:t xml:space="preserve"> </w:t>
      </w:r>
      <w:r w:rsidRPr="006A1796">
        <w:t xml:space="preserve">Watson, N., &amp; Douglas, H. (Eds.). (2021). </w:t>
      </w:r>
      <w:r w:rsidRPr="006A1796">
        <w:rPr>
          <w:i/>
          <w:iCs/>
        </w:rPr>
        <w:t>Indigenous Legal Judgments: Bringing Indigenous Voices into Judicial Decision Making</w:t>
      </w:r>
      <w:r w:rsidRPr="006A1796">
        <w:t>. Routledge.</w:t>
      </w:r>
    </w:p>
  </w:footnote>
  <w:footnote w:id="215">
    <w:p w14:paraId="0595B4E7" w14:textId="77777777" w:rsidR="002B32A0" w:rsidRPr="006A1796" w:rsidRDefault="002B32A0" w:rsidP="002B32A0">
      <w:pPr>
        <w:pStyle w:val="FootnoteText"/>
        <w:rPr>
          <w:lang w:val="en-US"/>
        </w:rPr>
      </w:pPr>
      <w:r>
        <w:rPr>
          <w:rStyle w:val="FootnoteReference"/>
        </w:rPr>
        <w:footnoteRef/>
      </w:r>
      <w:r>
        <w:t xml:space="preserve"> </w:t>
      </w:r>
      <w:r w:rsidRPr="006A1796">
        <w:t>Fitz-Gibbon</w:t>
      </w:r>
      <w:r>
        <w:t>, K.</w:t>
      </w:r>
      <w:r w:rsidRPr="006A1796">
        <w:t>, Douglas</w:t>
      </w:r>
      <w:r>
        <w:t>, H. &amp;</w:t>
      </w:r>
      <w:r w:rsidRPr="006A1796">
        <w:t xml:space="preserve"> Maher</w:t>
      </w:r>
      <w:r>
        <w:t xml:space="preserve">, J.M. Eds. (2021). </w:t>
      </w:r>
      <w:r w:rsidRPr="006A1796">
        <w:rPr>
          <w:i/>
          <w:iCs/>
        </w:rPr>
        <w:t>Young People Using Family Violence: International Perspectives on Research, Responses and Reforms</w:t>
      </w:r>
      <w:r>
        <w:t xml:space="preserve">. </w:t>
      </w:r>
      <w:r w:rsidRPr="006A1796">
        <w:t>Springer Nature.</w:t>
      </w:r>
    </w:p>
  </w:footnote>
  <w:footnote w:id="216">
    <w:p w14:paraId="5B49C4AE" w14:textId="77777777" w:rsidR="002B32A0" w:rsidRPr="00302016" w:rsidRDefault="002B32A0" w:rsidP="002B32A0">
      <w:pPr>
        <w:pStyle w:val="FootnoteText"/>
      </w:pPr>
      <w:r>
        <w:rPr>
          <w:rStyle w:val="FootnoteReference"/>
        </w:rPr>
        <w:footnoteRef/>
      </w:r>
      <w:r>
        <w:t xml:space="preserve"> Magistrates Court off Queensland (2022). </w:t>
      </w:r>
      <w:r w:rsidRPr="00302016">
        <w:rPr>
          <w:i/>
          <w:iCs/>
        </w:rPr>
        <w:t>Domestic and Family Violence Protection Act 2012</w:t>
      </w:r>
      <w:r>
        <w:rPr>
          <w:i/>
          <w:iCs/>
        </w:rPr>
        <w:t xml:space="preserve">. </w:t>
      </w:r>
      <w:r w:rsidRPr="00302016">
        <w:t xml:space="preserve">Accessed January 2023: </w:t>
      </w:r>
      <w:hyperlink r:id="rId95" w:anchor="page=12&amp;zoom=100,92,342" w:history="1">
        <w:r w:rsidRPr="00A45FDA">
          <w:rPr>
            <w:rStyle w:val="Hyperlink"/>
          </w:rPr>
          <w:t>https://www.courts.qld.gov.au/__data/assets/pdf_file/0020/435026/dv-benchbook.pdf#page=12&amp;zoom=100,92,342</w:t>
        </w:r>
      </w:hyperlink>
      <w:r>
        <w:t xml:space="preserve">. </w:t>
      </w:r>
    </w:p>
  </w:footnote>
  <w:footnote w:id="217">
    <w:p w14:paraId="380B1AFB" w14:textId="77777777" w:rsidR="002B32A0" w:rsidRDefault="002B32A0" w:rsidP="002B32A0">
      <w:pPr>
        <w:pStyle w:val="FootnoteText"/>
      </w:pPr>
      <w:r>
        <w:rPr>
          <w:rStyle w:val="FootnoteReference"/>
        </w:rPr>
        <w:footnoteRef/>
      </w:r>
      <w:r>
        <w:t xml:space="preserve"> National Domestic and Family Violence Bench Book (2022). Op. cit.</w:t>
      </w:r>
    </w:p>
  </w:footnote>
  <w:footnote w:id="218">
    <w:p w14:paraId="1D16EBDF" w14:textId="77777777" w:rsidR="002B32A0" w:rsidRDefault="002B32A0" w:rsidP="002B32A0">
      <w:pPr>
        <w:pStyle w:val="FootnoteText"/>
      </w:pPr>
      <w:r>
        <w:rPr>
          <w:rStyle w:val="FootnoteReference"/>
        </w:rPr>
        <w:footnoteRef/>
      </w:r>
      <w:r>
        <w:t xml:space="preserve"> Ibid.</w:t>
      </w:r>
    </w:p>
  </w:footnote>
  <w:footnote w:id="219">
    <w:p w14:paraId="136397F1" w14:textId="77777777" w:rsidR="002B32A0" w:rsidRDefault="002B32A0" w:rsidP="002B32A0">
      <w:pPr>
        <w:pStyle w:val="FootnoteText"/>
      </w:pPr>
      <w:r>
        <w:rPr>
          <w:rStyle w:val="FootnoteReference"/>
        </w:rPr>
        <w:footnoteRef/>
      </w:r>
      <w:r>
        <w:t xml:space="preserve"> Sharman, L, Douglas, H &amp; Fitzgerald, R (2021). Op. cit.</w:t>
      </w:r>
    </w:p>
  </w:footnote>
  <w:footnote w:id="220">
    <w:p w14:paraId="6EC8A86D" w14:textId="77777777" w:rsidR="002B32A0" w:rsidRPr="00974658" w:rsidRDefault="002B32A0" w:rsidP="002B32A0">
      <w:pPr>
        <w:pStyle w:val="FootnoteText"/>
        <w:rPr>
          <w:lang w:val="en-US"/>
        </w:rPr>
      </w:pPr>
      <w:r>
        <w:rPr>
          <w:rStyle w:val="FootnoteReference"/>
        </w:rPr>
        <w:footnoteRef/>
      </w:r>
      <w:r>
        <w:t xml:space="preserve"> </w:t>
      </w:r>
      <w:r w:rsidRPr="00306A33">
        <w:t>Queensland Government Department of Justice and Attorney-General (2021).</w:t>
      </w:r>
      <w:r w:rsidRPr="004E1E09">
        <w:t xml:space="preserve"> </w:t>
      </w:r>
      <w:r>
        <w:t>Op. cit.</w:t>
      </w:r>
    </w:p>
  </w:footnote>
  <w:footnote w:id="221">
    <w:p w14:paraId="22F2606D" w14:textId="77777777" w:rsidR="002B32A0" w:rsidRDefault="002B32A0" w:rsidP="002B32A0">
      <w:pPr>
        <w:pStyle w:val="FootnoteText"/>
      </w:pPr>
      <w:r>
        <w:rPr>
          <w:rStyle w:val="FootnoteReference"/>
        </w:rPr>
        <w:footnoteRef/>
      </w:r>
      <w:r>
        <w:t xml:space="preserve"> Queensland Health (2017). </w:t>
      </w:r>
      <w:r w:rsidRPr="00974658">
        <w:rPr>
          <w:i/>
          <w:iCs/>
        </w:rPr>
        <w:t>A Health Response to Non-Lethal Strangulation in Domestic and Family Violence</w:t>
      </w:r>
      <w:r>
        <w:t>. Brisbane: Queensland Government.</w:t>
      </w:r>
    </w:p>
  </w:footnote>
  <w:footnote w:id="222">
    <w:p w14:paraId="4769EEC5" w14:textId="77777777" w:rsidR="002B32A0" w:rsidRPr="00442857" w:rsidRDefault="002B32A0" w:rsidP="002B32A0">
      <w:pPr>
        <w:pStyle w:val="FootnoteText"/>
      </w:pPr>
      <w:r>
        <w:rPr>
          <w:rStyle w:val="FootnoteReference"/>
        </w:rPr>
        <w:footnoteRef/>
      </w:r>
      <w:r>
        <w:t xml:space="preserve"> Queensland Parliament (2020). </w:t>
      </w:r>
      <w:r w:rsidRPr="003679D3">
        <w:rPr>
          <w:i/>
          <w:iCs/>
        </w:rPr>
        <w:t>Record of proceedings</w:t>
      </w:r>
      <w:r w:rsidRPr="00442857">
        <w:t xml:space="preserve">. </w:t>
      </w:r>
      <w:r w:rsidRPr="00974658">
        <w:rPr>
          <w:i/>
          <w:iCs/>
        </w:rPr>
        <w:t>First session of the fifty-sixth parliament</w:t>
      </w:r>
      <w:r w:rsidRPr="00442857">
        <w:t>.</w:t>
      </w:r>
      <w:r>
        <w:rPr>
          <w:i/>
          <w:iCs/>
        </w:rPr>
        <w:t xml:space="preserve"> </w:t>
      </w:r>
      <w:r>
        <w:t xml:space="preserve">Accessed January 2023: </w:t>
      </w:r>
      <w:hyperlink r:id="rId96" w:history="1">
        <w:r w:rsidRPr="00A45FDA">
          <w:rPr>
            <w:rStyle w:val="Hyperlink"/>
          </w:rPr>
          <w:t>https://documents.parliament.qld.gov.au/events/han/2020/2020_05_20_WEEKLY.PDF</w:t>
        </w:r>
      </w:hyperlink>
      <w:r>
        <w:t xml:space="preserve">. </w:t>
      </w:r>
    </w:p>
  </w:footnote>
  <w:footnote w:id="223">
    <w:p w14:paraId="45F9C5BF" w14:textId="77777777" w:rsidR="002B32A0" w:rsidRPr="00974658" w:rsidRDefault="002B32A0" w:rsidP="002B32A0">
      <w:pPr>
        <w:pStyle w:val="FootnoteText"/>
        <w:rPr>
          <w:lang w:val="en-US"/>
        </w:rPr>
      </w:pPr>
      <w:r>
        <w:rPr>
          <w:rStyle w:val="FootnoteReference"/>
        </w:rPr>
        <w:footnoteRef/>
      </w:r>
      <w:r>
        <w:t xml:space="preserve"> </w:t>
      </w:r>
      <w:r w:rsidRPr="00BD2438">
        <w:t xml:space="preserve">Douglas, </w:t>
      </w:r>
      <w:r>
        <w:t>H &amp;</w:t>
      </w:r>
      <w:r w:rsidRPr="00BD2438">
        <w:t xml:space="preserve"> Fitzgerald, </w:t>
      </w:r>
      <w:r>
        <w:t xml:space="preserve">R </w:t>
      </w:r>
      <w:r w:rsidRPr="00BD2438">
        <w:t>(2020). Women</w:t>
      </w:r>
      <w:r>
        <w:t>’s</w:t>
      </w:r>
      <w:r w:rsidRPr="00BD2438">
        <w:t xml:space="preserve"> stories of non-fatal strangulation: Informing the criminal justice response. </w:t>
      </w:r>
      <w:r w:rsidRPr="00974658">
        <w:rPr>
          <w:i/>
          <w:iCs/>
        </w:rPr>
        <w:t>Criminology &amp; Criminal Justice</w:t>
      </w:r>
      <w:r w:rsidRPr="00BD2438">
        <w:t>, 22(2), 270-286</w:t>
      </w:r>
      <w:r>
        <w:t>.</w:t>
      </w:r>
    </w:p>
  </w:footnote>
  <w:footnote w:id="224">
    <w:p w14:paraId="1A24037C" w14:textId="77777777" w:rsidR="002B32A0" w:rsidRDefault="002B32A0" w:rsidP="002B32A0">
      <w:pPr>
        <w:pStyle w:val="FootnoteText"/>
      </w:pPr>
      <w:r>
        <w:rPr>
          <w:rStyle w:val="FootnoteReference"/>
        </w:rPr>
        <w:footnoteRef/>
      </w:r>
      <w:r>
        <w:t xml:space="preserve"> Commonwealth of Australia (2022). Op. cit.</w:t>
      </w:r>
    </w:p>
  </w:footnote>
  <w:footnote w:id="225">
    <w:p w14:paraId="72A67061" w14:textId="77777777" w:rsidR="002B32A0" w:rsidRDefault="002B32A0" w:rsidP="002B32A0">
      <w:pPr>
        <w:pStyle w:val="FootnoteText"/>
      </w:pPr>
      <w:r>
        <w:rPr>
          <w:rStyle w:val="FootnoteReference"/>
        </w:rPr>
        <w:footnoteRef/>
      </w:r>
      <w:r>
        <w:t xml:space="preserve"> </w:t>
      </w:r>
      <w:r w:rsidRPr="00A14B69">
        <w:t xml:space="preserve">Douglas, H (2018). </w:t>
      </w:r>
      <w:r w:rsidRPr="000F65DB">
        <w:rPr>
          <w:i/>
          <w:iCs/>
        </w:rPr>
        <w:t>Legal systems abuse and coercive control</w:t>
      </w:r>
      <w:r w:rsidRPr="00A14B69">
        <w:t xml:space="preserve">. </w:t>
      </w:r>
      <w:r w:rsidRPr="00974658">
        <w:rPr>
          <w:i/>
          <w:iCs/>
        </w:rPr>
        <w:t>Criminology and Criminal Justice</w:t>
      </w:r>
      <w:r w:rsidRPr="00A14B69">
        <w:t xml:space="preserve"> 18 (1) 84-99.</w:t>
      </w:r>
    </w:p>
  </w:footnote>
  <w:footnote w:id="226">
    <w:p w14:paraId="76322C40" w14:textId="77777777" w:rsidR="002B32A0" w:rsidRDefault="002B32A0" w:rsidP="002B32A0">
      <w:pPr>
        <w:pStyle w:val="FootnoteText"/>
      </w:pPr>
      <w:r>
        <w:rPr>
          <w:rStyle w:val="FootnoteReference"/>
        </w:rPr>
        <w:footnoteRef/>
      </w:r>
      <w:r>
        <w:t xml:space="preserve"> South Australia Law Reform Institute (2019). </w:t>
      </w:r>
      <w:r>
        <w:rPr>
          <w:i/>
          <w:iCs/>
        </w:rPr>
        <w:t>Abortion: A Review of South Australian Law and Practice.</w:t>
      </w:r>
    </w:p>
  </w:footnote>
  <w:footnote w:id="227">
    <w:p w14:paraId="7DD88C8E" w14:textId="77777777" w:rsidR="002B32A0" w:rsidRPr="00D0145A" w:rsidRDefault="002B32A0" w:rsidP="002B32A0">
      <w:pPr>
        <w:pStyle w:val="FootnoteText"/>
        <w:rPr>
          <w:i/>
          <w:iCs/>
        </w:rPr>
      </w:pPr>
      <w:r>
        <w:rPr>
          <w:rStyle w:val="FootnoteReference"/>
        </w:rPr>
        <w:footnoteRef/>
      </w:r>
      <w:r>
        <w:t xml:space="preserve"> Ibid.</w:t>
      </w:r>
    </w:p>
  </w:footnote>
  <w:footnote w:id="228">
    <w:p w14:paraId="779526C8" w14:textId="77777777" w:rsidR="002B32A0" w:rsidRPr="00974658" w:rsidRDefault="002B32A0" w:rsidP="002B32A0">
      <w:pPr>
        <w:pStyle w:val="FootnoteText"/>
        <w:rPr>
          <w:lang w:val="en-US"/>
        </w:rPr>
      </w:pPr>
      <w:r>
        <w:rPr>
          <w:rStyle w:val="FootnoteReference"/>
        </w:rPr>
        <w:footnoteRef/>
      </w:r>
      <w:r>
        <w:t xml:space="preserve"> </w:t>
      </w:r>
      <w:r w:rsidRPr="00230864">
        <w:t xml:space="preserve">Australasian Institute of Judicial Administration </w:t>
      </w:r>
      <w:r>
        <w:t xml:space="preserve">(2023). </w:t>
      </w:r>
      <w:r w:rsidRPr="00974658">
        <w:rPr>
          <w:i/>
          <w:iCs/>
        </w:rPr>
        <w:t>New - Coercive Control</w:t>
      </w:r>
      <w:r>
        <w:t xml:space="preserve">. Accessed January 2023: </w:t>
      </w:r>
      <w:hyperlink r:id="rId97" w:history="1">
        <w:r w:rsidRPr="00A45FDA">
          <w:rPr>
            <w:rStyle w:val="Hyperlink"/>
          </w:rPr>
          <w:t>https://aija.org.au/education-hub/</w:t>
        </w:r>
      </w:hyperlink>
      <w:r>
        <w:t xml:space="preserve">. </w:t>
      </w:r>
    </w:p>
  </w:footnote>
  <w:footnote w:id="229">
    <w:p w14:paraId="2FFDC8F5" w14:textId="77777777" w:rsidR="002B32A0" w:rsidRDefault="002B32A0" w:rsidP="002B32A0">
      <w:pPr>
        <w:pStyle w:val="FootnoteText"/>
      </w:pPr>
      <w:r>
        <w:rPr>
          <w:rStyle w:val="FootnoteReference"/>
        </w:rPr>
        <w:footnoteRef/>
      </w:r>
      <w:r>
        <w:t xml:space="preserve"> Council of Australian Law Deans (2020). </w:t>
      </w:r>
      <w:r w:rsidRPr="00974658">
        <w:rPr>
          <w:i/>
          <w:iCs/>
        </w:rPr>
        <w:t>Working Party on First Peoples Partnership: Terms of Reference</w:t>
      </w:r>
      <w:r>
        <w:t xml:space="preserve">. Accessed January 2023: </w:t>
      </w:r>
      <w:hyperlink r:id="rId98" w:history="1">
        <w:r w:rsidRPr="00A45FDA">
          <w:rPr>
            <w:rStyle w:val="Hyperlink"/>
          </w:rPr>
          <w:t>https://cald.asn.au/wp-content/uploads/2020/12/Terms-of-Reference-Working-Party-on-First-Peoples-Partnership-3-Dec-2020.pdf</w:t>
        </w:r>
      </w:hyperlink>
      <w:r>
        <w:t xml:space="preserve">. </w:t>
      </w:r>
    </w:p>
  </w:footnote>
  <w:footnote w:id="230">
    <w:p w14:paraId="3613340C" w14:textId="77777777" w:rsidR="002B32A0" w:rsidRPr="00974658" w:rsidRDefault="002B32A0" w:rsidP="002B32A0">
      <w:pPr>
        <w:pStyle w:val="FootnoteText"/>
        <w:rPr>
          <w:lang w:val="en-US"/>
        </w:rPr>
      </w:pPr>
      <w:r>
        <w:rPr>
          <w:rStyle w:val="FootnoteReference"/>
        </w:rPr>
        <w:footnoteRef/>
      </w:r>
      <w:r>
        <w:t xml:space="preserve"> ANROWS (n.d.). </w:t>
      </w:r>
      <w:r w:rsidRPr="00974658">
        <w:rPr>
          <w:i/>
          <w:iCs/>
        </w:rPr>
        <w:t>2020–2022 ANROWS Core Grant Research Program</w:t>
      </w:r>
      <w:r>
        <w:t xml:space="preserve">. Accessed January 2023: </w:t>
      </w:r>
      <w:hyperlink r:id="rId99" w:history="1">
        <w:r w:rsidRPr="00A45FDA">
          <w:rPr>
            <w:rStyle w:val="Hyperlink"/>
          </w:rPr>
          <w:t>https://www.anrows.org.au/research/2020-2022-anrows-core-grant-research-program/</w:t>
        </w:r>
      </w:hyperlink>
      <w:r>
        <w:t xml:space="preserve">. </w:t>
      </w:r>
    </w:p>
  </w:footnote>
  <w:footnote w:id="231">
    <w:p w14:paraId="19C0906C" w14:textId="77777777" w:rsidR="002B32A0" w:rsidRDefault="002B32A0" w:rsidP="002B32A0">
      <w:pPr>
        <w:pStyle w:val="FootnoteText"/>
      </w:pPr>
      <w:r>
        <w:rPr>
          <w:rStyle w:val="FootnoteReference"/>
        </w:rPr>
        <w:footnoteRef/>
      </w:r>
      <w:r>
        <w:t xml:space="preserve">Australian Bureau of Statistics (2021). </w:t>
      </w:r>
      <w:r w:rsidRPr="00633D69">
        <w:rPr>
          <w:i/>
          <w:iCs/>
        </w:rPr>
        <w:t>Recorded Crime – Victims. Victims of family and domestic violence related offences</w:t>
      </w:r>
      <w:r>
        <w:rPr>
          <w:i/>
          <w:iCs/>
        </w:rPr>
        <w:t>, Table 31</w:t>
      </w:r>
      <w:r>
        <w:t xml:space="preserve">. Accessed February 2023: </w:t>
      </w:r>
      <w:hyperlink r:id="rId100" w:anchor="victims-of-family-and-domestic-violence-related-offences" w:history="1">
        <w:r w:rsidRPr="0084022D">
          <w:rPr>
            <w:rStyle w:val="Hyperlink"/>
          </w:rPr>
          <w:t>https://www.abs.gov.au/statistics/people/crime-and-justice/recorded-crime-victims/latest-release#victims-of-family-and-domestic-violence-related-offences</w:t>
        </w:r>
      </w:hyperlink>
      <w:r>
        <w:t xml:space="preserve">. </w:t>
      </w:r>
    </w:p>
  </w:footnote>
  <w:footnote w:id="232">
    <w:p w14:paraId="0B712D78" w14:textId="77777777" w:rsidR="002B32A0" w:rsidRPr="00345D23" w:rsidRDefault="002B32A0" w:rsidP="002B32A0">
      <w:pPr>
        <w:pStyle w:val="FootnoteText"/>
        <w:rPr>
          <w:lang w:val="en-US"/>
        </w:rPr>
      </w:pPr>
      <w:r>
        <w:rPr>
          <w:rStyle w:val="FootnoteReference"/>
        </w:rPr>
        <w:footnoteRef/>
      </w:r>
      <w:r>
        <w:t xml:space="preserve"> KPMG (2016). </w:t>
      </w:r>
      <w:r w:rsidRPr="00345D23">
        <w:rPr>
          <w:i/>
          <w:iCs/>
        </w:rPr>
        <w:t>The cost of violence against women and their children in Australia Final Report prepared for the Department of Social Services</w:t>
      </w:r>
      <w:r>
        <w:t>. Australia: KPMG.</w:t>
      </w:r>
    </w:p>
  </w:footnote>
  <w:footnote w:id="233">
    <w:p w14:paraId="0FEA0AD8" w14:textId="77777777" w:rsidR="002B32A0" w:rsidRPr="00633D69" w:rsidRDefault="002B32A0" w:rsidP="002B32A0">
      <w:pPr>
        <w:pStyle w:val="FootnoteText"/>
        <w:rPr>
          <w:lang w:val="en-US"/>
        </w:rPr>
      </w:pPr>
      <w:r>
        <w:rPr>
          <w:rStyle w:val="FootnoteReference"/>
        </w:rPr>
        <w:footnoteRef/>
      </w:r>
      <w:r>
        <w:t xml:space="preserve"> </w:t>
      </w:r>
      <w:bookmarkStart w:id="525" w:name="_Hlk129081343"/>
      <w:r w:rsidRPr="00633D69">
        <w:t>The Office of Impact Analysis</w:t>
      </w:r>
      <w:r>
        <w:t xml:space="preserve"> (2021). </w:t>
      </w:r>
      <w:r w:rsidRPr="00673F80">
        <w:rPr>
          <w:i/>
          <w:iCs/>
        </w:rPr>
        <w:t>Best Practice Regulation Guidance Note: Value of statistical life</w:t>
      </w:r>
      <w:r w:rsidRPr="00633D69" w:rsidDel="008D4EF4">
        <w:rPr>
          <w:i/>
          <w:iCs/>
        </w:rPr>
        <w:t>.</w:t>
      </w:r>
      <w:r>
        <w:t xml:space="preserve"> Accessed February 2023: </w:t>
      </w:r>
      <w:hyperlink r:id="rId101" w:history="1">
        <w:r w:rsidRPr="0084022D">
          <w:rPr>
            <w:rStyle w:val="Hyperlink"/>
          </w:rPr>
          <w:t>https://oia.pmc.gov.au/sites/default/files/2021-06/value-of-statistical-life-guidance-note-2.pdf</w:t>
        </w:r>
      </w:hyperlink>
      <w:r>
        <w:t xml:space="preserve">. </w:t>
      </w:r>
      <w:bookmarkEnd w:id="525"/>
    </w:p>
  </w:footnote>
  <w:footnote w:id="234">
    <w:p w14:paraId="20AEC76E" w14:textId="77777777" w:rsidR="002B32A0" w:rsidRPr="00673F80" w:rsidRDefault="002B32A0" w:rsidP="002B32A0">
      <w:pPr>
        <w:pStyle w:val="FootnoteText"/>
        <w:rPr>
          <w:lang w:val="en-US"/>
        </w:rPr>
      </w:pPr>
      <w:r>
        <w:rPr>
          <w:rStyle w:val="FootnoteReference"/>
        </w:rPr>
        <w:footnoteRef/>
      </w:r>
      <w:r>
        <w:t xml:space="preserve"> </w:t>
      </w:r>
      <w:r>
        <w:rPr>
          <w:lang w:val="en-US"/>
        </w:rPr>
        <w:t xml:space="preserve">Which is the central discount rate recommended for the calculation of present values by the Commonwealth Office of Impact Analysis. </w:t>
      </w:r>
    </w:p>
  </w:footnote>
  <w:footnote w:id="235">
    <w:p w14:paraId="6C257AF5" w14:textId="77777777" w:rsidR="002B32A0" w:rsidRPr="00485F97" w:rsidRDefault="002B32A0" w:rsidP="002B32A0">
      <w:pPr>
        <w:pStyle w:val="FootnoteText"/>
        <w:rPr>
          <w:lang w:val="en-US"/>
        </w:rPr>
      </w:pPr>
      <w:r>
        <w:rPr>
          <w:rStyle w:val="FootnoteReference"/>
        </w:rPr>
        <w:footnoteRef/>
      </w:r>
      <w:r>
        <w:t xml:space="preserve"> </w:t>
      </w:r>
      <w:r>
        <w:rPr>
          <w:lang w:val="en-US"/>
        </w:rPr>
        <w:t xml:space="preserve">Douglas, H (2018). </w:t>
      </w:r>
      <w:r w:rsidRPr="00485F97">
        <w:rPr>
          <w:i/>
          <w:iCs/>
          <w:lang w:val="en-US"/>
        </w:rPr>
        <w:t>A red flag for homicide: Should non-fatal strangulation be made a stand-alone criminal offence?</w:t>
      </w:r>
      <w:r>
        <w:rPr>
          <w:lang w:val="en-US"/>
        </w:rPr>
        <w:t xml:space="preserve"> Accessed January 2023: </w:t>
      </w:r>
      <w:hyperlink r:id="rId102" w:history="1">
        <w:r w:rsidRPr="00A45FDA">
          <w:rPr>
            <w:rStyle w:val="Hyperlink"/>
            <w:lang w:val="en-US"/>
          </w:rPr>
          <w:t>https://www.policyforum.net/red-flag-homicide/</w:t>
        </w:r>
      </w:hyperlink>
      <w:r>
        <w:rPr>
          <w:lang w:val="en-US"/>
        </w:rPr>
        <w:t xml:space="preserve">. </w:t>
      </w:r>
    </w:p>
  </w:footnote>
  <w:footnote w:id="236">
    <w:p w14:paraId="74EB0B73" w14:textId="77777777" w:rsidR="002B32A0" w:rsidRPr="00485F97" w:rsidRDefault="002B32A0" w:rsidP="002B32A0">
      <w:pPr>
        <w:pStyle w:val="FootnoteText"/>
        <w:rPr>
          <w:lang w:val="en-US"/>
        </w:rPr>
      </w:pPr>
      <w:r>
        <w:rPr>
          <w:rStyle w:val="FootnoteReference"/>
        </w:rPr>
        <w:footnoteRef/>
      </w:r>
      <w:r>
        <w:t xml:space="preserve"> </w:t>
      </w:r>
      <w:r>
        <w:rPr>
          <w:lang w:val="en-US"/>
        </w:rPr>
        <w:t>Ibid.</w:t>
      </w:r>
    </w:p>
  </w:footnote>
  <w:footnote w:id="237">
    <w:p w14:paraId="7823441E" w14:textId="77777777" w:rsidR="002B32A0" w:rsidRPr="006A1796" w:rsidRDefault="002B32A0" w:rsidP="002B32A0">
      <w:pPr>
        <w:pStyle w:val="FootnoteText"/>
        <w:rPr>
          <w:lang w:val="en-US"/>
        </w:rPr>
      </w:pPr>
      <w:r>
        <w:rPr>
          <w:rStyle w:val="FootnoteReference"/>
        </w:rPr>
        <w:footnoteRef/>
      </w:r>
      <w:r>
        <w:t xml:space="preserve"> LawCite (n.d.). </w:t>
      </w:r>
      <w:r w:rsidRPr="006A1796">
        <w:rPr>
          <w:i/>
          <w:iCs/>
          <w:lang w:val="en-US"/>
        </w:rPr>
        <w:t>Strangulation, Domestic Violence and the Legal Response</w:t>
      </w:r>
      <w:r>
        <w:rPr>
          <w:lang w:val="en-US"/>
        </w:rPr>
        <w:t xml:space="preserve">. Accessed February 2023: </w:t>
      </w:r>
      <w:hyperlink r:id="rId103" w:history="1">
        <w:r w:rsidRPr="0067315C">
          <w:rPr>
            <w:rStyle w:val="Hyperlink"/>
            <w:lang w:val="en-US"/>
          </w:rPr>
          <w:t>http://www.austlii.edu.au/cgi-bin/LawCite?cit=%5b2014%5d%20SydLawRw%2011</w:t>
        </w:r>
      </w:hyperlink>
      <w:r>
        <w:rPr>
          <w:lang w:val="en-US"/>
        </w:rPr>
        <w:t xml:space="preserve">. </w:t>
      </w:r>
    </w:p>
  </w:footnote>
  <w:footnote w:id="238">
    <w:p w14:paraId="7BF93126" w14:textId="77777777" w:rsidR="002B32A0" w:rsidRDefault="002B32A0" w:rsidP="002B32A0">
      <w:pPr>
        <w:pStyle w:val="FootnoteText"/>
      </w:pPr>
      <w:r>
        <w:rPr>
          <w:rStyle w:val="FootnoteReference"/>
        </w:rPr>
        <w:footnoteRef/>
      </w:r>
      <w:r>
        <w:t xml:space="preserve"> </w:t>
      </w:r>
      <w:r w:rsidRPr="009C523E">
        <w:t xml:space="preserve">Queensland Courts </w:t>
      </w:r>
      <w:r>
        <w:t xml:space="preserve">(2022). </w:t>
      </w:r>
      <w:r w:rsidRPr="00974658">
        <w:rPr>
          <w:i/>
          <w:iCs/>
        </w:rPr>
        <w:t>Queensland Courts’ domestic and family violence (DFV) statistics</w:t>
      </w:r>
      <w:r>
        <w:t xml:space="preserve">. Accessed January 2023: </w:t>
      </w:r>
      <w:hyperlink r:id="rId104" w:history="1">
        <w:r w:rsidRPr="00A45FDA">
          <w:rPr>
            <w:rStyle w:val="Hyperlink"/>
          </w:rPr>
          <w:t>https://www.courts.qld.gov.au/court-users/researchers-and-public/stats</w:t>
        </w:r>
      </w:hyperlink>
      <w:r>
        <w:t xml:space="preserve">. </w:t>
      </w:r>
    </w:p>
  </w:footnote>
  <w:footnote w:id="239">
    <w:p w14:paraId="21DF818F" w14:textId="77777777" w:rsidR="002B32A0" w:rsidRDefault="002B32A0" w:rsidP="002B32A0">
      <w:pPr>
        <w:pStyle w:val="FootnoteText"/>
      </w:pPr>
      <w:r>
        <w:rPr>
          <w:rStyle w:val="FootnoteReference"/>
        </w:rPr>
        <w:footnoteRef/>
      </w:r>
      <w:r>
        <w:t xml:space="preserve"> Ibid. </w:t>
      </w:r>
    </w:p>
  </w:footnote>
  <w:footnote w:id="240">
    <w:p w14:paraId="1679FD14" w14:textId="77777777" w:rsidR="002B32A0" w:rsidRPr="00974658" w:rsidRDefault="002B32A0" w:rsidP="002B32A0">
      <w:pPr>
        <w:pStyle w:val="FootnoteText"/>
        <w:rPr>
          <w:lang w:val="en-US"/>
        </w:rPr>
      </w:pPr>
      <w:r>
        <w:rPr>
          <w:rStyle w:val="FootnoteReference"/>
        </w:rPr>
        <w:footnoteRef/>
      </w:r>
      <w:r>
        <w:t xml:space="preserve"> Australian Government Grant Connect (2022). </w:t>
      </w:r>
      <w:r w:rsidRPr="00974658">
        <w:rPr>
          <w:i/>
          <w:iCs/>
        </w:rPr>
        <w:t>Archived Grant Opportunity View - GO5545</w:t>
      </w:r>
      <w:r>
        <w:t xml:space="preserve">. Accessed January 2023: </w:t>
      </w:r>
      <w:hyperlink r:id="rId105" w:history="1">
        <w:r w:rsidRPr="00A45FDA">
          <w:rPr>
            <w:rStyle w:val="Hyperlink"/>
          </w:rPr>
          <w:t>https://www.grants.gov.au/Go/Show?GoUuid=a9fdb376-058f-44c9-b0ff-c5f043268c5a</w:t>
        </w:r>
      </w:hyperlink>
      <w:r>
        <w:t xml:space="preserve">. </w:t>
      </w:r>
    </w:p>
  </w:footnote>
  <w:footnote w:id="241">
    <w:p w14:paraId="60EEAF98" w14:textId="77777777" w:rsidR="002B32A0" w:rsidRDefault="002B32A0" w:rsidP="002B32A0">
      <w:pPr>
        <w:pStyle w:val="FootnoteText"/>
      </w:pPr>
      <w:r>
        <w:rPr>
          <w:rStyle w:val="FootnoteReference"/>
        </w:rPr>
        <w:footnoteRef/>
      </w:r>
      <w:r>
        <w:t xml:space="preserve"> The Discovery Indigenous grant was the main support </w:t>
      </w:r>
      <w:r w:rsidRPr="00304F4C">
        <w:t>for the impacts described in this case study</w:t>
      </w:r>
      <w:r>
        <w:t xml:space="preserve">. However, description of the activities, outputs and outcomes of </w:t>
      </w:r>
      <w:r w:rsidRPr="00304F4C">
        <w:t xml:space="preserve">other prior and follow-on ARC funding from various schemes </w:t>
      </w:r>
      <w:r>
        <w:t xml:space="preserve">have been included, as these were important for the </w:t>
      </w:r>
      <w:r w:rsidRPr="00304F4C">
        <w:t xml:space="preserve">researcher </w:t>
      </w:r>
      <w:r>
        <w:t xml:space="preserve">in </w:t>
      </w:r>
      <w:r w:rsidRPr="00304F4C">
        <w:t xml:space="preserve">supporting </w:t>
      </w:r>
      <w:r>
        <w:t xml:space="preserve">the </w:t>
      </w:r>
      <w:r w:rsidRPr="00304F4C">
        <w:t>delivery of impact.</w:t>
      </w:r>
    </w:p>
  </w:footnote>
  <w:footnote w:id="242">
    <w:p w14:paraId="3FD3576D" w14:textId="77777777" w:rsidR="002B32A0" w:rsidRPr="003C6572" w:rsidRDefault="002B32A0" w:rsidP="002B32A0">
      <w:pPr>
        <w:pStyle w:val="FootnoteText"/>
        <w:rPr>
          <w:lang w:val="en-US"/>
        </w:rPr>
      </w:pPr>
      <w:r>
        <w:rPr>
          <w:rStyle w:val="FootnoteReference"/>
        </w:rPr>
        <w:footnoteRef/>
      </w:r>
      <w:r>
        <w:t xml:space="preserve"> </w:t>
      </w:r>
      <w:r w:rsidRPr="00974658">
        <w:t xml:space="preserve">The approach is based on that outlined in the CSIRO Impact Evaluation Guide. See </w:t>
      </w:r>
      <w:hyperlink r:id="rId106" w:history="1">
        <w:r w:rsidRPr="00974658">
          <w:rPr>
            <w:rStyle w:val="Hyperlink"/>
          </w:rPr>
          <w:t>https://www.csiro.au/~/media/About/Files/Our-impact-framework/CSIROImpactEvaluationGuide_Nov2015_WEB.pdf?la=en&amp;hash=B351D24FB3CE02CB34FB859F2C34AA3940EE6D1F</w:t>
        </w:r>
      </w:hyperlink>
      <w:r w:rsidRPr="00974658">
        <w:t>.</w:t>
      </w:r>
    </w:p>
  </w:footnote>
  <w:footnote w:id="243">
    <w:p w14:paraId="29CDB815" w14:textId="77777777" w:rsidR="002B32A0" w:rsidRDefault="002B32A0" w:rsidP="002B32A0">
      <w:pPr>
        <w:pStyle w:val="FootnoteText"/>
      </w:pPr>
      <w:r>
        <w:rPr>
          <w:rStyle w:val="FootnoteReference"/>
        </w:rPr>
        <w:footnoteRef/>
      </w:r>
      <w:r>
        <w:t xml:space="preserve"> The Discovery Indigenous grant was the main support </w:t>
      </w:r>
      <w:r w:rsidRPr="00304F4C">
        <w:t>for the impacts described in this case study</w:t>
      </w:r>
      <w:r>
        <w:t xml:space="preserve">. However, description of the activities, outputs and outcomes of </w:t>
      </w:r>
      <w:r w:rsidRPr="00304F4C">
        <w:t xml:space="preserve">other prior and follow-on ARC funding from various schemes </w:t>
      </w:r>
      <w:r>
        <w:t xml:space="preserve">have been included, as these were important for the </w:t>
      </w:r>
      <w:r w:rsidRPr="00304F4C">
        <w:t xml:space="preserve">researcher </w:t>
      </w:r>
      <w:r>
        <w:t xml:space="preserve">in </w:t>
      </w:r>
      <w:r w:rsidRPr="00304F4C">
        <w:t xml:space="preserve">supporting </w:t>
      </w:r>
      <w:r>
        <w:t xml:space="preserve">the </w:t>
      </w:r>
      <w:r w:rsidRPr="00304F4C">
        <w:t>delivery of impact.</w:t>
      </w:r>
    </w:p>
  </w:footnote>
  <w:footnote w:id="244">
    <w:p w14:paraId="541BBC0B" w14:textId="77777777" w:rsidR="002B32A0" w:rsidRDefault="002B32A0" w:rsidP="002B32A0">
      <w:pPr>
        <w:pStyle w:val="FootnoteText"/>
      </w:pPr>
      <w:r>
        <w:rPr>
          <w:rStyle w:val="FootnoteReference"/>
        </w:rPr>
        <w:footnoteRef/>
      </w:r>
      <w:r>
        <w:t xml:space="preserve"> </w:t>
      </w:r>
      <w:bookmarkStart w:id="549" w:name="_Hlk129287052"/>
      <w:r>
        <w:t>Australian Government</w:t>
      </w:r>
      <w:r w:rsidRPr="00857EE8">
        <w:t xml:space="preserve"> (</w:t>
      </w:r>
      <w:r w:rsidRPr="00614D96">
        <w:t>2023</w:t>
      </w:r>
      <w:r w:rsidRPr="00857EE8">
        <w:t xml:space="preserve">). </w:t>
      </w:r>
      <w:r w:rsidRPr="00FD5C88">
        <w:rPr>
          <w:i/>
          <w:iCs/>
        </w:rPr>
        <w:t>Closing the gap: targets and outcomes</w:t>
      </w:r>
      <w:r w:rsidRPr="00857EE8">
        <w:t xml:space="preserve">. Accessed February 2023: </w:t>
      </w:r>
      <w:hyperlink r:id="rId107" w:history="1">
        <w:r w:rsidRPr="00612F07">
          <w:rPr>
            <w:rStyle w:val="Hyperlink"/>
          </w:rPr>
          <w:t>https://www.closingthegap.gov.au/national-agreement/targets</w:t>
        </w:r>
      </w:hyperlink>
      <w:r>
        <w:t xml:space="preserve">. </w:t>
      </w:r>
      <w:bookmarkEnd w:id="549"/>
    </w:p>
  </w:footnote>
  <w:footnote w:id="245">
    <w:p w14:paraId="4709D799" w14:textId="77777777" w:rsidR="002B32A0" w:rsidRDefault="002B32A0" w:rsidP="002B32A0">
      <w:pPr>
        <w:pStyle w:val="FootnoteText"/>
      </w:pPr>
      <w:r>
        <w:rPr>
          <w:rStyle w:val="FootnoteReference"/>
        </w:rPr>
        <w:footnoteRef/>
      </w:r>
      <w:r>
        <w:t xml:space="preserve"> Ibid. </w:t>
      </w:r>
    </w:p>
  </w:footnote>
  <w:footnote w:id="246">
    <w:p w14:paraId="5FA0EE1C" w14:textId="77777777" w:rsidR="002B32A0" w:rsidRDefault="002B32A0" w:rsidP="002B32A0">
      <w:pPr>
        <w:pStyle w:val="FootnoteText"/>
      </w:pPr>
      <w:r>
        <w:rPr>
          <w:rStyle w:val="FootnoteReference"/>
        </w:rPr>
        <w:footnoteRef/>
      </w:r>
      <w:r>
        <w:t xml:space="preserve"> </w:t>
      </w:r>
      <w:r w:rsidRPr="0051058F">
        <w:t>Australian Government (2020)</w:t>
      </w:r>
      <w:r>
        <w:t>, p. 24</w:t>
      </w:r>
      <w:r w:rsidRPr="0051058F">
        <w:t xml:space="preserve">. </w:t>
      </w:r>
      <w:r w:rsidRPr="00CD6C37">
        <w:rPr>
          <w:i/>
          <w:iCs/>
        </w:rPr>
        <w:t>Closing the Gap Report 2020</w:t>
      </w:r>
      <w:r w:rsidRPr="0051058F">
        <w:t xml:space="preserve">. </w:t>
      </w:r>
      <w:r>
        <w:t>Canberra: Australian Government.</w:t>
      </w:r>
    </w:p>
  </w:footnote>
  <w:footnote w:id="247">
    <w:p w14:paraId="3BDB86BB" w14:textId="77777777" w:rsidR="002B32A0" w:rsidRDefault="002B32A0" w:rsidP="002B32A0">
      <w:pPr>
        <w:pStyle w:val="FootnoteText"/>
      </w:pPr>
      <w:r>
        <w:rPr>
          <w:rStyle w:val="FootnoteReference"/>
        </w:rPr>
        <w:footnoteRef/>
      </w:r>
      <w:r>
        <w:t xml:space="preserve"> Ibid.</w:t>
      </w:r>
    </w:p>
  </w:footnote>
  <w:footnote w:id="248">
    <w:p w14:paraId="6FCC969D" w14:textId="77777777" w:rsidR="002B32A0" w:rsidRDefault="002B32A0" w:rsidP="002B32A0">
      <w:pPr>
        <w:pStyle w:val="FootnoteText"/>
      </w:pPr>
      <w:r>
        <w:rPr>
          <w:rStyle w:val="FootnoteReference"/>
        </w:rPr>
        <w:footnoteRef/>
      </w:r>
      <w:r>
        <w:t xml:space="preserve"> Ibid, p. 34.</w:t>
      </w:r>
    </w:p>
  </w:footnote>
  <w:footnote w:id="249">
    <w:p w14:paraId="16BAE758" w14:textId="77777777" w:rsidR="002B32A0" w:rsidRDefault="002B32A0" w:rsidP="002B32A0">
      <w:pPr>
        <w:pStyle w:val="FootnoteText"/>
      </w:pPr>
      <w:r>
        <w:rPr>
          <w:rStyle w:val="FootnoteReference"/>
        </w:rPr>
        <w:footnoteRef/>
      </w:r>
      <w:r>
        <w:t xml:space="preserve"> ACARA (2021), p. 6. National report on schooling in Australia. </w:t>
      </w:r>
    </w:p>
  </w:footnote>
  <w:footnote w:id="250">
    <w:p w14:paraId="1B49DA70" w14:textId="77777777" w:rsidR="002B32A0" w:rsidRDefault="002B32A0" w:rsidP="002B32A0">
      <w:pPr>
        <w:pStyle w:val="FootnoteText"/>
      </w:pPr>
      <w:r>
        <w:rPr>
          <w:rStyle w:val="FootnoteReference"/>
        </w:rPr>
        <w:footnoteRef/>
      </w:r>
      <w:r>
        <w:t xml:space="preserve"> </w:t>
      </w:r>
      <w:r w:rsidRPr="0051058F">
        <w:t>Australian Government (2020)</w:t>
      </w:r>
      <w:r>
        <w:t>, p. 34</w:t>
      </w:r>
      <w:r w:rsidRPr="0051058F">
        <w:t xml:space="preserve">. </w:t>
      </w:r>
      <w:r w:rsidRPr="00CD6C37">
        <w:rPr>
          <w:i/>
          <w:iCs/>
        </w:rPr>
        <w:t>Closing the Gap Report 2020</w:t>
      </w:r>
      <w:r w:rsidRPr="0051058F">
        <w:t xml:space="preserve">. </w:t>
      </w:r>
      <w:r>
        <w:t>Canberra: Australian Government.</w:t>
      </w:r>
    </w:p>
  </w:footnote>
  <w:footnote w:id="251">
    <w:p w14:paraId="7B4DA864" w14:textId="77777777" w:rsidR="002B32A0" w:rsidRDefault="002B32A0" w:rsidP="002B32A0">
      <w:pPr>
        <w:pStyle w:val="FootnoteText"/>
      </w:pPr>
      <w:r>
        <w:rPr>
          <w:rStyle w:val="FootnoteReference"/>
        </w:rPr>
        <w:footnoteRef/>
      </w:r>
      <w:r>
        <w:t xml:space="preserve"> </w:t>
      </w:r>
      <w:r w:rsidRPr="0051058F">
        <w:t>Australian Government (2020)</w:t>
      </w:r>
      <w:r>
        <w:t>, p. 41</w:t>
      </w:r>
      <w:r w:rsidRPr="0051058F">
        <w:t xml:space="preserve">. </w:t>
      </w:r>
      <w:r w:rsidRPr="00CD6C37">
        <w:rPr>
          <w:i/>
          <w:iCs/>
        </w:rPr>
        <w:t>Closing the Gap Report 2020</w:t>
      </w:r>
      <w:r w:rsidRPr="0051058F">
        <w:t xml:space="preserve">. </w:t>
      </w:r>
      <w:r>
        <w:t>Canberra: Australian Government.</w:t>
      </w:r>
    </w:p>
  </w:footnote>
  <w:footnote w:id="252">
    <w:p w14:paraId="6D41FCE3" w14:textId="77777777" w:rsidR="002B32A0" w:rsidRDefault="002B32A0" w:rsidP="002B32A0">
      <w:pPr>
        <w:pStyle w:val="FootnoteText"/>
      </w:pPr>
      <w:r>
        <w:rPr>
          <w:rStyle w:val="FootnoteReference"/>
        </w:rPr>
        <w:footnoteRef/>
      </w:r>
      <w:r>
        <w:t xml:space="preserve"> This is in large part</w:t>
      </w:r>
      <w:r w:rsidRPr="002444C2">
        <w:t xml:space="preserve"> driven by progress in major cities, where the gap fell sharply from 26</w:t>
      </w:r>
      <w:r>
        <w:t>%</w:t>
      </w:r>
      <w:r w:rsidRPr="002444C2">
        <w:t xml:space="preserve"> in 2012-13 to 6</w:t>
      </w:r>
      <w:r>
        <w:t>%</w:t>
      </w:r>
      <w:r w:rsidRPr="002444C2">
        <w:t xml:space="preserve"> in 2018-19. The gap was widest in remote areas, at 52</w:t>
      </w:r>
      <w:r>
        <w:t>%</w:t>
      </w:r>
      <w:r w:rsidRPr="002444C2">
        <w:t>.</w:t>
      </w:r>
    </w:p>
    <w:p w14:paraId="178F7459" w14:textId="77777777" w:rsidR="002B32A0" w:rsidRDefault="002B32A0" w:rsidP="002B32A0">
      <w:pPr>
        <w:pStyle w:val="FootnoteText"/>
      </w:pPr>
      <w:r>
        <w:t>Ibid, p. 60.</w:t>
      </w:r>
    </w:p>
  </w:footnote>
  <w:footnote w:id="253">
    <w:p w14:paraId="756F32C0" w14:textId="77777777" w:rsidR="002B32A0" w:rsidRDefault="002B32A0" w:rsidP="002B32A0">
      <w:pPr>
        <w:pStyle w:val="FootnoteText"/>
      </w:pPr>
      <w:r>
        <w:rPr>
          <w:rStyle w:val="FootnoteReference"/>
        </w:rPr>
        <w:footnoteRef/>
      </w:r>
      <w:r>
        <w:t xml:space="preserve"> Australian Institute of Health and Welfare (2020). </w:t>
      </w:r>
      <w:r w:rsidRPr="00CD6C37">
        <w:rPr>
          <w:i/>
          <w:iCs/>
        </w:rPr>
        <w:t>Determinants of health: educational participation and attainment of adults</w:t>
      </w:r>
      <w:r>
        <w:t xml:space="preserve">. Accessed February 2023: </w:t>
      </w:r>
      <w:hyperlink r:id="rId108" w:history="1">
        <w:r w:rsidRPr="00612F07">
          <w:rPr>
            <w:rStyle w:val="Hyperlink"/>
          </w:rPr>
          <w:t>https://www.indigenoushpf.gov.au/measures/2-06-educational-participation</w:t>
        </w:r>
      </w:hyperlink>
      <w:r>
        <w:t xml:space="preserve">. </w:t>
      </w:r>
    </w:p>
  </w:footnote>
  <w:footnote w:id="254">
    <w:p w14:paraId="45FAE756" w14:textId="77777777" w:rsidR="002B32A0" w:rsidRDefault="002B32A0" w:rsidP="002B32A0">
      <w:pPr>
        <w:pStyle w:val="FootnoteText"/>
      </w:pPr>
      <w:r>
        <w:rPr>
          <w:rStyle w:val="FootnoteReference"/>
        </w:rPr>
        <w:footnoteRef/>
      </w:r>
      <w:r>
        <w:t xml:space="preserve"> Note Aboriginal and Torres Strait Islander people comprise 3.8% of Australia’s population. </w:t>
      </w:r>
      <w:r>
        <w:br/>
        <w:t xml:space="preserve">Australian Bureau of Statistics (2021). </w:t>
      </w:r>
      <w:r w:rsidRPr="00CD6C37">
        <w:rPr>
          <w:i/>
          <w:iCs/>
        </w:rPr>
        <w:t>Estimates of Aboriginal and Torres Strait Islander Australians</w:t>
      </w:r>
      <w:r>
        <w:t xml:space="preserve">. Accessed February 2023: </w:t>
      </w:r>
      <w:hyperlink r:id="rId109" w:history="1">
        <w:r w:rsidRPr="004974D8">
          <w:rPr>
            <w:rStyle w:val="Hyperlink"/>
          </w:rPr>
          <w:t>https://www.abs.gov.au/statistics/people/aboriginal-and-torres-strait-islander-peoples/estimates-aboriginal-and-torres-strait-islander-australians/jun-2021</w:t>
        </w:r>
      </w:hyperlink>
      <w:r>
        <w:t>.</w:t>
      </w:r>
    </w:p>
  </w:footnote>
  <w:footnote w:id="255">
    <w:p w14:paraId="4589A42F" w14:textId="77777777" w:rsidR="002B32A0" w:rsidRDefault="002B32A0" w:rsidP="002B32A0">
      <w:pPr>
        <w:pStyle w:val="FootnoteText"/>
      </w:pPr>
      <w:r>
        <w:rPr>
          <w:rStyle w:val="FootnoteReference"/>
        </w:rPr>
        <w:footnoteRef/>
      </w:r>
      <w:r>
        <w:t xml:space="preserve"> The Conversation (</w:t>
      </w:r>
      <w:r w:rsidRPr="008D249C">
        <w:t>2018</w:t>
      </w:r>
      <w:r>
        <w:t xml:space="preserve">). </w:t>
      </w:r>
      <w:r w:rsidRPr="003679D3">
        <w:rPr>
          <w:i/>
          <w:iCs/>
        </w:rPr>
        <w:t>To really close the gap we need more Indigenous university graduates</w:t>
      </w:r>
      <w:r>
        <w:t xml:space="preserve">. Accessed February 2023: </w:t>
      </w:r>
      <w:hyperlink r:id="rId110" w:history="1">
        <w:r w:rsidRPr="004974D8">
          <w:rPr>
            <w:rStyle w:val="Hyperlink"/>
          </w:rPr>
          <w:t>https://theconversation.com/to-really-close-the-gap-we-need-more-indigenous-university-graduates-91493</w:t>
        </w:r>
      </w:hyperlink>
      <w:r>
        <w:t>.</w:t>
      </w:r>
    </w:p>
  </w:footnote>
  <w:footnote w:id="256">
    <w:p w14:paraId="4C6C8606" w14:textId="77777777" w:rsidR="002B32A0" w:rsidRPr="00A83F19" w:rsidRDefault="002B32A0" w:rsidP="002B32A0">
      <w:pPr>
        <w:pStyle w:val="FootnoteText"/>
        <w:rPr>
          <w:lang w:val="en-US"/>
        </w:rPr>
      </w:pPr>
      <w:r>
        <w:rPr>
          <w:rStyle w:val="FootnoteReference"/>
        </w:rPr>
        <w:footnoteRef/>
      </w:r>
      <w:r>
        <w:t xml:space="preserve"> </w:t>
      </w:r>
      <w:r w:rsidRPr="00A83F19">
        <w:t xml:space="preserve">Bradley, D., Noonan, P., Nugent, H., &amp; Scales, B. (2008). </w:t>
      </w:r>
      <w:r w:rsidRPr="00A83F19">
        <w:rPr>
          <w:i/>
          <w:iCs/>
        </w:rPr>
        <w:t>Review of Australian higher education: final report [Bradley review]</w:t>
      </w:r>
      <w:r w:rsidRPr="00A83F19">
        <w:t>. Canberra</w:t>
      </w:r>
      <w:r>
        <w:t>: Australian Government</w:t>
      </w:r>
      <w:r w:rsidRPr="00A83F19">
        <w:t>.</w:t>
      </w:r>
    </w:p>
  </w:footnote>
  <w:footnote w:id="257">
    <w:p w14:paraId="7A5E840B" w14:textId="77777777" w:rsidR="002B32A0" w:rsidRPr="00A83F19" w:rsidRDefault="002B32A0" w:rsidP="002B32A0">
      <w:pPr>
        <w:pStyle w:val="FootnoteText"/>
        <w:rPr>
          <w:lang w:val="en-US"/>
        </w:rPr>
      </w:pPr>
      <w:r>
        <w:rPr>
          <w:rStyle w:val="FootnoteReference"/>
        </w:rPr>
        <w:footnoteRef/>
      </w:r>
      <w:r>
        <w:t xml:space="preserve"> </w:t>
      </w:r>
      <w:r>
        <w:rPr>
          <w:lang w:val="en-US"/>
        </w:rPr>
        <w:t>Ibid.</w:t>
      </w:r>
    </w:p>
  </w:footnote>
  <w:footnote w:id="258">
    <w:p w14:paraId="16FCA178" w14:textId="77777777" w:rsidR="002B32A0" w:rsidRPr="00E60D79" w:rsidRDefault="002B32A0" w:rsidP="002B32A0">
      <w:pPr>
        <w:pStyle w:val="FootnoteText"/>
        <w:rPr>
          <w:lang w:val="en-US"/>
        </w:rPr>
      </w:pPr>
      <w:r>
        <w:rPr>
          <w:rStyle w:val="FootnoteReference"/>
        </w:rPr>
        <w:footnoteRef/>
      </w:r>
      <w:r>
        <w:t xml:space="preserve"> </w:t>
      </w:r>
      <w:r>
        <w:rPr>
          <w:lang w:val="en-US"/>
        </w:rPr>
        <w:t xml:space="preserve">See National Report at </w:t>
      </w:r>
      <w:hyperlink r:id="rId111" w:history="1">
        <w:r w:rsidRPr="008F2E71">
          <w:rPr>
            <w:rStyle w:val="Hyperlink"/>
            <w:lang w:val="en-US"/>
          </w:rPr>
          <w:t>https://www.education.gov.au/aboriginal-and-torres-strait-islander-higher-education/review-higher-education-access-and-outcomes-aboriginal-and-torres-strait-islander-people</w:t>
        </w:r>
      </w:hyperlink>
      <w:r>
        <w:rPr>
          <w:lang w:val="en-US"/>
        </w:rPr>
        <w:t xml:space="preserve"> </w:t>
      </w:r>
    </w:p>
  </w:footnote>
  <w:footnote w:id="259">
    <w:p w14:paraId="74CB3BA7" w14:textId="77777777" w:rsidR="002B32A0" w:rsidRDefault="002B32A0" w:rsidP="002B32A0">
      <w:pPr>
        <w:pStyle w:val="FootnoteText"/>
      </w:pPr>
      <w:r>
        <w:rPr>
          <w:rStyle w:val="FootnoteReference"/>
        </w:rPr>
        <w:footnoteRef/>
      </w:r>
      <w:r>
        <w:t xml:space="preserve"> Australian Institute of Health and Welfare (2022). </w:t>
      </w:r>
      <w:r w:rsidRPr="00D02647">
        <w:rPr>
          <w:i/>
          <w:iCs/>
        </w:rPr>
        <w:t>Determinants of health for Indigenous Australians</w:t>
      </w:r>
      <w:r>
        <w:t xml:space="preserve">. Accessed February 2023: </w:t>
      </w:r>
      <w:hyperlink r:id="rId112" w:history="1">
        <w:r w:rsidRPr="004974D8">
          <w:rPr>
            <w:rStyle w:val="Hyperlink"/>
          </w:rPr>
          <w:t>https://www.aihw.gov.au/reports/australias-health/social-determinants-and-indigenous-health</w:t>
        </w:r>
      </w:hyperlink>
      <w:r>
        <w:t>.</w:t>
      </w:r>
    </w:p>
  </w:footnote>
  <w:footnote w:id="260">
    <w:p w14:paraId="33BC6550" w14:textId="77777777" w:rsidR="002B32A0" w:rsidRDefault="002B32A0" w:rsidP="002B32A0">
      <w:pPr>
        <w:pStyle w:val="FootnoteText"/>
      </w:pPr>
      <w:r>
        <w:rPr>
          <w:rStyle w:val="FootnoteReference"/>
        </w:rPr>
        <w:footnoteRef/>
      </w:r>
      <w:r>
        <w:t xml:space="preserve"> </w:t>
      </w:r>
      <w:r w:rsidRPr="00487902">
        <w:t xml:space="preserve">Australian Institute of Health and Welfare (2023). </w:t>
      </w:r>
      <w:r w:rsidRPr="00D02647">
        <w:rPr>
          <w:i/>
          <w:iCs/>
        </w:rPr>
        <w:t>Aboriginal and Torres Strait Islander Health Performance Framework: Summary report 2023</w:t>
      </w:r>
      <w:r w:rsidRPr="00487902">
        <w:t>. Accessed February 2023</w:t>
      </w:r>
      <w:r>
        <w:t>:</w:t>
      </w:r>
      <w:r w:rsidRPr="00D02647">
        <w:t xml:space="preserve"> </w:t>
      </w:r>
      <w:hyperlink r:id="rId113" w:history="1">
        <w:r w:rsidRPr="004974D8">
          <w:rPr>
            <w:rStyle w:val="Hyperlink"/>
          </w:rPr>
          <w:t>https://www.indigenoushpf.gov.au/report-overview/overview/summary-report</w:t>
        </w:r>
      </w:hyperlink>
      <w:r>
        <w:t>.</w:t>
      </w:r>
    </w:p>
  </w:footnote>
  <w:footnote w:id="261">
    <w:p w14:paraId="5D877A6A" w14:textId="77777777" w:rsidR="002B32A0" w:rsidRDefault="002B32A0" w:rsidP="002B32A0">
      <w:pPr>
        <w:pStyle w:val="FootnoteText"/>
      </w:pPr>
      <w:r>
        <w:rPr>
          <w:rStyle w:val="FootnoteReference"/>
        </w:rPr>
        <w:footnoteRef/>
      </w:r>
      <w:r>
        <w:t xml:space="preserve"> Australian Institute of Health and Welfare (2022). </w:t>
      </w:r>
      <w:hyperlink r:id="rId114" w:history="1">
        <w:r w:rsidRPr="00A014AC">
          <w:rPr>
            <w:rStyle w:val="Hyperlink"/>
          </w:rPr>
          <w:t>Op</w:t>
        </w:r>
      </w:hyperlink>
      <w:r w:rsidRPr="00A014AC">
        <w:t>. cit</w:t>
      </w:r>
      <w:r>
        <w:t>.</w:t>
      </w:r>
    </w:p>
  </w:footnote>
  <w:footnote w:id="262">
    <w:p w14:paraId="317011DF" w14:textId="77777777" w:rsidR="002B32A0" w:rsidRDefault="002B32A0" w:rsidP="002B32A0">
      <w:pPr>
        <w:pStyle w:val="FootnoteText"/>
      </w:pPr>
      <w:r>
        <w:rPr>
          <w:rStyle w:val="FootnoteReference"/>
        </w:rPr>
        <w:footnoteRef/>
      </w:r>
      <w:r>
        <w:t xml:space="preserve"> Nakata, M., Nakata, V., Day, A. and Peachey, M. (2017). </w:t>
      </w:r>
      <w:r w:rsidRPr="0089093D">
        <w:t>Closing Gaps in Indigenous Undergraduate Higher Education Outcomes: Repositioning the Role of Student Support Services to Improve Retention and Completion Rates. The Australian Journal of Indigenous Education, 48(01), pp.1–11.</w:t>
      </w:r>
    </w:p>
  </w:footnote>
  <w:footnote w:id="263">
    <w:p w14:paraId="336A57ED" w14:textId="77777777" w:rsidR="002B32A0" w:rsidRDefault="002B32A0" w:rsidP="002B32A0">
      <w:pPr>
        <w:pStyle w:val="FootnoteText"/>
      </w:pPr>
      <w:r w:rsidRPr="001F7EB1">
        <w:rPr>
          <w:rStyle w:val="FootnoteReference"/>
        </w:rPr>
        <w:footnoteRef/>
      </w:r>
      <w:r w:rsidRPr="001F7EB1">
        <w:t xml:space="preserve"> Universities Australia (2020</w:t>
      </w:r>
      <w:r w:rsidRPr="001F7EB1">
        <w:rPr>
          <w:i/>
          <w:iCs/>
        </w:rPr>
        <w:t>). Indigenous strategy annual report</w:t>
      </w:r>
      <w:r w:rsidRPr="001F7EB1">
        <w:t>. Canberra: Universities Australia.</w:t>
      </w:r>
    </w:p>
  </w:footnote>
  <w:footnote w:id="264">
    <w:p w14:paraId="11BBF69E" w14:textId="77777777" w:rsidR="002B32A0" w:rsidRPr="00D37767" w:rsidRDefault="002B32A0" w:rsidP="002B32A0">
      <w:pPr>
        <w:pStyle w:val="FootnoteText"/>
        <w:rPr>
          <w:lang w:val="en-US"/>
        </w:rPr>
      </w:pPr>
      <w:r>
        <w:rPr>
          <w:rStyle w:val="FootnoteReference"/>
        </w:rPr>
        <w:footnoteRef/>
      </w:r>
      <w:r>
        <w:t xml:space="preserve"> </w:t>
      </w:r>
      <w:r>
        <w:rPr>
          <w:lang w:val="en-US"/>
        </w:rPr>
        <w:t xml:space="preserve">See 4-year cohort report of Indigenous degree completions at </w:t>
      </w:r>
      <w:hyperlink r:id="rId115" w:history="1">
        <w:r w:rsidRPr="004974D8">
          <w:rPr>
            <w:rStyle w:val="Hyperlink"/>
            <w:lang w:val="en-US"/>
          </w:rPr>
          <w:t>https://www.education.gov.au/higher-education-statistics</w:t>
        </w:r>
      </w:hyperlink>
      <w:r>
        <w:rPr>
          <w:lang w:val="en-US"/>
        </w:rPr>
        <w:t>.</w:t>
      </w:r>
    </w:p>
  </w:footnote>
  <w:footnote w:id="265">
    <w:p w14:paraId="72F0C4DE" w14:textId="77777777" w:rsidR="002B32A0" w:rsidRPr="00237F46" w:rsidRDefault="002B32A0" w:rsidP="002B32A0">
      <w:pPr>
        <w:pStyle w:val="FootnoteText"/>
        <w:rPr>
          <w:lang w:val="en-US"/>
        </w:rPr>
      </w:pPr>
      <w:r>
        <w:rPr>
          <w:rStyle w:val="FootnoteReference"/>
        </w:rPr>
        <w:footnoteRef/>
      </w:r>
      <w:r>
        <w:t xml:space="preserve"> The partner organisation contributing cash support was the </w:t>
      </w:r>
      <w:r w:rsidRPr="00237F46">
        <w:t xml:space="preserve">University of South </w:t>
      </w:r>
      <w:r>
        <w:t>Australia.</w:t>
      </w:r>
    </w:p>
  </w:footnote>
  <w:footnote w:id="266">
    <w:p w14:paraId="19BD5EB4" w14:textId="689C4C31" w:rsidR="002B32A0" w:rsidRPr="00237F46" w:rsidRDefault="002B32A0" w:rsidP="002B32A0">
      <w:pPr>
        <w:pStyle w:val="FootnoteText"/>
        <w:rPr>
          <w:lang w:val="en-US"/>
        </w:rPr>
      </w:pPr>
      <w:r>
        <w:rPr>
          <w:rStyle w:val="FootnoteReference"/>
        </w:rPr>
        <w:footnoteRef/>
      </w:r>
      <w:r>
        <w:t xml:space="preserve"> The partner organisations contributing cash and in-kind support </w:t>
      </w:r>
      <w:r w:rsidR="00054253">
        <w:t>were</w:t>
      </w:r>
      <w:r>
        <w:t xml:space="preserve"> Griffith University, Australian Consortium for Social and Political Research Inc, The Australian National University (ANU), The University of Melbourne (UMelb), The University of Queensland (UQ), The University of Western Australia (UWA), University of Technology Sydney (UTS).</w:t>
      </w:r>
    </w:p>
  </w:footnote>
  <w:footnote w:id="267">
    <w:p w14:paraId="10E6E228" w14:textId="2FA8C0CB" w:rsidR="002B32A0" w:rsidRPr="00237F46" w:rsidRDefault="002B32A0" w:rsidP="002B32A0">
      <w:pPr>
        <w:pStyle w:val="FootnoteText"/>
        <w:rPr>
          <w:lang w:val="en-US"/>
        </w:rPr>
      </w:pPr>
      <w:r>
        <w:rPr>
          <w:rStyle w:val="FootnoteReference"/>
        </w:rPr>
        <w:footnoteRef/>
      </w:r>
      <w:r>
        <w:t xml:space="preserve"> The partner organisations contributing cash and in-kind support </w:t>
      </w:r>
      <w:r w:rsidR="00054253">
        <w:t>were</w:t>
      </w:r>
      <w:r>
        <w:t xml:space="preserve"> ANU, UMelb, UQ, UWA, UTS.</w:t>
      </w:r>
    </w:p>
  </w:footnote>
  <w:footnote w:id="268">
    <w:p w14:paraId="047EC5F1" w14:textId="77777777" w:rsidR="002B32A0" w:rsidRPr="00237F46" w:rsidRDefault="002B32A0" w:rsidP="002B32A0">
      <w:pPr>
        <w:pStyle w:val="FootnoteText"/>
        <w:rPr>
          <w:lang w:val="en-US"/>
        </w:rPr>
      </w:pPr>
      <w:r>
        <w:rPr>
          <w:rStyle w:val="FootnoteReference"/>
        </w:rPr>
        <w:footnoteRef/>
      </w:r>
      <w:r>
        <w:t xml:space="preserve"> The partner organisations contributing cash and in-kind support were: AARNet Pty Ltd, Australian National Maritime Museum, City University of Hong Kong, Intersect Australia Ltd, Museum Victoria, National Museum of Australia, RMIT University, UNSW, UWA, The Walter and Eliza Hall Institute of Medical Research, University of Canberra, University of Tasmania, Western Sydney University.</w:t>
      </w:r>
    </w:p>
  </w:footnote>
  <w:footnote w:id="269">
    <w:p w14:paraId="0E7C64E1" w14:textId="77777777" w:rsidR="002B32A0" w:rsidRPr="00237F46" w:rsidRDefault="002B32A0" w:rsidP="002B32A0">
      <w:pPr>
        <w:pStyle w:val="FootnoteText"/>
        <w:rPr>
          <w:lang w:val="en-US"/>
        </w:rPr>
      </w:pPr>
      <w:r>
        <w:rPr>
          <w:rStyle w:val="FootnoteReference"/>
        </w:rPr>
        <w:footnoteRef/>
      </w:r>
      <w:r>
        <w:t xml:space="preserve"> The partner organisations contributing cash and in-kind support were: the Australian Museum, ANU, Bioplatforms Australia Ltd, Indonesian National Centre for Archaeology, James Cook University, Max Planck Institute for the Science of Human History, Monash University, Natural History Museum of Denmark, Papua New Guinea National Museum and Art Gallery, Queensland Museum, Scarp Archaeology Pty Ltd, South Australian Museum, State Library of New South Wales, The University of Adelaide, UNSW, University of Colorado (Boulder), University of Papua New Guinea, University of Savoy, University of Tasmania and University of Wollongong.</w:t>
      </w:r>
    </w:p>
  </w:footnote>
  <w:footnote w:id="270">
    <w:p w14:paraId="5536B34D" w14:textId="77777777" w:rsidR="002B32A0" w:rsidRPr="00750B29" w:rsidRDefault="002B32A0" w:rsidP="002B32A0">
      <w:pPr>
        <w:pStyle w:val="FootnoteText"/>
        <w:rPr>
          <w:lang w:val="en-US"/>
        </w:rPr>
      </w:pPr>
      <w:r>
        <w:rPr>
          <w:rStyle w:val="FootnoteReference"/>
        </w:rPr>
        <w:footnoteRef/>
      </w:r>
      <w:r>
        <w:t xml:space="preserve"> 8Ways (n.d.). </w:t>
      </w:r>
      <w:r w:rsidRPr="00750B29">
        <w:rPr>
          <w:i/>
          <w:iCs/>
        </w:rPr>
        <w:t>Interface Theory</w:t>
      </w:r>
      <w:r>
        <w:t xml:space="preserve">. Accessed February 2023: </w:t>
      </w:r>
      <w:hyperlink r:id="rId116" w:history="1">
        <w:r w:rsidRPr="008B6B54">
          <w:rPr>
            <w:rStyle w:val="Hyperlink"/>
          </w:rPr>
          <w:t>https://www.8ways.online/interface-theory</w:t>
        </w:r>
      </w:hyperlink>
      <w:r>
        <w:rPr>
          <w:rStyle w:val="Hyperlink"/>
        </w:rPr>
        <w:t>.</w:t>
      </w:r>
    </w:p>
  </w:footnote>
  <w:footnote w:id="271">
    <w:p w14:paraId="2E896737" w14:textId="77777777" w:rsidR="002B32A0" w:rsidRPr="007F7065" w:rsidRDefault="002B32A0" w:rsidP="002B32A0">
      <w:pPr>
        <w:pStyle w:val="FootnoteText"/>
        <w:rPr>
          <w:lang w:val="en-US"/>
        </w:rPr>
      </w:pPr>
      <w:r>
        <w:rPr>
          <w:rStyle w:val="FootnoteReference"/>
        </w:rPr>
        <w:footnoteRef/>
      </w:r>
      <w:r>
        <w:t xml:space="preserve"> WillowSoft (2019). </w:t>
      </w:r>
      <w:r w:rsidRPr="007F7065">
        <w:rPr>
          <w:i/>
          <w:iCs/>
        </w:rPr>
        <w:t>WillowSoft Student Success</w:t>
      </w:r>
      <w:r>
        <w:t xml:space="preserve">. Accessed February 2023: </w:t>
      </w:r>
      <w:hyperlink r:id="rId117" w:history="1">
        <w:r w:rsidRPr="00247E01">
          <w:rPr>
            <w:rStyle w:val="Hyperlink"/>
          </w:rPr>
          <w:t>https://www.willowsoft.com.au/</w:t>
        </w:r>
      </w:hyperlink>
      <w:r>
        <w:t xml:space="preserve">. </w:t>
      </w:r>
    </w:p>
  </w:footnote>
  <w:footnote w:id="272">
    <w:p w14:paraId="68498571" w14:textId="77777777" w:rsidR="002B32A0" w:rsidRDefault="002B32A0" w:rsidP="002B32A0">
      <w:pPr>
        <w:pStyle w:val="FootnoteText"/>
      </w:pPr>
      <w:r>
        <w:rPr>
          <w:rStyle w:val="FootnoteReference"/>
        </w:rPr>
        <w:footnoteRef/>
      </w:r>
      <w:r>
        <w:t xml:space="preserve"> Australian Government</w:t>
      </w:r>
      <w:r w:rsidRPr="00857EE8">
        <w:t xml:space="preserve"> (</w:t>
      </w:r>
      <w:r w:rsidRPr="00614D96">
        <w:t>2023</w:t>
      </w:r>
      <w:r w:rsidRPr="00857EE8">
        <w:t xml:space="preserve">). </w:t>
      </w:r>
      <w:r w:rsidRPr="00BF5FB4">
        <w:t>Op. cit</w:t>
      </w:r>
      <w:r>
        <w:t xml:space="preserve">. </w:t>
      </w:r>
    </w:p>
  </w:footnote>
  <w:footnote w:id="273">
    <w:p w14:paraId="67911F6F" w14:textId="77777777" w:rsidR="002B32A0" w:rsidRDefault="002B32A0" w:rsidP="002B32A0">
      <w:pPr>
        <w:pStyle w:val="FootnoteText"/>
      </w:pPr>
      <w:r>
        <w:rPr>
          <w:rStyle w:val="FootnoteReference"/>
        </w:rPr>
        <w:footnoteRef/>
      </w:r>
      <w:r>
        <w:t xml:space="preserve"> Australian Government</w:t>
      </w:r>
      <w:r w:rsidRPr="00857EE8">
        <w:t xml:space="preserve"> (</w:t>
      </w:r>
      <w:r w:rsidRPr="00614D96">
        <w:t>2023</w:t>
      </w:r>
      <w:r w:rsidRPr="00857EE8">
        <w:t xml:space="preserve">). </w:t>
      </w:r>
      <w:r w:rsidRPr="00BF5FB4">
        <w:t>Op. cit</w:t>
      </w:r>
      <w:r>
        <w:t xml:space="preserve">. </w:t>
      </w:r>
    </w:p>
  </w:footnote>
  <w:footnote w:id="274">
    <w:p w14:paraId="456FC7EE" w14:textId="77777777" w:rsidR="002B32A0" w:rsidRDefault="002B32A0" w:rsidP="002B32A0">
      <w:pPr>
        <w:pStyle w:val="FootnoteText"/>
      </w:pPr>
      <w:r>
        <w:rPr>
          <w:rStyle w:val="FootnoteReference"/>
        </w:rPr>
        <w:footnoteRef/>
      </w:r>
      <w:r>
        <w:t xml:space="preserve"> Ibid.</w:t>
      </w:r>
    </w:p>
  </w:footnote>
  <w:footnote w:id="275">
    <w:p w14:paraId="6C55D0CC" w14:textId="77777777" w:rsidR="002B32A0" w:rsidRDefault="002B32A0" w:rsidP="002B32A0">
      <w:pPr>
        <w:pStyle w:val="FootnoteText"/>
      </w:pPr>
      <w:r>
        <w:rPr>
          <w:rStyle w:val="FootnoteReference"/>
        </w:rPr>
        <w:footnoteRef/>
      </w:r>
      <w:r>
        <w:t xml:space="preserve"> Universities Australia (2022). </w:t>
      </w:r>
      <w:r w:rsidRPr="00BF5FB4">
        <w:rPr>
          <w:i/>
          <w:iCs/>
        </w:rPr>
        <w:t>Indigenous Strategy 2022-25</w:t>
      </w:r>
      <w:r>
        <w:t xml:space="preserve">. Accessed February 2023: </w:t>
      </w:r>
      <w:hyperlink r:id="rId118" w:history="1">
        <w:r w:rsidRPr="0067315C">
          <w:rPr>
            <w:rStyle w:val="Hyperlink"/>
          </w:rPr>
          <w:t>https://www.universitiesaustralia.edu.au/wp-content/uploads/2022/03/UA-Indigenous-Strategy-2022-25.pdf</w:t>
        </w:r>
      </w:hyperlink>
      <w:r>
        <w:t xml:space="preserve">. </w:t>
      </w:r>
    </w:p>
  </w:footnote>
  <w:footnote w:id="276">
    <w:p w14:paraId="33380C0F" w14:textId="77777777" w:rsidR="002B32A0" w:rsidRPr="007C48C9" w:rsidRDefault="002B32A0" w:rsidP="002B32A0">
      <w:pPr>
        <w:pStyle w:val="FootnoteText"/>
      </w:pPr>
      <w:r>
        <w:rPr>
          <w:rStyle w:val="FootnoteReference"/>
        </w:rPr>
        <w:footnoteRef/>
      </w:r>
      <w:r>
        <w:t xml:space="preserve"> Professor Nakata noted that this was an important part of the support program, to ensure that students are able to graduate with their student debt minimised.</w:t>
      </w:r>
    </w:p>
  </w:footnote>
  <w:footnote w:id="277">
    <w:p w14:paraId="08336F4C" w14:textId="77777777" w:rsidR="002B32A0" w:rsidRPr="008551CE" w:rsidRDefault="002B32A0" w:rsidP="002B32A0">
      <w:pPr>
        <w:pStyle w:val="FootnoteText"/>
      </w:pPr>
      <w:r>
        <w:rPr>
          <w:rStyle w:val="FootnoteReference"/>
        </w:rPr>
        <w:footnoteRef/>
      </w:r>
      <w:r>
        <w:t xml:space="preserve"> QILT (2021). </w:t>
      </w:r>
      <w:r w:rsidRPr="003679D3">
        <w:rPr>
          <w:i/>
          <w:iCs/>
        </w:rPr>
        <w:t>Graduate incomes data</w:t>
      </w:r>
      <w:r>
        <w:t xml:space="preserve">. Accessed March 2023: </w:t>
      </w:r>
      <w:hyperlink r:id="rId119" w:history="1">
        <w:r w:rsidRPr="004974D8">
          <w:rPr>
            <w:rStyle w:val="Hyperlink"/>
          </w:rPr>
          <w:t>https://www.qilt.edu.au/general/article/2021/11/04/graduate-incomes-data</w:t>
        </w:r>
      </w:hyperlink>
      <w:r>
        <w:t>.</w:t>
      </w:r>
    </w:p>
  </w:footnote>
  <w:footnote w:id="278">
    <w:p w14:paraId="384173E7" w14:textId="77777777" w:rsidR="002B32A0" w:rsidRPr="009A0713" w:rsidRDefault="002B32A0" w:rsidP="002B32A0">
      <w:pPr>
        <w:pStyle w:val="FootnoteText"/>
      </w:pPr>
      <w:r>
        <w:rPr>
          <w:rStyle w:val="FootnoteReference"/>
        </w:rPr>
        <w:footnoteRef/>
      </w:r>
      <w:r>
        <w:t xml:space="preserve"> Other sources with income estimation sources include </w:t>
      </w:r>
      <w:hyperlink r:id="rId120" w:history="1">
        <w:r w:rsidRPr="004974D8">
          <w:rPr>
            <w:rStyle w:val="Hyperlink"/>
          </w:rPr>
          <w:t>https://www.payscale.com/research-and-insights/peak-earnings-data-visualization/</w:t>
        </w:r>
      </w:hyperlink>
      <w:r w:rsidRPr="00C60917">
        <w:t xml:space="preserve"> and </w:t>
      </w:r>
      <w:hyperlink r:id="rId121" w:history="1">
        <w:r w:rsidRPr="004974D8">
          <w:rPr>
            <w:rStyle w:val="Hyperlink"/>
          </w:rPr>
          <w:t>https://theconversation.com/three-charts-on-teachers-pay-in-australia-it-starts-out-ok-but-goes-downhill-pretty-quickly-122782</w:t>
        </w:r>
      </w:hyperlink>
      <w:r>
        <w:t>.</w:t>
      </w:r>
    </w:p>
  </w:footnote>
  <w:footnote w:id="279">
    <w:p w14:paraId="42082EB9" w14:textId="77777777" w:rsidR="002B32A0" w:rsidRPr="00CA0130" w:rsidRDefault="002B32A0" w:rsidP="002B32A0">
      <w:pPr>
        <w:pStyle w:val="FootnoteText"/>
      </w:pPr>
      <w:r>
        <w:rPr>
          <w:rStyle w:val="FootnoteReference"/>
        </w:rPr>
        <w:footnoteRef/>
      </w:r>
      <w:r>
        <w:t xml:space="preserve"> The reason that 2 years of fees is counted rather than 3 (the assumed average length of a bachelor’s degree in this model) is because it is assumed that the non-retained students will pay one year of fees before dropping out, and the cost model only counts the difference between retained and non-retained student costs.</w:t>
      </w:r>
    </w:p>
  </w:footnote>
  <w:footnote w:id="280">
    <w:p w14:paraId="4EF545D3" w14:textId="77777777" w:rsidR="002B32A0" w:rsidRPr="00CB6960" w:rsidRDefault="002B32A0" w:rsidP="002B32A0">
      <w:pPr>
        <w:pStyle w:val="FootnoteText"/>
      </w:pPr>
      <w:r>
        <w:rPr>
          <w:rStyle w:val="FootnoteReference"/>
        </w:rPr>
        <w:footnoteRef/>
      </w:r>
      <w:r>
        <w:t xml:space="preserve"> </w:t>
      </w:r>
      <w:r w:rsidRPr="00CB6960">
        <w:t xml:space="preserve">To illustrate how the model works, we will take a student who graduates at the end of 2019 and begins working in 2020. Based on </w:t>
      </w:r>
      <w:r>
        <w:t xml:space="preserve">Commonwealth </w:t>
      </w:r>
      <w:r w:rsidRPr="00CB6960">
        <w:t>D</w:t>
      </w:r>
      <w:r>
        <w:t>epartment of Education</w:t>
      </w:r>
      <w:r w:rsidRPr="00CB6960">
        <w:t xml:space="preserve"> analysis, it is estimated that the student’s income will grow from $58,000 in year one to $82,000 in year ten of employment, and by 25 years of employment their income would have grown to $103,950. This is compared to a sub-bachelor’s degree income, which is estimated to be $40,300 in year one, $73,100 in year 10, but plateau</w:t>
      </w:r>
      <w:r>
        <w:t xml:space="preserve">s </w:t>
      </w:r>
      <w:r w:rsidRPr="00CB6960">
        <w:t xml:space="preserve">at $76,755 by year 20 and does not increase over the remaining analysis period. The difference in income each year is multiplied by the number of students retained in that graduate cohort. The number of students retained is found by identifying the difference in retention rate between the counterfactual (scenario with no support program) and reference case (scenario with support program) and multiplying the difference with the number of </w:t>
      </w:r>
      <w:r>
        <w:t>i</w:t>
      </w:r>
      <w:r w:rsidRPr="00CB6960">
        <w:t xml:space="preserve">ndigenous students </w:t>
      </w:r>
      <w:r>
        <w:t>supported by the program (1,086)</w:t>
      </w:r>
      <w:r w:rsidRPr="00CB6960">
        <w:t>. This gives the additional income generated by the retained student each year and is repeated for every graduate cohort in the analysis period (2020 graduate cohort to 2044 graduate cohort)</w:t>
      </w:r>
      <w:r>
        <w:t xml:space="preserve">, out to the year 2044. The nominal benefit counted in 2020 is the additional income generated by the retained students in their first year of employment, which is </w:t>
      </w:r>
      <w:r w:rsidRPr="002A6EFD">
        <w:t>$1,185,803</w:t>
      </w:r>
      <w:r>
        <w:t xml:space="preserve"> in total.</w:t>
      </w:r>
    </w:p>
  </w:footnote>
  <w:footnote w:id="281">
    <w:p w14:paraId="32848898" w14:textId="77777777" w:rsidR="002B32A0" w:rsidRPr="0029419F" w:rsidRDefault="002B32A0" w:rsidP="002B32A0">
      <w:pPr>
        <w:pStyle w:val="FootnoteText"/>
      </w:pPr>
      <w:r>
        <w:rPr>
          <w:rStyle w:val="FootnoteReference"/>
        </w:rPr>
        <w:footnoteRef/>
      </w:r>
      <w:r>
        <w:t xml:space="preserve"> The 3% and 10% discount rates are the Federal Government Office of Impact Analysis’ recommended rates for sensitivity testing. Refer: </w:t>
      </w:r>
      <w:r w:rsidRPr="0029419F">
        <w:t>https://oia.pmc.gov.au/sites/default/files/2021-09/cost-benefit-analysis.pdf</w:t>
      </w:r>
    </w:p>
  </w:footnote>
  <w:footnote w:id="282">
    <w:p w14:paraId="2178FA00" w14:textId="77777777" w:rsidR="002B32A0" w:rsidRPr="006A0544" w:rsidRDefault="002B32A0" w:rsidP="002B32A0">
      <w:pPr>
        <w:pStyle w:val="FootnoteText"/>
        <w:rPr>
          <w:lang w:val="en-US"/>
        </w:rPr>
      </w:pPr>
      <w:r>
        <w:rPr>
          <w:rStyle w:val="FootnoteReference"/>
        </w:rPr>
        <w:footnoteRef/>
      </w:r>
      <w:r>
        <w:t xml:space="preserve"> Quality Indicators for Learning and Teaching (2021). </w:t>
      </w:r>
      <w:r w:rsidRPr="006A0544">
        <w:rPr>
          <w:i/>
          <w:iCs/>
        </w:rPr>
        <w:t>Graduate incomes data</w:t>
      </w:r>
      <w:r>
        <w:t xml:space="preserve">. Accessed February 2023: </w:t>
      </w:r>
      <w:hyperlink r:id="rId122" w:history="1">
        <w:r w:rsidRPr="00247E01">
          <w:rPr>
            <w:rStyle w:val="Hyperlink"/>
          </w:rPr>
          <w:t>https://www.qilt.edu.au/general/article/2021/11/04/graduate-incomes-data</w:t>
        </w:r>
      </w:hyperlink>
      <w:r>
        <w:t xml:space="preserve">. </w:t>
      </w:r>
    </w:p>
  </w:footnote>
  <w:footnote w:id="283">
    <w:p w14:paraId="391B901E" w14:textId="77777777" w:rsidR="002B32A0" w:rsidRPr="003C6572" w:rsidRDefault="002B32A0" w:rsidP="002B32A0">
      <w:pPr>
        <w:pStyle w:val="FootnoteText"/>
        <w:rPr>
          <w:lang w:val="en-US"/>
        </w:rPr>
      </w:pPr>
      <w:r>
        <w:rPr>
          <w:rStyle w:val="FootnoteReference"/>
        </w:rPr>
        <w:footnoteRef/>
      </w:r>
      <w:r>
        <w:t xml:space="preserve"> </w:t>
      </w:r>
      <w:r w:rsidRPr="00974658">
        <w:t xml:space="preserve">The approach is based on that outlined in the CSIRO Impact Evaluation Guide. See </w:t>
      </w:r>
      <w:hyperlink r:id="rId123" w:history="1">
        <w:r w:rsidRPr="00974658">
          <w:rPr>
            <w:rStyle w:val="Hyperlink"/>
          </w:rPr>
          <w:t>https://www.csiro.au/~/media/About/Files/Our-impact-framework/CSIROImpactEvaluationGuide_Nov2015_WEB.pdf?la=en&amp;hash=B351D24FB3CE02CB34FB859F2C34AA3940EE6D1F</w:t>
        </w:r>
      </w:hyperlink>
      <w:r w:rsidRPr="00974658">
        <w:t>.</w:t>
      </w:r>
    </w:p>
  </w:footnote>
  <w:footnote w:id="284">
    <w:p w14:paraId="717498A0" w14:textId="77777777" w:rsidR="002B32A0" w:rsidRPr="002A6E8C" w:rsidRDefault="002B32A0" w:rsidP="002B32A0">
      <w:pPr>
        <w:pStyle w:val="FootnoteText"/>
      </w:pPr>
      <w:r>
        <w:rPr>
          <w:rStyle w:val="FootnoteReference"/>
        </w:rPr>
        <w:footnoteRef/>
      </w:r>
      <w:r>
        <w:t xml:space="preserve"> Department of Infrastructure, Transport, Regional Development, Communications and the Arts (2022). </w:t>
      </w:r>
      <w:r>
        <w:rPr>
          <w:i/>
          <w:iCs/>
        </w:rPr>
        <w:t>Indigenous Repatriation</w:t>
      </w:r>
      <w:r>
        <w:t xml:space="preserve">. Accessed January 2023: </w:t>
      </w:r>
      <w:hyperlink r:id="rId124" w:history="1">
        <w:r w:rsidRPr="004974D8">
          <w:rPr>
            <w:rStyle w:val="Hyperlink"/>
          </w:rPr>
          <w:t>https://www.arts.gov.au/what-we-do/cultural-heritage/indigenous-repatriation</w:t>
        </w:r>
      </w:hyperlink>
    </w:p>
  </w:footnote>
  <w:footnote w:id="285">
    <w:p w14:paraId="21102824" w14:textId="77777777" w:rsidR="002B32A0" w:rsidRDefault="002B32A0" w:rsidP="002B32A0">
      <w:pPr>
        <w:pStyle w:val="FootnoteText"/>
      </w:pPr>
      <w:r>
        <w:rPr>
          <w:rStyle w:val="FootnoteReference"/>
        </w:rPr>
        <w:footnoteRef/>
      </w:r>
      <w:r>
        <w:t xml:space="preserve"> Australian Institute of Aboriginal and Torres Strait Islander Studies (n.d.). </w:t>
      </w:r>
      <w:r w:rsidRPr="00413CB4">
        <w:rPr>
          <w:i/>
          <w:iCs/>
        </w:rPr>
        <w:t>Return of Cultural Heritage</w:t>
      </w:r>
      <w:r>
        <w:t xml:space="preserve">. Accessed January 2023: </w:t>
      </w:r>
      <w:hyperlink r:id="rId125" w:anchor=":~:text=The%20Indigenous%20Repatriation%20Program%20facilitates,communities%20of%20origin%2C%20contributing%20to" w:history="1">
        <w:r w:rsidRPr="004974D8">
          <w:rPr>
            <w:rStyle w:val="Hyperlink"/>
          </w:rPr>
          <w:t>https://aiatsis.gov.au/about/what-we-do/return-cultural-heritage#:~:text=The%20Indigenous%20Repatriation%20Program%20facilitates,communities%20of%20origin%2C%20contributing%20to</w:t>
        </w:r>
      </w:hyperlink>
      <w:r>
        <w:t>.</w:t>
      </w:r>
    </w:p>
  </w:footnote>
  <w:footnote w:id="286">
    <w:p w14:paraId="03E0A3DB" w14:textId="77777777" w:rsidR="002B32A0" w:rsidRPr="002A6E8C" w:rsidRDefault="002B32A0" w:rsidP="002B32A0">
      <w:pPr>
        <w:pStyle w:val="FootnoteText"/>
      </w:pPr>
      <w:r>
        <w:rPr>
          <w:rStyle w:val="FootnoteReference"/>
        </w:rPr>
        <w:footnoteRef/>
      </w:r>
      <w:r>
        <w:t xml:space="preserve"> Department of Infrastructure, Transport, Regional Development, Communications and the Arts. Op. cit. </w:t>
      </w:r>
    </w:p>
  </w:footnote>
  <w:footnote w:id="287">
    <w:p w14:paraId="5BFAB391" w14:textId="77777777" w:rsidR="002B32A0" w:rsidRDefault="002B32A0" w:rsidP="002B32A0">
      <w:pPr>
        <w:pStyle w:val="FootnoteText"/>
      </w:pPr>
      <w:r>
        <w:rPr>
          <w:rStyle w:val="FootnoteReference"/>
        </w:rPr>
        <w:footnoteRef/>
      </w:r>
      <w:r>
        <w:t xml:space="preserve"> Return Reconcile Renew (2021). </w:t>
      </w:r>
      <w:r w:rsidRPr="00413CB4">
        <w:rPr>
          <w:i/>
          <w:iCs/>
        </w:rPr>
        <w:t>Explainer: What is repatriation</w:t>
      </w:r>
      <w:r>
        <w:t xml:space="preserve">? Accessed January 2023: </w:t>
      </w:r>
      <w:hyperlink r:id="rId126" w:history="1">
        <w:r w:rsidRPr="004974D8">
          <w:rPr>
            <w:rStyle w:val="Hyperlink"/>
          </w:rPr>
          <w:t>https://returnreconcilerenew.info/ohrm/biogs/E002082b.htm</w:t>
        </w:r>
      </w:hyperlink>
      <w:r>
        <w:t>.</w:t>
      </w:r>
    </w:p>
  </w:footnote>
  <w:footnote w:id="288">
    <w:p w14:paraId="3BC7A58E" w14:textId="77777777" w:rsidR="002B32A0" w:rsidRDefault="002B32A0" w:rsidP="002B32A0">
      <w:pPr>
        <w:pStyle w:val="FootnoteText"/>
      </w:pPr>
      <w:r>
        <w:rPr>
          <w:rStyle w:val="FootnoteReference"/>
        </w:rPr>
        <w:footnoteRef/>
      </w:r>
      <w:r>
        <w:t xml:space="preserve"> </w:t>
      </w:r>
      <w:r w:rsidRPr="00525EA4">
        <w:t>Partner institutions on the first project that</w:t>
      </w:r>
      <w:r>
        <w:t xml:space="preserve"> contributed funding were ANU, the Office of the Arts, Ngarrindjeri Regional Authority Inc, Australian Institute of Aboriginal and Torres Strait Islander Studies and the National Museum of Australia.</w:t>
      </w:r>
    </w:p>
  </w:footnote>
  <w:footnote w:id="289">
    <w:p w14:paraId="7527174B" w14:textId="77777777" w:rsidR="002B32A0" w:rsidRDefault="002B32A0" w:rsidP="002B32A0">
      <w:pPr>
        <w:pStyle w:val="FootnoteText"/>
      </w:pPr>
      <w:r>
        <w:rPr>
          <w:rStyle w:val="FootnoteReference"/>
        </w:rPr>
        <w:footnoteRef/>
      </w:r>
      <w:r>
        <w:t xml:space="preserve"> Partner institutions on the first project that contributed in-kind support were the Association on American Indian Affairs, Office of the Arts, Museum of New Zealand Te Papa Tongarewa, ANU, Flinders University, UQ, University of Melbourne, </w:t>
      </w:r>
      <w:r w:rsidRPr="00BB7838">
        <w:t>Ngarrindjeri Regional Authority Inc</w:t>
      </w:r>
      <w:r>
        <w:t xml:space="preserve">, </w:t>
      </w:r>
      <w:r w:rsidRPr="00BB7838">
        <w:t>Kimberley Aboriginal Law and Culture Centre</w:t>
      </w:r>
      <w:r>
        <w:t xml:space="preserve">, </w:t>
      </w:r>
      <w:r w:rsidRPr="00BB7838">
        <w:t>Australian Institute of Aboriginal and Torres Strait Islander Studies</w:t>
      </w:r>
      <w:r>
        <w:t xml:space="preserve">, </w:t>
      </w:r>
      <w:r w:rsidRPr="00BB7838">
        <w:t>National Museum of Australia</w:t>
      </w:r>
      <w:r>
        <w:t xml:space="preserve"> and the University of Otago (NZ).</w:t>
      </w:r>
    </w:p>
  </w:footnote>
  <w:footnote w:id="290">
    <w:p w14:paraId="77B588DC" w14:textId="77777777" w:rsidR="002B32A0" w:rsidRDefault="002B32A0" w:rsidP="002B32A0">
      <w:pPr>
        <w:pStyle w:val="FootnoteText"/>
      </w:pPr>
      <w:r>
        <w:rPr>
          <w:rStyle w:val="FootnoteReference"/>
        </w:rPr>
        <w:footnoteRef/>
      </w:r>
      <w:r>
        <w:t xml:space="preserve"> Partner institutions on the second project that contributed funding were the National Museum of Australia, Department of Communication and the Arts, ANU, Flinders University, University of Melbourne, Australian Institute of Aboriginal and Torres strait Islander Studies and UTAS.</w:t>
      </w:r>
    </w:p>
  </w:footnote>
  <w:footnote w:id="291">
    <w:p w14:paraId="0A50606D" w14:textId="77777777" w:rsidR="002B32A0" w:rsidRDefault="002B32A0" w:rsidP="002B32A0">
      <w:pPr>
        <w:pStyle w:val="FootnoteText"/>
      </w:pPr>
      <w:r>
        <w:rPr>
          <w:rStyle w:val="FootnoteReference"/>
        </w:rPr>
        <w:footnoteRef/>
      </w:r>
      <w:r>
        <w:t xml:space="preserve"> Partner institutions on the second project that contributed in-kind support were the University of Cologne, University of Amsterdam, National Museum of Australia, </w:t>
      </w:r>
      <w:r w:rsidRPr="00BB7838">
        <w:t>Ngarrindjeri Regional Authority Inc</w:t>
      </w:r>
      <w:r>
        <w:t xml:space="preserve">, Kimberley Aboriginal Law and Culture Centre Aboriginal Corporation, Department of Communication and the Arts, The Australian National University, Flinders University, The University of Melbourne, </w:t>
      </w:r>
      <w:r w:rsidRPr="00361CEF">
        <w:t>Gur A Baradharaw Kod Sea and Land Council Torres Strait Islander Corporation</w:t>
      </w:r>
      <w:r>
        <w:t>, Australian Institute of Aboriginal and Torres Strait Islander Studies, University of Otago and UTAS.</w:t>
      </w:r>
    </w:p>
  </w:footnote>
  <w:footnote w:id="292">
    <w:p w14:paraId="488FFCDB" w14:textId="77777777" w:rsidR="002B32A0" w:rsidRDefault="002B32A0" w:rsidP="002B32A0">
      <w:pPr>
        <w:pStyle w:val="FootnoteText"/>
      </w:pPr>
      <w:r>
        <w:rPr>
          <w:rStyle w:val="FootnoteReference"/>
        </w:rPr>
        <w:footnoteRef/>
      </w:r>
      <w:r>
        <w:t xml:space="preserve"> Partner institutions on the third project that contributed in-kind support were the ANU, Flinders University, Newcastle University (UK), The University of Melbourne and the University of Otago (NZ). </w:t>
      </w:r>
    </w:p>
  </w:footnote>
  <w:footnote w:id="293">
    <w:p w14:paraId="56E42D6E" w14:textId="77777777" w:rsidR="002B32A0" w:rsidRDefault="002B32A0" w:rsidP="002B32A0">
      <w:pPr>
        <w:pStyle w:val="FootnoteText"/>
      </w:pPr>
      <w:r>
        <w:rPr>
          <w:rStyle w:val="FootnoteReference"/>
        </w:rPr>
        <w:footnoteRef/>
      </w:r>
      <w:r>
        <w:t xml:space="preserve"> Partner institutions on the fourth project that contributed in-kind support were the University of Virginia (US), National Museum of Australia, QUT, ANU, University of Melbourne and UTAS.</w:t>
      </w:r>
    </w:p>
  </w:footnote>
  <w:footnote w:id="294">
    <w:p w14:paraId="0AAFC6EE" w14:textId="77777777" w:rsidR="002B32A0" w:rsidRPr="00F660FC" w:rsidRDefault="002B32A0" w:rsidP="002B32A0">
      <w:pPr>
        <w:pStyle w:val="FootnoteText"/>
        <w:rPr>
          <w:lang w:val="en-US"/>
        </w:rPr>
      </w:pPr>
      <w:r>
        <w:rPr>
          <w:rStyle w:val="FootnoteReference"/>
        </w:rPr>
        <w:footnoteRef/>
      </w:r>
      <w:r>
        <w:t xml:space="preserve"> See for example, Pickering, M. (2020), ‘A Repatriation Handbook: A Guide to Repatriating Australian Aboriginal and Torres Strait Islander Ancestral Remains’ National Museum Australia, June. Accessed February 2023: </w:t>
      </w:r>
      <w:hyperlink r:id="rId127" w:history="1">
        <w:r w:rsidRPr="00446AD6">
          <w:rPr>
            <w:rStyle w:val="Hyperlink"/>
          </w:rPr>
          <w:t>https://www.nma.gov.au/about/publications/repatriation-handbook</w:t>
        </w:r>
      </w:hyperlink>
      <w:r>
        <w:rPr>
          <w:rStyle w:val="Hyperlink"/>
        </w:rPr>
        <w:t>.</w:t>
      </w:r>
      <w:r>
        <w:t xml:space="preserve"> </w:t>
      </w:r>
    </w:p>
  </w:footnote>
  <w:footnote w:id="295">
    <w:p w14:paraId="146F5681" w14:textId="77777777" w:rsidR="002B32A0" w:rsidRDefault="002B32A0" w:rsidP="002B32A0">
      <w:pPr>
        <w:pStyle w:val="FootnoteText"/>
      </w:pPr>
      <w:r>
        <w:rPr>
          <w:rStyle w:val="FootnoteReference"/>
        </w:rPr>
        <w:footnoteRef/>
      </w:r>
      <w:r>
        <w:t xml:space="preserve"> Australian Government, Department of Infrastructure, Transport, Regional Development, Communication and the Arts. </w:t>
      </w:r>
      <w:r w:rsidRPr="00A8526D">
        <w:rPr>
          <w:i/>
          <w:iCs/>
        </w:rPr>
        <w:t>Indigenous Repatriation</w:t>
      </w:r>
      <w:r>
        <w:t xml:space="preserve">. Accessed February 2023: </w:t>
      </w:r>
      <w:hyperlink r:id="rId128" w:history="1">
        <w:r w:rsidRPr="00446AD6">
          <w:rPr>
            <w:rStyle w:val="Hyperlink"/>
          </w:rPr>
          <w:t>https://www.arts.gov.au/what-we-do/cultural-heritage/indigenous-repatriation</w:t>
        </w:r>
      </w:hyperlink>
      <w:r>
        <w:t>.</w:t>
      </w:r>
    </w:p>
  </w:footnote>
  <w:footnote w:id="296">
    <w:p w14:paraId="0E5655A1" w14:textId="77777777" w:rsidR="002B32A0" w:rsidRDefault="002B32A0" w:rsidP="002B32A0">
      <w:pPr>
        <w:pStyle w:val="FootnoteText"/>
      </w:pPr>
      <w:r>
        <w:rPr>
          <w:rStyle w:val="FootnoteReference"/>
        </w:rPr>
        <w:footnoteRef/>
      </w:r>
      <w:r>
        <w:t xml:space="preserve"> Australian Government, Office of the Arts (2022). </w:t>
      </w:r>
      <w:r>
        <w:rPr>
          <w:i/>
          <w:iCs/>
        </w:rPr>
        <w:t>National Resting Place</w:t>
      </w:r>
      <w:r>
        <w:t xml:space="preserve">. Accessed February 2023: </w:t>
      </w:r>
      <w:hyperlink r:id="rId129" w:history="1">
        <w:r w:rsidRPr="004974D8">
          <w:rPr>
            <w:rStyle w:val="Hyperlink"/>
          </w:rPr>
          <w:t>https://www.arts.gov.au/what-we-do/cultural-heritage/indigenous-repatriation/national-resting-place</w:t>
        </w:r>
      </w:hyperlink>
      <w:r>
        <w:t>.</w:t>
      </w:r>
    </w:p>
  </w:footnote>
  <w:footnote w:id="297">
    <w:p w14:paraId="211FAEE6" w14:textId="77777777" w:rsidR="002B32A0" w:rsidRDefault="002B32A0" w:rsidP="002B32A0">
      <w:pPr>
        <w:pStyle w:val="FootnoteText"/>
      </w:pPr>
      <w:r>
        <w:rPr>
          <w:rStyle w:val="FootnoteReference"/>
        </w:rPr>
        <w:footnoteRef/>
      </w:r>
      <w:r>
        <w:t xml:space="preserve"> The Hon Ken Wyatt MP (2019). </w:t>
      </w:r>
      <w:r w:rsidRPr="00A8526D">
        <w:rPr>
          <w:i/>
          <w:iCs/>
        </w:rPr>
        <w:t>Reconciliation WA Speech</w:t>
      </w:r>
      <w:r>
        <w:t xml:space="preserve">. Accessed February 2023: </w:t>
      </w:r>
      <w:hyperlink r:id="rId130" w:history="1">
        <w:r w:rsidRPr="004974D8">
          <w:rPr>
            <w:rStyle w:val="Hyperlink"/>
          </w:rPr>
          <w:t>https://www.indigenous.gov.au/news-and-media/announcements/reconciliation-wa-speech-minister-wyatt</w:t>
        </w:r>
      </w:hyperlink>
      <w: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849231" w14:textId="77777777" w:rsidR="0083717E" w:rsidRDefault="0083717E">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E55337" w14:textId="77777777" w:rsidR="001D76E6" w:rsidRDefault="001D76E6">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acTablenolines"/>
      <w:tblW w:w="10363" w:type="dxa"/>
      <w:tblInd w:w="-2427" w:type="dxa"/>
      <w:tblLayout w:type="fixed"/>
      <w:tblLook w:val="04A0" w:firstRow="1" w:lastRow="0" w:firstColumn="1" w:lastColumn="0" w:noHBand="0" w:noVBand="1"/>
    </w:tblPr>
    <w:tblGrid>
      <w:gridCol w:w="5182"/>
      <w:gridCol w:w="5181"/>
    </w:tblGrid>
    <w:tr w:rsidR="001D76E6" w14:paraId="22B13CB5" w14:textId="77777777" w:rsidTr="000B0AC7">
      <w:trPr>
        <w:trHeight w:hRule="exact" w:val="356"/>
      </w:trPr>
      <w:tc>
        <w:tcPr>
          <w:tcW w:w="5182" w:type="dxa"/>
          <w:vAlign w:val="center"/>
        </w:tcPr>
        <w:p w14:paraId="537B41D4" w14:textId="77777777" w:rsidR="001D76E6" w:rsidRDefault="001D76E6" w:rsidP="00026E9C">
          <w:pPr>
            <w:pStyle w:val="spacer"/>
          </w:pPr>
          <w:r w:rsidRPr="000261B1">
            <w:rPr>
              <w:noProof/>
            </w:rPr>
            <mc:AlternateContent>
              <mc:Choice Requires="wpg">
                <w:drawing>
                  <wp:anchor distT="0" distB="0" distL="114300" distR="114300" simplePos="0" relativeHeight="251740160" behindDoc="0" locked="1" layoutInCell="1" allowOverlap="1" wp14:anchorId="404A1E74" wp14:editId="767F2499">
                    <wp:simplePos x="0" y="0"/>
                    <wp:positionH relativeFrom="page">
                      <wp:posOffset>0</wp:posOffset>
                    </wp:positionH>
                    <wp:positionV relativeFrom="page">
                      <wp:posOffset>69850</wp:posOffset>
                    </wp:positionV>
                    <wp:extent cx="981075" cy="142875"/>
                    <wp:effectExtent l="0" t="0" r="9525" b="9525"/>
                    <wp:wrapNone/>
                    <wp:docPr id="627182225" name="Group 6271822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981075" cy="142875"/>
                              <a:chOff x="0" y="-21209"/>
                              <a:chExt cx="12188825" cy="1878663"/>
                            </a:xfrm>
                          </wpg:grpSpPr>
                          <wps:wsp>
                            <wps:cNvPr id="740219146" name="Rectangle 3"/>
                            <wps:cNvSpPr>
                              <a:spLocks noChangeArrowheads="1"/>
                            </wps:cNvSpPr>
                            <wps:spPr bwMode="auto">
                              <a:xfrm>
                                <a:off x="0" y="1643143"/>
                                <a:ext cx="1439863" cy="214311"/>
                              </a:xfrm>
                              <a:prstGeom prst="rect">
                                <a:avLst/>
                              </a:prstGeom>
                              <a:solidFill>
                                <a:srgbClr val="6C3F99"/>
                              </a:solid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1925259341" name="Freeform 6"/>
                            <wps:cNvSpPr>
                              <a:spLocks noEditPoints="1"/>
                            </wps:cNvSpPr>
                            <wps:spPr bwMode="auto">
                              <a:xfrm>
                                <a:off x="0" y="-21209"/>
                                <a:ext cx="12188825" cy="1296330"/>
                              </a:xfrm>
                              <a:custGeom>
                                <a:avLst/>
                                <a:gdLst>
                                  <a:gd name="T0" fmla="*/ 4214 w 4841"/>
                                  <a:gd name="T1" fmla="*/ 457 h 477"/>
                                  <a:gd name="T2" fmla="*/ 3766 w 4841"/>
                                  <a:gd name="T3" fmla="*/ 21 h 477"/>
                                  <a:gd name="T4" fmla="*/ 4214 w 4841"/>
                                  <a:gd name="T5" fmla="*/ 104 h 477"/>
                                  <a:gd name="T6" fmla="*/ 3864 w 4841"/>
                                  <a:gd name="T7" fmla="*/ 193 h 477"/>
                                  <a:gd name="T8" fmla="*/ 4151 w 4841"/>
                                  <a:gd name="T9" fmla="*/ 277 h 477"/>
                                  <a:gd name="T10" fmla="*/ 3864 w 4841"/>
                                  <a:gd name="T11" fmla="*/ 370 h 477"/>
                                  <a:gd name="T12" fmla="*/ 4345 w 4841"/>
                                  <a:gd name="T13" fmla="*/ 21 h 477"/>
                                  <a:gd name="T14" fmla="*/ 4442 w 4841"/>
                                  <a:gd name="T15" fmla="*/ 457 h 477"/>
                                  <a:gd name="T16" fmla="*/ 4753 w 4841"/>
                                  <a:gd name="T17" fmla="*/ 457 h 477"/>
                                  <a:gd name="T18" fmla="*/ 4841 w 4841"/>
                                  <a:gd name="T19" fmla="*/ 21 h 477"/>
                                  <a:gd name="T20" fmla="*/ 4745 w 4841"/>
                                  <a:gd name="T21" fmla="*/ 319 h 477"/>
                                  <a:gd name="T22" fmla="*/ 4345 w 4841"/>
                                  <a:gd name="T23" fmla="*/ 21 h 477"/>
                                  <a:gd name="T24" fmla="*/ 375 w 4841"/>
                                  <a:gd name="T25" fmla="*/ 283 h 477"/>
                                  <a:gd name="T26" fmla="*/ 196 w 4841"/>
                                  <a:gd name="T27" fmla="*/ 283 h 477"/>
                                  <a:gd name="T28" fmla="*/ 572 w 4841"/>
                                  <a:gd name="T29" fmla="*/ 457 h 477"/>
                                  <a:gd name="T30" fmla="*/ 418 w 4841"/>
                                  <a:gd name="T31" fmla="*/ 365 h 477"/>
                                  <a:gd name="T32" fmla="*/ 107 w 4841"/>
                                  <a:gd name="T33" fmla="*/ 457 h 477"/>
                                  <a:gd name="T34" fmla="*/ 231 w 4841"/>
                                  <a:gd name="T35" fmla="*/ 21 h 477"/>
                                  <a:gd name="T36" fmla="*/ 2456 w 4841"/>
                                  <a:gd name="T37" fmla="*/ 283 h 477"/>
                                  <a:gd name="T38" fmla="*/ 2276 w 4841"/>
                                  <a:gd name="T39" fmla="*/ 283 h 477"/>
                                  <a:gd name="T40" fmla="*/ 2422 w 4841"/>
                                  <a:gd name="T41" fmla="*/ 21 h 477"/>
                                  <a:gd name="T42" fmla="*/ 2546 w 4841"/>
                                  <a:gd name="T43" fmla="*/ 457 h 477"/>
                                  <a:gd name="T44" fmla="*/ 2234 w 4841"/>
                                  <a:gd name="T45" fmla="*/ 365 h 477"/>
                                  <a:gd name="T46" fmla="*/ 2081 w 4841"/>
                                  <a:gd name="T47" fmla="*/ 457 h 477"/>
                                  <a:gd name="T48" fmla="*/ 2422 w 4841"/>
                                  <a:gd name="T49" fmla="*/ 21 h 477"/>
                                  <a:gd name="T50" fmla="*/ 932 w 4841"/>
                                  <a:gd name="T51" fmla="*/ 378 h 477"/>
                                  <a:gd name="T52" fmla="*/ 719 w 4841"/>
                                  <a:gd name="T53" fmla="*/ 306 h 477"/>
                                  <a:gd name="T54" fmla="*/ 797 w 4841"/>
                                  <a:gd name="T55" fmla="*/ 105 h 477"/>
                                  <a:gd name="T56" fmla="*/ 1016 w 4841"/>
                                  <a:gd name="T57" fmla="*/ 156 h 477"/>
                                  <a:gd name="T58" fmla="*/ 1113 w 4841"/>
                                  <a:gd name="T59" fmla="*/ 117 h 477"/>
                                  <a:gd name="T60" fmla="*/ 942 w 4841"/>
                                  <a:gd name="T61" fmla="*/ 13 h 477"/>
                                  <a:gd name="T62" fmla="*/ 617 w 4841"/>
                                  <a:gd name="T63" fmla="*/ 155 h 477"/>
                                  <a:gd name="T64" fmla="*/ 745 w 4841"/>
                                  <a:gd name="T65" fmla="*/ 449 h 477"/>
                                  <a:gd name="T66" fmla="*/ 1084 w 4841"/>
                                  <a:gd name="T67" fmla="*/ 395 h 477"/>
                                  <a:gd name="T68" fmla="*/ 1023 w 4841"/>
                                  <a:gd name="T69" fmla="*/ 314 h 477"/>
                                  <a:gd name="T70" fmla="*/ 1582 w 4841"/>
                                  <a:gd name="T71" fmla="*/ 371 h 477"/>
                                  <a:gd name="T72" fmla="*/ 1483 w 4841"/>
                                  <a:gd name="T73" fmla="*/ 21 h 477"/>
                                  <a:gd name="T74" fmla="*/ 1891 w 4841"/>
                                  <a:gd name="T75" fmla="*/ 457 h 477"/>
                                  <a:gd name="T76" fmla="*/ 1582 w 4841"/>
                                  <a:gd name="T77" fmla="*/ 371 h 477"/>
                                  <a:gd name="T78" fmla="*/ 2845 w 4841"/>
                                  <a:gd name="T79" fmla="*/ 21 h 477"/>
                                  <a:gd name="T80" fmla="*/ 2747 w 4841"/>
                                  <a:gd name="T81" fmla="*/ 457 h 477"/>
                                  <a:gd name="T82" fmla="*/ 3155 w 4841"/>
                                  <a:gd name="T83" fmla="*/ 370 h 477"/>
                                  <a:gd name="T84" fmla="*/ 3350 w 4841"/>
                                  <a:gd name="T85" fmla="*/ 370 h 477"/>
                                  <a:gd name="T86" fmla="*/ 3253 w 4841"/>
                                  <a:gd name="T87" fmla="*/ 21 h 477"/>
                                  <a:gd name="T88" fmla="*/ 3660 w 4841"/>
                                  <a:gd name="T89" fmla="*/ 457 h 477"/>
                                  <a:gd name="T90" fmla="*/ 3350 w 4841"/>
                                  <a:gd name="T91" fmla="*/ 370 h 477"/>
                                  <a:gd name="T92" fmla="*/ 1335 w 4841"/>
                                  <a:gd name="T93" fmla="*/ 457 h 477"/>
                                  <a:gd name="T94" fmla="*/ 1233 w 4841"/>
                                  <a:gd name="T95" fmla="*/ 21 h 4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4841" h="477">
                                    <a:moveTo>
                                      <a:pt x="4214" y="370"/>
                                    </a:moveTo>
                                    <a:cubicBezTo>
                                      <a:pt x="4214" y="457"/>
                                      <a:pt x="4214" y="457"/>
                                      <a:pt x="4214" y="457"/>
                                    </a:cubicBezTo>
                                    <a:cubicBezTo>
                                      <a:pt x="3766" y="457"/>
                                      <a:pt x="3766" y="457"/>
                                      <a:pt x="3766" y="457"/>
                                    </a:cubicBezTo>
                                    <a:cubicBezTo>
                                      <a:pt x="3766" y="21"/>
                                      <a:pt x="3766" y="21"/>
                                      <a:pt x="3766" y="21"/>
                                    </a:cubicBezTo>
                                    <a:cubicBezTo>
                                      <a:pt x="4214" y="21"/>
                                      <a:pt x="4214" y="21"/>
                                      <a:pt x="4214" y="21"/>
                                    </a:cubicBezTo>
                                    <a:cubicBezTo>
                                      <a:pt x="4214" y="104"/>
                                      <a:pt x="4214" y="104"/>
                                      <a:pt x="4214" y="104"/>
                                    </a:cubicBezTo>
                                    <a:cubicBezTo>
                                      <a:pt x="3864" y="104"/>
                                      <a:pt x="3864" y="104"/>
                                      <a:pt x="3864" y="104"/>
                                    </a:cubicBezTo>
                                    <a:cubicBezTo>
                                      <a:pt x="3864" y="193"/>
                                      <a:pt x="3864" y="193"/>
                                      <a:pt x="3864" y="193"/>
                                    </a:cubicBezTo>
                                    <a:cubicBezTo>
                                      <a:pt x="4151" y="194"/>
                                      <a:pt x="4151" y="194"/>
                                      <a:pt x="4151" y="194"/>
                                    </a:cubicBezTo>
                                    <a:cubicBezTo>
                                      <a:pt x="4151" y="277"/>
                                      <a:pt x="4151" y="277"/>
                                      <a:pt x="4151" y="277"/>
                                    </a:cubicBezTo>
                                    <a:cubicBezTo>
                                      <a:pt x="3864" y="277"/>
                                      <a:pt x="3864" y="277"/>
                                      <a:pt x="3864" y="277"/>
                                    </a:cubicBezTo>
                                    <a:cubicBezTo>
                                      <a:pt x="3864" y="370"/>
                                      <a:pt x="3864" y="370"/>
                                      <a:pt x="3864" y="370"/>
                                    </a:cubicBezTo>
                                    <a:lnTo>
                                      <a:pt x="4214" y="370"/>
                                    </a:lnTo>
                                    <a:close/>
                                    <a:moveTo>
                                      <a:pt x="4345" y="21"/>
                                    </a:moveTo>
                                    <a:cubicBezTo>
                                      <a:pt x="4345" y="457"/>
                                      <a:pt x="4345" y="457"/>
                                      <a:pt x="4345" y="457"/>
                                    </a:cubicBezTo>
                                    <a:cubicBezTo>
                                      <a:pt x="4442" y="457"/>
                                      <a:pt x="4442" y="457"/>
                                      <a:pt x="4442" y="457"/>
                                    </a:cubicBezTo>
                                    <a:cubicBezTo>
                                      <a:pt x="4442" y="144"/>
                                      <a:pt x="4442" y="144"/>
                                      <a:pt x="4442" y="144"/>
                                    </a:cubicBezTo>
                                    <a:cubicBezTo>
                                      <a:pt x="4753" y="457"/>
                                      <a:pt x="4753" y="457"/>
                                      <a:pt x="4753" y="457"/>
                                    </a:cubicBezTo>
                                    <a:cubicBezTo>
                                      <a:pt x="4841" y="457"/>
                                      <a:pt x="4841" y="457"/>
                                      <a:pt x="4841" y="457"/>
                                    </a:cubicBezTo>
                                    <a:cubicBezTo>
                                      <a:pt x="4841" y="21"/>
                                      <a:pt x="4841" y="21"/>
                                      <a:pt x="4841" y="21"/>
                                    </a:cubicBezTo>
                                    <a:cubicBezTo>
                                      <a:pt x="4745" y="21"/>
                                      <a:pt x="4745" y="21"/>
                                      <a:pt x="4745" y="21"/>
                                    </a:cubicBezTo>
                                    <a:cubicBezTo>
                                      <a:pt x="4745" y="319"/>
                                      <a:pt x="4745" y="319"/>
                                      <a:pt x="4745" y="319"/>
                                    </a:cubicBezTo>
                                    <a:cubicBezTo>
                                      <a:pt x="4450" y="21"/>
                                      <a:pt x="4450" y="21"/>
                                      <a:pt x="4450" y="21"/>
                                    </a:cubicBezTo>
                                    <a:lnTo>
                                      <a:pt x="4345" y="21"/>
                                    </a:lnTo>
                                    <a:close/>
                                    <a:moveTo>
                                      <a:pt x="196" y="283"/>
                                    </a:moveTo>
                                    <a:cubicBezTo>
                                      <a:pt x="375" y="283"/>
                                      <a:pt x="375" y="283"/>
                                      <a:pt x="375" y="283"/>
                                    </a:cubicBezTo>
                                    <a:cubicBezTo>
                                      <a:pt x="283" y="109"/>
                                      <a:pt x="283" y="109"/>
                                      <a:pt x="283" y="109"/>
                                    </a:cubicBezTo>
                                    <a:lnTo>
                                      <a:pt x="196" y="283"/>
                                    </a:lnTo>
                                    <a:close/>
                                    <a:moveTo>
                                      <a:pt x="341" y="21"/>
                                    </a:moveTo>
                                    <a:cubicBezTo>
                                      <a:pt x="572" y="457"/>
                                      <a:pt x="572" y="457"/>
                                      <a:pt x="572" y="457"/>
                                    </a:cubicBezTo>
                                    <a:cubicBezTo>
                                      <a:pt x="464" y="457"/>
                                      <a:pt x="464" y="457"/>
                                      <a:pt x="464" y="457"/>
                                    </a:cubicBezTo>
                                    <a:cubicBezTo>
                                      <a:pt x="418" y="365"/>
                                      <a:pt x="418" y="365"/>
                                      <a:pt x="418" y="365"/>
                                    </a:cubicBezTo>
                                    <a:cubicBezTo>
                                      <a:pt x="153" y="365"/>
                                      <a:pt x="153" y="365"/>
                                      <a:pt x="153" y="365"/>
                                    </a:cubicBezTo>
                                    <a:cubicBezTo>
                                      <a:pt x="107" y="457"/>
                                      <a:pt x="107" y="457"/>
                                      <a:pt x="107" y="457"/>
                                    </a:cubicBezTo>
                                    <a:cubicBezTo>
                                      <a:pt x="0" y="457"/>
                                      <a:pt x="0" y="457"/>
                                      <a:pt x="0" y="457"/>
                                    </a:cubicBezTo>
                                    <a:cubicBezTo>
                                      <a:pt x="231" y="21"/>
                                      <a:pt x="231" y="21"/>
                                      <a:pt x="231" y="21"/>
                                    </a:cubicBezTo>
                                    <a:lnTo>
                                      <a:pt x="341" y="21"/>
                                    </a:lnTo>
                                    <a:close/>
                                    <a:moveTo>
                                      <a:pt x="2456" y="283"/>
                                    </a:moveTo>
                                    <a:cubicBezTo>
                                      <a:pt x="2366" y="106"/>
                                      <a:pt x="2366" y="106"/>
                                      <a:pt x="2366" y="106"/>
                                    </a:cubicBezTo>
                                    <a:cubicBezTo>
                                      <a:pt x="2276" y="283"/>
                                      <a:pt x="2276" y="283"/>
                                      <a:pt x="2276" y="283"/>
                                    </a:cubicBezTo>
                                    <a:lnTo>
                                      <a:pt x="2456" y="283"/>
                                    </a:lnTo>
                                    <a:close/>
                                    <a:moveTo>
                                      <a:pt x="2422" y="21"/>
                                    </a:moveTo>
                                    <a:cubicBezTo>
                                      <a:pt x="2654" y="457"/>
                                      <a:pt x="2654" y="457"/>
                                      <a:pt x="2654" y="457"/>
                                    </a:cubicBezTo>
                                    <a:cubicBezTo>
                                      <a:pt x="2546" y="457"/>
                                      <a:pt x="2546" y="457"/>
                                      <a:pt x="2546" y="457"/>
                                    </a:cubicBezTo>
                                    <a:cubicBezTo>
                                      <a:pt x="2499" y="365"/>
                                      <a:pt x="2499" y="365"/>
                                      <a:pt x="2499" y="365"/>
                                    </a:cubicBezTo>
                                    <a:cubicBezTo>
                                      <a:pt x="2234" y="365"/>
                                      <a:pt x="2234" y="365"/>
                                      <a:pt x="2234" y="365"/>
                                    </a:cubicBezTo>
                                    <a:cubicBezTo>
                                      <a:pt x="2188" y="457"/>
                                      <a:pt x="2188" y="457"/>
                                      <a:pt x="2188" y="457"/>
                                    </a:cubicBezTo>
                                    <a:cubicBezTo>
                                      <a:pt x="2081" y="457"/>
                                      <a:pt x="2081" y="457"/>
                                      <a:pt x="2081" y="457"/>
                                    </a:cubicBezTo>
                                    <a:cubicBezTo>
                                      <a:pt x="2312" y="21"/>
                                      <a:pt x="2312" y="21"/>
                                      <a:pt x="2312" y="21"/>
                                    </a:cubicBezTo>
                                    <a:lnTo>
                                      <a:pt x="2422" y="21"/>
                                    </a:lnTo>
                                    <a:close/>
                                    <a:moveTo>
                                      <a:pt x="1015" y="325"/>
                                    </a:moveTo>
                                    <a:cubicBezTo>
                                      <a:pt x="993" y="353"/>
                                      <a:pt x="966" y="371"/>
                                      <a:pt x="932" y="378"/>
                                    </a:cubicBezTo>
                                    <a:cubicBezTo>
                                      <a:pt x="886" y="388"/>
                                      <a:pt x="841" y="387"/>
                                      <a:pt x="796" y="372"/>
                                    </a:cubicBezTo>
                                    <a:cubicBezTo>
                                      <a:pt x="762" y="360"/>
                                      <a:pt x="735" y="339"/>
                                      <a:pt x="719" y="306"/>
                                    </a:cubicBezTo>
                                    <a:cubicBezTo>
                                      <a:pt x="707" y="280"/>
                                      <a:pt x="704" y="254"/>
                                      <a:pt x="705" y="226"/>
                                    </a:cubicBezTo>
                                    <a:cubicBezTo>
                                      <a:pt x="709" y="168"/>
                                      <a:pt x="741" y="125"/>
                                      <a:pt x="797" y="105"/>
                                    </a:cubicBezTo>
                                    <a:cubicBezTo>
                                      <a:pt x="837" y="91"/>
                                      <a:pt x="879" y="89"/>
                                      <a:pt x="920" y="96"/>
                                    </a:cubicBezTo>
                                    <a:cubicBezTo>
                                      <a:pt x="960" y="103"/>
                                      <a:pt x="993" y="123"/>
                                      <a:pt x="1016" y="156"/>
                                    </a:cubicBezTo>
                                    <a:cubicBezTo>
                                      <a:pt x="1018" y="158"/>
                                      <a:pt x="1020" y="160"/>
                                      <a:pt x="1022" y="163"/>
                                    </a:cubicBezTo>
                                    <a:cubicBezTo>
                                      <a:pt x="1052" y="148"/>
                                      <a:pt x="1082" y="133"/>
                                      <a:pt x="1113" y="117"/>
                                    </a:cubicBezTo>
                                    <a:cubicBezTo>
                                      <a:pt x="1106" y="108"/>
                                      <a:pt x="1100" y="99"/>
                                      <a:pt x="1092" y="92"/>
                                    </a:cubicBezTo>
                                    <a:cubicBezTo>
                                      <a:pt x="1051" y="49"/>
                                      <a:pt x="1000" y="24"/>
                                      <a:pt x="942" y="13"/>
                                    </a:cubicBezTo>
                                    <a:cubicBezTo>
                                      <a:pt x="874" y="0"/>
                                      <a:pt x="808" y="6"/>
                                      <a:pt x="744" y="30"/>
                                    </a:cubicBezTo>
                                    <a:cubicBezTo>
                                      <a:pt x="683" y="53"/>
                                      <a:pt x="639" y="93"/>
                                      <a:pt x="617" y="155"/>
                                    </a:cubicBezTo>
                                    <a:cubicBezTo>
                                      <a:pt x="599" y="204"/>
                                      <a:pt x="598" y="254"/>
                                      <a:pt x="611" y="304"/>
                                    </a:cubicBezTo>
                                    <a:cubicBezTo>
                                      <a:pt x="630" y="375"/>
                                      <a:pt x="676" y="422"/>
                                      <a:pt x="745" y="449"/>
                                    </a:cubicBezTo>
                                    <a:cubicBezTo>
                                      <a:pt x="810" y="474"/>
                                      <a:pt x="878" y="477"/>
                                      <a:pt x="946" y="464"/>
                                    </a:cubicBezTo>
                                    <a:cubicBezTo>
                                      <a:pt x="998" y="454"/>
                                      <a:pt x="1045" y="432"/>
                                      <a:pt x="1084" y="395"/>
                                    </a:cubicBezTo>
                                    <a:cubicBezTo>
                                      <a:pt x="1095" y="384"/>
                                      <a:pt x="1105" y="373"/>
                                      <a:pt x="1114" y="359"/>
                                    </a:cubicBezTo>
                                    <a:cubicBezTo>
                                      <a:pt x="1083" y="344"/>
                                      <a:pt x="1054" y="329"/>
                                      <a:pt x="1023" y="314"/>
                                    </a:cubicBezTo>
                                    <a:cubicBezTo>
                                      <a:pt x="1020" y="318"/>
                                      <a:pt x="1018" y="322"/>
                                      <a:pt x="1015" y="325"/>
                                    </a:cubicBezTo>
                                    <a:moveTo>
                                      <a:pt x="1582" y="371"/>
                                    </a:moveTo>
                                    <a:cubicBezTo>
                                      <a:pt x="1582" y="21"/>
                                      <a:pt x="1582" y="21"/>
                                      <a:pt x="1582" y="21"/>
                                    </a:cubicBezTo>
                                    <a:cubicBezTo>
                                      <a:pt x="1483" y="21"/>
                                      <a:pt x="1483" y="21"/>
                                      <a:pt x="1483" y="21"/>
                                    </a:cubicBezTo>
                                    <a:cubicBezTo>
                                      <a:pt x="1483" y="457"/>
                                      <a:pt x="1483" y="457"/>
                                      <a:pt x="1483" y="457"/>
                                    </a:cubicBezTo>
                                    <a:cubicBezTo>
                                      <a:pt x="1891" y="457"/>
                                      <a:pt x="1891" y="457"/>
                                      <a:pt x="1891" y="457"/>
                                    </a:cubicBezTo>
                                    <a:cubicBezTo>
                                      <a:pt x="1891" y="371"/>
                                      <a:pt x="1891" y="371"/>
                                      <a:pt x="1891" y="371"/>
                                    </a:cubicBezTo>
                                    <a:lnTo>
                                      <a:pt x="1582" y="371"/>
                                    </a:lnTo>
                                    <a:close/>
                                    <a:moveTo>
                                      <a:pt x="2845" y="370"/>
                                    </a:moveTo>
                                    <a:cubicBezTo>
                                      <a:pt x="2845" y="21"/>
                                      <a:pt x="2845" y="21"/>
                                      <a:pt x="2845" y="21"/>
                                    </a:cubicBezTo>
                                    <a:cubicBezTo>
                                      <a:pt x="2747" y="21"/>
                                      <a:pt x="2747" y="21"/>
                                      <a:pt x="2747" y="21"/>
                                    </a:cubicBezTo>
                                    <a:cubicBezTo>
                                      <a:pt x="2747" y="457"/>
                                      <a:pt x="2747" y="457"/>
                                      <a:pt x="2747" y="457"/>
                                    </a:cubicBezTo>
                                    <a:cubicBezTo>
                                      <a:pt x="3155" y="457"/>
                                      <a:pt x="3155" y="457"/>
                                      <a:pt x="3155" y="457"/>
                                    </a:cubicBezTo>
                                    <a:cubicBezTo>
                                      <a:pt x="3155" y="370"/>
                                      <a:pt x="3155" y="370"/>
                                      <a:pt x="3155" y="370"/>
                                    </a:cubicBezTo>
                                    <a:lnTo>
                                      <a:pt x="2845" y="370"/>
                                    </a:lnTo>
                                    <a:close/>
                                    <a:moveTo>
                                      <a:pt x="3350" y="370"/>
                                    </a:moveTo>
                                    <a:cubicBezTo>
                                      <a:pt x="3350" y="21"/>
                                      <a:pt x="3350" y="21"/>
                                      <a:pt x="3350" y="21"/>
                                    </a:cubicBezTo>
                                    <a:cubicBezTo>
                                      <a:pt x="3253" y="21"/>
                                      <a:pt x="3253" y="21"/>
                                      <a:pt x="3253" y="21"/>
                                    </a:cubicBezTo>
                                    <a:cubicBezTo>
                                      <a:pt x="3253" y="457"/>
                                      <a:pt x="3253" y="457"/>
                                      <a:pt x="3253" y="457"/>
                                    </a:cubicBezTo>
                                    <a:cubicBezTo>
                                      <a:pt x="3660" y="457"/>
                                      <a:pt x="3660" y="457"/>
                                      <a:pt x="3660" y="457"/>
                                    </a:cubicBezTo>
                                    <a:cubicBezTo>
                                      <a:pt x="3660" y="370"/>
                                      <a:pt x="3660" y="370"/>
                                      <a:pt x="3660" y="370"/>
                                    </a:cubicBezTo>
                                    <a:lnTo>
                                      <a:pt x="3350" y="370"/>
                                    </a:lnTo>
                                    <a:close/>
                                    <a:moveTo>
                                      <a:pt x="1233" y="457"/>
                                    </a:moveTo>
                                    <a:cubicBezTo>
                                      <a:pt x="1335" y="457"/>
                                      <a:pt x="1335" y="457"/>
                                      <a:pt x="1335" y="457"/>
                                    </a:cubicBezTo>
                                    <a:cubicBezTo>
                                      <a:pt x="1335" y="21"/>
                                      <a:pt x="1335" y="21"/>
                                      <a:pt x="1335" y="21"/>
                                    </a:cubicBezTo>
                                    <a:cubicBezTo>
                                      <a:pt x="1233" y="21"/>
                                      <a:pt x="1233" y="21"/>
                                      <a:pt x="1233" y="21"/>
                                    </a:cubicBezTo>
                                    <a:lnTo>
                                      <a:pt x="1233" y="457"/>
                                    </a:lnTo>
                                    <a:close/>
                                  </a:path>
                                </a:pathLst>
                              </a:custGeom>
                              <a:solidFill>
                                <a:srgbClr val="0001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2A9A0961" id="Group 627182225" o:spid="_x0000_s1026" alt="&quot;&quot;" style="position:absolute;margin-left:0;margin-top:5.5pt;width:77.25pt;height:11.25pt;z-index:251740160;mso-position-horizontal-relative:page;mso-position-vertical-relative:page;mso-width-relative:margin;mso-height-relative:margin" coordorigin=",-212" coordsize="121888,187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">
                    <o:lock v:ext="edit" aspectratio="t"/>
                    <v:rect id="Rectangle 3" o:spid="_x0000_s1027" style="position:absolute;top:16431;width:14398;height:2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" fillcolor="#6c3f99" stroked="f"/>
                    <v:shape id="Freeform 6" o:spid="_x0000_s1028" style="position:absolute;top:-212;width:121888;height:12963;visibility:visible;mso-wrap-style:square;v-text-anchor:top" coordsize="4841,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" path="m4214,370v,87,,87,,87c3766,457,3766,457,3766,457v,-436,,-436,,-436c4214,21,4214,21,4214,21v,83,,83,,83c3864,104,3864,104,3864,104v,89,,89,,89c4151,194,4151,194,4151,194v,83,,83,,83c3864,277,3864,277,3864,277v,93,,93,,93l4214,370xm4345,21v,436,,436,,436c4442,457,4442,457,4442,457v,-313,,-313,,-313c4753,457,4753,457,4753,457v88,,88,,88,c4841,21,4841,21,4841,21v-96,,-96,,-96,c4745,319,4745,319,4745,319,4450,21,4450,21,4450,21r-105,xm196,283v179,,179,,179,c283,109,283,109,283,109l196,283xm341,21c572,457,572,457,572,457v-108,,-108,,-108,c418,365,418,365,418,365v-265,,-265,,-265,c107,457,107,457,107,457,,457,,457,,457,231,21,231,21,231,21r110,xm2456,283c2366,106,2366,106,2366,106v-90,177,-90,177,-90,177l2456,283xm2422,21v232,436,232,436,232,436c2546,457,2546,457,2546,457v-47,-92,-47,-92,-47,-92c2234,365,2234,365,2234,365v-46,92,-46,92,-46,92c2081,457,2081,457,2081,457,2312,21,2312,21,2312,21r110,xm1015,325v-22,28,-49,46,-83,53c886,388,841,387,796,372,762,360,735,339,719,306,707,280,704,254,705,226v4,-58,36,-101,92,-121c837,91,879,89,920,96v40,7,73,27,96,60c1018,158,1020,160,1022,163v30,-15,60,-30,91,-46c1106,108,1100,99,1092,92,1051,49,1000,24,942,13,874,,808,6,744,30,683,53,639,93,617,155v-18,49,-19,99,-6,149c630,375,676,422,745,449v65,25,133,28,201,15c998,454,1045,432,1084,395v11,-11,21,-22,30,-36c1083,344,1054,329,1023,314v-3,4,-5,8,-8,11m1582,371v,-350,,-350,,-350c1483,21,1483,21,1483,21v,436,,436,,436c1891,457,1891,457,1891,457v,-86,,-86,,-86l1582,371xm2845,370v,-349,,-349,,-349c2747,21,2747,21,2747,21v,436,,436,,436c3155,457,3155,457,3155,457v,-87,,-87,,-87l2845,370xm3350,370v,-349,,-349,,-349c3253,21,3253,21,3253,21v,436,,436,,436c3660,457,3660,457,3660,457v,-87,,-87,,-87l3350,370xm1233,457v102,,102,,102,c1335,21,1335,21,1335,21v-102,,-102,,-102,l1233,457xe" fillcolor="#000100" stroked="f">
                      <v:path arrowok="t" o:connecttype="custom" o:connectlocs="10610144,1241977;9482156,57071;10610144,282638;9728903,524511;10451521,752795;9728903,1005539;10939980,57071;11184210,1241977;11967256,1241977;12188825,57071;11947113,866938;10939980,57071;944187,769101;493495,769101;1440200,1241977;1052454,991951;269408,1241977;581619,57071;6183796,769101;5730586,769101;6098189,57071;6410400,1241977;5624837,991951;5239609,1241977;6098189,57071;2346619,1027280;1810321,831608;2006712,285356;2558117,423957;2802347,317968;2371798,35330;1553502,421239;1875785,1220235;2729330,1073481;2575742,853349;3983210,1008257;3733945,57071;4761220,1241977;3983210,1008257;7163232,57071;6916485,1241977;7943760,1005539;8434737,1005539;8190508,57071;9215265,1241977;8434737,1005539;3361306,1241977;3104487,57071" o:connectangles="0,0,0,0,0,0,0,0,0,0,0,0,0,0,0,0,0,0,0,0,0,0,0,0,0,0,0,0,0,0,0,0,0,0,0,0,0,0,0,0,0,0,0,0,0,0,0,0"/>
                      <o:lock v:ext="edit" verticies="t"/>
                    </v:shape>
                    <w10:wrap anchorx="page" anchory="page"/>
                    <w10:anchorlock/>
                  </v:group>
                </w:pict>
              </mc:Fallback>
            </mc:AlternateContent>
          </w:r>
        </w:p>
      </w:tc>
      <w:tc>
        <w:tcPr>
          <w:tcW w:w="5181" w:type="dxa"/>
          <w:vAlign w:val="center"/>
        </w:tcPr>
        <w:p w14:paraId="3A9935C9" w14:textId="64717736" w:rsidR="001D76E6" w:rsidRDefault="001D76E6" w:rsidP="004A1654">
          <w:pPr>
            <w:pStyle w:val="Header-CompanyName"/>
          </w:pPr>
        </w:p>
      </w:tc>
    </w:tr>
  </w:tbl>
  <w:p w14:paraId="0472B9AF" w14:textId="5F5BBC4B" w:rsidR="001D76E6" w:rsidRPr="00026E9C" w:rsidRDefault="001D76E6" w:rsidP="00A66275">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A6BE8F" w14:textId="77777777" w:rsidR="001D76E6" w:rsidRDefault="001D76E6">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C8A3C0" w14:textId="77777777" w:rsidR="002B32A0" w:rsidRDefault="002B32A0">
    <w:pPr>
      <w:pStyle w:val="Header"/>
    </w:pPr>
  </w:p>
  <w:p w14:paraId="2A3ECD73" w14:textId="77777777" w:rsidR="002B32A0" w:rsidRDefault="002B32A0"/>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acTablenolines"/>
      <w:tblW w:w="10363" w:type="dxa"/>
      <w:tblInd w:w="-2427" w:type="dxa"/>
      <w:tblLayout w:type="fixed"/>
      <w:tblLook w:val="04A0" w:firstRow="1" w:lastRow="0" w:firstColumn="1" w:lastColumn="0" w:noHBand="0" w:noVBand="1"/>
    </w:tblPr>
    <w:tblGrid>
      <w:gridCol w:w="5182"/>
      <w:gridCol w:w="5181"/>
    </w:tblGrid>
    <w:tr w:rsidR="002B32A0" w14:paraId="03B19DF6" w14:textId="77777777" w:rsidTr="000B0AC7">
      <w:trPr>
        <w:trHeight w:hRule="exact" w:val="356"/>
      </w:trPr>
      <w:tc>
        <w:tcPr>
          <w:tcW w:w="5182" w:type="dxa"/>
          <w:vAlign w:val="center"/>
        </w:tcPr>
        <w:p w14:paraId="65B30DC5" w14:textId="77777777" w:rsidR="002B32A0" w:rsidRDefault="002B32A0" w:rsidP="00026E9C">
          <w:pPr>
            <w:pStyle w:val="spacer"/>
          </w:pPr>
          <w:r w:rsidRPr="000261B1">
            <w:rPr>
              <w:noProof/>
            </w:rPr>
            <mc:AlternateContent>
              <mc:Choice Requires="wpg">
                <w:drawing>
                  <wp:anchor distT="0" distB="0" distL="114300" distR="114300" simplePos="0" relativeHeight="251705344" behindDoc="0" locked="1" layoutInCell="1" allowOverlap="1" wp14:anchorId="05E0AFF5" wp14:editId="17CAEBB9">
                    <wp:simplePos x="0" y="0"/>
                    <wp:positionH relativeFrom="page">
                      <wp:posOffset>0</wp:posOffset>
                    </wp:positionH>
                    <wp:positionV relativeFrom="page">
                      <wp:posOffset>69850</wp:posOffset>
                    </wp:positionV>
                    <wp:extent cx="981075" cy="142875"/>
                    <wp:effectExtent l="0" t="0" r="9525" b="9525"/>
                    <wp:wrapNone/>
                    <wp:docPr id="561" name="Group 5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981075" cy="142875"/>
                              <a:chOff x="0" y="-21209"/>
                              <a:chExt cx="12188825" cy="1878663"/>
                            </a:xfrm>
                          </wpg:grpSpPr>
                          <wps:wsp>
                            <wps:cNvPr id="563" name="Rectangle 7"/>
                            <wps:cNvSpPr>
                              <a:spLocks noChangeArrowheads="1"/>
                            </wps:cNvSpPr>
                            <wps:spPr bwMode="auto">
                              <a:xfrm>
                                <a:off x="0" y="1643143"/>
                                <a:ext cx="1439863" cy="214311"/>
                              </a:xfrm>
                              <a:prstGeom prst="rect">
                                <a:avLst/>
                              </a:prstGeom>
                              <a:solidFill>
                                <a:srgbClr val="6C3F99"/>
                              </a:solid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577" name="Freeform 6"/>
                            <wps:cNvSpPr>
                              <a:spLocks noEditPoints="1"/>
                            </wps:cNvSpPr>
                            <wps:spPr bwMode="auto">
                              <a:xfrm>
                                <a:off x="0" y="-21209"/>
                                <a:ext cx="12188825" cy="1296330"/>
                              </a:xfrm>
                              <a:custGeom>
                                <a:avLst/>
                                <a:gdLst>
                                  <a:gd name="T0" fmla="*/ 4214 w 4841"/>
                                  <a:gd name="T1" fmla="*/ 457 h 477"/>
                                  <a:gd name="T2" fmla="*/ 3766 w 4841"/>
                                  <a:gd name="T3" fmla="*/ 21 h 477"/>
                                  <a:gd name="T4" fmla="*/ 4214 w 4841"/>
                                  <a:gd name="T5" fmla="*/ 104 h 477"/>
                                  <a:gd name="T6" fmla="*/ 3864 w 4841"/>
                                  <a:gd name="T7" fmla="*/ 193 h 477"/>
                                  <a:gd name="T8" fmla="*/ 4151 w 4841"/>
                                  <a:gd name="T9" fmla="*/ 277 h 477"/>
                                  <a:gd name="T10" fmla="*/ 3864 w 4841"/>
                                  <a:gd name="T11" fmla="*/ 370 h 477"/>
                                  <a:gd name="T12" fmla="*/ 4345 w 4841"/>
                                  <a:gd name="T13" fmla="*/ 21 h 477"/>
                                  <a:gd name="T14" fmla="*/ 4442 w 4841"/>
                                  <a:gd name="T15" fmla="*/ 457 h 477"/>
                                  <a:gd name="T16" fmla="*/ 4753 w 4841"/>
                                  <a:gd name="T17" fmla="*/ 457 h 477"/>
                                  <a:gd name="T18" fmla="*/ 4841 w 4841"/>
                                  <a:gd name="T19" fmla="*/ 21 h 477"/>
                                  <a:gd name="T20" fmla="*/ 4745 w 4841"/>
                                  <a:gd name="T21" fmla="*/ 319 h 477"/>
                                  <a:gd name="T22" fmla="*/ 4345 w 4841"/>
                                  <a:gd name="T23" fmla="*/ 21 h 477"/>
                                  <a:gd name="T24" fmla="*/ 375 w 4841"/>
                                  <a:gd name="T25" fmla="*/ 283 h 477"/>
                                  <a:gd name="T26" fmla="*/ 196 w 4841"/>
                                  <a:gd name="T27" fmla="*/ 283 h 477"/>
                                  <a:gd name="T28" fmla="*/ 572 w 4841"/>
                                  <a:gd name="T29" fmla="*/ 457 h 477"/>
                                  <a:gd name="T30" fmla="*/ 418 w 4841"/>
                                  <a:gd name="T31" fmla="*/ 365 h 477"/>
                                  <a:gd name="T32" fmla="*/ 107 w 4841"/>
                                  <a:gd name="T33" fmla="*/ 457 h 477"/>
                                  <a:gd name="T34" fmla="*/ 231 w 4841"/>
                                  <a:gd name="T35" fmla="*/ 21 h 477"/>
                                  <a:gd name="T36" fmla="*/ 2456 w 4841"/>
                                  <a:gd name="T37" fmla="*/ 283 h 477"/>
                                  <a:gd name="T38" fmla="*/ 2276 w 4841"/>
                                  <a:gd name="T39" fmla="*/ 283 h 477"/>
                                  <a:gd name="T40" fmla="*/ 2422 w 4841"/>
                                  <a:gd name="T41" fmla="*/ 21 h 477"/>
                                  <a:gd name="T42" fmla="*/ 2546 w 4841"/>
                                  <a:gd name="T43" fmla="*/ 457 h 477"/>
                                  <a:gd name="T44" fmla="*/ 2234 w 4841"/>
                                  <a:gd name="T45" fmla="*/ 365 h 477"/>
                                  <a:gd name="T46" fmla="*/ 2081 w 4841"/>
                                  <a:gd name="T47" fmla="*/ 457 h 477"/>
                                  <a:gd name="T48" fmla="*/ 2422 w 4841"/>
                                  <a:gd name="T49" fmla="*/ 21 h 477"/>
                                  <a:gd name="T50" fmla="*/ 932 w 4841"/>
                                  <a:gd name="T51" fmla="*/ 378 h 477"/>
                                  <a:gd name="T52" fmla="*/ 719 w 4841"/>
                                  <a:gd name="T53" fmla="*/ 306 h 477"/>
                                  <a:gd name="T54" fmla="*/ 797 w 4841"/>
                                  <a:gd name="T55" fmla="*/ 105 h 477"/>
                                  <a:gd name="T56" fmla="*/ 1016 w 4841"/>
                                  <a:gd name="T57" fmla="*/ 156 h 477"/>
                                  <a:gd name="T58" fmla="*/ 1113 w 4841"/>
                                  <a:gd name="T59" fmla="*/ 117 h 477"/>
                                  <a:gd name="T60" fmla="*/ 942 w 4841"/>
                                  <a:gd name="T61" fmla="*/ 13 h 477"/>
                                  <a:gd name="T62" fmla="*/ 617 w 4841"/>
                                  <a:gd name="T63" fmla="*/ 155 h 477"/>
                                  <a:gd name="T64" fmla="*/ 745 w 4841"/>
                                  <a:gd name="T65" fmla="*/ 449 h 477"/>
                                  <a:gd name="T66" fmla="*/ 1084 w 4841"/>
                                  <a:gd name="T67" fmla="*/ 395 h 477"/>
                                  <a:gd name="T68" fmla="*/ 1023 w 4841"/>
                                  <a:gd name="T69" fmla="*/ 314 h 477"/>
                                  <a:gd name="T70" fmla="*/ 1582 w 4841"/>
                                  <a:gd name="T71" fmla="*/ 371 h 477"/>
                                  <a:gd name="T72" fmla="*/ 1483 w 4841"/>
                                  <a:gd name="T73" fmla="*/ 21 h 477"/>
                                  <a:gd name="T74" fmla="*/ 1891 w 4841"/>
                                  <a:gd name="T75" fmla="*/ 457 h 477"/>
                                  <a:gd name="T76" fmla="*/ 1582 w 4841"/>
                                  <a:gd name="T77" fmla="*/ 371 h 477"/>
                                  <a:gd name="T78" fmla="*/ 2845 w 4841"/>
                                  <a:gd name="T79" fmla="*/ 21 h 477"/>
                                  <a:gd name="T80" fmla="*/ 2747 w 4841"/>
                                  <a:gd name="T81" fmla="*/ 457 h 477"/>
                                  <a:gd name="T82" fmla="*/ 3155 w 4841"/>
                                  <a:gd name="T83" fmla="*/ 370 h 477"/>
                                  <a:gd name="T84" fmla="*/ 3350 w 4841"/>
                                  <a:gd name="T85" fmla="*/ 370 h 477"/>
                                  <a:gd name="T86" fmla="*/ 3253 w 4841"/>
                                  <a:gd name="T87" fmla="*/ 21 h 477"/>
                                  <a:gd name="T88" fmla="*/ 3660 w 4841"/>
                                  <a:gd name="T89" fmla="*/ 457 h 477"/>
                                  <a:gd name="T90" fmla="*/ 3350 w 4841"/>
                                  <a:gd name="T91" fmla="*/ 370 h 477"/>
                                  <a:gd name="T92" fmla="*/ 1335 w 4841"/>
                                  <a:gd name="T93" fmla="*/ 457 h 477"/>
                                  <a:gd name="T94" fmla="*/ 1233 w 4841"/>
                                  <a:gd name="T95" fmla="*/ 21 h 4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4841" h="477">
                                    <a:moveTo>
                                      <a:pt x="4214" y="370"/>
                                    </a:moveTo>
                                    <a:cubicBezTo>
                                      <a:pt x="4214" y="457"/>
                                      <a:pt x="4214" y="457"/>
                                      <a:pt x="4214" y="457"/>
                                    </a:cubicBezTo>
                                    <a:cubicBezTo>
                                      <a:pt x="3766" y="457"/>
                                      <a:pt x="3766" y="457"/>
                                      <a:pt x="3766" y="457"/>
                                    </a:cubicBezTo>
                                    <a:cubicBezTo>
                                      <a:pt x="3766" y="21"/>
                                      <a:pt x="3766" y="21"/>
                                      <a:pt x="3766" y="21"/>
                                    </a:cubicBezTo>
                                    <a:cubicBezTo>
                                      <a:pt x="4214" y="21"/>
                                      <a:pt x="4214" y="21"/>
                                      <a:pt x="4214" y="21"/>
                                    </a:cubicBezTo>
                                    <a:cubicBezTo>
                                      <a:pt x="4214" y="104"/>
                                      <a:pt x="4214" y="104"/>
                                      <a:pt x="4214" y="104"/>
                                    </a:cubicBezTo>
                                    <a:cubicBezTo>
                                      <a:pt x="3864" y="104"/>
                                      <a:pt x="3864" y="104"/>
                                      <a:pt x="3864" y="104"/>
                                    </a:cubicBezTo>
                                    <a:cubicBezTo>
                                      <a:pt x="3864" y="193"/>
                                      <a:pt x="3864" y="193"/>
                                      <a:pt x="3864" y="193"/>
                                    </a:cubicBezTo>
                                    <a:cubicBezTo>
                                      <a:pt x="4151" y="194"/>
                                      <a:pt x="4151" y="194"/>
                                      <a:pt x="4151" y="194"/>
                                    </a:cubicBezTo>
                                    <a:cubicBezTo>
                                      <a:pt x="4151" y="277"/>
                                      <a:pt x="4151" y="277"/>
                                      <a:pt x="4151" y="277"/>
                                    </a:cubicBezTo>
                                    <a:cubicBezTo>
                                      <a:pt x="3864" y="277"/>
                                      <a:pt x="3864" y="277"/>
                                      <a:pt x="3864" y="277"/>
                                    </a:cubicBezTo>
                                    <a:cubicBezTo>
                                      <a:pt x="3864" y="370"/>
                                      <a:pt x="3864" y="370"/>
                                      <a:pt x="3864" y="370"/>
                                    </a:cubicBezTo>
                                    <a:lnTo>
                                      <a:pt x="4214" y="370"/>
                                    </a:lnTo>
                                    <a:close/>
                                    <a:moveTo>
                                      <a:pt x="4345" y="21"/>
                                    </a:moveTo>
                                    <a:cubicBezTo>
                                      <a:pt x="4345" y="457"/>
                                      <a:pt x="4345" y="457"/>
                                      <a:pt x="4345" y="457"/>
                                    </a:cubicBezTo>
                                    <a:cubicBezTo>
                                      <a:pt x="4442" y="457"/>
                                      <a:pt x="4442" y="457"/>
                                      <a:pt x="4442" y="457"/>
                                    </a:cubicBezTo>
                                    <a:cubicBezTo>
                                      <a:pt x="4442" y="144"/>
                                      <a:pt x="4442" y="144"/>
                                      <a:pt x="4442" y="144"/>
                                    </a:cubicBezTo>
                                    <a:cubicBezTo>
                                      <a:pt x="4753" y="457"/>
                                      <a:pt x="4753" y="457"/>
                                      <a:pt x="4753" y="457"/>
                                    </a:cubicBezTo>
                                    <a:cubicBezTo>
                                      <a:pt x="4841" y="457"/>
                                      <a:pt x="4841" y="457"/>
                                      <a:pt x="4841" y="457"/>
                                    </a:cubicBezTo>
                                    <a:cubicBezTo>
                                      <a:pt x="4841" y="21"/>
                                      <a:pt x="4841" y="21"/>
                                      <a:pt x="4841" y="21"/>
                                    </a:cubicBezTo>
                                    <a:cubicBezTo>
                                      <a:pt x="4745" y="21"/>
                                      <a:pt x="4745" y="21"/>
                                      <a:pt x="4745" y="21"/>
                                    </a:cubicBezTo>
                                    <a:cubicBezTo>
                                      <a:pt x="4745" y="319"/>
                                      <a:pt x="4745" y="319"/>
                                      <a:pt x="4745" y="319"/>
                                    </a:cubicBezTo>
                                    <a:cubicBezTo>
                                      <a:pt x="4450" y="21"/>
                                      <a:pt x="4450" y="21"/>
                                      <a:pt x="4450" y="21"/>
                                    </a:cubicBezTo>
                                    <a:lnTo>
                                      <a:pt x="4345" y="21"/>
                                    </a:lnTo>
                                    <a:close/>
                                    <a:moveTo>
                                      <a:pt x="196" y="283"/>
                                    </a:moveTo>
                                    <a:cubicBezTo>
                                      <a:pt x="375" y="283"/>
                                      <a:pt x="375" y="283"/>
                                      <a:pt x="375" y="283"/>
                                    </a:cubicBezTo>
                                    <a:cubicBezTo>
                                      <a:pt x="283" y="109"/>
                                      <a:pt x="283" y="109"/>
                                      <a:pt x="283" y="109"/>
                                    </a:cubicBezTo>
                                    <a:lnTo>
                                      <a:pt x="196" y="283"/>
                                    </a:lnTo>
                                    <a:close/>
                                    <a:moveTo>
                                      <a:pt x="341" y="21"/>
                                    </a:moveTo>
                                    <a:cubicBezTo>
                                      <a:pt x="572" y="457"/>
                                      <a:pt x="572" y="457"/>
                                      <a:pt x="572" y="457"/>
                                    </a:cubicBezTo>
                                    <a:cubicBezTo>
                                      <a:pt x="464" y="457"/>
                                      <a:pt x="464" y="457"/>
                                      <a:pt x="464" y="457"/>
                                    </a:cubicBezTo>
                                    <a:cubicBezTo>
                                      <a:pt x="418" y="365"/>
                                      <a:pt x="418" y="365"/>
                                      <a:pt x="418" y="365"/>
                                    </a:cubicBezTo>
                                    <a:cubicBezTo>
                                      <a:pt x="153" y="365"/>
                                      <a:pt x="153" y="365"/>
                                      <a:pt x="153" y="365"/>
                                    </a:cubicBezTo>
                                    <a:cubicBezTo>
                                      <a:pt x="107" y="457"/>
                                      <a:pt x="107" y="457"/>
                                      <a:pt x="107" y="457"/>
                                    </a:cubicBezTo>
                                    <a:cubicBezTo>
                                      <a:pt x="0" y="457"/>
                                      <a:pt x="0" y="457"/>
                                      <a:pt x="0" y="457"/>
                                    </a:cubicBezTo>
                                    <a:cubicBezTo>
                                      <a:pt x="231" y="21"/>
                                      <a:pt x="231" y="21"/>
                                      <a:pt x="231" y="21"/>
                                    </a:cubicBezTo>
                                    <a:lnTo>
                                      <a:pt x="341" y="21"/>
                                    </a:lnTo>
                                    <a:close/>
                                    <a:moveTo>
                                      <a:pt x="2456" y="283"/>
                                    </a:moveTo>
                                    <a:cubicBezTo>
                                      <a:pt x="2366" y="106"/>
                                      <a:pt x="2366" y="106"/>
                                      <a:pt x="2366" y="106"/>
                                    </a:cubicBezTo>
                                    <a:cubicBezTo>
                                      <a:pt x="2276" y="283"/>
                                      <a:pt x="2276" y="283"/>
                                      <a:pt x="2276" y="283"/>
                                    </a:cubicBezTo>
                                    <a:lnTo>
                                      <a:pt x="2456" y="283"/>
                                    </a:lnTo>
                                    <a:close/>
                                    <a:moveTo>
                                      <a:pt x="2422" y="21"/>
                                    </a:moveTo>
                                    <a:cubicBezTo>
                                      <a:pt x="2654" y="457"/>
                                      <a:pt x="2654" y="457"/>
                                      <a:pt x="2654" y="457"/>
                                    </a:cubicBezTo>
                                    <a:cubicBezTo>
                                      <a:pt x="2546" y="457"/>
                                      <a:pt x="2546" y="457"/>
                                      <a:pt x="2546" y="457"/>
                                    </a:cubicBezTo>
                                    <a:cubicBezTo>
                                      <a:pt x="2499" y="365"/>
                                      <a:pt x="2499" y="365"/>
                                      <a:pt x="2499" y="365"/>
                                    </a:cubicBezTo>
                                    <a:cubicBezTo>
                                      <a:pt x="2234" y="365"/>
                                      <a:pt x="2234" y="365"/>
                                      <a:pt x="2234" y="365"/>
                                    </a:cubicBezTo>
                                    <a:cubicBezTo>
                                      <a:pt x="2188" y="457"/>
                                      <a:pt x="2188" y="457"/>
                                      <a:pt x="2188" y="457"/>
                                    </a:cubicBezTo>
                                    <a:cubicBezTo>
                                      <a:pt x="2081" y="457"/>
                                      <a:pt x="2081" y="457"/>
                                      <a:pt x="2081" y="457"/>
                                    </a:cubicBezTo>
                                    <a:cubicBezTo>
                                      <a:pt x="2312" y="21"/>
                                      <a:pt x="2312" y="21"/>
                                      <a:pt x="2312" y="21"/>
                                    </a:cubicBezTo>
                                    <a:lnTo>
                                      <a:pt x="2422" y="21"/>
                                    </a:lnTo>
                                    <a:close/>
                                    <a:moveTo>
                                      <a:pt x="1015" y="325"/>
                                    </a:moveTo>
                                    <a:cubicBezTo>
                                      <a:pt x="993" y="353"/>
                                      <a:pt x="966" y="371"/>
                                      <a:pt x="932" y="378"/>
                                    </a:cubicBezTo>
                                    <a:cubicBezTo>
                                      <a:pt x="886" y="388"/>
                                      <a:pt x="841" y="387"/>
                                      <a:pt x="796" y="372"/>
                                    </a:cubicBezTo>
                                    <a:cubicBezTo>
                                      <a:pt x="762" y="360"/>
                                      <a:pt x="735" y="339"/>
                                      <a:pt x="719" y="306"/>
                                    </a:cubicBezTo>
                                    <a:cubicBezTo>
                                      <a:pt x="707" y="280"/>
                                      <a:pt x="704" y="254"/>
                                      <a:pt x="705" y="226"/>
                                    </a:cubicBezTo>
                                    <a:cubicBezTo>
                                      <a:pt x="709" y="168"/>
                                      <a:pt x="741" y="125"/>
                                      <a:pt x="797" y="105"/>
                                    </a:cubicBezTo>
                                    <a:cubicBezTo>
                                      <a:pt x="837" y="91"/>
                                      <a:pt x="879" y="89"/>
                                      <a:pt x="920" y="96"/>
                                    </a:cubicBezTo>
                                    <a:cubicBezTo>
                                      <a:pt x="960" y="103"/>
                                      <a:pt x="993" y="123"/>
                                      <a:pt x="1016" y="156"/>
                                    </a:cubicBezTo>
                                    <a:cubicBezTo>
                                      <a:pt x="1018" y="158"/>
                                      <a:pt x="1020" y="160"/>
                                      <a:pt x="1022" y="163"/>
                                    </a:cubicBezTo>
                                    <a:cubicBezTo>
                                      <a:pt x="1052" y="148"/>
                                      <a:pt x="1082" y="133"/>
                                      <a:pt x="1113" y="117"/>
                                    </a:cubicBezTo>
                                    <a:cubicBezTo>
                                      <a:pt x="1106" y="108"/>
                                      <a:pt x="1100" y="99"/>
                                      <a:pt x="1092" y="92"/>
                                    </a:cubicBezTo>
                                    <a:cubicBezTo>
                                      <a:pt x="1051" y="49"/>
                                      <a:pt x="1000" y="24"/>
                                      <a:pt x="942" y="13"/>
                                    </a:cubicBezTo>
                                    <a:cubicBezTo>
                                      <a:pt x="874" y="0"/>
                                      <a:pt x="808" y="6"/>
                                      <a:pt x="744" y="30"/>
                                    </a:cubicBezTo>
                                    <a:cubicBezTo>
                                      <a:pt x="683" y="53"/>
                                      <a:pt x="639" y="93"/>
                                      <a:pt x="617" y="155"/>
                                    </a:cubicBezTo>
                                    <a:cubicBezTo>
                                      <a:pt x="599" y="204"/>
                                      <a:pt x="598" y="254"/>
                                      <a:pt x="611" y="304"/>
                                    </a:cubicBezTo>
                                    <a:cubicBezTo>
                                      <a:pt x="630" y="375"/>
                                      <a:pt x="676" y="422"/>
                                      <a:pt x="745" y="449"/>
                                    </a:cubicBezTo>
                                    <a:cubicBezTo>
                                      <a:pt x="810" y="474"/>
                                      <a:pt x="878" y="477"/>
                                      <a:pt x="946" y="464"/>
                                    </a:cubicBezTo>
                                    <a:cubicBezTo>
                                      <a:pt x="998" y="454"/>
                                      <a:pt x="1045" y="432"/>
                                      <a:pt x="1084" y="395"/>
                                    </a:cubicBezTo>
                                    <a:cubicBezTo>
                                      <a:pt x="1095" y="384"/>
                                      <a:pt x="1105" y="373"/>
                                      <a:pt x="1114" y="359"/>
                                    </a:cubicBezTo>
                                    <a:cubicBezTo>
                                      <a:pt x="1083" y="344"/>
                                      <a:pt x="1054" y="329"/>
                                      <a:pt x="1023" y="314"/>
                                    </a:cubicBezTo>
                                    <a:cubicBezTo>
                                      <a:pt x="1020" y="318"/>
                                      <a:pt x="1018" y="322"/>
                                      <a:pt x="1015" y="325"/>
                                    </a:cubicBezTo>
                                    <a:moveTo>
                                      <a:pt x="1582" y="371"/>
                                    </a:moveTo>
                                    <a:cubicBezTo>
                                      <a:pt x="1582" y="21"/>
                                      <a:pt x="1582" y="21"/>
                                      <a:pt x="1582" y="21"/>
                                    </a:cubicBezTo>
                                    <a:cubicBezTo>
                                      <a:pt x="1483" y="21"/>
                                      <a:pt x="1483" y="21"/>
                                      <a:pt x="1483" y="21"/>
                                    </a:cubicBezTo>
                                    <a:cubicBezTo>
                                      <a:pt x="1483" y="457"/>
                                      <a:pt x="1483" y="457"/>
                                      <a:pt x="1483" y="457"/>
                                    </a:cubicBezTo>
                                    <a:cubicBezTo>
                                      <a:pt x="1891" y="457"/>
                                      <a:pt x="1891" y="457"/>
                                      <a:pt x="1891" y="457"/>
                                    </a:cubicBezTo>
                                    <a:cubicBezTo>
                                      <a:pt x="1891" y="371"/>
                                      <a:pt x="1891" y="371"/>
                                      <a:pt x="1891" y="371"/>
                                    </a:cubicBezTo>
                                    <a:lnTo>
                                      <a:pt x="1582" y="371"/>
                                    </a:lnTo>
                                    <a:close/>
                                    <a:moveTo>
                                      <a:pt x="2845" y="370"/>
                                    </a:moveTo>
                                    <a:cubicBezTo>
                                      <a:pt x="2845" y="21"/>
                                      <a:pt x="2845" y="21"/>
                                      <a:pt x="2845" y="21"/>
                                    </a:cubicBezTo>
                                    <a:cubicBezTo>
                                      <a:pt x="2747" y="21"/>
                                      <a:pt x="2747" y="21"/>
                                      <a:pt x="2747" y="21"/>
                                    </a:cubicBezTo>
                                    <a:cubicBezTo>
                                      <a:pt x="2747" y="457"/>
                                      <a:pt x="2747" y="457"/>
                                      <a:pt x="2747" y="457"/>
                                    </a:cubicBezTo>
                                    <a:cubicBezTo>
                                      <a:pt x="3155" y="457"/>
                                      <a:pt x="3155" y="457"/>
                                      <a:pt x="3155" y="457"/>
                                    </a:cubicBezTo>
                                    <a:cubicBezTo>
                                      <a:pt x="3155" y="370"/>
                                      <a:pt x="3155" y="370"/>
                                      <a:pt x="3155" y="370"/>
                                    </a:cubicBezTo>
                                    <a:lnTo>
                                      <a:pt x="2845" y="370"/>
                                    </a:lnTo>
                                    <a:close/>
                                    <a:moveTo>
                                      <a:pt x="3350" y="370"/>
                                    </a:moveTo>
                                    <a:cubicBezTo>
                                      <a:pt x="3350" y="21"/>
                                      <a:pt x="3350" y="21"/>
                                      <a:pt x="3350" y="21"/>
                                    </a:cubicBezTo>
                                    <a:cubicBezTo>
                                      <a:pt x="3253" y="21"/>
                                      <a:pt x="3253" y="21"/>
                                      <a:pt x="3253" y="21"/>
                                    </a:cubicBezTo>
                                    <a:cubicBezTo>
                                      <a:pt x="3253" y="457"/>
                                      <a:pt x="3253" y="457"/>
                                      <a:pt x="3253" y="457"/>
                                    </a:cubicBezTo>
                                    <a:cubicBezTo>
                                      <a:pt x="3660" y="457"/>
                                      <a:pt x="3660" y="457"/>
                                      <a:pt x="3660" y="457"/>
                                    </a:cubicBezTo>
                                    <a:cubicBezTo>
                                      <a:pt x="3660" y="370"/>
                                      <a:pt x="3660" y="370"/>
                                      <a:pt x="3660" y="370"/>
                                    </a:cubicBezTo>
                                    <a:lnTo>
                                      <a:pt x="3350" y="370"/>
                                    </a:lnTo>
                                    <a:close/>
                                    <a:moveTo>
                                      <a:pt x="1233" y="457"/>
                                    </a:moveTo>
                                    <a:cubicBezTo>
                                      <a:pt x="1335" y="457"/>
                                      <a:pt x="1335" y="457"/>
                                      <a:pt x="1335" y="457"/>
                                    </a:cubicBezTo>
                                    <a:cubicBezTo>
                                      <a:pt x="1335" y="21"/>
                                      <a:pt x="1335" y="21"/>
                                      <a:pt x="1335" y="21"/>
                                    </a:cubicBezTo>
                                    <a:cubicBezTo>
                                      <a:pt x="1233" y="21"/>
                                      <a:pt x="1233" y="21"/>
                                      <a:pt x="1233" y="21"/>
                                    </a:cubicBezTo>
                                    <a:lnTo>
                                      <a:pt x="1233" y="457"/>
                                    </a:lnTo>
                                    <a:close/>
                                  </a:path>
                                </a:pathLst>
                              </a:custGeom>
                              <a:solidFill>
                                <a:srgbClr val="0001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5D13BE80" id="Group 561" o:spid="_x0000_s1026" alt="&quot;&quot;" style="position:absolute;margin-left:0;margin-top:5.5pt;width:77.25pt;height:11.25pt;z-index:251705344;mso-position-horizontal-relative:page;mso-position-vertical-relative:page;mso-width-relative:margin;mso-height-relative:margin" coordorigin=",-212" coordsize="121888,187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">
                    <o:lock v:ext="edit" aspectratio="t"/>
                    <v:rect id="Rectangle 7" o:spid="_x0000_s1027" style="position:absolute;top:16431;width:14398;height:2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" fillcolor="#6c3f99" stroked="f"/>
                    <v:shape id="Freeform 6" o:spid="_x0000_s1028" style="position:absolute;top:-212;width:121888;height:12963;visibility:visible;mso-wrap-style:square;v-text-anchor:top" coordsize="4841,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" path="m4214,370v,87,,87,,87c3766,457,3766,457,3766,457v,-436,,-436,,-436c4214,21,4214,21,4214,21v,83,,83,,83c3864,104,3864,104,3864,104v,89,,89,,89c4151,194,4151,194,4151,194v,83,,83,,83c3864,277,3864,277,3864,277v,93,,93,,93l4214,370xm4345,21v,436,,436,,436c4442,457,4442,457,4442,457v,-313,,-313,,-313c4753,457,4753,457,4753,457v88,,88,,88,c4841,21,4841,21,4841,21v-96,,-96,,-96,c4745,319,4745,319,4745,319,4450,21,4450,21,4450,21r-105,xm196,283v179,,179,,179,c283,109,283,109,283,109l196,283xm341,21c572,457,572,457,572,457v-108,,-108,,-108,c418,365,418,365,418,365v-265,,-265,,-265,c107,457,107,457,107,457,,457,,457,,457,231,21,231,21,231,21r110,xm2456,283c2366,106,2366,106,2366,106v-90,177,-90,177,-90,177l2456,283xm2422,21v232,436,232,436,232,436c2546,457,2546,457,2546,457v-47,-92,-47,-92,-47,-92c2234,365,2234,365,2234,365v-46,92,-46,92,-46,92c2081,457,2081,457,2081,457,2312,21,2312,21,2312,21r110,xm1015,325v-22,28,-49,46,-83,53c886,388,841,387,796,372,762,360,735,339,719,306,707,280,704,254,705,226v4,-58,36,-101,92,-121c837,91,879,89,920,96v40,7,73,27,96,60c1018,158,1020,160,1022,163v30,-15,60,-30,91,-46c1106,108,1100,99,1092,92,1051,49,1000,24,942,13,874,,808,6,744,30,683,53,639,93,617,155v-18,49,-19,99,-6,149c630,375,676,422,745,449v65,25,133,28,201,15c998,454,1045,432,1084,395v11,-11,21,-22,30,-36c1083,344,1054,329,1023,314v-3,4,-5,8,-8,11m1582,371v,-350,,-350,,-350c1483,21,1483,21,1483,21v,436,,436,,436c1891,457,1891,457,1891,457v,-86,,-86,,-86l1582,371xm2845,370v,-349,,-349,,-349c2747,21,2747,21,2747,21v,436,,436,,436c3155,457,3155,457,3155,457v,-87,,-87,,-87l2845,370xm3350,370v,-349,,-349,,-349c3253,21,3253,21,3253,21v,436,,436,,436c3660,457,3660,457,3660,457v,-87,,-87,,-87l3350,370xm1233,457v102,,102,,102,c1335,21,1335,21,1335,21v-102,,-102,,-102,l1233,457xe" fillcolor="#000100" stroked="f">
                      <v:path arrowok="t" o:connecttype="custom" o:connectlocs="10610144,1241977;9482156,57071;10610144,282638;9728903,524511;10451521,752795;9728903,1005539;10939980,57071;11184210,1241977;11967256,1241977;12188825,57071;11947113,866938;10939980,57071;944187,769101;493495,769101;1440200,1241977;1052454,991951;269408,1241977;581619,57071;6183796,769101;5730586,769101;6098189,57071;6410400,1241977;5624837,991951;5239609,1241977;6098189,57071;2346619,1027280;1810321,831608;2006712,285356;2558117,423957;2802347,317968;2371798,35330;1553502,421239;1875785,1220235;2729330,1073481;2575742,853349;3983210,1008257;3733945,57071;4761220,1241977;3983210,1008257;7163232,57071;6916485,1241977;7943760,1005539;8434737,1005539;8190508,57071;9215265,1241977;8434737,1005539;3361306,1241977;3104487,57071" o:connectangles="0,0,0,0,0,0,0,0,0,0,0,0,0,0,0,0,0,0,0,0,0,0,0,0,0,0,0,0,0,0,0,0,0,0,0,0,0,0,0,0,0,0,0,0,0,0,0,0"/>
                      <o:lock v:ext="edit" verticies="t"/>
                    </v:shape>
                    <w10:wrap anchorx="page" anchory="page"/>
                    <w10:anchorlock/>
                  </v:group>
                </w:pict>
              </mc:Fallback>
            </mc:AlternateContent>
          </w:r>
        </w:p>
      </w:tc>
      <w:tc>
        <w:tcPr>
          <w:tcW w:w="5181" w:type="dxa"/>
          <w:vAlign w:val="center"/>
        </w:tcPr>
        <w:p w14:paraId="21242BD0" w14:textId="70D76AAD" w:rsidR="002B32A0" w:rsidRDefault="002B32A0" w:rsidP="004A1654">
          <w:pPr>
            <w:pStyle w:val="Header-CompanyName"/>
          </w:pPr>
        </w:p>
      </w:tc>
    </w:tr>
  </w:tbl>
  <w:p w14:paraId="5005A036" w14:textId="15164CEC" w:rsidR="002B32A0" w:rsidRDefault="002B32A0"/>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A536EF" w14:textId="77777777" w:rsidR="002B32A0" w:rsidRDefault="002B32A0">
    <w:pPr>
      <w:pStyle w:val="Header"/>
    </w:pPr>
  </w:p>
  <w:p w14:paraId="17392500" w14:textId="77777777" w:rsidR="002B32A0" w:rsidRDefault="002B32A0"/>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ACD92C" w14:textId="77777777" w:rsidR="002B32A0" w:rsidRPr="00FF018D" w:rsidRDefault="002B32A0" w:rsidP="00FF018D">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acTablenolines"/>
      <w:tblW w:w="10052" w:type="dxa"/>
      <w:tblLayout w:type="fixed"/>
      <w:tblLook w:val="04A0" w:firstRow="1" w:lastRow="0" w:firstColumn="1" w:lastColumn="0" w:noHBand="0" w:noVBand="1"/>
    </w:tblPr>
    <w:tblGrid>
      <w:gridCol w:w="5026"/>
      <w:gridCol w:w="5026"/>
    </w:tblGrid>
    <w:tr w:rsidR="002B32A0" w14:paraId="5825ECC8" w14:textId="77777777" w:rsidTr="000B0AC7">
      <w:trPr>
        <w:trHeight w:hRule="exact" w:val="356"/>
      </w:trPr>
      <w:tc>
        <w:tcPr>
          <w:tcW w:w="5026" w:type="dxa"/>
          <w:vAlign w:val="center"/>
        </w:tcPr>
        <w:p w14:paraId="3F8C4E3B" w14:textId="77777777" w:rsidR="002B32A0" w:rsidRDefault="002B32A0" w:rsidP="00FF018D">
          <w:pPr>
            <w:pStyle w:val="spacer"/>
          </w:pPr>
          <w:r w:rsidRPr="000261B1">
            <w:rPr>
              <w:noProof/>
            </w:rPr>
            <mc:AlternateContent>
              <mc:Choice Requires="wpg">
                <w:drawing>
                  <wp:anchor distT="0" distB="0" distL="114300" distR="114300" simplePos="0" relativeHeight="251706368" behindDoc="0" locked="1" layoutInCell="1" allowOverlap="1" wp14:anchorId="745D030C" wp14:editId="2F4AD4A7">
                    <wp:simplePos x="0" y="0"/>
                    <wp:positionH relativeFrom="page">
                      <wp:posOffset>0</wp:posOffset>
                    </wp:positionH>
                    <wp:positionV relativeFrom="page">
                      <wp:posOffset>69850</wp:posOffset>
                    </wp:positionV>
                    <wp:extent cx="981075" cy="142875"/>
                    <wp:effectExtent l="0" t="0" r="9525" b="9525"/>
                    <wp:wrapNone/>
                    <wp:docPr id="534" name="Group 5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981075" cy="142875"/>
                              <a:chOff x="0" y="-21209"/>
                              <a:chExt cx="12188825" cy="1878663"/>
                            </a:xfrm>
                          </wpg:grpSpPr>
                          <wps:wsp>
                            <wps:cNvPr id="550" name="Rectangle 550"/>
                            <wps:cNvSpPr>
                              <a:spLocks noChangeArrowheads="1"/>
                            </wps:cNvSpPr>
                            <wps:spPr bwMode="auto">
                              <a:xfrm>
                                <a:off x="0" y="1643143"/>
                                <a:ext cx="1439863" cy="214311"/>
                              </a:xfrm>
                              <a:prstGeom prst="rect">
                                <a:avLst/>
                              </a:prstGeom>
                              <a:solidFill>
                                <a:srgbClr val="6C3F99"/>
                              </a:solid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564" name="Freeform 6"/>
                            <wps:cNvSpPr>
                              <a:spLocks noEditPoints="1"/>
                            </wps:cNvSpPr>
                            <wps:spPr bwMode="auto">
                              <a:xfrm>
                                <a:off x="0" y="-21209"/>
                                <a:ext cx="12188825" cy="1296330"/>
                              </a:xfrm>
                              <a:custGeom>
                                <a:avLst/>
                                <a:gdLst>
                                  <a:gd name="T0" fmla="*/ 4214 w 4841"/>
                                  <a:gd name="T1" fmla="*/ 457 h 477"/>
                                  <a:gd name="T2" fmla="*/ 3766 w 4841"/>
                                  <a:gd name="T3" fmla="*/ 21 h 477"/>
                                  <a:gd name="T4" fmla="*/ 4214 w 4841"/>
                                  <a:gd name="T5" fmla="*/ 104 h 477"/>
                                  <a:gd name="T6" fmla="*/ 3864 w 4841"/>
                                  <a:gd name="T7" fmla="*/ 193 h 477"/>
                                  <a:gd name="T8" fmla="*/ 4151 w 4841"/>
                                  <a:gd name="T9" fmla="*/ 277 h 477"/>
                                  <a:gd name="T10" fmla="*/ 3864 w 4841"/>
                                  <a:gd name="T11" fmla="*/ 370 h 477"/>
                                  <a:gd name="T12" fmla="*/ 4345 w 4841"/>
                                  <a:gd name="T13" fmla="*/ 21 h 477"/>
                                  <a:gd name="T14" fmla="*/ 4442 w 4841"/>
                                  <a:gd name="T15" fmla="*/ 457 h 477"/>
                                  <a:gd name="T16" fmla="*/ 4753 w 4841"/>
                                  <a:gd name="T17" fmla="*/ 457 h 477"/>
                                  <a:gd name="T18" fmla="*/ 4841 w 4841"/>
                                  <a:gd name="T19" fmla="*/ 21 h 477"/>
                                  <a:gd name="T20" fmla="*/ 4745 w 4841"/>
                                  <a:gd name="T21" fmla="*/ 319 h 477"/>
                                  <a:gd name="T22" fmla="*/ 4345 w 4841"/>
                                  <a:gd name="T23" fmla="*/ 21 h 477"/>
                                  <a:gd name="T24" fmla="*/ 375 w 4841"/>
                                  <a:gd name="T25" fmla="*/ 283 h 477"/>
                                  <a:gd name="T26" fmla="*/ 196 w 4841"/>
                                  <a:gd name="T27" fmla="*/ 283 h 477"/>
                                  <a:gd name="T28" fmla="*/ 572 w 4841"/>
                                  <a:gd name="T29" fmla="*/ 457 h 477"/>
                                  <a:gd name="T30" fmla="*/ 418 w 4841"/>
                                  <a:gd name="T31" fmla="*/ 365 h 477"/>
                                  <a:gd name="T32" fmla="*/ 107 w 4841"/>
                                  <a:gd name="T33" fmla="*/ 457 h 477"/>
                                  <a:gd name="T34" fmla="*/ 231 w 4841"/>
                                  <a:gd name="T35" fmla="*/ 21 h 477"/>
                                  <a:gd name="T36" fmla="*/ 2456 w 4841"/>
                                  <a:gd name="T37" fmla="*/ 283 h 477"/>
                                  <a:gd name="T38" fmla="*/ 2276 w 4841"/>
                                  <a:gd name="T39" fmla="*/ 283 h 477"/>
                                  <a:gd name="T40" fmla="*/ 2422 w 4841"/>
                                  <a:gd name="T41" fmla="*/ 21 h 477"/>
                                  <a:gd name="T42" fmla="*/ 2546 w 4841"/>
                                  <a:gd name="T43" fmla="*/ 457 h 477"/>
                                  <a:gd name="T44" fmla="*/ 2234 w 4841"/>
                                  <a:gd name="T45" fmla="*/ 365 h 477"/>
                                  <a:gd name="T46" fmla="*/ 2081 w 4841"/>
                                  <a:gd name="T47" fmla="*/ 457 h 477"/>
                                  <a:gd name="T48" fmla="*/ 2422 w 4841"/>
                                  <a:gd name="T49" fmla="*/ 21 h 477"/>
                                  <a:gd name="T50" fmla="*/ 932 w 4841"/>
                                  <a:gd name="T51" fmla="*/ 378 h 477"/>
                                  <a:gd name="T52" fmla="*/ 719 w 4841"/>
                                  <a:gd name="T53" fmla="*/ 306 h 477"/>
                                  <a:gd name="T54" fmla="*/ 797 w 4841"/>
                                  <a:gd name="T55" fmla="*/ 105 h 477"/>
                                  <a:gd name="T56" fmla="*/ 1016 w 4841"/>
                                  <a:gd name="T57" fmla="*/ 156 h 477"/>
                                  <a:gd name="T58" fmla="*/ 1113 w 4841"/>
                                  <a:gd name="T59" fmla="*/ 117 h 477"/>
                                  <a:gd name="T60" fmla="*/ 942 w 4841"/>
                                  <a:gd name="T61" fmla="*/ 13 h 477"/>
                                  <a:gd name="T62" fmla="*/ 617 w 4841"/>
                                  <a:gd name="T63" fmla="*/ 155 h 477"/>
                                  <a:gd name="T64" fmla="*/ 745 w 4841"/>
                                  <a:gd name="T65" fmla="*/ 449 h 477"/>
                                  <a:gd name="T66" fmla="*/ 1084 w 4841"/>
                                  <a:gd name="T67" fmla="*/ 395 h 477"/>
                                  <a:gd name="T68" fmla="*/ 1023 w 4841"/>
                                  <a:gd name="T69" fmla="*/ 314 h 477"/>
                                  <a:gd name="T70" fmla="*/ 1582 w 4841"/>
                                  <a:gd name="T71" fmla="*/ 371 h 477"/>
                                  <a:gd name="T72" fmla="*/ 1483 w 4841"/>
                                  <a:gd name="T73" fmla="*/ 21 h 477"/>
                                  <a:gd name="T74" fmla="*/ 1891 w 4841"/>
                                  <a:gd name="T75" fmla="*/ 457 h 477"/>
                                  <a:gd name="T76" fmla="*/ 1582 w 4841"/>
                                  <a:gd name="T77" fmla="*/ 371 h 477"/>
                                  <a:gd name="T78" fmla="*/ 2845 w 4841"/>
                                  <a:gd name="T79" fmla="*/ 21 h 477"/>
                                  <a:gd name="T80" fmla="*/ 2747 w 4841"/>
                                  <a:gd name="T81" fmla="*/ 457 h 477"/>
                                  <a:gd name="T82" fmla="*/ 3155 w 4841"/>
                                  <a:gd name="T83" fmla="*/ 370 h 477"/>
                                  <a:gd name="T84" fmla="*/ 3350 w 4841"/>
                                  <a:gd name="T85" fmla="*/ 370 h 477"/>
                                  <a:gd name="T86" fmla="*/ 3253 w 4841"/>
                                  <a:gd name="T87" fmla="*/ 21 h 477"/>
                                  <a:gd name="T88" fmla="*/ 3660 w 4841"/>
                                  <a:gd name="T89" fmla="*/ 457 h 477"/>
                                  <a:gd name="T90" fmla="*/ 3350 w 4841"/>
                                  <a:gd name="T91" fmla="*/ 370 h 477"/>
                                  <a:gd name="T92" fmla="*/ 1335 w 4841"/>
                                  <a:gd name="T93" fmla="*/ 457 h 477"/>
                                  <a:gd name="T94" fmla="*/ 1233 w 4841"/>
                                  <a:gd name="T95" fmla="*/ 21 h 4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4841" h="477">
                                    <a:moveTo>
                                      <a:pt x="4214" y="370"/>
                                    </a:moveTo>
                                    <a:cubicBezTo>
                                      <a:pt x="4214" y="457"/>
                                      <a:pt x="4214" y="457"/>
                                      <a:pt x="4214" y="457"/>
                                    </a:cubicBezTo>
                                    <a:cubicBezTo>
                                      <a:pt x="3766" y="457"/>
                                      <a:pt x="3766" y="457"/>
                                      <a:pt x="3766" y="457"/>
                                    </a:cubicBezTo>
                                    <a:cubicBezTo>
                                      <a:pt x="3766" y="21"/>
                                      <a:pt x="3766" y="21"/>
                                      <a:pt x="3766" y="21"/>
                                    </a:cubicBezTo>
                                    <a:cubicBezTo>
                                      <a:pt x="4214" y="21"/>
                                      <a:pt x="4214" y="21"/>
                                      <a:pt x="4214" y="21"/>
                                    </a:cubicBezTo>
                                    <a:cubicBezTo>
                                      <a:pt x="4214" y="104"/>
                                      <a:pt x="4214" y="104"/>
                                      <a:pt x="4214" y="104"/>
                                    </a:cubicBezTo>
                                    <a:cubicBezTo>
                                      <a:pt x="3864" y="104"/>
                                      <a:pt x="3864" y="104"/>
                                      <a:pt x="3864" y="104"/>
                                    </a:cubicBezTo>
                                    <a:cubicBezTo>
                                      <a:pt x="3864" y="193"/>
                                      <a:pt x="3864" y="193"/>
                                      <a:pt x="3864" y="193"/>
                                    </a:cubicBezTo>
                                    <a:cubicBezTo>
                                      <a:pt x="4151" y="194"/>
                                      <a:pt x="4151" y="194"/>
                                      <a:pt x="4151" y="194"/>
                                    </a:cubicBezTo>
                                    <a:cubicBezTo>
                                      <a:pt x="4151" y="277"/>
                                      <a:pt x="4151" y="277"/>
                                      <a:pt x="4151" y="277"/>
                                    </a:cubicBezTo>
                                    <a:cubicBezTo>
                                      <a:pt x="3864" y="277"/>
                                      <a:pt x="3864" y="277"/>
                                      <a:pt x="3864" y="277"/>
                                    </a:cubicBezTo>
                                    <a:cubicBezTo>
                                      <a:pt x="3864" y="370"/>
                                      <a:pt x="3864" y="370"/>
                                      <a:pt x="3864" y="370"/>
                                    </a:cubicBezTo>
                                    <a:lnTo>
                                      <a:pt x="4214" y="370"/>
                                    </a:lnTo>
                                    <a:close/>
                                    <a:moveTo>
                                      <a:pt x="4345" y="21"/>
                                    </a:moveTo>
                                    <a:cubicBezTo>
                                      <a:pt x="4345" y="457"/>
                                      <a:pt x="4345" y="457"/>
                                      <a:pt x="4345" y="457"/>
                                    </a:cubicBezTo>
                                    <a:cubicBezTo>
                                      <a:pt x="4442" y="457"/>
                                      <a:pt x="4442" y="457"/>
                                      <a:pt x="4442" y="457"/>
                                    </a:cubicBezTo>
                                    <a:cubicBezTo>
                                      <a:pt x="4442" y="144"/>
                                      <a:pt x="4442" y="144"/>
                                      <a:pt x="4442" y="144"/>
                                    </a:cubicBezTo>
                                    <a:cubicBezTo>
                                      <a:pt x="4753" y="457"/>
                                      <a:pt x="4753" y="457"/>
                                      <a:pt x="4753" y="457"/>
                                    </a:cubicBezTo>
                                    <a:cubicBezTo>
                                      <a:pt x="4841" y="457"/>
                                      <a:pt x="4841" y="457"/>
                                      <a:pt x="4841" y="457"/>
                                    </a:cubicBezTo>
                                    <a:cubicBezTo>
                                      <a:pt x="4841" y="21"/>
                                      <a:pt x="4841" y="21"/>
                                      <a:pt x="4841" y="21"/>
                                    </a:cubicBezTo>
                                    <a:cubicBezTo>
                                      <a:pt x="4745" y="21"/>
                                      <a:pt x="4745" y="21"/>
                                      <a:pt x="4745" y="21"/>
                                    </a:cubicBezTo>
                                    <a:cubicBezTo>
                                      <a:pt x="4745" y="319"/>
                                      <a:pt x="4745" y="319"/>
                                      <a:pt x="4745" y="319"/>
                                    </a:cubicBezTo>
                                    <a:cubicBezTo>
                                      <a:pt x="4450" y="21"/>
                                      <a:pt x="4450" y="21"/>
                                      <a:pt x="4450" y="21"/>
                                    </a:cubicBezTo>
                                    <a:lnTo>
                                      <a:pt x="4345" y="21"/>
                                    </a:lnTo>
                                    <a:close/>
                                    <a:moveTo>
                                      <a:pt x="196" y="283"/>
                                    </a:moveTo>
                                    <a:cubicBezTo>
                                      <a:pt x="375" y="283"/>
                                      <a:pt x="375" y="283"/>
                                      <a:pt x="375" y="283"/>
                                    </a:cubicBezTo>
                                    <a:cubicBezTo>
                                      <a:pt x="283" y="109"/>
                                      <a:pt x="283" y="109"/>
                                      <a:pt x="283" y="109"/>
                                    </a:cubicBezTo>
                                    <a:lnTo>
                                      <a:pt x="196" y="283"/>
                                    </a:lnTo>
                                    <a:close/>
                                    <a:moveTo>
                                      <a:pt x="341" y="21"/>
                                    </a:moveTo>
                                    <a:cubicBezTo>
                                      <a:pt x="572" y="457"/>
                                      <a:pt x="572" y="457"/>
                                      <a:pt x="572" y="457"/>
                                    </a:cubicBezTo>
                                    <a:cubicBezTo>
                                      <a:pt x="464" y="457"/>
                                      <a:pt x="464" y="457"/>
                                      <a:pt x="464" y="457"/>
                                    </a:cubicBezTo>
                                    <a:cubicBezTo>
                                      <a:pt x="418" y="365"/>
                                      <a:pt x="418" y="365"/>
                                      <a:pt x="418" y="365"/>
                                    </a:cubicBezTo>
                                    <a:cubicBezTo>
                                      <a:pt x="153" y="365"/>
                                      <a:pt x="153" y="365"/>
                                      <a:pt x="153" y="365"/>
                                    </a:cubicBezTo>
                                    <a:cubicBezTo>
                                      <a:pt x="107" y="457"/>
                                      <a:pt x="107" y="457"/>
                                      <a:pt x="107" y="457"/>
                                    </a:cubicBezTo>
                                    <a:cubicBezTo>
                                      <a:pt x="0" y="457"/>
                                      <a:pt x="0" y="457"/>
                                      <a:pt x="0" y="457"/>
                                    </a:cubicBezTo>
                                    <a:cubicBezTo>
                                      <a:pt x="231" y="21"/>
                                      <a:pt x="231" y="21"/>
                                      <a:pt x="231" y="21"/>
                                    </a:cubicBezTo>
                                    <a:lnTo>
                                      <a:pt x="341" y="21"/>
                                    </a:lnTo>
                                    <a:close/>
                                    <a:moveTo>
                                      <a:pt x="2456" y="283"/>
                                    </a:moveTo>
                                    <a:cubicBezTo>
                                      <a:pt x="2366" y="106"/>
                                      <a:pt x="2366" y="106"/>
                                      <a:pt x="2366" y="106"/>
                                    </a:cubicBezTo>
                                    <a:cubicBezTo>
                                      <a:pt x="2276" y="283"/>
                                      <a:pt x="2276" y="283"/>
                                      <a:pt x="2276" y="283"/>
                                    </a:cubicBezTo>
                                    <a:lnTo>
                                      <a:pt x="2456" y="283"/>
                                    </a:lnTo>
                                    <a:close/>
                                    <a:moveTo>
                                      <a:pt x="2422" y="21"/>
                                    </a:moveTo>
                                    <a:cubicBezTo>
                                      <a:pt x="2654" y="457"/>
                                      <a:pt x="2654" y="457"/>
                                      <a:pt x="2654" y="457"/>
                                    </a:cubicBezTo>
                                    <a:cubicBezTo>
                                      <a:pt x="2546" y="457"/>
                                      <a:pt x="2546" y="457"/>
                                      <a:pt x="2546" y="457"/>
                                    </a:cubicBezTo>
                                    <a:cubicBezTo>
                                      <a:pt x="2499" y="365"/>
                                      <a:pt x="2499" y="365"/>
                                      <a:pt x="2499" y="365"/>
                                    </a:cubicBezTo>
                                    <a:cubicBezTo>
                                      <a:pt x="2234" y="365"/>
                                      <a:pt x="2234" y="365"/>
                                      <a:pt x="2234" y="365"/>
                                    </a:cubicBezTo>
                                    <a:cubicBezTo>
                                      <a:pt x="2188" y="457"/>
                                      <a:pt x="2188" y="457"/>
                                      <a:pt x="2188" y="457"/>
                                    </a:cubicBezTo>
                                    <a:cubicBezTo>
                                      <a:pt x="2081" y="457"/>
                                      <a:pt x="2081" y="457"/>
                                      <a:pt x="2081" y="457"/>
                                    </a:cubicBezTo>
                                    <a:cubicBezTo>
                                      <a:pt x="2312" y="21"/>
                                      <a:pt x="2312" y="21"/>
                                      <a:pt x="2312" y="21"/>
                                    </a:cubicBezTo>
                                    <a:lnTo>
                                      <a:pt x="2422" y="21"/>
                                    </a:lnTo>
                                    <a:close/>
                                    <a:moveTo>
                                      <a:pt x="1015" y="325"/>
                                    </a:moveTo>
                                    <a:cubicBezTo>
                                      <a:pt x="993" y="353"/>
                                      <a:pt x="966" y="371"/>
                                      <a:pt x="932" y="378"/>
                                    </a:cubicBezTo>
                                    <a:cubicBezTo>
                                      <a:pt x="886" y="388"/>
                                      <a:pt x="841" y="387"/>
                                      <a:pt x="796" y="372"/>
                                    </a:cubicBezTo>
                                    <a:cubicBezTo>
                                      <a:pt x="762" y="360"/>
                                      <a:pt x="735" y="339"/>
                                      <a:pt x="719" y="306"/>
                                    </a:cubicBezTo>
                                    <a:cubicBezTo>
                                      <a:pt x="707" y="280"/>
                                      <a:pt x="704" y="254"/>
                                      <a:pt x="705" y="226"/>
                                    </a:cubicBezTo>
                                    <a:cubicBezTo>
                                      <a:pt x="709" y="168"/>
                                      <a:pt x="741" y="125"/>
                                      <a:pt x="797" y="105"/>
                                    </a:cubicBezTo>
                                    <a:cubicBezTo>
                                      <a:pt x="837" y="91"/>
                                      <a:pt x="879" y="89"/>
                                      <a:pt x="920" y="96"/>
                                    </a:cubicBezTo>
                                    <a:cubicBezTo>
                                      <a:pt x="960" y="103"/>
                                      <a:pt x="993" y="123"/>
                                      <a:pt x="1016" y="156"/>
                                    </a:cubicBezTo>
                                    <a:cubicBezTo>
                                      <a:pt x="1018" y="158"/>
                                      <a:pt x="1020" y="160"/>
                                      <a:pt x="1022" y="163"/>
                                    </a:cubicBezTo>
                                    <a:cubicBezTo>
                                      <a:pt x="1052" y="148"/>
                                      <a:pt x="1082" y="133"/>
                                      <a:pt x="1113" y="117"/>
                                    </a:cubicBezTo>
                                    <a:cubicBezTo>
                                      <a:pt x="1106" y="108"/>
                                      <a:pt x="1100" y="99"/>
                                      <a:pt x="1092" y="92"/>
                                    </a:cubicBezTo>
                                    <a:cubicBezTo>
                                      <a:pt x="1051" y="49"/>
                                      <a:pt x="1000" y="24"/>
                                      <a:pt x="942" y="13"/>
                                    </a:cubicBezTo>
                                    <a:cubicBezTo>
                                      <a:pt x="874" y="0"/>
                                      <a:pt x="808" y="6"/>
                                      <a:pt x="744" y="30"/>
                                    </a:cubicBezTo>
                                    <a:cubicBezTo>
                                      <a:pt x="683" y="53"/>
                                      <a:pt x="639" y="93"/>
                                      <a:pt x="617" y="155"/>
                                    </a:cubicBezTo>
                                    <a:cubicBezTo>
                                      <a:pt x="599" y="204"/>
                                      <a:pt x="598" y="254"/>
                                      <a:pt x="611" y="304"/>
                                    </a:cubicBezTo>
                                    <a:cubicBezTo>
                                      <a:pt x="630" y="375"/>
                                      <a:pt x="676" y="422"/>
                                      <a:pt x="745" y="449"/>
                                    </a:cubicBezTo>
                                    <a:cubicBezTo>
                                      <a:pt x="810" y="474"/>
                                      <a:pt x="878" y="477"/>
                                      <a:pt x="946" y="464"/>
                                    </a:cubicBezTo>
                                    <a:cubicBezTo>
                                      <a:pt x="998" y="454"/>
                                      <a:pt x="1045" y="432"/>
                                      <a:pt x="1084" y="395"/>
                                    </a:cubicBezTo>
                                    <a:cubicBezTo>
                                      <a:pt x="1095" y="384"/>
                                      <a:pt x="1105" y="373"/>
                                      <a:pt x="1114" y="359"/>
                                    </a:cubicBezTo>
                                    <a:cubicBezTo>
                                      <a:pt x="1083" y="344"/>
                                      <a:pt x="1054" y="329"/>
                                      <a:pt x="1023" y="314"/>
                                    </a:cubicBezTo>
                                    <a:cubicBezTo>
                                      <a:pt x="1020" y="318"/>
                                      <a:pt x="1018" y="322"/>
                                      <a:pt x="1015" y="325"/>
                                    </a:cubicBezTo>
                                    <a:moveTo>
                                      <a:pt x="1582" y="371"/>
                                    </a:moveTo>
                                    <a:cubicBezTo>
                                      <a:pt x="1582" y="21"/>
                                      <a:pt x="1582" y="21"/>
                                      <a:pt x="1582" y="21"/>
                                    </a:cubicBezTo>
                                    <a:cubicBezTo>
                                      <a:pt x="1483" y="21"/>
                                      <a:pt x="1483" y="21"/>
                                      <a:pt x="1483" y="21"/>
                                    </a:cubicBezTo>
                                    <a:cubicBezTo>
                                      <a:pt x="1483" y="457"/>
                                      <a:pt x="1483" y="457"/>
                                      <a:pt x="1483" y="457"/>
                                    </a:cubicBezTo>
                                    <a:cubicBezTo>
                                      <a:pt x="1891" y="457"/>
                                      <a:pt x="1891" y="457"/>
                                      <a:pt x="1891" y="457"/>
                                    </a:cubicBezTo>
                                    <a:cubicBezTo>
                                      <a:pt x="1891" y="371"/>
                                      <a:pt x="1891" y="371"/>
                                      <a:pt x="1891" y="371"/>
                                    </a:cubicBezTo>
                                    <a:lnTo>
                                      <a:pt x="1582" y="371"/>
                                    </a:lnTo>
                                    <a:close/>
                                    <a:moveTo>
                                      <a:pt x="2845" y="370"/>
                                    </a:moveTo>
                                    <a:cubicBezTo>
                                      <a:pt x="2845" y="21"/>
                                      <a:pt x="2845" y="21"/>
                                      <a:pt x="2845" y="21"/>
                                    </a:cubicBezTo>
                                    <a:cubicBezTo>
                                      <a:pt x="2747" y="21"/>
                                      <a:pt x="2747" y="21"/>
                                      <a:pt x="2747" y="21"/>
                                    </a:cubicBezTo>
                                    <a:cubicBezTo>
                                      <a:pt x="2747" y="457"/>
                                      <a:pt x="2747" y="457"/>
                                      <a:pt x="2747" y="457"/>
                                    </a:cubicBezTo>
                                    <a:cubicBezTo>
                                      <a:pt x="3155" y="457"/>
                                      <a:pt x="3155" y="457"/>
                                      <a:pt x="3155" y="457"/>
                                    </a:cubicBezTo>
                                    <a:cubicBezTo>
                                      <a:pt x="3155" y="370"/>
                                      <a:pt x="3155" y="370"/>
                                      <a:pt x="3155" y="370"/>
                                    </a:cubicBezTo>
                                    <a:lnTo>
                                      <a:pt x="2845" y="370"/>
                                    </a:lnTo>
                                    <a:close/>
                                    <a:moveTo>
                                      <a:pt x="3350" y="370"/>
                                    </a:moveTo>
                                    <a:cubicBezTo>
                                      <a:pt x="3350" y="21"/>
                                      <a:pt x="3350" y="21"/>
                                      <a:pt x="3350" y="21"/>
                                    </a:cubicBezTo>
                                    <a:cubicBezTo>
                                      <a:pt x="3253" y="21"/>
                                      <a:pt x="3253" y="21"/>
                                      <a:pt x="3253" y="21"/>
                                    </a:cubicBezTo>
                                    <a:cubicBezTo>
                                      <a:pt x="3253" y="457"/>
                                      <a:pt x="3253" y="457"/>
                                      <a:pt x="3253" y="457"/>
                                    </a:cubicBezTo>
                                    <a:cubicBezTo>
                                      <a:pt x="3660" y="457"/>
                                      <a:pt x="3660" y="457"/>
                                      <a:pt x="3660" y="457"/>
                                    </a:cubicBezTo>
                                    <a:cubicBezTo>
                                      <a:pt x="3660" y="370"/>
                                      <a:pt x="3660" y="370"/>
                                      <a:pt x="3660" y="370"/>
                                    </a:cubicBezTo>
                                    <a:lnTo>
                                      <a:pt x="3350" y="370"/>
                                    </a:lnTo>
                                    <a:close/>
                                    <a:moveTo>
                                      <a:pt x="1233" y="457"/>
                                    </a:moveTo>
                                    <a:cubicBezTo>
                                      <a:pt x="1335" y="457"/>
                                      <a:pt x="1335" y="457"/>
                                      <a:pt x="1335" y="457"/>
                                    </a:cubicBezTo>
                                    <a:cubicBezTo>
                                      <a:pt x="1335" y="21"/>
                                      <a:pt x="1335" y="21"/>
                                      <a:pt x="1335" y="21"/>
                                    </a:cubicBezTo>
                                    <a:cubicBezTo>
                                      <a:pt x="1233" y="21"/>
                                      <a:pt x="1233" y="21"/>
                                      <a:pt x="1233" y="21"/>
                                    </a:cubicBezTo>
                                    <a:lnTo>
                                      <a:pt x="1233" y="457"/>
                                    </a:lnTo>
                                    <a:close/>
                                  </a:path>
                                </a:pathLst>
                              </a:custGeom>
                              <a:solidFill>
                                <a:srgbClr val="FFFE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36042E75" id="Group 534" o:spid="_x0000_s1026" alt="&quot;&quot;" style="position:absolute;margin-left:0;margin-top:5.5pt;width:77.25pt;height:11.25pt;z-index:251706368;mso-position-horizontal-relative:page;mso-position-vertical-relative:page;mso-width-relative:margin;mso-height-relative:margin" coordorigin=",-212" coordsize="121888,187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">
                    <o:lock v:ext="edit" aspectratio="t"/>
                    <v:rect id="Rectangle 550" o:spid="_x0000_s1027" style="position:absolute;top:16431;width:14398;height:2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" fillcolor="#6c3f99" stroked="f"/>
                    <v:shape id="Freeform 6" o:spid="_x0000_s1028" style="position:absolute;top:-212;width:121888;height:12963;visibility:visible;mso-wrap-style:square;v-text-anchor:top" coordsize="4841,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" path="m4214,370v,87,,87,,87c3766,457,3766,457,3766,457v,-436,,-436,,-436c4214,21,4214,21,4214,21v,83,,83,,83c3864,104,3864,104,3864,104v,89,,89,,89c4151,194,4151,194,4151,194v,83,,83,,83c3864,277,3864,277,3864,277v,93,,93,,93l4214,370xm4345,21v,436,,436,,436c4442,457,4442,457,4442,457v,-313,,-313,,-313c4753,457,4753,457,4753,457v88,,88,,88,c4841,21,4841,21,4841,21v-96,,-96,,-96,c4745,319,4745,319,4745,319,4450,21,4450,21,4450,21r-105,xm196,283v179,,179,,179,c283,109,283,109,283,109l196,283xm341,21c572,457,572,457,572,457v-108,,-108,,-108,c418,365,418,365,418,365v-265,,-265,,-265,c107,457,107,457,107,457,,457,,457,,457,231,21,231,21,231,21r110,xm2456,283c2366,106,2366,106,2366,106v-90,177,-90,177,-90,177l2456,283xm2422,21v232,436,232,436,232,436c2546,457,2546,457,2546,457v-47,-92,-47,-92,-47,-92c2234,365,2234,365,2234,365v-46,92,-46,92,-46,92c2081,457,2081,457,2081,457,2312,21,2312,21,2312,21r110,xm1015,325v-22,28,-49,46,-83,53c886,388,841,387,796,372,762,360,735,339,719,306,707,280,704,254,705,226v4,-58,36,-101,92,-121c837,91,879,89,920,96v40,7,73,27,96,60c1018,158,1020,160,1022,163v30,-15,60,-30,91,-46c1106,108,1100,99,1092,92,1051,49,1000,24,942,13,874,,808,6,744,30,683,53,639,93,617,155v-18,49,-19,99,-6,149c630,375,676,422,745,449v65,25,133,28,201,15c998,454,1045,432,1084,395v11,-11,21,-22,30,-36c1083,344,1054,329,1023,314v-3,4,-5,8,-8,11m1582,371v,-350,,-350,,-350c1483,21,1483,21,1483,21v,436,,436,,436c1891,457,1891,457,1891,457v,-86,,-86,,-86l1582,371xm2845,370v,-349,,-349,,-349c2747,21,2747,21,2747,21v,436,,436,,436c3155,457,3155,457,3155,457v,-87,,-87,,-87l2845,370xm3350,370v,-349,,-349,,-349c3253,21,3253,21,3253,21v,436,,436,,436c3660,457,3660,457,3660,457v,-87,,-87,,-87l3350,370xm1233,457v102,,102,,102,c1335,21,1335,21,1335,21v-102,,-102,,-102,l1233,457xe" fillcolor="#fffeff" stroked="f">
                      <v:path arrowok="t" o:connecttype="custom" o:connectlocs="10610144,1241977;9482156,57071;10610144,282638;9728903,524511;10451521,752795;9728903,1005539;10939980,57071;11184210,1241977;11967256,1241977;12188825,57071;11947113,866938;10939980,57071;944187,769101;493495,769101;1440200,1241977;1052454,991951;269408,1241977;581619,57071;6183796,769101;5730586,769101;6098189,57071;6410400,1241977;5624837,991951;5239609,1241977;6098189,57071;2346619,1027280;1810321,831608;2006712,285356;2558117,423957;2802347,317968;2371798,35330;1553502,421239;1875785,1220235;2729330,1073481;2575742,853349;3983210,1008257;3733945,57071;4761220,1241977;3983210,1008257;7163232,57071;6916485,1241977;7943760,1005539;8434737,1005539;8190508,57071;9215265,1241977;8434737,1005539;3361306,1241977;3104487,57071" o:connectangles="0,0,0,0,0,0,0,0,0,0,0,0,0,0,0,0,0,0,0,0,0,0,0,0,0,0,0,0,0,0,0,0,0,0,0,0,0,0,0,0,0,0,0,0,0,0,0,0"/>
                      <o:lock v:ext="edit" verticies="t"/>
                    </v:shape>
                    <w10:wrap anchorx="page" anchory="page"/>
                    <w10:anchorlock/>
                  </v:group>
                </w:pict>
              </mc:Fallback>
            </mc:AlternateContent>
          </w:r>
        </w:p>
      </w:tc>
      <w:tc>
        <w:tcPr>
          <w:tcW w:w="5026" w:type="dxa"/>
          <w:vAlign w:val="center"/>
        </w:tcPr>
        <w:p w14:paraId="04A20EFF" w14:textId="73D0740B" w:rsidR="002B32A0" w:rsidRDefault="002B32A0" w:rsidP="004A1654">
          <w:pPr>
            <w:pStyle w:val="Header-CompanyName"/>
          </w:pPr>
        </w:p>
      </w:tc>
    </w:tr>
  </w:tbl>
  <w:p w14:paraId="41F98B93" w14:textId="2DF8D692" w:rsidR="002B32A0" w:rsidRPr="00FF018D" w:rsidRDefault="002B32A0" w:rsidP="00FF018D">
    <w:pPr>
      <w:pStyle w:val="tagpartBanner"/>
    </w:pPr>
    <w:r>
      <w:rPr>
        <w:noProof/>
      </w:rPr>
      <mc:AlternateContent>
        <mc:Choice Requires="wps">
          <w:drawing>
            <wp:anchor distT="0" distB="0" distL="114300" distR="114300" simplePos="0" relativeHeight="251674624" behindDoc="1" locked="1" layoutInCell="1" allowOverlap="1" wp14:anchorId="03C9D511" wp14:editId="70FF9CD4">
              <wp:simplePos x="0" y="0"/>
              <wp:positionH relativeFrom="page">
                <wp:posOffset>0</wp:posOffset>
              </wp:positionH>
              <wp:positionV relativeFrom="page">
                <wp:posOffset>0</wp:posOffset>
              </wp:positionV>
              <wp:extent cx="7560310" cy="10692130"/>
              <wp:effectExtent l="0" t="0" r="2540" b="0"/>
              <wp:wrapNone/>
              <wp:docPr id="532" name="Rectangle 5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0310" cy="10692130"/>
                      </a:xfrm>
                      <a:prstGeom prst="rect">
                        <a:avLst/>
                      </a:prstGeom>
                      <a:solidFill>
                        <a:srgbClr val="14003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ACB166C" id="Rectangle 532" o:spid="_x0000_s1026" alt="&quot;&quot;" style="position:absolute;margin-left:0;margin-top:0;width:595.3pt;height:841.9pt;z-index:-251641856;visibility:visible;mso-wrap-style:square;mso-wrap-distance-left:9pt;mso-wrap-distance-top:0;mso-wrap-distance-right:9pt;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" fillcolor="#140034" stroked="f" strokeweight="1pt">
              <w10:wrap anchorx="page" anchory="page"/>
              <w10:anchorlock/>
            </v:rect>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CADC9F" w14:textId="77777777" w:rsidR="002B32A0" w:rsidRPr="00FF018D" w:rsidRDefault="002B32A0" w:rsidP="00FF018D">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D6BAB0" w14:textId="77777777" w:rsidR="002B32A0" w:rsidRDefault="002B32A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579A25" w14:textId="77777777" w:rsidR="0083717E" w:rsidRDefault="0083717E">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acTablenolines"/>
      <w:tblW w:w="10363" w:type="dxa"/>
      <w:tblInd w:w="-2427" w:type="dxa"/>
      <w:tblLayout w:type="fixed"/>
      <w:tblLook w:val="04A0" w:firstRow="1" w:lastRow="0" w:firstColumn="1" w:lastColumn="0" w:noHBand="0" w:noVBand="1"/>
    </w:tblPr>
    <w:tblGrid>
      <w:gridCol w:w="5182"/>
      <w:gridCol w:w="5181"/>
    </w:tblGrid>
    <w:tr w:rsidR="002B32A0" w14:paraId="379ABD0D" w14:textId="77777777" w:rsidTr="000B0AC7">
      <w:trPr>
        <w:trHeight w:hRule="exact" w:val="356"/>
      </w:trPr>
      <w:tc>
        <w:tcPr>
          <w:tcW w:w="5182" w:type="dxa"/>
          <w:vAlign w:val="center"/>
        </w:tcPr>
        <w:p w14:paraId="00D32E17" w14:textId="77777777" w:rsidR="002B32A0" w:rsidRDefault="002B32A0" w:rsidP="00026E9C">
          <w:pPr>
            <w:pStyle w:val="spacer"/>
          </w:pPr>
          <w:r w:rsidRPr="000261B1">
            <w:rPr>
              <w:noProof/>
            </w:rPr>
            <mc:AlternateContent>
              <mc:Choice Requires="wpg">
                <w:drawing>
                  <wp:anchor distT="0" distB="0" distL="114300" distR="114300" simplePos="0" relativeHeight="251707392" behindDoc="0" locked="1" layoutInCell="1" allowOverlap="1" wp14:anchorId="5621BC64" wp14:editId="67452A42">
                    <wp:simplePos x="0" y="0"/>
                    <wp:positionH relativeFrom="page">
                      <wp:posOffset>0</wp:posOffset>
                    </wp:positionH>
                    <wp:positionV relativeFrom="page">
                      <wp:posOffset>69850</wp:posOffset>
                    </wp:positionV>
                    <wp:extent cx="981075" cy="142875"/>
                    <wp:effectExtent l="0" t="0" r="9525" b="9525"/>
                    <wp:wrapNone/>
                    <wp:docPr id="578" name="Group 5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981075" cy="142875"/>
                              <a:chOff x="0" y="-21209"/>
                              <a:chExt cx="12188825" cy="1878663"/>
                            </a:xfrm>
                          </wpg:grpSpPr>
                          <wps:wsp>
                            <wps:cNvPr id="583" name="Rectangle 10"/>
                            <wps:cNvSpPr>
                              <a:spLocks noChangeArrowheads="1"/>
                            </wps:cNvSpPr>
                            <wps:spPr bwMode="auto">
                              <a:xfrm>
                                <a:off x="0" y="1643143"/>
                                <a:ext cx="1439863" cy="214311"/>
                              </a:xfrm>
                              <a:prstGeom prst="rect">
                                <a:avLst/>
                              </a:prstGeom>
                              <a:solidFill>
                                <a:srgbClr val="6C3F99"/>
                              </a:solid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585" name="Freeform 6"/>
                            <wps:cNvSpPr>
                              <a:spLocks noEditPoints="1"/>
                            </wps:cNvSpPr>
                            <wps:spPr bwMode="auto">
                              <a:xfrm>
                                <a:off x="0" y="-21209"/>
                                <a:ext cx="12188825" cy="1296330"/>
                              </a:xfrm>
                              <a:custGeom>
                                <a:avLst/>
                                <a:gdLst>
                                  <a:gd name="T0" fmla="*/ 4214 w 4841"/>
                                  <a:gd name="T1" fmla="*/ 457 h 477"/>
                                  <a:gd name="T2" fmla="*/ 3766 w 4841"/>
                                  <a:gd name="T3" fmla="*/ 21 h 477"/>
                                  <a:gd name="T4" fmla="*/ 4214 w 4841"/>
                                  <a:gd name="T5" fmla="*/ 104 h 477"/>
                                  <a:gd name="T6" fmla="*/ 3864 w 4841"/>
                                  <a:gd name="T7" fmla="*/ 193 h 477"/>
                                  <a:gd name="T8" fmla="*/ 4151 w 4841"/>
                                  <a:gd name="T9" fmla="*/ 277 h 477"/>
                                  <a:gd name="T10" fmla="*/ 3864 w 4841"/>
                                  <a:gd name="T11" fmla="*/ 370 h 477"/>
                                  <a:gd name="T12" fmla="*/ 4345 w 4841"/>
                                  <a:gd name="T13" fmla="*/ 21 h 477"/>
                                  <a:gd name="T14" fmla="*/ 4442 w 4841"/>
                                  <a:gd name="T15" fmla="*/ 457 h 477"/>
                                  <a:gd name="T16" fmla="*/ 4753 w 4841"/>
                                  <a:gd name="T17" fmla="*/ 457 h 477"/>
                                  <a:gd name="T18" fmla="*/ 4841 w 4841"/>
                                  <a:gd name="T19" fmla="*/ 21 h 477"/>
                                  <a:gd name="T20" fmla="*/ 4745 w 4841"/>
                                  <a:gd name="T21" fmla="*/ 319 h 477"/>
                                  <a:gd name="T22" fmla="*/ 4345 w 4841"/>
                                  <a:gd name="T23" fmla="*/ 21 h 477"/>
                                  <a:gd name="T24" fmla="*/ 375 w 4841"/>
                                  <a:gd name="T25" fmla="*/ 283 h 477"/>
                                  <a:gd name="T26" fmla="*/ 196 w 4841"/>
                                  <a:gd name="T27" fmla="*/ 283 h 477"/>
                                  <a:gd name="T28" fmla="*/ 572 w 4841"/>
                                  <a:gd name="T29" fmla="*/ 457 h 477"/>
                                  <a:gd name="T30" fmla="*/ 418 w 4841"/>
                                  <a:gd name="T31" fmla="*/ 365 h 477"/>
                                  <a:gd name="T32" fmla="*/ 107 w 4841"/>
                                  <a:gd name="T33" fmla="*/ 457 h 477"/>
                                  <a:gd name="T34" fmla="*/ 231 w 4841"/>
                                  <a:gd name="T35" fmla="*/ 21 h 477"/>
                                  <a:gd name="T36" fmla="*/ 2456 w 4841"/>
                                  <a:gd name="T37" fmla="*/ 283 h 477"/>
                                  <a:gd name="T38" fmla="*/ 2276 w 4841"/>
                                  <a:gd name="T39" fmla="*/ 283 h 477"/>
                                  <a:gd name="T40" fmla="*/ 2422 w 4841"/>
                                  <a:gd name="T41" fmla="*/ 21 h 477"/>
                                  <a:gd name="T42" fmla="*/ 2546 w 4841"/>
                                  <a:gd name="T43" fmla="*/ 457 h 477"/>
                                  <a:gd name="T44" fmla="*/ 2234 w 4841"/>
                                  <a:gd name="T45" fmla="*/ 365 h 477"/>
                                  <a:gd name="T46" fmla="*/ 2081 w 4841"/>
                                  <a:gd name="T47" fmla="*/ 457 h 477"/>
                                  <a:gd name="T48" fmla="*/ 2422 w 4841"/>
                                  <a:gd name="T49" fmla="*/ 21 h 477"/>
                                  <a:gd name="T50" fmla="*/ 932 w 4841"/>
                                  <a:gd name="T51" fmla="*/ 378 h 477"/>
                                  <a:gd name="T52" fmla="*/ 719 w 4841"/>
                                  <a:gd name="T53" fmla="*/ 306 h 477"/>
                                  <a:gd name="T54" fmla="*/ 797 w 4841"/>
                                  <a:gd name="T55" fmla="*/ 105 h 477"/>
                                  <a:gd name="T56" fmla="*/ 1016 w 4841"/>
                                  <a:gd name="T57" fmla="*/ 156 h 477"/>
                                  <a:gd name="T58" fmla="*/ 1113 w 4841"/>
                                  <a:gd name="T59" fmla="*/ 117 h 477"/>
                                  <a:gd name="T60" fmla="*/ 942 w 4841"/>
                                  <a:gd name="T61" fmla="*/ 13 h 477"/>
                                  <a:gd name="T62" fmla="*/ 617 w 4841"/>
                                  <a:gd name="T63" fmla="*/ 155 h 477"/>
                                  <a:gd name="T64" fmla="*/ 745 w 4841"/>
                                  <a:gd name="T65" fmla="*/ 449 h 477"/>
                                  <a:gd name="T66" fmla="*/ 1084 w 4841"/>
                                  <a:gd name="T67" fmla="*/ 395 h 477"/>
                                  <a:gd name="T68" fmla="*/ 1023 w 4841"/>
                                  <a:gd name="T69" fmla="*/ 314 h 477"/>
                                  <a:gd name="T70" fmla="*/ 1582 w 4841"/>
                                  <a:gd name="T71" fmla="*/ 371 h 477"/>
                                  <a:gd name="T72" fmla="*/ 1483 w 4841"/>
                                  <a:gd name="T73" fmla="*/ 21 h 477"/>
                                  <a:gd name="T74" fmla="*/ 1891 w 4841"/>
                                  <a:gd name="T75" fmla="*/ 457 h 477"/>
                                  <a:gd name="T76" fmla="*/ 1582 w 4841"/>
                                  <a:gd name="T77" fmla="*/ 371 h 477"/>
                                  <a:gd name="T78" fmla="*/ 2845 w 4841"/>
                                  <a:gd name="T79" fmla="*/ 21 h 477"/>
                                  <a:gd name="T80" fmla="*/ 2747 w 4841"/>
                                  <a:gd name="T81" fmla="*/ 457 h 477"/>
                                  <a:gd name="T82" fmla="*/ 3155 w 4841"/>
                                  <a:gd name="T83" fmla="*/ 370 h 477"/>
                                  <a:gd name="T84" fmla="*/ 3350 w 4841"/>
                                  <a:gd name="T85" fmla="*/ 370 h 477"/>
                                  <a:gd name="T86" fmla="*/ 3253 w 4841"/>
                                  <a:gd name="T87" fmla="*/ 21 h 477"/>
                                  <a:gd name="T88" fmla="*/ 3660 w 4841"/>
                                  <a:gd name="T89" fmla="*/ 457 h 477"/>
                                  <a:gd name="T90" fmla="*/ 3350 w 4841"/>
                                  <a:gd name="T91" fmla="*/ 370 h 477"/>
                                  <a:gd name="T92" fmla="*/ 1335 w 4841"/>
                                  <a:gd name="T93" fmla="*/ 457 h 477"/>
                                  <a:gd name="T94" fmla="*/ 1233 w 4841"/>
                                  <a:gd name="T95" fmla="*/ 21 h 4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4841" h="477">
                                    <a:moveTo>
                                      <a:pt x="4214" y="370"/>
                                    </a:moveTo>
                                    <a:cubicBezTo>
                                      <a:pt x="4214" y="457"/>
                                      <a:pt x="4214" y="457"/>
                                      <a:pt x="4214" y="457"/>
                                    </a:cubicBezTo>
                                    <a:cubicBezTo>
                                      <a:pt x="3766" y="457"/>
                                      <a:pt x="3766" y="457"/>
                                      <a:pt x="3766" y="457"/>
                                    </a:cubicBezTo>
                                    <a:cubicBezTo>
                                      <a:pt x="3766" y="21"/>
                                      <a:pt x="3766" y="21"/>
                                      <a:pt x="3766" y="21"/>
                                    </a:cubicBezTo>
                                    <a:cubicBezTo>
                                      <a:pt x="4214" y="21"/>
                                      <a:pt x="4214" y="21"/>
                                      <a:pt x="4214" y="21"/>
                                    </a:cubicBezTo>
                                    <a:cubicBezTo>
                                      <a:pt x="4214" y="104"/>
                                      <a:pt x="4214" y="104"/>
                                      <a:pt x="4214" y="104"/>
                                    </a:cubicBezTo>
                                    <a:cubicBezTo>
                                      <a:pt x="3864" y="104"/>
                                      <a:pt x="3864" y="104"/>
                                      <a:pt x="3864" y="104"/>
                                    </a:cubicBezTo>
                                    <a:cubicBezTo>
                                      <a:pt x="3864" y="193"/>
                                      <a:pt x="3864" y="193"/>
                                      <a:pt x="3864" y="193"/>
                                    </a:cubicBezTo>
                                    <a:cubicBezTo>
                                      <a:pt x="4151" y="194"/>
                                      <a:pt x="4151" y="194"/>
                                      <a:pt x="4151" y="194"/>
                                    </a:cubicBezTo>
                                    <a:cubicBezTo>
                                      <a:pt x="4151" y="277"/>
                                      <a:pt x="4151" y="277"/>
                                      <a:pt x="4151" y="277"/>
                                    </a:cubicBezTo>
                                    <a:cubicBezTo>
                                      <a:pt x="3864" y="277"/>
                                      <a:pt x="3864" y="277"/>
                                      <a:pt x="3864" y="277"/>
                                    </a:cubicBezTo>
                                    <a:cubicBezTo>
                                      <a:pt x="3864" y="370"/>
                                      <a:pt x="3864" y="370"/>
                                      <a:pt x="3864" y="370"/>
                                    </a:cubicBezTo>
                                    <a:lnTo>
                                      <a:pt x="4214" y="370"/>
                                    </a:lnTo>
                                    <a:close/>
                                    <a:moveTo>
                                      <a:pt x="4345" y="21"/>
                                    </a:moveTo>
                                    <a:cubicBezTo>
                                      <a:pt x="4345" y="457"/>
                                      <a:pt x="4345" y="457"/>
                                      <a:pt x="4345" y="457"/>
                                    </a:cubicBezTo>
                                    <a:cubicBezTo>
                                      <a:pt x="4442" y="457"/>
                                      <a:pt x="4442" y="457"/>
                                      <a:pt x="4442" y="457"/>
                                    </a:cubicBezTo>
                                    <a:cubicBezTo>
                                      <a:pt x="4442" y="144"/>
                                      <a:pt x="4442" y="144"/>
                                      <a:pt x="4442" y="144"/>
                                    </a:cubicBezTo>
                                    <a:cubicBezTo>
                                      <a:pt x="4753" y="457"/>
                                      <a:pt x="4753" y="457"/>
                                      <a:pt x="4753" y="457"/>
                                    </a:cubicBezTo>
                                    <a:cubicBezTo>
                                      <a:pt x="4841" y="457"/>
                                      <a:pt x="4841" y="457"/>
                                      <a:pt x="4841" y="457"/>
                                    </a:cubicBezTo>
                                    <a:cubicBezTo>
                                      <a:pt x="4841" y="21"/>
                                      <a:pt x="4841" y="21"/>
                                      <a:pt x="4841" y="21"/>
                                    </a:cubicBezTo>
                                    <a:cubicBezTo>
                                      <a:pt x="4745" y="21"/>
                                      <a:pt x="4745" y="21"/>
                                      <a:pt x="4745" y="21"/>
                                    </a:cubicBezTo>
                                    <a:cubicBezTo>
                                      <a:pt x="4745" y="319"/>
                                      <a:pt x="4745" y="319"/>
                                      <a:pt x="4745" y="319"/>
                                    </a:cubicBezTo>
                                    <a:cubicBezTo>
                                      <a:pt x="4450" y="21"/>
                                      <a:pt x="4450" y="21"/>
                                      <a:pt x="4450" y="21"/>
                                    </a:cubicBezTo>
                                    <a:lnTo>
                                      <a:pt x="4345" y="21"/>
                                    </a:lnTo>
                                    <a:close/>
                                    <a:moveTo>
                                      <a:pt x="196" y="283"/>
                                    </a:moveTo>
                                    <a:cubicBezTo>
                                      <a:pt x="375" y="283"/>
                                      <a:pt x="375" y="283"/>
                                      <a:pt x="375" y="283"/>
                                    </a:cubicBezTo>
                                    <a:cubicBezTo>
                                      <a:pt x="283" y="109"/>
                                      <a:pt x="283" y="109"/>
                                      <a:pt x="283" y="109"/>
                                    </a:cubicBezTo>
                                    <a:lnTo>
                                      <a:pt x="196" y="283"/>
                                    </a:lnTo>
                                    <a:close/>
                                    <a:moveTo>
                                      <a:pt x="341" y="21"/>
                                    </a:moveTo>
                                    <a:cubicBezTo>
                                      <a:pt x="572" y="457"/>
                                      <a:pt x="572" y="457"/>
                                      <a:pt x="572" y="457"/>
                                    </a:cubicBezTo>
                                    <a:cubicBezTo>
                                      <a:pt x="464" y="457"/>
                                      <a:pt x="464" y="457"/>
                                      <a:pt x="464" y="457"/>
                                    </a:cubicBezTo>
                                    <a:cubicBezTo>
                                      <a:pt x="418" y="365"/>
                                      <a:pt x="418" y="365"/>
                                      <a:pt x="418" y="365"/>
                                    </a:cubicBezTo>
                                    <a:cubicBezTo>
                                      <a:pt x="153" y="365"/>
                                      <a:pt x="153" y="365"/>
                                      <a:pt x="153" y="365"/>
                                    </a:cubicBezTo>
                                    <a:cubicBezTo>
                                      <a:pt x="107" y="457"/>
                                      <a:pt x="107" y="457"/>
                                      <a:pt x="107" y="457"/>
                                    </a:cubicBezTo>
                                    <a:cubicBezTo>
                                      <a:pt x="0" y="457"/>
                                      <a:pt x="0" y="457"/>
                                      <a:pt x="0" y="457"/>
                                    </a:cubicBezTo>
                                    <a:cubicBezTo>
                                      <a:pt x="231" y="21"/>
                                      <a:pt x="231" y="21"/>
                                      <a:pt x="231" y="21"/>
                                    </a:cubicBezTo>
                                    <a:lnTo>
                                      <a:pt x="341" y="21"/>
                                    </a:lnTo>
                                    <a:close/>
                                    <a:moveTo>
                                      <a:pt x="2456" y="283"/>
                                    </a:moveTo>
                                    <a:cubicBezTo>
                                      <a:pt x="2366" y="106"/>
                                      <a:pt x="2366" y="106"/>
                                      <a:pt x="2366" y="106"/>
                                    </a:cubicBezTo>
                                    <a:cubicBezTo>
                                      <a:pt x="2276" y="283"/>
                                      <a:pt x="2276" y="283"/>
                                      <a:pt x="2276" y="283"/>
                                    </a:cubicBezTo>
                                    <a:lnTo>
                                      <a:pt x="2456" y="283"/>
                                    </a:lnTo>
                                    <a:close/>
                                    <a:moveTo>
                                      <a:pt x="2422" y="21"/>
                                    </a:moveTo>
                                    <a:cubicBezTo>
                                      <a:pt x="2654" y="457"/>
                                      <a:pt x="2654" y="457"/>
                                      <a:pt x="2654" y="457"/>
                                    </a:cubicBezTo>
                                    <a:cubicBezTo>
                                      <a:pt x="2546" y="457"/>
                                      <a:pt x="2546" y="457"/>
                                      <a:pt x="2546" y="457"/>
                                    </a:cubicBezTo>
                                    <a:cubicBezTo>
                                      <a:pt x="2499" y="365"/>
                                      <a:pt x="2499" y="365"/>
                                      <a:pt x="2499" y="365"/>
                                    </a:cubicBezTo>
                                    <a:cubicBezTo>
                                      <a:pt x="2234" y="365"/>
                                      <a:pt x="2234" y="365"/>
                                      <a:pt x="2234" y="365"/>
                                    </a:cubicBezTo>
                                    <a:cubicBezTo>
                                      <a:pt x="2188" y="457"/>
                                      <a:pt x="2188" y="457"/>
                                      <a:pt x="2188" y="457"/>
                                    </a:cubicBezTo>
                                    <a:cubicBezTo>
                                      <a:pt x="2081" y="457"/>
                                      <a:pt x="2081" y="457"/>
                                      <a:pt x="2081" y="457"/>
                                    </a:cubicBezTo>
                                    <a:cubicBezTo>
                                      <a:pt x="2312" y="21"/>
                                      <a:pt x="2312" y="21"/>
                                      <a:pt x="2312" y="21"/>
                                    </a:cubicBezTo>
                                    <a:lnTo>
                                      <a:pt x="2422" y="21"/>
                                    </a:lnTo>
                                    <a:close/>
                                    <a:moveTo>
                                      <a:pt x="1015" y="325"/>
                                    </a:moveTo>
                                    <a:cubicBezTo>
                                      <a:pt x="993" y="353"/>
                                      <a:pt x="966" y="371"/>
                                      <a:pt x="932" y="378"/>
                                    </a:cubicBezTo>
                                    <a:cubicBezTo>
                                      <a:pt x="886" y="388"/>
                                      <a:pt x="841" y="387"/>
                                      <a:pt x="796" y="372"/>
                                    </a:cubicBezTo>
                                    <a:cubicBezTo>
                                      <a:pt x="762" y="360"/>
                                      <a:pt x="735" y="339"/>
                                      <a:pt x="719" y="306"/>
                                    </a:cubicBezTo>
                                    <a:cubicBezTo>
                                      <a:pt x="707" y="280"/>
                                      <a:pt x="704" y="254"/>
                                      <a:pt x="705" y="226"/>
                                    </a:cubicBezTo>
                                    <a:cubicBezTo>
                                      <a:pt x="709" y="168"/>
                                      <a:pt x="741" y="125"/>
                                      <a:pt x="797" y="105"/>
                                    </a:cubicBezTo>
                                    <a:cubicBezTo>
                                      <a:pt x="837" y="91"/>
                                      <a:pt x="879" y="89"/>
                                      <a:pt x="920" y="96"/>
                                    </a:cubicBezTo>
                                    <a:cubicBezTo>
                                      <a:pt x="960" y="103"/>
                                      <a:pt x="993" y="123"/>
                                      <a:pt x="1016" y="156"/>
                                    </a:cubicBezTo>
                                    <a:cubicBezTo>
                                      <a:pt x="1018" y="158"/>
                                      <a:pt x="1020" y="160"/>
                                      <a:pt x="1022" y="163"/>
                                    </a:cubicBezTo>
                                    <a:cubicBezTo>
                                      <a:pt x="1052" y="148"/>
                                      <a:pt x="1082" y="133"/>
                                      <a:pt x="1113" y="117"/>
                                    </a:cubicBezTo>
                                    <a:cubicBezTo>
                                      <a:pt x="1106" y="108"/>
                                      <a:pt x="1100" y="99"/>
                                      <a:pt x="1092" y="92"/>
                                    </a:cubicBezTo>
                                    <a:cubicBezTo>
                                      <a:pt x="1051" y="49"/>
                                      <a:pt x="1000" y="24"/>
                                      <a:pt x="942" y="13"/>
                                    </a:cubicBezTo>
                                    <a:cubicBezTo>
                                      <a:pt x="874" y="0"/>
                                      <a:pt x="808" y="6"/>
                                      <a:pt x="744" y="30"/>
                                    </a:cubicBezTo>
                                    <a:cubicBezTo>
                                      <a:pt x="683" y="53"/>
                                      <a:pt x="639" y="93"/>
                                      <a:pt x="617" y="155"/>
                                    </a:cubicBezTo>
                                    <a:cubicBezTo>
                                      <a:pt x="599" y="204"/>
                                      <a:pt x="598" y="254"/>
                                      <a:pt x="611" y="304"/>
                                    </a:cubicBezTo>
                                    <a:cubicBezTo>
                                      <a:pt x="630" y="375"/>
                                      <a:pt x="676" y="422"/>
                                      <a:pt x="745" y="449"/>
                                    </a:cubicBezTo>
                                    <a:cubicBezTo>
                                      <a:pt x="810" y="474"/>
                                      <a:pt x="878" y="477"/>
                                      <a:pt x="946" y="464"/>
                                    </a:cubicBezTo>
                                    <a:cubicBezTo>
                                      <a:pt x="998" y="454"/>
                                      <a:pt x="1045" y="432"/>
                                      <a:pt x="1084" y="395"/>
                                    </a:cubicBezTo>
                                    <a:cubicBezTo>
                                      <a:pt x="1095" y="384"/>
                                      <a:pt x="1105" y="373"/>
                                      <a:pt x="1114" y="359"/>
                                    </a:cubicBezTo>
                                    <a:cubicBezTo>
                                      <a:pt x="1083" y="344"/>
                                      <a:pt x="1054" y="329"/>
                                      <a:pt x="1023" y="314"/>
                                    </a:cubicBezTo>
                                    <a:cubicBezTo>
                                      <a:pt x="1020" y="318"/>
                                      <a:pt x="1018" y="322"/>
                                      <a:pt x="1015" y="325"/>
                                    </a:cubicBezTo>
                                    <a:moveTo>
                                      <a:pt x="1582" y="371"/>
                                    </a:moveTo>
                                    <a:cubicBezTo>
                                      <a:pt x="1582" y="21"/>
                                      <a:pt x="1582" y="21"/>
                                      <a:pt x="1582" y="21"/>
                                    </a:cubicBezTo>
                                    <a:cubicBezTo>
                                      <a:pt x="1483" y="21"/>
                                      <a:pt x="1483" y="21"/>
                                      <a:pt x="1483" y="21"/>
                                    </a:cubicBezTo>
                                    <a:cubicBezTo>
                                      <a:pt x="1483" y="457"/>
                                      <a:pt x="1483" y="457"/>
                                      <a:pt x="1483" y="457"/>
                                    </a:cubicBezTo>
                                    <a:cubicBezTo>
                                      <a:pt x="1891" y="457"/>
                                      <a:pt x="1891" y="457"/>
                                      <a:pt x="1891" y="457"/>
                                    </a:cubicBezTo>
                                    <a:cubicBezTo>
                                      <a:pt x="1891" y="371"/>
                                      <a:pt x="1891" y="371"/>
                                      <a:pt x="1891" y="371"/>
                                    </a:cubicBezTo>
                                    <a:lnTo>
                                      <a:pt x="1582" y="371"/>
                                    </a:lnTo>
                                    <a:close/>
                                    <a:moveTo>
                                      <a:pt x="2845" y="370"/>
                                    </a:moveTo>
                                    <a:cubicBezTo>
                                      <a:pt x="2845" y="21"/>
                                      <a:pt x="2845" y="21"/>
                                      <a:pt x="2845" y="21"/>
                                    </a:cubicBezTo>
                                    <a:cubicBezTo>
                                      <a:pt x="2747" y="21"/>
                                      <a:pt x="2747" y="21"/>
                                      <a:pt x="2747" y="21"/>
                                    </a:cubicBezTo>
                                    <a:cubicBezTo>
                                      <a:pt x="2747" y="457"/>
                                      <a:pt x="2747" y="457"/>
                                      <a:pt x="2747" y="457"/>
                                    </a:cubicBezTo>
                                    <a:cubicBezTo>
                                      <a:pt x="3155" y="457"/>
                                      <a:pt x="3155" y="457"/>
                                      <a:pt x="3155" y="457"/>
                                    </a:cubicBezTo>
                                    <a:cubicBezTo>
                                      <a:pt x="3155" y="370"/>
                                      <a:pt x="3155" y="370"/>
                                      <a:pt x="3155" y="370"/>
                                    </a:cubicBezTo>
                                    <a:lnTo>
                                      <a:pt x="2845" y="370"/>
                                    </a:lnTo>
                                    <a:close/>
                                    <a:moveTo>
                                      <a:pt x="3350" y="370"/>
                                    </a:moveTo>
                                    <a:cubicBezTo>
                                      <a:pt x="3350" y="21"/>
                                      <a:pt x="3350" y="21"/>
                                      <a:pt x="3350" y="21"/>
                                    </a:cubicBezTo>
                                    <a:cubicBezTo>
                                      <a:pt x="3253" y="21"/>
                                      <a:pt x="3253" y="21"/>
                                      <a:pt x="3253" y="21"/>
                                    </a:cubicBezTo>
                                    <a:cubicBezTo>
                                      <a:pt x="3253" y="457"/>
                                      <a:pt x="3253" y="457"/>
                                      <a:pt x="3253" y="457"/>
                                    </a:cubicBezTo>
                                    <a:cubicBezTo>
                                      <a:pt x="3660" y="457"/>
                                      <a:pt x="3660" y="457"/>
                                      <a:pt x="3660" y="457"/>
                                    </a:cubicBezTo>
                                    <a:cubicBezTo>
                                      <a:pt x="3660" y="370"/>
                                      <a:pt x="3660" y="370"/>
                                      <a:pt x="3660" y="370"/>
                                    </a:cubicBezTo>
                                    <a:lnTo>
                                      <a:pt x="3350" y="370"/>
                                    </a:lnTo>
                                    <a:close/>
                                    <a:moveTo>
                                      <a:pt x="1233" y="457"/>
                                    </a:moveTo>
                                    <a:cubicBezTo>
                                      <a:pt x="1335" y="457"/>
                                      <a:pt x="1335" y="457"/>
                                      <a:pt x="1335" y="457"/>
                                    </a:cubicBezTo>
                                    <a:cubicBezTo>
                                      <a:pt x="1335" y="21"/>
                                      <a:pt x="1335" y="21"/>
                                      <a:pt x="1335" y="21"/>
                                    </a:cubicBezTo>
                                    <a:cubicBezTo>
                                      <a:pt x="1233" y="21"/>
                                      <a:pt x="1233" y="21"/>
                                      <a:pt x="1233" y="21"/>
                                    </a:cubicBezTo>
                                    <a:lnTo>
                                      <a:pt x="1233" y="457"/>
                                    </a:lnTo>
                                    <a:close/>
                                  </a:path>
                                </a:pathLst>
                              </a:custGeom>
                              <a:solidFill>
                                <a:srgbClr val="0001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2A8B13C2" id="Group 578" o:spid="_x0000_s1026" alt="&quot;&quot;" style="position:absolute;margin-left:0;margin-top:5.5pt;width:77.25pt;height:11.25pt;z-index:251707392;mso-position-horizontal-relative:page;mso-position-vertical-relative:page;mso-width-relative:margin;mso-height-relative:margin" coordorigin=",-212" coordsize="121888,187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">
                    <o:lock v:ext="edit" aspectratio="t"/>
                    <v:rect id="Rectangle 10" o:spid="_x0000_s1027" style="position:absolute;top:16431;width:14398;height:2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" fillcolor="#6c3f99" stroked="f"/>
                    <v:shape id="Freeform 6" o:spid="_x0000_s1028" style="position:absolute;top:-212;width:121888;height:12963;visibility:visible;mso-wrap-style:square;v-text-anchor:top" coordsize="4841,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" path="m4214,370v,87,,87,,87c3766,457,3766,457,3766,457v,-436,,-436,,-436c4214,21,4214,21,4214,21v,83,,83,,83c3864,104,3864,104,3864,104v,89,,89,,89c4151,194,4151,194,4151,194v,83,,83,,83c3864,277,3864,277,3864,277v,93,,93,,93l4214,370xm4345,21v,436,,436,,436c4442,457,4442,457,4442,457v,-313,,-313,,-313c4753,457,4753,457,4753,457v88,,88,,88,c4841,21,4841,21,4841,21v-96,,-96,,-96,c4745,319,4745,319,4745,319,4450,21,4450,21,4450,21r-105,xm196,283v179,,179,,179,c283,109,283,109,283,109l196,283xm341,21c572,457,572,457,572,457v-108,,-108,,-108,c418,365,418,365,418,365v-265,,-265,,-265,c107,457,107,457,107,457,,457,,457,,457,231,21,231,21,231,21r110,xm2456,283c2366,106,2366,106,2366,106v-90,177,-90,177,-90,177l2456,283xm2422,21v232,436,232,436,232,436c2546,457,2546,457,2546,457v-47,-92,-47,-92,-47,-92c2234,365,2234,365,2234,365v-46,92,-46,92,-46,92c2081,457,2081,457,2081,457,2312,21,2312,21,2312,21r110,xm1015,325v-22,28,-49,46,-83,53c886,388,841,387,796,372,762,360,735,339,719,306,707,280,704,254,705,226v4,-58,36,-101,92,-121c837,91,879,89,920,96v40,7,73,27,96,60c1018,158,1020,160,1022,163v30,-15,60,-30,91,-46c1106,108,1100,99,1092,92,1051,49,1000,24,942,13,874,,808,6,744,30,683,53,639,93,617,155v-18,49,-19,99,-6,149c630,375,676,422,745,449v65,25,133,28,201,15c998,454,1045,432,1084,395v11,-11,21,-22,30,-36c1083,344,1054,329,1023,314v-3,4,-5,8,-8,11m1582,371v,-350,,-350,,-350c1483,21,1483,21,1483,21v,436,,436,,436c1891,457,1891,457,1891,457v,-86,,-86,,-86l1582,371xm2845,370v,-349,,-349,,-349c2747,21,2747,21,2747,21v,436,,436,,436c3155,457,3155,457,3155,457v,-87,,-87,,-87l2845,370xm3350,370v,-349,,-349,,-349c3253,21,3253,21,3253,21v,436,,436,,436c3660,457,3660,457,3660,457v,-87,,-87,,-87l3350,370xm1233,457v102,,102,,102,c1335,21,1335,21,1335,21v-102,,-102,,-102,l1233,457xe" fillcolor="#000100" stroked="f">
                      <v:path arrowok="t" o:connecttype="custom" o:connectlocs="10610144,1241977;9482156,57071;10610144,282638;9728903,524511;10451521,752795;9728903,1005539;10939980,57071;11184210,1241977;11967256,1241977;12188825,57071;11947113,866938;10939980,57071;944187,769101;493495,769101;1440200,1241977;1052454,991951;269408,1241977;581619,57071;6183796,769101;5730586,769101;6098189,57071;6410400,1241977;5624837,991951;5239609,1241977;6098189,57071;2346619,1027280;1810321,831608;2006712,285356;2558117,423957;2802347,317968;2371798,35330;1553502,421239;1875785,1220235;2729330,1073481;2575742,853349;3983210,1008257;3733945,57071;4761220,1241977;3983210,1008257;7163232,57071;6916485,1241977;7943760,1005539;8434737,1005539;8190508,57071;9215265,1241977;8434737,1005539;3361306,1241977;3104487,57071" o:connectangles="0,0,0,0,0,0,0,0,0,0,0,0,0,0,0,0,0,0,0,0,0,0,0,0,0,0,0,0,0,0,0,0,0,0,0,0,0,0,0,0,0,0,0,0,0,0,0,0"/>
                      <o:lock v:ext="edit" verticies="t"/>
                    </v:shape>
                    <w10:wrap anchorx="page" anchory="page"/>
                    <w10:anchorlock/>
                  </v:group>
                </w:pict>
              </mc:Fallback>
            </mc:AlternateContent>
          </w:r>
        </w:p>
      </w:tc>
      <w:tc>
        <w:tcPr>
          <w:tcW w:w="5181" w:type="dxa"/>
          <w:vAlign w:val="center"/>
        </w:tcPr>
        <w:p w14:paraId="409BE486" w14:textId="13694588" w:rsidR="002B32A0" w:rsidRDefault="002B32A0" w:rsidP="004A1654">
          <w:pPr>
            <w:pStyle w:val="Header-CompanyName"/>
          </w:pPr>
        </w:p>
      </w:tc>
    </w:tr>
  </w:tbl>
  <w:p w14:paraId="46536EE5" w14:textId="4ED3A90E" w:rsidR="002B32A0" w:rsidRPr="00026E9C" w:rsidRDefault="002B32A0" w:rsidP="00026E9C">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7225AD" w14:textId="77777777" w:rsidR="002B32A0" w:rsidRDefault="002B32A0">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C03C58" w14:textId="77777777" w:rsidR="002B32A0" w:rsidRDefault="002B32A0">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acTablenolines"/>
      <w:tblW w:w="15280" w:type="dxa"/>
      <w:tblInd w:w="-2412" w:type="dxa"/>
      <w:tblLayout w:type="fixed"/>
      <w:tblLook w:val="04A0" w:firstRow="1" w:lastRow="0" w:firstColumn="1" w:lastColumn="0" w:noHBand="0" w:noVBand="1"/>
    </w:tblPr>
    <w:tblGrid>
      <w:gridCol w:w="7641"/>
      <w:gridCol w:w="7639"/>
    </w:tblGrid>
    <w:tr w:rsidR="002B32A0" w14:paraId="4B97E0A9" w14:textId="77777777" w:rsidTr="000B0AC7">
      <w:trPr>
        <w:trHeight w:hRule="exact" w:val="356"/>
      </w:trPr>
      <w:tc>
        <w:tcPr>
          <w:tcW w:w="7641" w:type="dxa"/>
          <w:vAlign w:val="center"/>
        </w:tcPr>
        <w:p w14:paraId="54154DA7" w14:textId="77777777" w:rsidR="002B32A0" w:rsidRDefault="002B32A0" w:rsidP="00026E9C">
          <w:pPr>
            <w:pStyle w:val="spacer"/>
          </w:pPr>
          <w:r w:rsidRPr="000261B1">
            <w:rPr>
              <w:noProof/>
            </w:rPr>
            <mc:AlternateContent>
              <mc:Choice Requires="wpg">
                <w:drawing>
                  <wp:anchor distT="0" distB="0" distL="114300" distR="114300" simplePos="0" relativeHeight="251708416" behindDoc="0" locked="1" layoutInCell="1" allowOverlap="1" wp14:anchorId="6CD264C8" wp14:editId="5E713F12">
                    <wp:simplePos x="0" y="0"/>
                    <wp:positionH relativeFrom="page">
                      <wp:posOffset>0</wp:posOffset>
                    </wp:positionH>
                    <wp:positionV relativeFrom="page">
                      <wp:posOffset>69850</wp:posOffset>
                    </wp:positionV>
                    <wp:extent cx="981075" cy="142875"/>
                    <wp:effectExtent l="0" t="0" r="9525" b="9525"/>
                    <wp:wrapNone/>
                    <wp:docPr id="581" name="Group 5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981075" cy="142875"/>
                              <a:chOff x="0" y="-21209"/>
                              <a:chExt cx="12188825" cy="1878663"/>
                            </a:xfrm>
                          </wpg:grpSpPr>
                          <wps:wsp>
                            <wps:cNvPr id="582" name="Rectangle 582"/>
                            <wps:cNvSpPr>
                              <a:spLocks noChangeArrowheads="1"/>
                            </wps:cNvSpPr>
                            <wps:spPr bwMode="auto">
                              <a:xfrm>
                                <a:off x="0" y="1643143"/>
                                <a:ext cx="1439863" cy="214311"/>
                              </a:xfrm>
                              <a:prstGeom prst="rect">
                                <a:avLst/>
                              </a:prstGeom>
                              <a:solidFill>
                                <a:srgbClr val="6C3F99"/>
                              </a:solid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609" name="Freeform 6"/>
                            <wps:cNvSpPr>
                              <a:spLocks noEditPoints="1"/>
                            </wps:cNvSpPr>
                            <wps:spPr bwMode="auto">
                              <a:xfrm>
                                <a:off x="0" y="-21209"/>
                                <a:ext cx="12188825" cy="1296330"/>
                              </a:xfrm>
                              <a:custGeom>
                                <a:avLst/>
                                <a:gdLst>
                                  <a:gd name="T0" fmla="*/ 4214 w 4841"/>
                                  <a:gd name="T1" fmla="*/ 457 h 477"/>
                                  <a:gd name="T2" fmla="*/ 3766 w 4841"/>
                                  <a:gd name="T3" fmla="*/ 21 h 477"/>
                                  <a:gd name="T4" fmla="*/ 4214 w 4841"/>
                                  <a:gd name="T5" fmla="*/ 104 h 477"/>
                                  <a:gd name="T6" fmla="*/ 3864 w 4841"/>
                                  <a:gd name="T7" fmla="*/ 193 h 477"/>
                                  <a:gd name="T8" fmla="*/ 4151 w 4841"/>
                                  <a:gd name="T9" fmla="*/ 277 h 477"/>
                                  <a:gd name="T10" fmla="*/ 3864 w 4841"/>
                                  <a:gd name="T11" fmla="*/ 370 h 477"/>
                                  <a:gd name="T12" fmla="*/ 4345 w 4841"/>
                                  <a:gd name="T13" fmla="*/ 21 h 477"/>
                                  <a:gd name="T14" fmla="*/ 4442 w 4841"/>
                                  <a:gd name="T15" fmla="*/ 457 h 477"/>
                                  <a:gd name="T16" fmla="*/ 4753 w 4841"/>
                                  <a:gd name="T17" fmla="*/ 457 h 477"/>
                                  <a:gd name="T18" fmla="*/ 4841 w 4841"/>
                                  <a:gd name="T19" fmla="*/ 21 h 477"/>
                                  <a:gd name="T20" fmla="*/ 4745 w 4841"/>
                                  <a:gd name="T21" fmla="*/ 319 h 477"/>
                                  <a:gd name="T22" fmla="*/ 4345 w 4841"/>
                                  <a:gd name="T23" fmla="*/ 21 h 477"/>
                                  <a:gd name="T24" fmla="*/ 375 w 4841"/>
                                  <a:gd name="T25" fmla="*/ 283 h 477"/>
                                  <a:gd name="T26" fmla="*/ 196 w 4841"/>
                                  <a:gd name="T27" fmla="*/ 283 h 477"/>
                                  <a:gd name="T28" fmla="*/ 572 w 4841"/>
                                  <a:gd name="T29" fmla="*/ 457 h 477"/>
                                  <a:gd name="T30" fmla="*/ 418 w 4841"/>
                                  <a:gd name="T31" fmla="*/ 365 h 477"/>
                                  <a:gd name="T32" fmla="*/ 107 w 4841"/>
                                  <a:gd name="T33" fmla="*/ 457 h 477"/>
                                  <a:gd name="T34" fmla="*/ 231 w 4841"/>
                                  <a:gd name="T35" fmla="*/ 21 h 477"/>
                                  <a:gd name="T36" fmla="*/ 2456 w 4841"/>
                                  <a:gd name="T37" fmla="*/ 283 h 477"/>
                                  <a:gd name="T38" fmla="*/ 2276 w 4841"/>
                                  <a:gd name="T39" fmla="*/ 283 h 477"/>
                                  <a:gd name="T40" fmla="*/ 2422 w 4841"/>
                                  <a:gd name="T41" fmla="*/ 21 h 477"/>
                                  <a:gd name="T42" fmla="*/ 2546 w 4841"/>
                                  <a:gd name="T43" fmla="*/ 457 h 477"/>
                                  <a:gd name="T44" fmla="*/ 2234 w 4841"/>
                                  <a:gd name="T45" fmla="*/ 365 h 477"/>
                                  <a:gd name="T46" fmla="*/ 2081 w 4841"/>
                                  <a:gd name="T47" fmla="*/ 457 h 477"/>
                                  <a:gd name="T48" fmla="*/ 2422 w 4841"/>
                                  <a:gd name="T49" fmla="*/ 21 h 477"/>
                                  <a:gd name="T50" fmla="*/ 932 w 4841"/>
                                  <a:gd name="T51" fmla="*/ 378 h 477"/>
                                  <a:gd name="T52" fmla="*/ 719 w 4841"/>
                                  <a:gd name="T53" fmla="*/ 306 h 477"/>
                                  <a:gd name="T54" fmla="*/ 797 w 4841"/>
                                  <a:gd name="T55" fmla="*/ 105 h 477"/>
                                  <a:gd name="T56" fmla="*/ 1016 w 4841"/>
                                  <a:gd name="T57" fmla="*/ 156 h 477"/>
                                  <a:gd name="T58" fmla="*/ 1113 w 4841"/>
                                  <a:gd name="T59" fmla="*/ 117 h 477"/>
                                  <a:gd name="T60" fmla="*/ 942 w 4841"/>
                                  <a:gd name="T61" fmla="*/ 13 h 477"/>
                                  <a:gd name="T62" fmla="*/ 617 w 4841"/>
                                  <a:gd name="T63" fmla="*/ 155 h 477"/>
                                  <a:gd name="T64" fmla="*/ 745 w 4841"/>
                                  <a:gd name="T65" fmla="*/ 449 h 477"/>
                                  <a:gd name="T66" fmla="*/ 1084 w 4841"/>
                                  <a:gd name="T67" fmla="*/ 395 h 477"/>
                                  <a:gd name="T68" fmla="*/ 1023 w 4841"/>
                                  <a:gd name="T69" fmla="*/ 314 h 477"/>
                                  <a:gd name="T70" fmla="*/ 1582 w 4841"/>
                                  <a:gd name="T71" fmla="*/ 371 h 477"/>
                                  <a:gd name="T72" fmla="*/ 1483 w 4841"/>
                                  <a:gd name="T73" fmla="*/ 21 h 477"/>
                                  <a:gd name="T74" fmla="*/ 1891 w 4841"/>
                                  <a:gd name="T75" fmla="*/ 457 h 477"/>
                                  <a:gd name="T76" fmla="*/ 1582 w 4841"/>
                                  <a:gd name="T77" fmla="*/ 371 h 477"/>
                                  <a:gd name="T78" fmla="*/ 2845 w 4841"/>
                                  <a:gd name="T79" fmla="*/ 21 h 477"/>
                                  <a:gd name="T80" fmla="*/ 2747 w 4841"/>
                                  <a:gd name="T81" fmla="*/ 457 h 477"/>
                                  <a:gd name="T82" fmla="*/ 3155 w 4841"/>
                                  <a:gd name="T83" fmla="*/ 370 h 477"/>
                                  <a:gd name="T84" fmla="*/ 3350 w 4841"/>
                                  <a:gd name="T85" fmla="*/ 370 h 477"/>
                                  <a:gd name="T86" fmla="*/ 3253 w 4841"/>
                                  <a:gd name="T87" fmla="*/ 21 h 477"/>
                                  <a:gd name="T88" fmla="*/ 3660 w 4841"/>
                                  <a:gd name="T89" fmla="*/ 457 h 477"/>
                                  <a:gd name="T90" fmla="*/ 3350 w 4841"/>
                                  <a:gd name="T91" fmla="*/ 370 h 477"/>
                                  <a:gd name="T92" fmla="*/ 1335 w 4841"/>
                                  <a:gd name="T93" fmla="*/ 457 h 477"/>
                                  <a:gd name="T94" fmla="*/ 1233 w 4841"/>
                                  <a:gd name="T95" fmla="*/ 21 h 4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4841" h="477">
                                    <a:moveTo>
                                      <a:pt x="4214" y="370"/>
                                    </a:moveTo>
                                    <a:cubicBezTo>
                                      <a:pt x="4214" y="457"/>
                                      <a:pt x="4214" y="457"/>
                                      <a:pt x="4214" y="457"/>
                                    </a:cubicBezTo>
                                    <a:cubicBezTo>
                                      <a:pt x="3766" y="457"/>
                                      <a:pt x="3766" y="457"/>
                                      <a:pt x="3766" y="457"/>
                                    </a:cubicBezTo>
                                    <a:cubicBezTo>
                                      <a:pt x="3766" y="21"/>
                                      <a:pt x="3766" y="21"/>
                                      <a:pt x="3766" y="21"/>
                                    </a:cubicBezTo>
                                    <a:cubicBezTo>
                                      <a:pt x="4214" y="21"/>
                                      <a:pt x="4214" y="21"/>
                                      <a:pt x="4214" y="21"/>
                                    </a:cubicBezTo>
                                    <a:cubicBezTo>
                                      <a:pt x="4214" y="104"/>
                                      <a:pt x="4214" y="104"/>
                                      <a:pt x="4214" y="104"/>
                                    </a:cubicBezTo>
                                    <a:cubicBezTo>
                                      <a:pt x="3864" y="104"/>
                                      <a:pt x="3864" y="104"/>
                                      <a:pt x="3864" y="104"/>
                                    </a:cubicBezTo>
                                    <a:cubicBezTo>
                                      <a:pt x="3864" y="193"/>
                                      <a:pt x="3864" y="193"/>
                                      <a:pt x="3864" y="193"/>
                                    </a:cubicBezTo>
                                    <a:cubicBezTo>
                                      <a:pt x="4151" y="194"/>
                                      <a:pt x="4151" y="194"/>
                                      <a:pt x="4151" y="194"/>
                                    </a:cubicBezTo>
                                    <a:cubicBezTo>
                                      <a:pt x="4151" y="277"/>
                                      <a:pt x="4151" y="277"/>
                                      <a:pt x="4151" y="277"/>
                                    </a:cubicBezTo>
                                    <a:cubicBezTo>
                                      <a:pt x="3864" y="277"/>
                                      <a:pt x="3864" y="277"/>
                                      <a:pt x="3864" y="277"/>
                                    </a:cubicBezTo>
                                    <a:cubicBezTo>
                                      <a:pt x="3864" y="370"/>
                                      <a:pt x="3864" y="370"/>
                                      <a:pt x="3864" y="370"/>
                                    </a:cubicBezTo>
                                    <a:lnTo>
                                      <a:pt x="4214" y="370"/>
                                    </a:lnTo>
                                    <a:close/>
                                    <a:moveTo>
                                      <a:pt x="4345" y="21"/>
                                    </a:moveTo>
                                    <a:cubicBezTo>
                                      <a:pt x="4345" y="457"/>
                                      <a:pt x="4345" y="457"/>
                                      <a:pt x="4345" y="457"/>
                                    </a:cubicBezTo>
                                    <a:cubicBezTo>
                                      <a:pt x="4442" y="457"/>
                                      <a:pt x="4442" y="457"/>
                                      <a:pt x="4442" y="457"/>
                                    </a:cubicBezTo>
                                    <a:cubicBezTo>
                                      <a:pt x="4442" y="144"/>
                                      <a:pt x="4442" y="144"/>
                                      <a:pt x="4442" y="144"/>
                                    </a:cubicBezTo>
                                    <a:cubicBezTo>
                                      <a:pt x="4753" y="457"/>
                                      <a:pt x="4753" y="457"/>
                                      <a:pt x="4753" y="457"/>
                                    </a:cubicBezTo>
                                    <a:cubicBezTo>
                                      <a:pt x="4841" y="457"/>
                                      <a:pt x="4841" y="457"/>
                                      <a:pt x="4841" y="457"/>
                                    </a:cubicBezTo>
                                    <a:cubicBezTo>
                                      <a:pt x="4841" y="21"/>
                                      <a:pt x="4841" y="21"/>
                                      <a:pt x="4841" y="21"/>
                                    </a:cubicBezTo>
                                    <a:cubicBezTo>
                                      <a:pt x="4745" y="21"/>
                                      <a:pt x="4745" y="21"/>
                                      <a:pt x="4745" y="21"/>
                                    </a:cubicBezTo>
                                    <a:cubicBezTo>
                                      <a:pt x="4745" y="319"/>
                                      <a:pt x="4745" y="319"/>
                                      <a:pt x="4745" y="319"/>
                                    </a:cubicBezTo>
                                    <a:cubicBezTo>
                                      <a:pt x="4450" y="21"/>
                                      <a:pt x="4450" y="21"/>
                                      <a:pt x="4450" y="21"/>
                                    </a:cubicBezTo>
                                    <a:lnTo>
                                      <a:pt x="4345" y="21"/>
                                    </a:lnTo>
                                    <a:close/>
                                    <a:moveTo>
                                      <a:pt x="196" y="283"/>
                                    </a:moveTo>
                                    <a:cubicBezTo>
                                      <a:pt x="375" y="283"/>
                                      <a:pt x="375" y="283"/>
                                      <a:pt x="375" y="283"/>
                                    </a:cubicBezTo>
                                    <a:cubicBezTo>
                                      <a:pt x="283" y="109"/>
                                      <a:pt x="283" y="109"/>
                                      <a:pt x="283" y="109"/>
                                    </a:cubicBezTo>
                                    <a:lnTo>
                                      <a:pt x="196" y="283"/>
                                    </a:lnTo>
                                    <a:close/>
                                    <a:moveTo>
                                      <a:pt x="341" y="21"/>
                                    </a:moveTo>
                                    <a:cubicBezTo>
                                      <a:pt x="572" y="457"/>
                                      <a:pt x="572" y="457"/>
                                      <a:pt x="572" y="457"/>
                                    </a:cubicBezTo>
                                    <a:cubicBezTo>
                                      <a:pt x="464" y="457"/>
                                      <a:pt x="464" y="457"/>
                                      <a:pt x="464" y="457"/>
                                    </a:cubicBezTo>
                                    <a:cubicBezTo>
                                      <a:pt x="418" y="365"/>
                                      <a:pt x="418" y="365"/>
                                      <a:pt x="418" y="365"/>
                                    </a:cubicBezTo>
                                    <a:cubicBezTo>
                                      <a:pt x="153" y="365"/>
                                      <a:pt x="153" y="365"/>
                                      <a:pt x="153" y="365"/>
                                    </a:cubicBezTo>
                                    <a:cubicBezTo>
                                      <a:pt x="107" y="457"/>
                                      <a:pt x="107" y="457"/>
                                      <a:pt x="107" y="457"/>
                                    </a:cubicBezTo>
                                    <a:cubicBezTo>
                                      <a:pt x="0" y="457"/>
                                      <a:pt x="0" y="457"/>
                                      <a:pt x="0" y="457"/>
                                    </a:cubicBezTo>
                                    <a:cubicBezTo>
                                      <a:pt x="231" y="21"/>
                                      <a:pt x="231" y="21"/>
                                      <a:pt x="231" y="21"/>
                                    </a:cubicBezTo>
                                    <a:lnTo>
                                      <a:pt x="341" y="21"/>
                                    </a:lnTo>
                                    <a:close/>
                                    <a:moveTo>
                                      <a:pt x="2456" y="283"/>
                                    </a:moveTo>
                                    <a:cubicBezTo>
                                      <a:pt x="2366" y="106"/>
                                      <a:pt x="2366" y="106"/>
                                      <a:pt x="2366" y="106"/>
                                    </a:cubicBezTo>
                                    <a:cubicBezTo>
                                      <a:pt x="2276" y="283"/>
                                      <a:pt x="2276" y="283"/>
                                      <a:pt x="2276" y="283"/>
                                    </a:cubicBezTo>
                                    <a:lnTo>
                                      <a:pt x="2456" y="283"/>
                                    </a:lnTo>
                                    <a:close/>
                                    <a:moveTo>
                                      <a:pt x="2422" y="21"/>
                                    </a:moveTo>
                                    <a:cubicBezTo>
                                      <a:pt x="2654" y="457"/>
                                      <a:pt x="2654" y="457"/>
                                      <a:pt x="2654" y="457"/>
                                    </a:cubicBezTo>
                                    <a:cubicBezTo>
                                      <a:pt x="2546" y="457"/>
                                      <a:pt x="2546" y="457"/>
                                      <a:pt x="2546" y="457"/>
                                    </a:cubicBezTo>
                                    <a:cubicBezTo>
                                      <a:pt x="2499" y="365"/>
                                      <a:pt x="2499" y="365"/>
                                      <a:pt x="2499" y="365"/>
                                    </a:cubicBezTo>
                                    <a:cubicBezTo>
                                      <a:pt x="2234" y="365"/>
                                      <a:pt x="2234" y="365"/>
                                      <a:pt x="2234" y="365"/>
                                    </a:cubicBezTo>
                                    <a:cubicBezTo>
                                      <a:pt x="2188" y="457"/>
                                      <a:pt x="2188" y="457"/>
                                      <a:pt x="2188" y="457"/>
                                    </a:cubicBezTo>
                                    <a:cubicBezTo>
                                      <a:pt x="2081" y="457"/>
                                      <a:pt x="2081" y="457"/>
                                      <a:pt x="2081" y="457"/>
                                    </a:cubicBezTo>
                                    <a:cubicBezTo>
                                      <a:pt x="2312" y="21"/>
                                      <a:pt x="2312" y="21"/>
                                      <a:pt x="2312" y="21"/>
                                    </a:cubicBezTo>
                                    <a:lnTo>
                                      <a:pt x="2422" y="21"/>
                                    </a:lnTo>
                                    <a:close/>
                                    <a:moveTo>
                                      <a:pt x="1015" y="325"/>
                                    </a:moveTo>
                                    <a:cubicBezTo>
                                      <a:pt x="993" y="353"/>
                                      <a:pt x="966" y="371"/>
                                      <a:pt x="932" y="378"/>
                                    </a:cubicBezTo>
                                    <a:cubicBezTo>
                                      <a:pt x="886" y="388"/>
                                      <a:pt x="841" y="387"/>
                                      <a:pt x="796" y="372"/>
                                    </a:cubicBezTo>
                                    <a:cubicBezTo>
                                      <a:pt x="762" y="360"/>
                                      <a:pt x="735" y="339"/>
                                      <a:pt x="719" y="306"/>
                                    </a:cubicBezTo>
                                    <a:cubicBezTo>
                                      <a:pt x="707" y="280"/>
                                      <a:pt x="704" y="254"/>
                                      <a:pt x="705" y="226"/>
                                    </a:cubicBezTo>
                                    <a:cubicBezTo>
                                      <a:pt x="709" y="168"/>
                                      <a:pt x="741" y="125"/>
                                      <a:pt x="797" y="105"/>
                                    </a:cubicBezTo>
                                    <a:cubicBezTo>
                                      <a:pt x="837" y="91"/>
                                      <a:pt x="879" y="89"/>
                                      <a:pt x="920" y="96"/>
                                    </a:cubicBezTo>
                                    <a:cubicBezTo>
                                      <a:pt x="960" y="103"/>
                                      <a:pt x="993" y="123"/>
                                      <a:pt x="1016" y="156"/>
                                    </a:cubicBezTo>
                                    <a:cubicBezTo>
                                      <a:pt x="1018" y="158"/>
                                      <a:pt x="1020" y="160"/>
                                      <a:pt x="1022" y="163"/>
                                    </a:cubicBezTo>
                                    <a:cubicBezTo>
                                      <a:pt x="1052" y="148"/>
                                      <a:pt x="1082" y="133"/>
                                      <a:pt x="1113" y="117"/>
                                    </a:cubicBezTo>
                                    <a:cubicBezTo>
                                      <a:pt x="1106" y="108"/>
                                      <a:pt x="1100" y="99"/>
                                      <a:pt x="1092" y="92"/>
                                    </a:cubicBezTo>
                                    <a:cubicBezTo>
                                      <a:pt x="1051" y="49"/>
                                      <a:pt x="1000" y="24"/>
                                      <a:pt x="942" y="13"/>
                                    </a:cubicBezTo>
                                    <a:cubicBezTo>
                                      <a:pt x="874" y="0"/>
                                      <a:pt x="808" y="6"/>
                                      <a:pt x="744" y="30"/>
                                    </a:cubicBezTo>
                                    <a:cubicBezTo>
                                      <a:pt x="683" y="53"/>
                                      <a:pt x="639" y="93"/>
                                      <a:pt x="617" y="155"/>
                                    </a:cubicBezTo>
                                    <a:cubicBezTo>
                                      <a:pt x="599" y="204"/>
                                      <a:pt x="598" y="254"/>
                                      <a:pt x="611" y="304"/>
                                    </a:cubicBezTo>
                                    <a:cubicBezTo>
                                      <a:pt x="630" y="375"/>
                                      <a:pt x="676" y="422"/>
                                      <a:pt x="745" y="449"/>
                                    </a:cubicBezTo>
                                    <a:cubicBezTo>
                                      <a:pt x="810" y="474"/>
                                      <a:pt x="878" y="477"/>
                                      <a:pt x="946" y="464"/>
                                    </a:cubicBezTo>
                                    <a:cubicBezTo>
                                      <a:pt x="998" y="454"/>
                                      <a:pt x="1045" y="432"/>
                                      <a:pt x="1084" y="395"/>
                                    </a:cubicBezTo>
                                    <a:cubicBezTo>
                                      <a:pt x="1095" y="384"/>
                                      <a:pt x="1105" y="373"/>
                                      <a:pt x="1114" y="359"/>
                                    </a:cubicBezTo>
                                    <a:cubicBezTo>
                                      <a:pt x="1083" y="344"/>
                                      <a:pt x="1054" y="329"/>
                                      <a:pt x="1023" y="314"/>
                                    </a:cubicBezTo>
                                    <a:cubicBezTo>
                                      <a:pt x="1020" y="318"/>
                                      <a:pt x="1018" y="322"/>
                                      <a:pt x="1015" y="325"/>
                                    </a:cubicBezTo>
                                    <a:moveTo>
                                      <a:pt x="1582" y="371"/>
                                    </a:moveTo>
                                    <a:cubicBezTo>
                                      <a:pt x="1582" y="21"/>
                                      <a:pt x="1582" y="21"/>
                                      <a:pt x="1582" y="21"/>
                                    </a:cubicBezTo>
                                    <a:cubicBezTo>
                                      <a:pt x="1483" y="21"/>
                                      <a:pt x="1483" y="21"/>
                                      <a:pt x="1483" y="21"/>
                                    </a:cubicBezTo>
                                    <a:cubicBezTo>
                                      <a:pt x="1483" y="457"/>
                                      <a:pt x="1483" y="457"/>
                                      <a:pt x="1483" y="457"/>
                                    </a:cubicBezTo>
                                    <a:cubicBezTo>
                                      <a:pt x="1891" y="457"/>
                                      <a:pt x="1891" y="457"/>
                                      <a:pt x="1891" y="457"/>
                                    </a:cubicBezTo>
                                    <a:cubicBezTo>
                                      <a:pt x="1891" y="371"/>
                                      <a:pt x="1891" y="371"/>
                                      <a:pt x="1891" y="371"/>
                                    </a:cubicBezTo>
                                    <a:lnTo>
                                      <a:pt x="1582" y="371"/>
                                    </a:lnTo>
                                    <a:close/>
                                    <a:moveTo>
                                      <a:pt x="2845" y="370"/>
                                    </a:moveTo>
                                    <a:cubicBezTo>
                                      <a:pt x="2845" y="21"/>
                                      <a:pt x="2845" y="21"/>
                                      <a:pt x="2845" y="21"/>
                                    </a:cubicBezTo>
                                    <a:cubicBezTo>
                                      <a:pt x="2747" y="21"/>
                                      <a:pt x="2747" y="21"/>
                                      <a:pt x="2747" y="21"/>
                                    </a:cubicBezTo>
                                    <a:cubicBezTo>
                                      <a:pt x="2747" y="457"/>
                                      <a:pt x="2747" y="457"/>
                                      <a:pt x="2747" y="457"/>
                                    </a:cubicBezTo>
                                    <a:cubicBezTo>
                                      <a:pt x="3155" y="457"/>
                                      <a:pt x="3155" y="457"/>
                                      <a:pt x="3155" y="457"/>
                                    </a:cubicBezTo>
                                    <a:cubicBezTo>
                                      <a:pt x="3155" y="370"/>
                                      <a:pt x="3155" y="370"/>
                                      <a:pt x="3155" y="370"/>
                                    </a:cubicBezTo>
                                    <a:lnTo>
                                      <a:pt x="2845" y="370"/>
                                    </a:lnTo>
                                    <a:close/>
                                    <a:moveTo>
                                      <a:pt x="3350" y="370"/>
                                    </a:moveTo>
                                    <a:cubicBezTo>
                                      <a:pt x="3350" y="21"/>
                                      <a:pt x="3350" y="21"/>
                                      <a:pt x="3350" y="21"/>
                                    </a:cubicBezTo>
                                    <a:cubicBezTo>
                                      <a:pt x="3253" y="21"/>
                                      <a:pt x="3253" y="21"/>
                                      <a:pt x="3253" y="21"/>
                                    </a:cubicBezTo>
                                    <a:cubicBezTo>
                                      <a:pt x="3253" y="457"/>
                                      <a:pt x="3253" y="457"/>
                                      <a:pt x="3253" y="457"/>
                                    </a:cubicBezTo>
                                    <a:cubicBezTo>
                                      <a:pt x="3660" y="457"/>
                                      <a:pt x="3660" y="457"/>
                                      <a:pt x="3660" y="457"/>
                                    </a:cubicBezTo>
                                    <a:cubicBezTo>
                                      <a:pt x="3660" y="370"/>
                                      <a:pt x="3660" y="370"/>
                                      <a:pt x="3660" y="370"/>
                                    </a:cubicBezTo>
                                    <a:lnTo>
                                      <a:pt x="3350" y="370"/>
                                    </a:lnTo>
                                    <a:close/>
                                    <a:moveTo>
                                      <a:pt x="1233" y="457"/>
                                    </a:moveTo>
                                    <a:cubicBezTo>
                                      <a:pt x="1335" y="457"/>
                                      <a:pt x="1335" y="457"/>
                                      <a:pt x="1335" y="457"/>
                                    </a:cubicBezTo>
                                    <a:cubicBezTo>
                                      <a:pt x="1335" y="21"/>
                                      <a:pt x="1335" y="21"/>
                                      <a:pt x="1335" y="21"/>
                                    </a:cubicBezTo>
                                    <a:cubicBezTo>
                                      <a:pt x="1233" y="21"/>
                                      <a:pt x="1233" y="21"/>
                                      <a:pt x="1233" y="21"/>
                                    </a:cubicBezTo>
                                    <a:lnTo>
                                      <a:pt x="1233" y="457"/>
                                    </a:lnTo>
                                    <a:close/>
                                  </a:path>
                                </a:pathLst>
                              </a:custGeom>
                              <a:solidFill>
                                <a:srgbClr val="0001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56BB10AC" id="Group 581" o:spid="_x0000_s1026" alt="&quot;&quot;" style="position:absolute;margin-left:0;margin-top:5.5pt;width:77.25pt;height:11.25pt;z-index:251708416;mso-position-horizontal-relative:page;mso-position-vertical-relative:page;mso-width-relative:margin;mso-height-relative:margin" coordorigin=",-212" coordsize="121888,187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">
                    <o:lock v:ext="edit" aspectratio="t"/>
                    <v:rect id="Rectangle 582" o:spid="_x0000_s1027" style="position:absolute;top:16431;width:14398;height:2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" fillcolor="#6c3f99" stroked="f"/>
                    <v:shape id="Freeform 6" o:spid="_x0000_s1028" style="position:absolute;top:-212;width:121888;height:12963;visibility:visible;mso-wrap-style:square;v-text-anchor:top" coordsize="4841,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" path="m4214,370v,87,,87,,87c3766,457,3766,457,3766,457v,-436,,-436,,-436c4214,21,4214,21,4214,21v,83,,83,,83c3864,104,3864,104,3864,104v,89,,89,,89c4151,194,4151,194,4151,194v,83,,83,,83c3864,277,3864,277,3864,277v,93,,93,,93l4214,370xm4345,21v,436,,436,,436c4442,457,4442,457,4442,457v,-313,,-313,,-313c4753,457,4753,457,4753,457v88,,88,,88,c4841,21,4841,21,4841,21v-96,,-96,,-96,c4745,319,4745,319,4745,319,4450,21,4450,21,4450,21r-105,xm196,283v179,,179,,179,c283,109,283,109,283,109l196,283xm341,21c572,457,572,457,572,457v-108,,-108,,-108,c418,365,418,365,418,365v-265,,-265,,-265,c107,457,107,457,107,457,,457,,457,,457,231,21,231,21,231,21r110,xm2456,283c2366,106,2366,106,2366,106v-90,177,-90,177,-90,177l2456,283xm2422,21v232,436,232,436,232,436c2546,457,2546,457,2546,457v-47,-92,-47,-92,-47,-92c2234,365,2234,365,2234,365v-46,92,-46,92,-46,92c2081,457,2081,457,2081,457,2312,21,2312,21,2312,21r110,xm1015,325v-22,28,-49,46,-83,53c886,388,841,387,796,372,762,360,735,339,719,306,707,280,704,254,705,226v4,-58,36,-101,92,-121c837,91,879,89,920,96v40,7,73,27,96,60c1018,158,1020,160,1022,163v30,-15,60,-30,91,-46c1106,108,1100,99,1092,92,1051,49,1000,24,942,13,874,,808,6,744,30,683,53,639,93,617,155v-18,49,-19,99,-6,149c630,375,676,422,745,449v65,25,133,28,201,15c998,454,1045,432,1084,395v11,-11,21,-22,30,-36c1083,344,1054,329,1023,314v-3,4,-5,8,-8,11m1582,371v,-350,,-350,,-350c1483,21,1483,21,1483,21v,436,,436,,436c1891,457,1891,457,1891,457v,-86,,-86,,-86l1582,371xm2845,370v,-349,,-349,,-349c2747,21,2747,21,2747,21v,436,,436,,436c3155,457,3155,457,3155,457v,-87,,-87,,-87l2845,370xm3350,370v,-349,,-349,,-349c3253,21,3253,21,3253,21v,436,,436,,436c3660,457,3660,457,3660,457v,-87,,-87,,-87l3350,370xm1233,457v102,,102,,102,c1335,21,1335,21,1335,21v-102,,-102,,-102,l1233,457xe" fillcolor="#000100" stroked="f">
                      <v:path arrowok="t" o:connecttype="custom" o:connectlocs="10610144,1241977;9482156,57071;10610144,282638;9728903,524511;10451521,752795;9728903,1005539;10939980,57071;11184210,1241977;11967256,1241977;12188825,57071;11947113,866938;10939980,57071;944187,769101;493495,769101;1440200,1241977;1052454,991951;269408,1241977;581619,57071;6183796,769101;5730586,769101;6098189,57071;6410400,1241977;5624837,991951;5239609,1241977;6098189,57071;2346619,1027280;1810321,831608;2006712,285356;2558117,423957;2802347,317968;2371798,35330;1553502,421239;1875785,1220235;2729330,1073481;2575742,853349;3983210,1008257;3733945,57071;4761220,1241977;3983210,1008257;7163232,57071;6916485,1241977;7943760,1005539;8434737,1005539;8190508,57071;9215265,1241977;8434737,1005539;3361306,1241977;3104487,57071" o:connectangles="0,0,0,0,0,0,0,0,0,0,0,0,0,0,0,0,0,0,0,0,0,0,0,0,0,0,0,0,0,0,0,0,0,0,0,0,0,0,0,0,0,0,0,0,0,0,0,0"/>
                      <o:lock v:ext="edit" verticies="t"/>
                    </v:shape>
                    <w10:wrap anchorx="page" anchory="page"/>
                    <w10:anchorlock/>
                  </v:group>
                </w:pict>
              </mc:Fallback>
            </mc:AlternateContent>
          </w:r>
        </w:p>
      </w:tc>
      <w:tc>
        <w:tcPr>
          <w:tcW w:w="7639" w:type="dxa"/>
          <w:vAlign w:val="center"/>
        </w:tcPr>
        <w:p w14:paraId="5050ECC3" w14:textId="59C2A228" w:rsidR="002B32A0" w:rsidRDefault="002B32A0" w:rsidP="004A1654">
          <w:pPr>
            <w:pStyle w:val="Header-CompanyName"/>
          </w:pPr>
        </w:p>
      </w:tc>
    </w:tr>
  </w:tbl>
  <w:p w14:paraId="1C929BD9" w14:textId="05AE5289" w:rsidR="002B32A0" w:rsidRPr="00026E9C" w:rsidRDefault="002B32A0" w:rsidP="00026E9C">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71B1B3" w14:textId="77777777" w:rsidR="002B32A0" w:rsidRDefault="002B32A0">
    <w:pPr>
      <w:pStyle w:val="Heade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A7F53B" w14:textId="77777777" w:rsidR="002B32A0" w:rsidRPr="00BA0B76" w:rsidRDefault="002B32A0" w:rsidP="00BA0B76">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acTablenolines"/>
      <w:tblW w:w="10363" w:type="dxa"/>
      <w:tblInd w:w="-2427" w:type="dxa"/>
      <w:tblLayout w:type="fixed"/>
      <w:tblLook w:val="04A0" w:firstRow="1" w:lastRow="0" w:firstColumn="1" w:lastColumn="0" w:noHBand="0" w:noVBand="1"/>
    </w:tblPr>
    <w:tblGrid>
      <w:gridCol w:w="5182"/>
      <w:gridCol w:w="5181"/>
    </w:tblGrid>
    <w:tr w:rsidR="002B32A0" w14:paraId="6C066D75" w14:textId="77777777" w:rsidTr="000B0AC7">
      <w:trPr>
        <w:trHeight w:hRule="exact" w:val="356"/>
      </w:trPr>
      <w:tc>
        <w:tcPr>
          <w:tcW w:w="5182" w:type="dxa"/>
          <w:vAlign w:val="center"/>
        </w:tcPr>
        <w:p w14:paraId="025AF4F8" w14:textId="77777777" w:rsidR="002B32A0" w:rsidRDefault="002B32A0" w:rsidP="00BA0B76">
          <w:pPr>
            <w:pStyle w:val="spacer"/>
          </w:pPr>
          <w:r w:rsidRPr="000261B1">
            <w:rPr>
              <w:noProof/>
            </w:rPr>
            <mc:AlternateContent>
              <mc:Choice Requires="wpg">
                <w:drawing>
                  <wp:anchor distT="0" distB="0" distL="114300" distR="114300" simplePos="0" relativeHeight="251709440" behindDoc="0" locked="1" layoutInCell="1" allowOverlap="1" wp14:anchorId="175A6D43" wp14:editId="031E7038">
                    <wp:simplePos x="0" y="0"/>
                    <wp:positionH relativeFrom="page">
                      <wp:posOffset>0</wp:posOffset>
                    </wp:positionH>
                    <wp:positionV relativeFrom="page">
                      <wp:posOffset>69850</wp:posOffset>
                    </wp:positionV>
                    <wp:extent cx="981075" cy="142875"/>
                    <wp:effectExtent l="0" t="0" r="9525" b="9525"/>
                    <wp:wrapNone/>
                    <wp:docPr id="586" name="Group 5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981075" cy="142875"/>
                              <a:chOff x="0" y="-21209"/>
                              <a:chExt cx="12188825" cy="1878663"/>
                            </a:xfrm>
                          </wpg:grpSpPr>
                          <wps:wsp>
                            <wps:cNvPr id="587" name="Rectangle 40"/>
                            <wps:cNvSpPr>
                              <a:spLocks noChangeArrowheads="1"/>
                            </wps:cNvSpPr>
                            <wps:spPr bwMode="auto">
                              <a:xfrm>
                                <a:off x="0" y="1643143"/>
                                <a:ext cx="1439863" cy="214311"/>
                              </a:xfrm>
                              <a:prstGeom prst="rect">
                                <a:avLst/>
                              </a:prstGeom>
                              <a:solidFill>
                                <a:srgbClr val="6C3F99"/>
                              </a:solid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588" name="Freeform 6"/>
                            <wps:cNvSpPr>
                              <a:spLocks noEditPoints="1"/>
                            </wps:cNvSpPr>
                            <wps:spPr bwMode="auto">
                              <a:xfrm>
                                <a:off x="0" y="-21209"/>
                                <a:ext cx="12188825" cy="1296330"/>
                              </a:xfrm>
                              <a:custGeom>
                                <a:avLst/>
                                <a:gdLst>
                                  <a:gd name="T0" fmla="*/ 4214 w 4841"/>
                                  <a:gd name="T1" fmla="*/ 457 h 477"/>
                                  <a:gd name="T2" fmla="*/ 3766 w 4841"/>
                                  <a:gd name="T3" fmla="*/ 21 h 477"/>
                                  <a:gd name="T4" fmla="*/ 4214 w 4841"/>
                                  <a:gd name="T5" fmla="*/ 104 h 477"/>
                                  <a:gd name="T6" fmla="*/ 3864 w 4841"/>
                                  <a:gd name="T7" fmla="*/ 193 h 477"/>
                                  <a:gd name="T8" fmla="*/ 4151 w 4841"/>
                                  <a:gd name="T9" fmla="*/ 277 h 477"/>
                                  <a:gd name="T10" fmla="*/ 3864 w 4841"/>
                                  <a:gd name="T11" fmla="*/ 370 h 477"/>
                                  <a:gd name="T12" fmla="*/ 4345 w 4841"/>
                                  <a:gd name="T13" fmla="*/ 21 h 477"/>
                                  <a:gd name="T14" fmla="*/ 4442 w 4841"/>
                                  <a:gd name="T15" fmla="*/ 457 h 477"/>
                                  <a:gd name="T16" fmla="*/ 4753 w 4841"/>
                                  <a:gd name="T17" fmla="*/ 457 h 477"/>
                                  <a:gd name="T18" fmla="*/ 4841 w 4841"/>
                                  <a:gd name="T19" fmla="*/ 21 h 477"/>
                                  <a:gd name="T20" fmla="*/ 4745 w 4841"/>
                                  <a:gd name="T21" fmla="*/ 319 h 477"/>
                                  <a:gd name="T22" fmla="*/ 4345 w 4841"/>
                                  <a:gd name="T23" fmla="*/ 21 h 477"/>
                                  <a:gd name="T24" fmla="*/ 375 w 4841"/>
                                  <a:gd name="T25" fmla="*/ 283 h 477"/>
                                  <a:gd name="T26" fmla="*/ 196 w 4841"/>
                                  <a:gd name="T27" fmla="*/ 283 h 477"/>
                                  <a:gd name="T28" fmla="*/ 572 w 4841"/>
                                  <a:gd name="T29" fmla="*/ 457 h 477"/>
                                  <a:gd name="T30" fmla="*/ 418 w 4841"/>
                                  <a:gd name="T31" fmla="*/ 365 h 477"/>
                                  <a:gd name="T32" fmla="*/ 107 w 4841"/>
                                  <a:gd name="T33" fmla="*/ 457 h 477"/>
                                  <a:gd name="T34" fmla="*/ 231 w 4841"/>
                                  <a:gd name="T35" fmla="*/ 21 h 477"/>
                                  <a:gd name="T36" fmla="*/ 2456 w 4841"/>
                                  <a:gd name="T37" fmla="*/ 283 h 477"/>
                                  <a:gd name="T38" fmla="*/ 2276 w 4841"/>
                                  <a:gd name="T39" fmla="*/ 283 h 477"/>
                                  <a:gd name="T40" fmla="*/ 2422 w 4841"/>
                                  <a:gd name="T41" fmla="*/ 21 h 477"/>
                                  <a:gd name="T42" fmla="*/ 2546 w 4841"/>
                                  <a:gd name="T43" fmla="*/ 457 h 477"/>
                                  <a:gd name="T44" fmla="*/ 2234 w 4841"/>
                                  <a:gd name="T45" fmla="*/ 365 h 477"/>
                                  <a:gd name="T46" fmla="*/ 2081 w 4841"/>
                                  <a:gd name="T47" fmla="*/ 457 h 477"/>
                                  <a:gd name="T48" fmla="*/ 2422 w 4841"/>
                                  <a:gd name="T49" fmla="*/ 21 h 477"/>
                                  <a:gd name="T50" fmla="*/ 932 w 4841"/>
                                  <a:gd name="T51" fmla="*/ 378 h 477"/>
                                  <a:gd name="T52" fmla="*/ 719 w 4841"/>
                                  <a:gd name="T53" fmla="*/ 306 h 477"/>
                                  <a:gd name="T54" fmla="*/ 797 w 4841"/>
                                  <a:gd name="T55" fmla="*/ 105 h 477"/>
                                  <a:gd name="T56" fmla="*/ 1016 w 4841"/>
                                  <a:gd name="T57" fmla="*/ 156 h 477"/>
                                  <a:gd name="T58" fmla="*/ 1113 w 4841"/>
                                  <a:gd name="T59" fmla="*/ 117 h 477"/>
                                  <a:gd name="T60" fmla="*/ 942 w 4841"/>
                                  <a:gd name="T61" fmla="*/ 13 h 477"/>
                                  <a:gd name="T62" fmla="*/ 617 w 4841"/>
                                  <a:gd name="T63" fmla="*/ 155 h 477"/>
                                  <a:gd name="T64" fmla="*/ 745 w 4841"/>
                                  <a:gd name="T65" fmla="*/ 449 h 477"/>
                                  <a:gd name="T66" fmla="*/ 1084 w 4841"/>
                                  <a:gd name="T67" fmla="*/ 395 h 477"/>
                                  <a:gd name="T68" fmla="*/ 1023 w 4841"/>
                                  <a:gd name="T69" fmla="*/ 314 h 477"/>
                                  <a:gd name="T70" fmla="*/ 1582 w 4841"/>
                                  <a:gd name="T71" fmla="*/ 371 h 477"/>
                                  <a:gd name="T72" fmla="*/ 1483 w 4841"/>
                                  <a:gd name="T73" fmla="*/ 21 h 477"/>
                                  <a:gd name="T74" fmla="*/ 1891 w 4841"/>
                                  <a:gd name="T75" fmla="*/ 457 h 477"/>
                                  <a:gd name="T76" fmla="*/ 1582 w 4841"/>
                                  <a:gd name="T77" fmla="*/ 371 h 477"/>
                                  <a:gd name="T78" fmla="*/ 2845 w 4841"/>
                                  <a:gd name="T79" fmla="*/ 21 h 477"/>
                                  <a:gd name="T80" fmla="*/ 2747 w 4841"/>
                                  <a:gd name="T81" fmla="*/ 457 h 477"/>
                                  <a:gd name="T82" fmla="*/ 3155 w 4841"/>
                                  <a:gd name="T83" fmla="*/ 370 h 477"/>
                                  <a:gd name="T84" fmla="*/ 3350 w 4841"/>
                                  <a:gd name="T85" fmla="*/ 370 h 477"/>
                                  <a:gd name="T86" fmla="*/ 3253 w 4841"/>
                                  <a:gd name="T87" fmla="*/ 21 h 477"/>
                                  <a:gd name="T88" fmla="*/ 3660 w 4841"/>
                                  <a:gd name="T89" fmla="*/ 457 h 477"/>
                                  <a:gd name="T90" fmla="*/ 3350 w 4841"/>
                                  <a:gd name="T91" fmla="*/ 370 h 477"/>
                                  <a:gd name="T92" fmla="*/ 1335 w 4841"/>
                                  <a:gd name="T93" fmla="*/ 457 h 477"/>
                                  <a:gd name="T94" fmla="*/ 1233 w 4841"/>
                                  <a:gd name="T95" fmla="*/ 21 h 4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4841" h="477">
                                    <a:moveTo>
                                      <a:pt x="4214" y="370"/>
                                    </a:moveTo>
                                    <a:cubicBezTo>
                                      <a:pt x="4214" y="457"/>
                                      <a:pt x="4214" y="457"/>
                                      <a:pt x="4214" y="457"/>
                                    </a:cubicBezTo>
                                    <a:cubicBezTo>
                                      <a:pt x="3766" y="457"/>
                                      <a:pt x="3766" y="457"/>
                                      <a:pt x="3766" y="457"/>
                                    </a:cubicBezTo>
                                    <a:cubicBezTo>
                                      <a:pt x="3766" y="21"/>
                                      <a:pt x="3766" y="21"/>
                                      <a:pt x="3766" y="21"/>
                                    </a:cubicBezTo>
                                    <a:cubicBezTo>
                                      <a:pt x="4214" y="21"/>
                                      <a:pt x="4214" y="21"/>
                                      <a:pt x="4214" y="21"/>
                                    </a:cubicBezTo>
                                    <a:cubicBezTo>
                                      <a:pt x="4214" y="104"/>
                                      <a:pt x="4214" y="104"/>
                                      <a:pt x="4214" y="104"/>
                                    </a:cubicBezTo>
                                    <a:cubicBezTo>
                                      <a:pt x="3864" y="104"/>
                                      <a:pt x="3864" y="104"/>
                                      <a:pt x="3864" y="104"/>
                                    </a:cubicBezTo>
                                    <a:cubicBezTo>
                                      <a:pt x="3864" y="193"/>
                                      <a:pt x="3864" y="193"/>
                                      <a:pt x="3864" y="193"/>
                                    </a:cubicBezTo>
                                    <a:cubicBezTo>
                                      <a:pt x="4151" y="194"/>
                                      <a:pt x="4151" y="194"/>
                                      <a:pt x="4151" y="194"/>
                                    </a:cubicBezTo>
                                    <a:cubicBezTo>
                                      <a:pt x="4151" y="277"/>
                                      <a:pt x="4151" y="277"/>
                                      <a:pt x="4151" y="277"/>
                                    </a:cubicBezTo>
                                    <a:cubicBezTo>
                                      <a:pt x="3864" y="277"/>
                                      <a:pt x="3864" y="277"/>
                                      <a:pt x="3864" y="277"/>
                                    </a:cubicBezTo>
                                    <a:cubicBezTo>
                                      <a:pt x="3864" y="370"/>
                                      <a:pt x="3864" y="370"/>
                                      <a:pt x="3864" y="370"/>
                                    </a:cubicBezTo>
                                    <a:lnTo>
                                      <a:pt x="4214" y="370"/>
                                    </a:lnTo>
                                    <a:close/>
                                    <a:moveTo>
                                      <a:pt x="4345" y="21"/>
                                    </a:moveTo>
                                    <a:cubicBezTo>
                                      <a:pt x="4345" y="457"/>
                                      <a:pt x="4345" y="457"/>
                                      <a:pt x="4345" y="457"/>
                                    </a:cubicBezTo>
                                    <a:cubicBezTo>
                                      <a:pt x="4442" y="457"/>
                                      <a:pt x="4442" y="457"/>
                                      <a:pt x="4442" y="457"/>
                                    </a:cubicBezTo>
                                    <a:cubicBezTo>
                                      <a:pt x="4442" y="144"/>
                                      <a:pt x="4442" y="144"/>
                                      <a:pt x="4442" y="144"/>
                                    </a:cubicBezTo>
                                    <a:cubicBezTo>
                                      <a:pt x="4753" y="457"/>
                                      <a:pt x="4753" y="457"/>
                                      <a:pt x="4753" y="457"/>
                                    </a:cubicBezTo>
                                    <a:cubicBezTo>
                                      <a:pt x="4841" y="457"/>
                                      <a:pt x="4841" y="457"/>
                                      <a:pt x="4841" y="457"/>
                                    </a:cubicBezTo>
                                    <a:cubicBezTo>
                                      <a:pt x="4841" y="21"/>
                                      <a:pt x="4841" y="21"/>
                                      <a:pt x="4841" y="21"/>
                                    </a:cubicBezTo>
                                    <a:cubicBezTo>
                                      <a:pt x="4745" y="21"/>
                                      <a:pt x="4745" y="21"/>
                                      <a:pt x="4745" y="21"/>
                                    </a:cubicBezTo>
                                    <a:cubicBezTo>
                                      <a:pt x="4745" y="319"/>
                                      <a:pt x="4745" y="319"/>
                                      <a:pt x="4745" y="319"/>
                                    </a:cubicBezTo>
                                    <a:cubicBezTo>
                                      <a:pt x="4450" y="21"/>
                                      <a:pt x="4450" y="21"/>
                                      <a:pt x="4450" y="21"/>
                                    </a:cubicBezTo>
                                    <a:lnTo>
                                      <a:pt x="4345" y="21"/>
                                    </a:lnTo>
                                    <a:close/>
                                    <a:moveTo>
                                      <a:pt x="196" y="283"/>
                                    </a:moveTo>
                                    <a:cubicBezTo>
                                      <a:pt x="375" y="283"/>
                                      <a:pt x="375" y="283"/>
                                      <a:pt x="375" y="283"/>
                                    </a:cubicBezTo>
                                    <a:cubicBezTo>
                                      <a:pt x="283" y="109"/>
                                      <a:pt x="283" y="109"/>
                                      <a:pt x="283" y="109"/>
                                    </a:cubicBezTo>
                                    <a:lnTo>
                                      <a:pt x="196" y="283"/>
                                    </a:lnTo>
                                    <a:close/>
                                    <a:moveTo>
                                      <a:pt x="341" y="21"/>
                                    </a:moveTo>
                                    <a:cubicBezTo>
                                      <a:pt x="572" y="457"/>
                                      <a:pt x="572" y="457"/>
                                      <a:pt x="572" y="457"/>
                                    </a:cubicBezTo>
                                    <a:cubicBezTo>
                                      <a:pt x="464" y="457"/>
                                      <a:pt x="464" y="457"/>
                                      <a:pt x="464" y="457"/>
                                    </a:cubicBezTo>
                                    <a:cubicBezTo>
                                      <a:pt x="418" y="365"/>
                                      <a:pt x="418" y="365"/>
                                      <a:pt x="418" y="365"/>
                                    </a:cubicBezTo>
                                    <a:cubicBezTo>
                                      <a:pt x="153" y="365"/>
                                      <a:pt x="153" y="365"/>
                                      <a:pt x="153" y="365"/>
                                    </a:cubicBezTo>
                                    <a:cubicBezTo>
                                      <a:pt x="107" y="457"/>
                                      <a:pt x="107" y="457"/>
                                      <a:pt x="107" y="457"/>
                                    </a:cubicBezTo>
                                    <a:cubicBezTo>
                                      <a:pt x="0" y="457"/>
                                      <a:pt x="0" y="457"/>
                                      <a:pt x="0" y="457"/>
                                    </a:cubicBezTo>
                                    <a:cubicBezTo>
                                      <a:pt x="231" y="21"/>
                                      <a:pt x="231" y="21"/>
                                      <a:pt x="231" y="21"/>
                                    </a:cubicBezTo>
                                    <a:lnTo>
                                      <a:pt x="341" y="21"/>
                                    </a:lnTo>
                                    <a:close/>
                                    <a:moveTo>
                                      <a:pt x="2456" y="283"/>
                                    </a:moveTo>
                                    <a:cubicBezTo>
                                      <a:pt x="2366" y="106"/>
                                      <a:pt x="2366" y="106"/>
                                      <a:pt x="2366" y="106"/>
                                    </a:cubicBezTo>
                                    <a:cubicBezTo>
                                      <a:pt x="2276" y="283"/>
                                      <a:pt x="2276" y="283"/>
                                      <a:pt x="2276" y="283"/>
                                    </a:cubicBezTo>
                                    <a:lnTo>
                                      <a:pt x="2456" y="283"/>
                                    </a:lnTo>
                                    <a:close/>
                                    <a:moveTo>
                                      <a:pt x="2422" y="21"/>
                                    </a:moveTo>
                                    <a:cubicBezTo>
                                      <a:pt x="2654" y="457"/>
                                      <a:pt x="2654" y="457"/>
                                      <a:pt x="2654" y="457"/>
                                    </a:cubicBezTo>
                                    <a:cubicBezTo>
                                      <a:pt x="2546" y="457"/>
                                      <a:pt x="2546" y="457"/>
                                      <a:pt x="2546" y="457"/>
                                    </a:cubicBezTo>
                                    <a:cubicBezTo>
                                      <a:pt x="2499" y="365"/>
                                      <a:pt x="2499" y="365"/>
                                      <a:pt x="2499" y="365"/>
                                    </a:cubicBezTo>
                                    <a:cubicBezTo>
                                      <a:pt x="2234" y="365"/>
                                      <a:pt x="2234" y="365"/>
                                      <a:pt x="2234" y="365"/>
                                    </a:cubicBezTo>
                                    <a:cubicBezTo>
                                      <a:pt x="2188" y="457"/>
                                      <a:pt x="2188" y="457"/>
                                      <a:pt x="2188" y="457"/>
                                    </a:cubicBezTo>
                                    <a:cubicBezTo>
                                      <a:pt x="2081" y="457"/>
                                      <a:pt x="2081" y="457"/>
                                      <a:pt x="2081" y="457"/>
                                    </a:cubicBezTo>
                                    <a:cubicBezTo>
                                      <a:pt x="2312" y="21"/>
                                      <a:pt x="2312" y="21"/>
                                      <a:pt x="2312" y="21"/>
                                    </a:cubicBezTo>
                                    <a:lnTo>
                                      <a:pt x="2422" y="21"/>
                                    </a:lnTo>
                                    <a:close/>
                                    <a:moveTo>
                                      <a:pt x="1015" y="325"/>
                                    </a:moveTo>
                                    <a:cubicBezTo>
                                      <a:pt x="993" y="353"/>
                                      <a:pt x="966" y="371"/>
                                      <a:pt x="932" y="378"/>
                                    </a:cubicBezTo>
                                    <a:cubicBezTo>
                                      <a:pt x="886" y="388"/>
                                      <a:pt x="841" y="387"/>
                                      <a:pt x="796" y="372"/>
                                    </a:cubicBezTo>
                                    <a:cubicBezTo>
                                      <a:pt x="762" y="360"/>
                                      <a:pt x="735" y="339"/>
                                      <a:pt x="719" y="306"/>
                                    </a:cubicBezTo>
                                    <a:cubicBezTo>
                                      <a:pt x="707" y="280"/>
                                      <a:pt x="704" y="254"/>
                                      <a:pt x="705" y="226"/>
                                    </a:cubicBezTo>
                                    <a:cubicBezTo>
                                      <a:pt x="709" y="168"/>
                                      <a:pt x="741" y="125"/>
                                      <a:pt x="797" y="105"/>
                                    </a:cubicBezTo>
                                    <a:cubicBezTo>
                                      <a:pt x="837" y="91"/>
                                      <a:pt x="879" y="89"/>
                                      <a:pt x="920" y="96"/>
                                    </a:cubicBezTo>
                                    <a:cubicBezTo>
                                      <a:pt x="960" y="103"/>
                                      <a:pt x="993" y="123"/>
                                      <a:pt x="1016" y="156"/>
                                    </a:cubicBezTo>
                                    <a:cubicBezTo>
                                      <a:pt x="1018" y="158"/>
                                      <a:pt x="1020" y="160"/>
                                      <a:pt x="1022" y="163"/>
                                    </a:cubicBezTo>
                                    <a:cubicBezTo>
                                      <a:pt x="1052" y="148"/>
                                      <a:pt x="1082" y="133"/>
                                      <a:pt x="1113" y="117"/>
                                    </a:cubicBezTo>
                                    <a:cubicBezTo>
                                      <a:pt x="1106" y="108"/>
                                      <a:pt x="1100" y="99"/>
                                      <a:pt x="1092" y="92"/>
                                    </a:cubicBezTo>
                                    <a:cubicBezTo>
                                      <a:pt x="1051" y="49"/>
                                      <a:pt x="1000" y="24"/>
                                      <a:pt x="942" y="13"/>
                                    </a:cubicBezTo>
                                    <a:cubicBezTo>
                                      <a:pt x="874" y="0"/>
                                      <a:pt x="808" y="6"/>
                                      <a:pt x="744" y="30"/>
                                    </a:cubicBezTo>
                                    <a:cubicBezTo>
                                      <a:pt x="683" y="53"/>
                                      <a:pt x="639" y="93"/>
                                      <a:pt x="617" y="155"/>
                                    </a:cubicBezTo>
                                    <a:cubicBezTo>
                                      <a:pt x="599" y="204"/>
                                      <a:pt x="598" y="254"/>
                                      <a:pt x="611" y="304"/>
                                    </a:cubicBezTo>
                                    <a:cubicBezTo>
                                      <a:pt x="630" y="375"/>
                                      <a:pt x="676" y="422"/>
                                      <a:pt x="745" y="449"/>
                                    </a:cubicBezTo>
                                    <a:cubicBezTo>
                                      <a:pt x="810" y="474"/>
                                      <a:pt x="878" y="477"/>
                                      <a:pt x="946" y="464"/>
                                    </a:cubicBezTo>
                                    <a:cubicBezTo>
                                      <a:pt x="998" y="454"/>
                                      <a:pt x="1045" y="432"/>
                                      <a:pt x="1084" y="395"/>
                                    </a:cubicBezTo>
                                    <a:cubicBezTo>
                                      <a:pt x="1095" y="384"/>
                                      <a:pt x="1105" y="373"/>
                                      <a:pt x="1114" y="359"/>
                                    </a:cubicBezTo>
                                    <a:cubicBezTo>
                                      <a:pt x="1083" y="344"/>
                                      <a:pt x="1054" y="329"/>
                                      <a:pt x="1023" y="314"/>
                                    </a:cubicBezTo>
                                    <a:cubicBezTo>
                                      <a:pt x="1020" y="318"/>
                                      <a:pt x="1018" y="322"/>
                                      <a:pt x="1015" y="325"/>
                                    </a:cubicBezTo>
                                    <a:moveTo>
                                      <a:pt x="1582" y="371"/>
                                    </a:moveTo>
                                    <a:cubicBezTo>
                                      <a:pt x="1582" y="21"/>
                                      <a:pt x="1582" y="21"/>
                                      <a:pt x="1582" y="21"/>
                                    </a:cubicBezTo>
                                    <a:cubicBezTo>
                                      <a:pt x="1483" y="21"/>
                                      <a:pt x="1483" y="21"/>
                                      <a:pt x="1483" y="21"/>
                                    </a:cubicBezTo>
                                    <a:cubicBezTo>
                                      <a:pt x="1483" y="457"/>
                                      <a:pt x="1483" y="457"/>
                                      <a:pt x="1483" y="457"/>
                                    </a:cubicBezTo>
                                    <a:cubicBezTo>
                                      <a:pt x="1891" y="457"/>
                                      <a:pt x="1891" y="457"/>
                                      <a:pt x="1891" y="457"/>
                                    </a:cubicBezTo>
                                    <a:cubicBezTo>
                                      <a:pt x="1891" y="371"/>
                                      <a:pt x="1891" y="371"/>
                                      <a:pt x="1891" y="371"/>
                                    </a:cubicBezTo>
                                    <a:lnTo>
                                      <a:pt x="1582" y="371"/>
                                    </a:lnTo>
                                    <a:close/>
                                    <a:moveTo>
                                      <a:pt x="2845" y="370"/>
                                    </a:moveTo>
                                    <a:cubicBezTo>
                                      <a:pt x="2845" y="21"/>
                                      <a:pt x="2845" y="21"/>
                                      <a:pt x="2845" y="21"/>
                                    </a:cubicBezTo>
                                    <a:cubicBezTo>
                                      <a:pt x="2747" y="21"/>
                                      <a:pt x="2747" y="21"/>
                                      <a:pt x="2747" y="21"/>
                                    </a:cubicBezTo>
                                    <a:cubicBezTo>
                                      <a:pt x="2747" y="457"/>
                                      <a:pt x="2747" y="457"/>
                                      <a:pt x="2747" y="457"/>
                                    </a:cubicBezTo>
                                    <a:cubicBezTo>
                                      <a:pt x="3155" y="457"/>
                                      <a:pt x="3155" y="457"/>
                                      <a:pt x="3155" y="457"/>
                                    </a:cubicBezTo>
                                    <a:cubicBezTo>
                                      <a:pt x="3155" y="370"/>
                                      <a:pt x="3155" y="370"/>
                                      <a:pt x="3155" y="370"/>
                                    </a:cubicBezTo>
                                    <a:lnTo>
                                      <a:pt x="2845" y="370"/>
                                    </a:lnTo>
                                    <a:close/>
                                    <a:moveTo>
                                      <a:pt x="3350" y="370"/>
                                    </a:moveTo>
                                    <a:cubicBezTo>
                                      <a:pt x="3350" y="21"/>
                                      <a:pt x="3350" y="21"/>
                                      <a:pt x="3350" y="21"/>
                                    </a:cubicBezTo>
                                    <a:cubicBezTo>
                                      <a:pt x="3253" y="21"/>
                                      <a:pt x="3253" y="21"/>
                                      <a:pt x="3253" y="21"/>
                                    </a:cubicBezTo>
                                    <a:cubicBezTo>
                                      <a:pt x="3253" y="457"/>
                                      <a:pt x="3253" y="457"/>
                                      <a:pt x="3253" y="457"/>
                                    </a:cubicBezTo>
                                    <a:cubicBezTo>
                                      <a:pt x="3660" y="457"/>
                                      <a:pt x="3660" y="457"/>
                                      <a:pt x="3660" y="457"/>
                                    </a:cubicBezTo>
                                    <a:cubicBezTo>
                                      <a:pt x="3660" y="370"/>
                                      <a:pt x="3660" y="370"/>
                                      <a:pt x="3660" y="370"/>
                                    </a:cubicBezTo>
                                    <a:lnTo>
                                      <a:pt x="3350" y="370"/>
                                    </a:lnTo>
                                    <a:close/>
                                    <a:moveTo>
                                      <a:pt x="1233" y="457"/>
                                    </a:moveTo>
                                    <a:cubicBezTo>
                                      <a:pt x="1335" y="457"/>
                                      <a:pt x="1335" y="457"/>
                                      <a:pt x="1335" y="457"/>
                                    </a:cubicBezTo>
                                    <a:cubicBezTo>
                                      <a:pt x="1335" y="21"/>
                                      <a:pt x="1335" y="21"/>
                                      <a:pt x="1335" y="21"/>
                                    </a:cubicBezTo>
                                    <a:cubicBezTo>
                                      <a:pt x="1233" y="21"/>
                                      <a:pt x="1233" y="21"/>
                                      <a:pt x="1233" y="21"/>
                                    </a:cubicBezTo>
                                    <a:lnTo>
                                      <a:pt x="1233" y="457"/>
                                    </a:lnTo>
                                    <a:close/>
                                  </a:path>
                                </a:pathLst>
                              </a:custGeom>
                              <a:solidFill>
                                <a:srgbClr val="0001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2E550B66" id="Group 586" o:spid="_x0000_s1026" alt="&quot;&quot;" style="position:absolute;margin-left:0;margin-top:5.5pt;width:77.25pt;height:11.25pt;z-index:251709440;mso-position-horizontal-relative:page;mso-position-vertical-relative:page;mso-width-relative:margin;mso-height-relative:margin" coordorigin=",-212" coordsize="121888,187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">
                    <o:lock v:ext="edit" aspectratio="t"/>
                    <v:rect id="Rectangle 40" o:spid="_x0000_s1027" style="position:absolute;top:16431;width:14398;height:2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" fillcolor="#6c3f99" stroked="f"/>
                    <v:shape id="Freeform 6" o:spid="_x0000_s1028" style="position:absolute;top:-212;width:121888;height:12963;visibility:visible;mso-wrap-style:square;v-text-anchor:top" coordsize="4841,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" path="m4214,370v,87,,87,,87c3766,457,3766,457,3766,457v,-436,,-436,,-436c4214,21,4214,21,4214,21v,83,,83,,83c3864,104,3864,104,3864,104v,89,,89,,89c4151,194,4151,194,4151,194v,83,,83,,83c3864,277,3864,277,3864,277v,93,,93,,93l4214,370xm4345,21v,436,,436,,436c4442,457,4442,457,4442,457v,-313,,-313,,-313c4753,457,4753,457,4753,457v88,,88,,88,c4841,21,4841,21,4841,21v-96,,-96,,-96,c4745,319,4745,319,4745,319,4450,21,4450,21,4450,21r-105,xm196,283v179,,179,,179,c283,109,283,109,283,109l196,283xm341,21c572,457,572,457,572,457v-108,,-108,,-108,c418,365,418,365,418,365v-265,,-265,,-265,c107,457,107,457,107,457,,457,,457,,457,231,21,231,21,231,21r110,xm2456,283c2366,106,2366,106,2366,106v-90,177,-90,177,-90,177l2456,283xm2422,21v232,436,232,436,232,436c2546,457,2546,457,2546,457v-47,-92,-47,-92,-47,-92c2234,365,2234,365,2234,365v-46,92,-46,92,-46,92c2081,457,2081,457,2081,457,2312,21,2312,21,2312,21r110,xm1015,325v-22,28,-49,46,-83,53c886,388,841,387,796,372,762,360,735,339,719,306,707,280,704,254,705,226v4,-58,36,-101,92,-121c837,91,879,89,920,96v40,7,73,27,96,60c1018,158,1020,160,1022,163v30,-15,60,-30,91,-46c1106,108,1100,99,1092,92,1051,49,1000,24,942,13,874,,808,6,744,30,683,53,639,93,617,155v-18,49,-19,99,-6,149c630,375,676,422,745,449v65,25,133,28,201,15c998,454,1045,432,1084,395v11,-11,21,-22,30,-36c1083,344,1054,329,1023,314v-3,4,-5,8,-8,11m1582,371v,-350,,-350,,-350c1483,21,1483,21,1483,21v,436,,436,,436c1891,457,1891,457,1891,457v,-86,,-86,,-86l1582,371xm2845,370v,-349,,-349,,-349c2747,21,2747,21,2747,21v,436,,436,,436c3155,457,3155,457,3155,457v,-87,,-87,,-87l2845,370xm3350,370v,-349,,-349,,-349c3253,21,3253,21,3253,21v,436,,436,,436c3660,457,3660,457,3660,457v,-87,,-87,,-87l3350,370xm1233,457v102,,102,,102,c1335,21,1335,21,1335,21v-102,,-102,,-102,l1233,457xe" fillcolor="#000100" stroked="f">
                      <v:path arrowok="t" o:connecttype="custom" o:connectlocs="10610144,1241977;9482156,57071;10610144,282638;9728903,524511;10451521,752795;9728903,1005539;10939980,57071;11184210,1241977;11967256,1241977;12188825,57071;11947113,866938;10939980,57071;944187,769101;493495,769101;1440200,1241977;1052454,991951;269408,1241977;581619,57071;6183796,769101;5730586,769101;6098189,57071;6410400,1241977;5624837,991951;5239609,1241977;6098189,57071;2346619,1027280;1810321,831608;2006712,285356;2558117,423957;2802347,317968;2371798,35330;1553502,421239;1875785,1220235;2729330,1073481;2575742,853349;3983210,1008257;3733945,57071;4761220,1241977;3983210,1008257;7163232,57071;6916485,1241977;7943760,1005539;8434737,1005539;8190508,57071;9215265,1241977;8434737,1005539;3361306,1241977;3104487,57071" o:connectangles="0,0,0,0,0,0,0,0,0,0,0,0,0,0,0,0,0,0,0,0,0,0,0,0,0,0,0,0,0,0,0,0,0,0,0,0,0,0,0,0,0,0,0,0,0,0,0,0"/>
                      <o:lock v:ext="edit" verticies="t"/>
                    </v:shape>
                    <w10:wrap anchorx="page" anchory="page"/>
                    <w10:anchorlock/>
                  </v:group>
                </w:pict>
              </mc:Fallback>
            </mc:AlternateContent>
          </w:r>
        </w:p>
      </w:tc>
      <w:tc>
        <w:tcPr>
          <w:tcW w:w="5181" w:type="dxa"/>
          <w:vAlign w:val="center"/>
        </w:tcPr>
        <w:p w14:paraId="76747055" w14:textId="6299EF5C" w:rsidR="002B32A0" w:rsidRDefault="002B32A0" w:rsidP="004A1654">
          <w:pPr>
            <w:pStyle w:val="Header-CompanyName"/>
          </w:pPr>
        </w:p>
      </w:tc>
    </w:tr>
  </w:tbl>
  <w:p w14:paraId="4DA206BB" w14:textId="01F009A6" w:rsidR="002B32A0" w:rsidRPr="00BA0B76" w:rsidRDefault="002B32A0" w:rsidP="00BA0B76">
    <w:pPr>
      <w:pStyle w:val="Heade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6AACA7" w14:textId="77777777" w:rsidR="002B32A0" w:rsidRPr="00BA0B76" w:rsidRDefault="002B32A0" w:rsidP="00BA0B76">
    <w:pPr>
      <w:pStyle w:val="Heade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6A5E16" w14:textId="77777777" w:rsidR="002B32A0" w:rsidRPr="00BA4997" w:rsidRDefault="002B32A0" w:rsidP="00BA4997">
    <w:pPr>
      <w:pStyle w:val="Heade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acTablenolines"/>
      <w:tblW w:w="10363" w:type="dxa"/>
      <w:tblInd w:w="-2427" w:type="dxa"/>
      <w:tblLayout w:type="fixed"/>
      <w:tblLook w:val="04A0" w:firstRow="1" w:lastRow="0" w:firstColumn="1" w:lastColumn="0" w:noHBand="0" w:noVBand="1"/>
    </w:tblPr>
    <w:tblGrid>
      <w:gridCol w:w="5182"/>
      <w:gridCol w:w="5181"/>
    </w:tblGrid>
    <w:tr w:rsidR="002B32A0" w14:paraId="59BD36FB" w14:textId="77777777" w:rsidTr="000B0AC7">
      <w:trPr>
        <w:trHeight w:hRule="exact" w:val="356"/>
      </w:trPr>
      <w:tc>
        <w:tcPr>
          <w:tcW w:w="5182" w:type="dxa"/>
          <w:vAlign w:val="center"/>
        </w:tcPr>
        <w:p w14:paraId="277869D5" w14:textId="77777777" w:rsidR="002B32A0" w:rsidRDefault="002B32A0" w:rsidP="00BA4997">
          <w:pPr>
            <w:pStyle w:val="spacer"/>
          </w:pPr>
          <w:r w:rsidRPr="000261B1">
            <w:rPr>
              <w:noProof/>
            </w:rPr>
            <mc:AlternateContent>
              <mc:Choice Requires="wpg">
                <w:drawing>
                  <wp:anchor distT="0" distB="0" distL="114300" distR="114300" simplePos="0" relativeHeight="251710464" behindDoc="0" locked="1" layoutInCell="1" allowOverlap="1" wp14:anchorId="391D6636" wp14:editId="37E6F544">
                    <wp:simplePos x="0" y="0"/>
                    <wp:positionH relativeFrom="page">
                      <wp:posOffset>0</wp:posOffset>
                    </wp:positionH>
                    <wp:positionV relativeFrom="page">
                      <wp:posOffset>69850</wp:posOffset>
                    </wp:positionV>
                    <wp:extent cx="981075" cy="142875"/>
                    <wp:effectExtent l="0" t="0" r="9525" b="9525"/>
                    <wp:wrapNone/>
                    <wp:docPr id="589" name="Group 5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981075" cy="142875"/>
                              <a:chOff x="0" y="-21209"/>
                              <a:chExt cx="12188825" cy="1878663"/>
                            </a:xfrm>
                          </wpg:grpSpPr>
                          <wps:wsp>
                            <wps:cNvPr id="590" name="Rectangle 590"/>
                            <wps:cNvSpPr>
                              <a:spLocks noChangeArrowheads="1"/>
                            </wps:cNvSpPr>
                            <wps:spPr bwMode="auto">
                              <a:xfrm>
                                <a:off x="0" y="1643143"/>
                                <a:ext cx="1439863" cy="214311"/>
                              </a:xfrm>
                              <a:prstGeom prst="rect">
                                <a:avLst/>
                              </a:prstGeom>
                              <a:solidFill>
                                <a:srgbClr val="6C3F99"/>
                              </a:solid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591" name="Freeform 6"/>
                            <wps:cNvSpPr>
                              <a:spLocks noEditPoints="1"/>
                            </wps:cNvSpPr>
                            <wps:spPr bwMode="auto">
                              <a:xfrm>
                                <a:off x="0" y="-21209"/>
                                <a:ext cx="12188825" cy="1296330"/>
                              </a:xfrm>
                              <a:custGeom>
                                <a:avLst/>
                                <a:gdLst>
                                  <a:gd name="T0" fmla="*/ 4214 w 4841"/>
                                  <a:gd name="T1" fmla="*/ 457 h 477"/>
                                  <a:gd name="T2" fmla="*/ 3766 w 4841"/>
                                  <a:gd name="T3" fmla="*/ 21 h 477"/>
                                  <a:gd name="T4" fmla="*/ 4214 w 4841"/>
                                  <a:gd name="T5" fmla="*/ 104 h 477"/>
                                  <a:gd name="T6" fmla="*/ 3864 w 4841"/>
                                  <a:gd name="T7" fmla="*/ 193 h 477"/>
                                  <a:gd name="T8" fmla="*/ 4151 w 4841"/>
                                  <a:gd name="T9" fmla="*/ 277 h 477"/>
                                  <a:gd name="T10" fmla="*/ 3864 w 4841"/>
                                  <a:gd name="T11" fmla="*/ 370 h 477"/>
                                  <a:gd name="T12" fmla="*/ 4345 w 4841"/>
                                  <a:gd name="T13" fmla="*/ 21 h 477"/>
                                  <a:gd name="T14" fmla="*/ 4442 w 4841"/>
                                  <a:gd name="T15" fmla="*/ 457 h 477"/>
                                  <a:gd name="T16" fmla="*/ 4753 w 4841"/>
                                  <a:gd name="T17" fmla="*/ 457 h 477"/>
                                  <a:gd name="T18" fmla="*/ 4841 w 4841"/>
                                  <a:gd name="T19" fmla="*/ 21 h 477"/>
                                  <a:gd name="T20" fmla="*/ 4745 w 4841"/>
                                  <a:gd name="T21" fmla="*/ 319 h 477"/>
                                  <a:gd name="T22" fmla="*/ 4345 w 4841"/>
                                  <a:gd name="T23" fmla="*/ 21 h 477"/>
                                  <a:gd name="T24" fmla="*/ 375 w 4841"/>
                                  <a:gd name="T25" fmla="*/ 283 h 477"/>
                                  <a:gd name="T26" fmla="*/ 196 w 4841"/>
                                  <a:gd name="T27" fmla="*/ 283 h 477"/>
                                  <a:gd name="T28" fmla="*/ 572 w 4841"/>
                                  <a:gd name="T29" fmla="*/ 457 h 477"/>
                                  <a:gd name="T30" fmla="*/ 418 w 4841"/>
                                  <a:gd name="T31" fmla="*/ 365 h 477"/>
                                  <a:gd name="T32" fmla="*/ 107 w 4841"/>
                                  <a:gd name="T33" fmla="*/ 457 h 477"/>
                                  <a:gd name="T34" fmla="*/ 231 w 4841"/>
                                  <a:gd name="T35" fmla="*/ 21 h 477"/>
                                  <a:gd name="T36" fmla="*/ 2456 w 4841"/>
                                  <a:gd name="T37" fmla="*/ 283 h 477"/>
                                  <a:gd name="T38" fmla="*/ 2276 w 4841"/>
                                  <a:gd name="T39" fmla="*/ 283 h 477"/>
                                  <a:gd name="T40" fmla="*/ 2422 w 4841"/>
                                  <a:gd name="T41" fmla="*/ 21 h 477"/>
                                  <a:gd name="T42" fmla="*/ 2546 w 4841"/>
                                  <a:gd name="T43" fmla="*/ 457 h 477"/>
                                  <a:gd name="T44" fmla="*/ 2234 w 4841"/>
                                  <a:gd name="T45" fmla="*/ 365 h 477"/>
                                  <a:gd name="T46" fmla="*/ 2081 w 4841"/>
                                  <a:gd name="T47" fmla="*/ 457 h 477"/>
                                  <a:gd name="T48" fmla="*/ 2422 w 4841"/>
                                  <a:gd name="T49" fmla="*/ 21 h 477"/>
                                  <a:gd name="T50" fmla="*/ 932 w 4841"/>
                                  <a:gd name="T51" fmla="*/ 378 h 477"/>
                                  <a:gd name="T52" fmla="*/ 719 w 4841"/>
                                  <a:gd name="T53" fmla="*/ 306 h 477"/>
                                  <a:gd name="T54" fmla="*/ 797 w 4841"/>
                                  <a:gd name="T55" fmla="*/ 105 h 477"/>
                                  <a:gd name="T56" fmla="*/ 1016 w 4841"/>
                                  <a:gd name="T57" fmla="*/ 156 h 477"/>
                                  <a:gd name="T58" fmla="*/ 1113 w 4841"/>
                                  <a:gd name="T59" fmla="*/ 117 h 477"/>
                                  <a:gd name="T60" fmla="*/ 942 w 4841"/>
                                  <a:gd name="T61" fmla="*/ 13 h 477"/>
                                  <a:gd name="T62" fmla="*/ 617 w 4841"/>
                                  <a:gd name="T63" fmla="*/ 155 h 477"/>
                                  <a:gd name="T64" fmla="*/ 745 w 4841"/>
                                  <a:gd name="T65" fmla="*/ 449 h 477"/>
                                  <a:gd name="T66" fmla="*/ 1084 w 4841"/>
                                  <a:gd name="T67" fmla="*/ 395 h 477"/>
                                  <a:gd name="T68" fmla="*/ 1023 w 4841"/>
                                  <a:gd name="T69" fmla="*/ 314 h 477"/>
                                  <a:gd name="T70" fmla="*/ 1582 w 4841"/>
                                  <a:gd name="T71" fmla="*/ 371 h 477"/>
                                  <a:gd name="T72" fmla="*/ 1483 w 4841"/>
                                  <a:gd name="T73" fmla="*/ 21 h 477"/>
                                  <a:gd name="T74" fmla="*/ 1891 w 4841"/>
                                  <a:gd name="T75" fmla="*/ 457 h 477"/>
                                  <a:gd name="T76" fmla="*/ 1582 w 4841"/>
                                  <a:gd name="T77" fmla="*/ 371 h 477"/>
                                  <a:gd name="T78" fmla="*/ 2845 w 4841"/>
                                  <a:gd name="T79" fmla="*/ 21 h 477"/>
                                  <a:gd name="T80" fmla="*/ 2747 w 4841"/>
                                  <a:gd name="T81" fmla="*/ 457 h 477"/>
                                  <a:gd name="T82" fmla="*/ 3155 w 4841"/>
                                  <a:gd name="T83" fmla="*/ 370 h 477"/>
                                  <a:gd name="T84" fmla="*/ 3350 w 4841"/>
                                  <a:gd name="T85" fmla="*/ 370 h 477"/>
                                  <a:gd name="T86" fmla="*/ 3253 w 4841"/>
                                  <a:gd name="T87" fmla="*/ 21 h 477"/>
                                  <a:gd name="T88" fmla="*/ 3660 w 4841"/>
                                  <a:gd name="T89" fmla="*/ 457 h 477"/>
                                  <a:gd name="T90" fmla="*/ 3350 w 4841"/>
                                  <a:gd name="T91" fmla="*/ 370 h 477"/>
                                  <a:gd name="T92" fmla="*/ 1335 w 4841"/>
                                  <a:gd name="T93" fmla="*/ 457 h 477"/>
                                  <a:gd name="T94" fmla="*/ 1233 w 4841"/>
                                  <a:gd name="T95" fmla="*/ 21 h 4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4841" h="477">
                                    <a:moveTo>
                                      <a:pt x="4214" y="370"/>
                                    </a:moveTo>
                                    <a:cubicBezTo>
                                      <a:pt x="4214" y="457"/>
                                      <a:pt x="4214" y="457"/>
                                      <a:pt x="4214" y="457"/>
                                    </a:cubicBezTo>
                                    <a:cubicBezTo>
                                      <a:pt x="3766" y="457"/>
                                      <a:pt x="3766" y="457"/>
                                      <a:pt x="3766" y="457"/>
                                    </a:cubicBezTo>
                                    <a:cubicBezTo>
                                      <a:pt x="3766" y="21"/>
                                      <a:pt x="3766" y="21"/>
                                      <a:pt x="3766" y="21"/>
                                    </a:cubicBezTo>
                                    <a:cubicBezTo>
                                      <a:pt x="4214" y="21"/>
                                      <a:pt x="4214" y="21"/>
                                      <a:pt x="4214" y="21"/>
                                    </a:cubicBezTo>
                                    <a:cubicBezTo>
                                      <a:pt x="4214" y="104"/>
                                      <a:pt x="4214" y="104"/>
                                      <a:pt x="4214" y="104"/>
                                    </a:cubicBezTo>
                                    <a:cubicBezTo>
                                      <a:pt x="3864" y="104"/>
                                      <a:pt x="3864" y="104"/>
                                      <a:pt x="3864" y="104"/>
                                    </a:cubicBezTo>
                                    <a:cubicBezTo>
                                      <a:pt x="3864" y="193"/>
                                      <a:pt x="3864" y="193"/>
                                      <a:pt x="3864" y="193"/>
                                    </a:cubicBezTo>
                                    <a:cubicBezTo>
                                      <a:pt x="4151" y="194"/>
                                      <a:pt x="4151" y="194"/>
                                      <a:pt x="4151" y="194"/>
                                    </a:cubicBezTo>
                                    <a:cubicBezTo>
                                      <a:pt x="4151" y="277"/>
                                      <a:pt x="4151" y="277"/>
                                      <a:pt x="4151" y="277"/>
                                    </a:cubicBezTo>
                                    <a:cubicBezTo>
                                      <a:pt x="3864" y="277"/>
                                      <a:pt x="3864" y="277"/>
                                      <a:pt x="3864" y="277"/>
                                    </a:cubicBezTo>
                                    <a:cubicBezTo>
                                      <a:pt x="3864" y="370"/>
                                      <a:pt x="3864" y="370"/>
                                      <a:pt x="3864" y="370"/>
                                    </a:cubicBezTo>
                                    <a:lnTo>
                                      <a:pt x="4214" y="370"/>
                                    </a:lnTo>
                                    <a:close/>
                                    <a:moveTo>
                                      <a:pt x="4345" y="21"/>
                                    </a:moveTo>
                                    <a:cubicBezTo>
                                      <a:pt x="4345" y="457"/>
                                      <a:pt x="4345" y="457"/>
                                      <a:pt x="4345" y="457"/>
                                    </a:cubicBezTo>
                                    <a:cubicBezTo>
                                      <a:pt x="4442" y="457"/>
                                      <a:pt x="4442" y="457"/>
                                      <a:pt x="4442" y="457"/>
                                    </a:cubicBezTo>
                                    <a:cubicBezTo>
                                      <a:pt x="4442" y="144"/>
                                      <a:pt x="4442" y="144"/>
                                      <a:pt x="4442" y="144"/>
                                    </a:cubicBezTo>
                                    <a:cubicBezTo>
                                      <a:pt x="4753" y="457"/>
                                      <a:pt x="4753" y="457"/>
                                      <a:pt x="4753" y="457"/>
                                    </a:cubicBezTo>
                                    <a:cubicBezTo>
                                      <a:pt x="4841" y="457"/>
                                      <a:pt x="4841" y="457"/>
                                      <a:pt x="4841" y="457"/>
                                    </a:cubicBezTo>
                                    <a:cubicBezTo>
                                      <a:pt x="4841" y="21"/>
                                      <a:pt x="4841" y="21"/>
                                      <a:pt x="4841" y="21"/>
                                    </a:cubicBezTo>
                                    <a:cubicBezTo>
                                      <a:pt x="4745" y="21"/>
                                      <a:pt x="4745" y="21"/>
                                      <a:pt x="4745" y="21"/>
                                    </a:cubicBezTo>
                                    <a:cubicBezTo>
                                      <a:pt x="4745" y="319"/>
                                      <a:pt x="4745" y="319"/>
                                      <a:pt x="4745" y="319"/>
                                    </a:cubicBezTo>
                                    <a:cubicBezTo>
                                      <a:pt x="4450" y="21"/>
                                      <a:pt x="4450" y="21"/>
                                      <a:pt x="4450" y="21"/>
                                    </a:cubicBezTo>
                                    <a:lnTo>
                                      <a:pt x="4345" y="21"/>
                                    </a:lnTo>
                                    <a:close/>
                                    <a:moveTo>
                                      <a:pt x="196" y="283"/>
                                    </a:moveTo>
                                    <a:cubicBezTo>
                                      <a:pt x="375" y="283"/>
                                      <a:pt x="375" y="283"/>
                                      <a:pt x="375" y="283"/>
                                    </a:cubicBezTo>
                                    <a:cubicBezTo>
                                      <a:pt x="283" y="109"/>
                                      <a:pt x="283" y="109"/>
                                      <a:pt x="283" y="109"/>
                                    </a:cubicBezTo>
                                    <a:lnTo>
                                      <a:pt x="196" y="283"/>
                                    </a:lnTo>
                                    <a:close/>
                                    <a:moveTo>
                                      <a:pt x="341" y="21"/>
                                    </a:moveTo>
                                    <a:cubicBezTo>
                                      <a:pt x="572" y="457"/>
                                      <a:pt x="572" y="457"/>
                                      <a:pt x="572" y="457"/>
                                    </a:cubicBezTo>
                                    <a:cubicBezTo>
                                      <a:pt x="464" y="457"/>
                                      <a:pt x="464" y="457"/>
                                      <a:pt x="464" y="457"/>
                                    </a:cubicBezTo>
                                    <a:cubicBezTo>
                                      <a:pt x="418" y="365"/>
                                      <a:pt x="418" y="365"/>
                                      <a:pt x="418" y="365"/>
                                    </a:cubicBezTo>
                                    <a:cubicBezTo>
                                      <a:pt x="153" y="365"/>
                                      <a:pt x="153" y="365"/>
                                      <a:pt x="153" y="365"/>
                                    </a:cubicBezTo>
                                    <a:cubicBezTo>
                                      <a:pt x="107" y="457"/>
                                      <a:pt x="107" y="457"/>
                                      <a:pt x="107" y="457"/>
                                    </a:cubicBezTo>
                                    <a:cubicBezTo>
                                      <a:pt x="0" y="457"/>
                                      <a:pt x="0" y="457"/>
                                      <a:pt x="0" y="457"/>
                                    </a:cubicBezTo>
                                    <a:cubicBezTo>
                                      <a:pt x="231" y="21"/>
                                      <a:pt x="231" y="21"/>
                                      <a:pt x="231" y="21"/>
                                    </a:cubicBezTo>
                                    <a:lnTo>
                                      <a:pt x="341" y="21"/>
                                    </a:lnTo>
                                    <a:close/>
                                    <a:moveTo>
                                      <a:pt x="2456" y="283"/>
                                    </a:moveTo>
                                    <a:cubicBezTo>
                                      <a:pt x="2366" y="106"/>
                                      <a:pt x="2366" y="106"/>
                                      <a:pt x="2366" y="106"/>
                                    </a:cubicBezTo>
                                    <a:cubicBezTo>
                                      <a:pt x="2276" y="283"/>
                                      <a:pt x="2276" y="283"/>
                                      <a:pt x="2276" y="283"/>
                                    </a:cubicBezTo>
                                    <a:lnTo>
                                      <a:pt x="2456" y="283"/>
                                    </a:lnTo>
                                    <a:close/>
                                    <a:moveTo>
                                      <a:pt x="2422" y="21"/>
                                    </a:moveTo>
                                    <a:cubicBezTo>
                                      <a:pt x="2654" y="457"/>
                                      <a:pt x="2654" y="457"/>
                                      <a:pt x="2654" y="457"/>
                                    </a:cubicBezTo>
                                    <a:cubicBezTo>
                                      <a:pt x="2546" y="457"/>
                                      <a:pt x="2546" y="457"/>
                                      <a:pt x="2546" y="457"/>
                                    </a:cubicBezTo>
                                    <a:cubicBezTo>
                                      <a:pt x="2499" y="365"/>
                                      <a:pt x="2499" y="365"/>
                                      <a:pt x="2499" y="365"/>
                                    </a:cubicBezTo>
                                    <a:cubicBezTo>
                                      <a:pt x="2234" y="365"/>
                                      <a:pt x="2234" y="365"/>
                                      <a:pt x="2234" y="365"/>
                                    </a:cubicBezTo>
                                    <a:cubicBezTo>
                                      <a:pt x="2188" y="457"/>
                                      <a:pt x="2188" y="457"/>
                                      <a:pt x="2188" y="457"/>
                                    </a:cubicBezTo>
                                    <a:cubicBezTo>
                                      <a:pt x="2081" y="457"/>
                                      <a:pt x="2081" y="457"/>
                                      <a:pt x="2081" y="457"/>
                                    </a:cubicBezTo>
                                    <a:cubicBezTo>
                                      <a:pt x="2312" y="21"/>
                                      <a:pt x="2312" y="21"/>
                                      <a:pt x="2312" y="21"/>
                                    </a:cubicBezTo>
                                    <a:lnTo>
                                      <a:pt x="2422" y="21"/>
                                    </a:lnTo>
                                    <a:close/>
                                    <a:moveTo>
                                      <a:pt x="1015" y="325"/>
                                    </a:moveTo>
                                    <a:cubicBezTo>
                                      <a:pt x="993" y="353"/>
                                      <a:pt x="966" y="371"/>
                                      <a:pt x="932" y="378"/>
                                    </a:cubicBezTo>
                                    <a:cubicBezTo>
                                      <a:pt x="886" y="388"/>
                                      <a:pt x="841" y="387"/>
                                      <a:pt x="796" y="372"/>
                                    </a:cubicBezTo>
                                    <a:cubicBezTo>
                                      <a:pt x="762" y="360"/>
                                      <a:pt x="735" y="339"/>
                                      <a:pt x="719" y="306"/>
                                    </a:cubicBezTo>
                                    <a:cubicBezTo>
                                      <a:pt x="707" y="280"/>
                                      <a:pt x="704" y="254"/>
                                      <a:pt x="705" y="226"/>
                                    </a:cubicBezTo>
                                    <a:cubicBezTo>
                                      <a:pt x="709" y="168"/>
                                      <a:pt x="741" y="125"/>
                                      <a:pt x="797" y="105"/>
                                    </a:cubicBezTo>
                                    <a:cubicBezTo>
                                      <a:pt x="837" y="91"/>
                                      <a:pt x="879" y="89"/>
                                      <a:pt x="920" y="96"/>
                                    </a:cubicBezTo>
                                    <a:cubicBezTo>
                                      <a:pt x="960" y="103"/>
                                      <a:pt x="993" y="123"/>
                                      <a:pt x="1016" y="156"/>
                                    </a:cubicBezTo>
                                    <a:cubicBezTo>
                                      <a:pt x="1018" y="158"/>
                                      <a:pt x="1020" y="160"/>
                                      <a:pt x="1022" y="163"/>
                                    </a:cubicBezTo>
                                    <a:cubicBezTo>
                                      <a:pt x="1052" y="148"/>
                                      <a:pt x="1082" y="133"/>
                                      <a:pt x="1113" y="117"/>
                                    </a:cubicBezTo>
                                    <a:cubicBezTo>
                                      <a:pt x="1106" y="108"/>
                                      <a:pt x="1100" y="99"/>
                                      <a:pt x="1092" y="92"/>
                                    </a:cubicBezTo>
                                    <a:cubicBezTo>
                                      <a:pt x="1051" y="49"/>
                                      <a:pt x="1000" y="24"/>
                                      <a:pt x="942" y="13"/>
                                    </a:cubicBezTo>
                                    <a:cubicBezTo>
                                      <a:pt x="874" y="0"/>
                                      <a:pt x="808" y="6"/>
                                      <a:pt x="744" y="30"/>
                                    </a:cubicBezTo>
                                    <a:cubicBezTo>
                                      <a:pt x="683" y="53"/>
                                      <a:pt x="639" y="93"/>
                                      <a:pt x="617" y="155"/>
                                    </a:cubicBezTo>
                                    <a:cubicBezTo>
                                      <a:pt x="599" y="204"/>
                                      <a:pt x="598" y="254"/>
                                      <a:pt x="611" y="304"/>
                                    </a:cubicBezTo>
                                    <a:cubicBezTo>
                                      <a:pt x="630" y="375"/>
                                      <a:pt x="676" y="422"/>
                                      <a:pt x="745" y="449"/>
                                    </a:cubicBezTo>
                                    <a:cubicBezTo>
                                      <a:pt x="810" y="474"/>
                                      <a:pt x="878" y="477"/>
                                      <a:pt x="946" y="464"/>
                                    </a:cubicBezTo>
                                    <a:cubicBezTo>
                                      <a:pt x="998" y="454"/>
                                      <a:pt x="1045" y="432"/>
                                      <a:pt x="1084" y="395"/>
                                    </a:cubicBezTo>
                                    <a:cubicBezTo>
                                      <a:pt x="1095" y="384"/>
                                      <a:pt x="1105" y="373"/>
                                      <a:pt x="1114" y="359"/>
                                    </a:cubicBezTo>
                                    <a:cubicBezTo>
                                      <a:pt x="1083" y="344"/>
                                      <a:pt x="1054" y="329"/>
                                      <a:pt x="1023" y="314"/>
                                    </a:cubicBezTo>
                                    <a:cubicBezTo>
                                      <a:pt x="1020" y="318"/>
                                      <a:pt x="1018" y="322"/>
                                      <a:pt x="1015" y="325"/>
                                    </a:cubicBezTo>
                                    <a:moveTo>
                                      <a:pt x="1582" y="371"/>
                                    </a:moveTo>
                                    <a:cubicBezTo>
                                      <a:pt x="1582" y="21"/>
                                      <a:pt x="1582" y="21"/>
                                      <a:pt x="1582" y="21"/>
                                    </a:cubicBezTo>
                                    <a:cubicBezTo>
                                      <a:pt x="1483" y="21"/>
                                      <a:pt x="1483" y="21"/>
                                      <a:pt x="1483" y="21"/>
                                    </a:cubicBezTo>
                                    <a:cubicBezTo>
                                      <a:pt x="1483" y="457"/>
                                      <a:pt x="1483" y="457"/>
                                      <a:pt x="1483" y="457"/>
                                    </a:cubicBezTo>
                                    <a:cubicBezTo>
                                      <a:pt x="1891" y="457"/>
                                      <a:pt x="1891" y="457"/>
                                      <a:pt x="1891" y="457"/>
                                    </a:cubicBezTo>
                                    <a:cubicBezTo>
                                      <a:pt x="1891" y="371"/>
                                      <a:pt x="1891" y="371"/>
                                      <a:pt x="1891" y="371"/>
                                    </a:cubicBezTo>
                                    <a:lnTo>
                                      <a:pt x="1582" y="371"/>
                                    </a:lnTo>
                                    <a:close/>
                                    <a:moveTo>
                                      <a:pt x="2845" y="370"/>
                                    </a:moveTo>
                                    <a:cubicBezTo>
                                      <a:pt x="2845" y="21"/>
                                      <a:pt x="2845" y="21"/>
                                      <a:pt x="2845" y="21"/>
                                    </a:cubicBezTo>
                                    <a:cubicBezTo>
                                      <a:pt x="2747" y="21"/>
                                      <a:pt x="2747" y="21"/>
                                      <a:pt x="2747" y="21"/>
                                    </a:cubicBezTo>
                                    <a:cubicBezTo>
                                      <a:pt x="2747" y="457"/>
                                      <a:pt x="2747" y="457"/>
                                      <a:pt x="2747" y="457"/>
                                    </a:cubicBezTo>
                                    <a:cubicBezTo>
                                      <a:pt x="3155" y="457"/>
                                      <a:pt x="3155" y="457"/>
                                      <a:pt x="3155" y="457"/>
                                    </a:cubicBezTo>
                                    <a:cubicBezTo>
                                      <a:pt x="3155" y="370"/>
                                      <a:pt x="3155" y="370"/>
                                      <a:pt x="3155" y="370"/>
                                    </a:cubicBezTo>
                                    <a:lnTo>
                                      <a:pt x="2845" y="370"/>
                                    </a:lnTo>
                                    <a:close/>
                                    <a:moveTo>
                                      <a:pt x="3350" y="370"/>
                                    </a:moveTo>
                                    <a:cubicBezTo>
                                      <a:pt x="3350" y="21"/>
                                      <a:pt x="3350" y="21"/>
                                      <a:pt x="3350" y="21"/>
                                    </a:cubicBezTo>
                                    <a:cubicBezTo>
                                      <a:pt x="3253" y="21"/>
                                      <a:pt x="3253" y="21"/>
                                      <a:pt x="3253" y="21"/>
                                    </a:cubicBezTo>
                                    <a:cubicBezTo>
                                      <a:pt x="3253" y="457"/>
                                      <a:pt x="3253" y="457"/>
                                      <a:pt x="3253" y="457"/>
                                    </a:cubicBezTo>
                                    <a:cubicBezTo>
                                      <a:pt x="3660" y="457"/>
                                      <a:pt x="3660" y="457"/>
                                      <a:pt x="3660" y="457"/>
                                    </a:cubicBezTo>
                                    <a:cubicBezTo>
                                      <a:pt x="3660" y="370"/>
                                      <a:pt x="3660" y="370"/>
                                      <a:pt x="3660" y="370"/>
                                    </a:cubicBezTo>
                                    <a:lnTo>
                                      <a:pt x="3350" y="370"/>
                                    </a:lnTo>
                                    <a:close/>
                                    <a:moveTo>
                                      <a:pt x="1233" y="457"/>
                                    </a:moveTo>
                                    <a:cubicBezTo>
                                      <a:pt x="1335" y="457"/>
                                      <a:pt x="1335" y="457"/>
                                      <a:pt x="1335" y="457"/>
                                    </a:cubicBezTo>
                                    <a:cubicBezTo>
                                      <a:pt x="1335" y="21"/>
                                      <a:pt x="1335" y="21"/>
                                      <a:pt x="1335" y="21"/>
                                    </a:cubicBezTo>
                                    <a:cubicBezTo>
                                      <a:pt x="1233" y="21"/>
                                      <a:pt x="1233" y="21"/>
                                      <a:pt x="1233" y="21"/>
                                    </a:cubicBezTo>
                                    <a:lnTo>
                                      <a:pt x="1233" y="457"/>
                                    </a:lnTo>
                                    <a:close/>
                                  </a:path>
                                </a:pathLst>
                              </a:custGeom>
                              <a:solidFill>
                                <a:srgbClr val="0001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5EA4CEA6" id="Group 589" o:spid="_x0000_s1026" alt="&quot;&quot;" style="position:absolute;margin-left:0;margin-top:5.5pt;width:77.25pt;height:11.25pt;z-index:251710464;mso-position-horizontal-relative:page;mso-position-vertical-relative:page;mso-width-relative:margin;mso-height-relative:margin" coordorigin=",-212" coordsize="121888,187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">
                    <o:lock v:ext="edit" aspectratio="t"/>
                    <v:rect id="Rectangle 590" o:spid="_x0000_s1027" style="position:absolute;top:16431;width:14398;height:2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" fillcolor="#6c3f99" stroked="f"/>
                    <v:shape id="Freeform 6" o:spid="_x0000_s1028" style="position:absolute;top:-212;width:121888;height:12963;visibility:visible;mso-wrap-style:square;v-text-anchor:top" coordsize="4841,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" path="m4214,370v,87,,87,,87c3766,457,3766,457,3766,457v,-436,,-436,,-436c4214,21,4214,21,4214,21v,83,,83,,83c3864,104,3864,104,3864,104v,89,,89,,89c4151,194,4151,194,4151,194v,83,,83,,83c3864,277,3864,277,3864,277v,93,,93,,93l4214,370xm4345,21v,436,,436,,436c4442,457,4442,457,4442,457v,-313,,-313,,-313c4753,457,4753,457,4753,457v88,,88,,88,c4841,21,4841,21,4841,21v-96,,-96,,-96,c4745,319,4745,319,4745,319,4450,21,4450,21,4450,21r-105,xm196,283v179,,179,,179,c283,109,283,109,283,109l196,283xm341,21c572,457,572,457,572,457v-108,,-108,,-108,c418,365,418,365,418,365v-265,,-265,,-265,c107,457,107,457,107,457,,457,,457,,457,231,21,231,21,231,21r110,xm2456,283c2366,106,2366,106,2366,106v-90,177,-90,177,-90,177l2456,283xm2422,21v232,436,232,436,232,436c2546,457,2546,457,2546,457v-47,-92,-47,-92,-47,-92c2234,365,2234,365,2234,365v-46,92,-46,92,-46,92c2081,457,2081,457,2081,457,2312,21,2312,21,2312,21r110,xm1015,325v-22,28,-49,46,-83,53c886,388,841,387,796,372,762,360,735,339,719,306,707,280,704,254,705,226v4,-58,36,-101,92,-121c837,91,879,89,920,96v40,7,73,27,96,60c1018,158,1020,160,1022,163v30,-15,60,-30,91,-46c1106,108,1100,99,1092,92,1051,49,1000,24,942,13,874,,808,6,744,30,683,53,639,93,617,155v-18,49,-19,99,-6,149c630,375,676,422,745,449v65,25,133,28,201,15c998,454,1045,432,1084,395v11,-11,21,-22,30,-36c1083,344,1054,329,1023,314v-3,4,-5,8,-8,11m1582,371v,-350,,-350,,-350c1483,21,1483,21,1483,21v,436,,436,,436c1891,457,1891,457,1891,457v,-86,,-86,,-86l1582,371xm2845,370v,-349,,-349,,-349c2747,21,2747,21,2747,21v,436,,436,,436c3155,457,3155,457,3155,457v,-87,,-87,,-87l2845,370xm3350,370v,-349,,-349,,-349c3253,21,3253,21,3253,21v,436,,436,,436c3660,457,3660,457,3660,457v,-87,,-87,,-87l3350,370xm1233,457v102,,102,,102,c1335,21,1335,21,1335,21v-102,,-102,,-102,l1233,457xe" fillcolor="#000100" stroked="f">
                      <v:path arrowok="t" o:connecttype="custom" o:connectlocs="10610144,1241977;9482156,57071;10610144,282638;9728903,524511;10451521,752795;9728903,1005539;10939980,57071;11184210,1241977;11967256,1241977;12188825,57071;11947113,866938;10939980,57071;944187,769101;493495,769101;1440200,1241977;1052454,991951;269408,1241977;581619,57071;6183796,769101;5730586,769101;6098189,57071;6410400,1241977;5624837,991951;5239609,1241977;6098189,57071;2346619,1027280;1810321,831608;2006712,285356;2558117,423957;2802347,317968;2371798,35330;1553502,421239;1875785,1220235;2729330,1073481;2575742,853349;3983210,1008257;3733945,57071;4761220,1241977;3983210,1008257;7163232,57071;6916485,1241977;7943760,1005539;8434737,1005539;8190508,57071;9215265,1241977;8434737,1005539;3361306,1241977;3104487,57071" o:connectangles="0,0,0,0,0,0,0,0,0,0,0,0,0,0,0,0,0,0,0,0,0,0,0,0,0,0,0,0,0,0,0,0,0,0,0,0,0,0,0,0,0,0,0,0,0,0,0,0"/>
                      <o:lock v:ext="edit" verticies="t"/>
                    </v:shape>
                    <w10:wrap anchorx="page" anchory="page"/>
                    <w10:anchorlock/>
                  </v:group>
                </w:pict>
              </mc:Fallback>
            </mc:AlternateContent>
          </w:r>
        </w:p>
      </w:tc>
      <w:tc>
        <w:tcPr>
          <w:tcW w:w="5181" w:type="dxa"/>
          <w:vAlign w:val="center"/>
        </w:tcPr>
        <w:p w14:paraId="5180EAD1" w14:textId="617D5B79" w:rsidR="002B32A0" w:rsidRDefault="002B32A0" w:rsidP="004A1654">
          <w:pPr>
            <w:pStyle w:val="Header-CompanyName"/>
          </w:pPr>
        </w:p>
      </w:tc>
    </w:tr>
  </w:tbl>
  <w:p w14:paraId="4AF319F8" w14:textId="6B23A2B6" w:rsidR="002B32A0" w:rsidRPr="00BA4997" w:rsidRDefault="002B32A0" w:rsidP="00BA499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9F5583" w14:textId="572CBD4B" w:rsidR="002B32A0" w:rsidRPr="0098192E" w:rsidRDefault="0098192E" w:rsidP="0098192E">
    <w:pPr>
      <w:pStyle w:val="tagcoverPage"/>
    </w:pPr>
    <w:r>
      <w:rPr>
        <w:noProof/>
      </w:rPr>
      <mc:AlternateContent>
        <mc:Choice Requires="wps">
          <w:drawing>
            <wp:anchor distT="0" distB="0" distL="114300" distR="114300" simplePos="0" relativeHeight="251751424" behindDoc="0" locked="1" layoutInCell="1" allowOverlap="1" wp14:anchorId="6A66CF71" wp14:editId="05312328">
              <wp:simplePos x="0" y="0"/>
              <wp:positionH relativeFrom="page">
                <wp:posOffset>720090</wp:posOffset>
              </wp:positionH>
              <wp:positionV relativeFrom="page">
                <wp:posOffset>5904865</wp:posOffset>
              </wp:positionV>
              <wp:extent cx="6128280" cy="4070880"/>
              <wp:effectExtent l="0" t="0" r="6350" b="6350"/>
              <wp:wrapNone/>
              <wp:docPr id="19" name="cp_Pict_EmptyPattern">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wps:cNvSpPr>
                    <wps:spPr bwMode="auto">
                      <a:xfrm flipH="1">
                        <a:off x="0" y="0"/>
                        <a:ext cx="6128280" cy="4070880"/>
                      </a:xfrm>
                      <a:custGeom>
                        <a:avLst/>
                        <a:gdLst>
                          <a:gd name="T0" fmla="*/ 0 w 4694"/>
                          <a:gd name="T1" fmla="*/ 0 h 3038"/>
                          <a:gd name="T2" fmla="*/ 0 w 4694"/>
                          <a:gd name="T3" fmla="*/ 3038 h 3038"/>
                          <a:gd name="T4" fmla="*/ 4694 w 4694"/>
                          <a:gd name="T5" fmla="*/ 3038 h 3038"/>
                          <a:gd name="T6" fmla="*/ 4694 w 4694"/>
                          <a:gd name="T7" fmla="*/ 0 h 3038"/>
                          <a:gd name="T8" fmla="*/ 0 w 4694"/>
                          <a:gd name="T9" fmla="*/ 0 h 3038"/>
                          <a:gd name="T10" fmla="*/ 1557 w 4694"/>
                          <a:gd name="T11" fmla="*/ 3007 h 3038"/>
                          <a:gd name="T12" fmla="*/ 802 w 4694"/>
                          <a:gd name="T13" fmla="*/ 2276 h 3038"/>
                          <a:gd name="T14" fmla="*/ 1557 w 4694"/>
                          <a:gd name="T15" fmla="*/ 1547 h 3038"/>
                          <a:gd name="T16" fmla="*/ 1557 w 4694"/>
                          <a:gd name="T17" fmla="*/ 3007 h 3038"/>
                          <a:gd name="T18" fmla="*/ 1576 w 4694"/>
                          <a:gd name="T19" fmla="*/ 31 h 3038"/>
                          <a:gd name="T20" fmla="*/ 3112 w 4694"/>
                          <a:gd name="T21" fmla="*/ 1518 h 3038"/>
                          <a:gd name="T22" fmla="*/ 1576 w 4694"/>
                          <a:gd name="T23" fmla="*/ 3007 h 3038"/>
                          <a:gd name="T24" fmla="*/ 1576 w 4694"/>
                          <a:gd name="T25" fmla="*/ 31 h 3038"/>
                          <a:gd name="T26" fmla="*/ 3901 w 4694"/>
                          <a:gd name="T27" fmla="*/ 2264 h 3038"/>
                          <a:gd name="T28" fmla="*/ 2369 w 4694"/>
                          <a:gd name="T29" fmla="*/ 2264 h 3038"/>
                          <a:gd name="T30" fmla="*/ 3905 w 4694"/>
                          <a:gd name="T31" fmla="*/ 777 h 3038"/>
                          <a:gd name="T32" fmla="*/ 4670 w 4694"/>
                          <a:gd name="T33" fmla="*/ 1520 h 3038"/>
                          <a:gd name="T34" fmla="*/ 3901 w 4694"/>
                          <a:gd name="T35" fmla="*/ 2264 h 3038"/>
                          <a:gd name="T36" fmla="*/ 3882 w 4694"/>
                          <a:gd name="T37" fmla="*/ 2283 h 3038"/>
                          <a:gd name="T38" fmla="*/ 3127 w 4694"/>
                          <a:gd name="T39" fmla="*/ 3015 h 3038"/>
                          <a:gd name="T40" fmla="*/ 2369 w 4694"/>
                          <a:gd name="T41" fmla="*/ 2283 h 3038"/>
                          <a:gd name="T42" fmla="*/ 3882 w 4694"/>
                          <a:gd name="T43" fmla="*/ 2283 h 3038"/>
                          <a:gd name="T44" fmla="*/ 3136 w 4694"/>
                          <a:gd name="T45" fmla="*/ 1497 h 3038"/>
                          <a:gd name="T46" fmla="*/ 3136 w 4694"/>
                          <a:gd name="T47" fmla="*/ 19 h 3038"/>
                          <a:gd name="T48" fmla="*/ 4660 w 4694"/>
                          <a:gd name="T49" fmla="*/ 19 h 3038"/>
                          <a:gd name="T50" fmla="*/ 3136 w 4694"/>
                          <a:gd name="T51" fmla="*/ 1497 h 3038"/>
                          <a:gd name="T52" fmla="*/ 3117 w 4694"/>
                          <a:gd name="T53" fmla="*/ 1497 h 3038"/>
                          <a:gd name="T54" fmla="*/ 1590 w 4694"/>
                          <a:gd name="T55" fmla="*/ 19 h 3038"/>
                          <a:gd name="T56" fmla="*/ 3117 w 4694"/>
                          <a:gd name="T57" fmla="*/ 19 h 3038"/>
                          <a:gd name="T58" fmla="*/ 3117 w 4694"/>
                          <a:gd name="T59" fmla="*/ 1497 h 3038"/>
                          <a:gd name="T60" fmla="*/ 1557 w 4694"/>
                          <a:gd name="T61" fmla="*/ 1520 h 3038"/>
                          <a:gd name="T62" fmla="*/ 790 w 4694"/>
                          <a:gd name="T63" fmla="*/ 2262 h 3038"/>
                          <a:gd name="T64" fmla="*/ 21 w 4694"/>
                          <a:gd name="T65" fmla="*/ 1520 h 3038"/>
                          <a:gd name="T66" fmla="*/ 1557 w 4694"/>
                          <a:gd name="T67" fmla="*/ 31 h 3038"/>
                          <a:gd name="T68" fmla="*/ 1557 w 4694"/>
                          <a:gd name="T69" fmla="*/ 1520 h 3038"/>
                          <a:gd name="T70" fmla="*/ 776 w 4694"/>
                          <a:gd name="T71" fmla="*/ 2276 h 3038"/>
                          <a:gd name="T72" fmla="*/ 19 w 4694"/>
                          <a:gd name="T73" fmla="*/ 3007 h 3038"/>
                          <a:gd name="T74" fmla="*/ 19 w 4694"/>
                          <a:gd name="T75" fmla="*/ 1542 h 3038"/>
                          <a:gd name="T76" fmla="*/ 776 w 4694"/>
                          <a:gd name="T77" fmla="*/ 2276 h 3038"/>
                          <a:gd name="T78" fmla="*/ 790 w 4694"/>
                          <a:gd name="T79" fmla="*/ 2288 h 3038"/>
                          <a:gd name="T80" fmla="*/ 1545 w 4694"/>
                          <a:gd name="T81" fmla="*/ 3019 h 3038"/>
                          <a:gd name="T82" fmla="*/ 33 w 4694"/>
                          <a:gd name="T83" fmla="*/ 3019 h 3038"/>
                          <a:gd name="T84" fmla="*/ 790 w 4694"/>
                          <a:gd name="T85" fmla="*/ 2288 h 3038"/>
                          <a:gd name="T86" fmla="*/ 2348 w 4694"/>
                          <a:gd name="T87" fmla="*/ 2288 h 3038"/>
                          <a:gd name="T88" fmla="*/ 3103 w 4694"/>
                          <a:gd name="T89" fmla="*/ 3019 h 3038"/>
                          <a:gd name="T90" fmla="*/ 1590 w 4694"/>
                          <a:gd name="T91" fmla="*/ 3019 h 3038"/>
                          <a:gd name="T92" fmla="*/ 2348 w 4694"/>
                          <a:gd name="T93" fmla="*/ 2288 h 3038"/>
                          <a:gd name="T94" fmla="*/ 3905 w 4694"/>
                          <a:gd name="T95" fmla="*/ 2288 h 3038"/>
                          <a:gd name="T96" fmla="*/ 4660 w 4694"/>
                          <a:gd name="T97" fmla="*/ 3019 h 3038"/>
                          <a:gd name="T98" fmla="*/ 3150 w 4694"/>
                          <a:gd name="T99" fmla="*/ 3019 h 3038"/>
                          <a:gd name="T100" fmla="*/ 3905 w 4694"/>
                          <a:gd name="T101" fmla="*/ 2288 h 3038"/>
                          <a:gd name="T102" fmla="*/ 3917 w 4694"/>
                          <a:gd name="T103" fmla="*/ 2273 h 3038"/>
                          <a:gd name="T104" fmla="*/ 4675 w 4694"/>
                          <a:gd name="T105" fmla="*/ 1542 h 3038"/>
                          <a:gd name="T106" fmla="*/ 4675 w 4694"/>
                          <a:gd name="T107" fmla="*/ 3007 h 3038"/>
                          <a:gd name="T108" fmla="*/ 3917 w 4694"/>
                          <a:gd name="T109" fmla="*/ 2273 h 3038"/>
                          <a:gd name="T110" fmla="*/ 3917 w 4694"/>
                          <a:gd name="T111" fmla="*/ 765 h 3038"/>
                          <a:gd name="T112" fmla="*/ 4675 w 4694"/>
                          <a:gd name="T113" fmla="*/ 31 h 3038"/>
                          <a:gd name="T114" fmla="*/ 4675 w 4694"/>
                          <a:gd name="T115" fmla="*/ 1497 h 3038"/>
                          <a:gd name="T116" fmla="*/ 3917 w 4694"/>
                          <a:gd name="T117" fmla="*/ 765 h 3038"/>
                          <a:gd name="T118" fmla="*/ 1545 w 4694"/>
                          <a:gd name="T119" fmla="*/ 19 h 3038"/>
                          <a:gd name="T120" fmla="*/ 19 w 4694"/>
                          <a:gd name="T121" fmla="*/ 1497 h 3038"/>
                          <a:gd name="T122" fmla="*/ 19 w 4694"/>
                          <a:gd name="T123" fmla="*/ 19 h 3038"/>
                          <a:gd name="T124" fmla="*/ 1545 w 4694"/>
                          <a:gd name="T125" fmla="*/ 19 h 303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4694" h="3038">
                            <a:moveTo>
                              <a:pt x="0" y="0"/>
                            </a:moveTo>
                            <a:lnTo>
                              <a:pt x="0" y="3038"/>
                            </a:lnTo>
                            <a:lnTo>
                              <a:pt x="4694" y="3038"/>
                            </a:lnTo>
                            <a:lnTo>
                              <a:pt x="4694" y="0"/>
                            </a:lnTo>
                            <a:lnTo>
                              <a:pt x="0" y="0"/>
                            </a:lnTo>
                            <a:close/>
                            <a:moveTo>
                              <a:pt x="1557" y="3007"/>
                            </a:moveTo>
                            <a:lnTo>
                              <a:pt x="802" y="2276"/>
                            </a:lnTo>
                            <a:lnTo>
                              <a:pt x="1557" y="1547"/>
                            </a:lnTo>
                            <a:lnTo>
                              <a:pt x="1557" y="3007"/>
                            </a:lnTo>
                            <a:close/>
                            <a:moveTo>
                              <a:pt x="1576" y="31"/>
                            </a:moveTo>
                            <a:lnTo>
                              <a:pt x="3112" y="1518"/>
                            </a:lnTo>
                            <a:lnTo>
                              <a:pt x="1576" y="3007"/>
                            </a:lnTo>
                            <a:lnTo>
                              <a:pt x="1576" y="31"/>
                            </a:lnTo>
                            <a:close/>
                            <a:moveTo>
                              <a:pt x="3901" y="2264"/>
                            </a:moveTo>
                            <a:lnTo>
                              <a:pt x="2369" y="2264"/>
                            </a:lnTo>
                            <a:lnTo>
                              <a:pt x="3905" y="777"/>
                            </a:lnTo>
                            <a:lnTo>
                              <a:pt x="4670" y="1520"/>
                            </a:lnTo>
                            <a:lnTo>
                              <a:pt x="3901" y="2264"/>
                            </a:lnTo>
                            <a:close/>
                            <a:moveTo>
                              <a:pt x="3882" y="2283"/>
                            </a:moveTo>
                            <a:lnTo>
                              <a:pt x="3127" y="3015"/>
                            </a:lnTo>
                            <a:lnTo>
                              <a:pt x="2369" y="2283"/>
                            </a:lnTo>
                            <a:lnTo>
                              <a:pt x="3882" y="2283"/>
                            </a:lnTo>
                            <a:close/>
                            <a:moveTo>
                              <a:pt x="3136" y="1497"/>
                            </a:moveTo>
                            <a:lnTo>
                              <a:pt x="3136" y="19"/>
                            </a:lnTo>
                            <a:lnTo>
                              <a:pt x="4660" y="19"/>
                            </a:lnTo>
                            <a:lnTo>
                              <a:pt x="3136" y="1497"/>
                            </a:lnTo>
                            <a:close/>
                            <a:moveTo>
                              <a:pt x="3117" y="1497"/>
                            </a:moveTo>
                            <a:lnTo>
                              <a:pt x="1590" y="19"/>
                            </a:lnTo>
                            <a:lnTo>
                              <a:pt x="3117" y="19"/>
                            </a:lnTo>
                            <a:lnTo>
                              <a:pt x="3117" y="1497"/>
                            </a:lnTo>
                            <a:close/>
                            <a:moveTo>
                              <a:pt x="1557" y="1520"/>
                            </a:moveTo>
                            <a:lnTo>
                              <a:pt x="790" y="2262"/>
                            </a:lnTo>
                            <a:lnTo>
                              <a:pt x="21" y="1520"/>
                            </a:lnTo>
                            <a:lnTo>
                              <a:pt x="1557" y="31"/>
                            </a:lnTo>
                            <a:lnTo>
                              <a:pt x="1557" y="1520"/>
                            </a:lnTo>
                            <a:close/>
                            <a:moveTo>
                              <a:pt x="776" y="2276"/>
                            </a:moveTo>
                            <a:lnTo>
                              <a:pt x="19" y="3007"/>
                            </a:lnTo>
                            <a:lnTo>
                              <a:pt x="19" y="1542"/>
                            </a:lnTo>
                            <a:lnTo>
                              <a:pt x="776" y="2276"/>
                            </a:lnTo>
                            <a:close/>
                            <a:moveTo>
                              <a:pt x="790" y="2288"/>
                            </a:moveTo>
                            <a:lnTo>
                              <a:pt x="1545" y="3019"/>
                            </a:lnTo>
                            <a:lnTo>
                              <a:pt x="33" y="3019"/>
                            </a:lnTo>
                            <a:lnTo>
                              <a:pt x="790" y="2288"/>
                            </a:lnTo>
                            <a:close/>
                            <a:moveTo>
                              <a:pt x="2348" y="2288"/>
                            </a:moveTo>
                            <a:lnTo>
                              <a:pt x="3103" y="3019"/>
                            </a:lnTo>
                            <a:lnTo>
                              <a:pt x="1590" y="3019"/>
                            </a:lnTo>
                            <a:lnTo>
                              <a:pt x="2348" y="2288"/>
                            </a:lnTo>
                            <a:close/>
                            <a:moveTo>
                              <a:pt x="3905" y="2288"/>
                            </a:moveTo>
                            <a:lnTo>
                              <a:pt x="4660" y="3019"/>
                            </a:lnTo>
                            <a:lnTo>
                              <a:pt x="3150" y="3019"/>
                            </a:lnTo>
                            <a:lnTo>
                              <a:pt x="3905" y="2288"/>
                            </a:lnTo>
                            <a:close/>
                            <a:moveTo>
                              <a:pt x="3917" y="2273"/>
                            </a:moveTo>
                            <a:lnTo>
                              <a:pt x="4675" y="1542"/>
                            </a:lnTo>
                            <a:lnTo>
                              <a:pt x="4675" y="3007"/>
                            </a:lnTo>
                            <a:lnTo>
                              <a:pt x="3917" y="2273"/>
                            </a:lnTo>
                            <a:close/>
                            <a:moveTo>
                              <a:pt x="3917" y="765"/>
                            </a:moveTo>
                            <a:lnTo>
                              <a:pt x="4675" y="31"/>
                            </a:lnTo>
                            <a:lnTo>
                              <a:pt x="4675" y="1497"/>
                            </a:lnTo>
                            <a:lnTo>
                              <a:pt x="3917" y="765"/>
                            </a:lnTo>
                            <a:close/>
                            <a:moveTo>
                              <a:pt x="1545" y="19"/>
                            </a:moveTo>
                            <a:lnTo>
                              <a:pt x="19" y="1497"/>
                            </a:lnTo>
                            <a:lnTo>
                              <a:pt x="19" y="19"/>
                            </a:lnTo>
                            <a:lnTo>
                              <a:pt x="1545" y="19"/>
                            </a:lnTo>
                            <a:close/>
                          </a:path>
                        </a:pathLst>
                      </a:custGeom>
                      <a:solidFill>
                        <a:srgbClr val="FFFEFF"/>
                      </a:solidFill>
                      <a:ln>
                        <a:noFill/>
                      </a:ln>
                    </wps:spPr>
                    <wps:bodyPr vert="horz" wrap="square" lIns="91440" tIns="45720" rIns="91440" bIns="45720" numCol="1" anchor="t" anchorCtr="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1F8B946A" id="cp_Pict_EmptyPattern" o:spid="_x0000_s1026" alt="&quot;&quot;" style="position:absolute;margin-left:56.7pt;margin-top:464.95pt;width:482.55pt;height:320.55pt;flip:x;z-index:251751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4694,30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" path="m,l,3038r4694,l4694,,,xm1557,3007l802,2276r755,-729l1557,3007xm1576,31l3112,1518,1576,3007r,-2976xm3901,2264r-1532,l3905,777r765,743l3901,2264xm3882,2283r-755,732l2369,2283r1513,xm3136,1497r,-1478l4660,19,3136,1497xm3117,1497l1590,19r1527,l3117,1497xm1557,1520l790,2262,21,1520,1557,31r,1489xm776,2276l19,3007r,-1465l776,2276xm790,2288r755,731l33,3019,790,2288xm2348,2288r755,731l1590,3019r758,-731xm3905,2288r755,731l3150,3019r755,-731xm3917,2273r758,-731l4675,3007,3917,2273xm3917,765l4675,31r,1466l3917,765xm1545,19l19,1497,19,19r1526,xe" fillcolor="#fffeff" stroked="f">
              <v:path arrowok="t" o:connecttype="custom" o:connectlocs="0,0;0,4070880;6128280,4070880;6128280,0;0,0;2032751,4029340;1047056,3049810;2032751,2072960;2032751,4029340;2057556,41540;4062890,2034100;2057556,4029340;2057556,41540;5092974,3033730;3092862,3033730;5098196,1041170;6096947,2036780;5092974,3033730;5068169,3059190;4082474,4040060;3092862,3059190;5068169,3059190;4094224,2005960;4094224,25460;6083891,25460;4094224,2005960;4069418,2005960;2075834,25460;4069418,25460;4069418,2005960;2032751,2036780;1031389,3031050;27417,2036780;2032751,41540;2032751,2036780;1013111,3049810;24806,4029340;24806,2066260;1013111,3049810;1031389,3065890;2017084,4045420;43083,4045420;1031389,3065890;3065446,3065890;4051140,4045420;2075834,4045420;3065446,3065890;5098196,3065890;6083891,4045420;4112501,4045420;5098196,3065890;5113863,3045790;6103474,2066260;6103474,4029340;5113863,3045790;5113863,1025090;6103474,41540;6103474,2005960;5113863,1025090;2017084,25460;24806,2005960;24806,25460;2017084,25460" o:connectangles="0,0,0,0,0,0,0,0,0,0,0,0,0,0,0,0,0,0,0,0,0,0,0,0,0,0,0,0,0,0,0,0,0,0,0,0,0,0,0,0,0,0,0,0,0,0,0,0,0,0,0,0,0,0,0,0,0,0,0,0,0,0,0"/>
              <o:lock v:ext="edit" verticies="t"/>
              <w10:wrap anchorx="page" anchory="page"/>
              <w10:anchorlock/>
            </v:shape>
          </w:pict>
        </mc:Fallback>
      </mc:AlternateContent>
    </w:r>
    <w:r>
      <w:rPr>
        <w:noProof/>
      </w:rPr>
      <mc:AlternateContent>
        <mc:Choice Requires="wps">
          <w:drawing>
            <wp:anchor distT="0" distB="0" distL="114300" distR="114300" simplePos="0" relativeHeight="251670526" behindDoc="1" locked="1" layoutInCell="1" allowOverlap="1" wp14:anchorId="216CB818" wp14:editId="1C64FB1D">
              <wp:simplePos x="0" y="0"/>
              <wp:positionH relativeFrom="page">
                <wp:posOffset>0</wp:posOffset>
              </wp:positionH>
              <wp:positionV relativeFrom="page">
                <wp:posOffset>0</wp:posOffset>
              </wp:positionV>
              <wp:extent cx="7560310" cy="10692130"/>
              <wp:effectExtent l="152400" t="152400" r="173990" b="166370"/>
              <wp:wrapNone/>
              <wp:docPr id="1080150299" name="aac_BackColour">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0310" cy="10692130"/>
                      </a:xfrm>
                      <a:prstGeom prst="rect">
                        <a:avLst/>
                      </a:prstGeom>
                      <a:solidFill>
                        <a:srgbClr val="C4ACDD"/>
                      </a:solidFill>
                      <a:ln w="317500" cmpd="sng">
                        <a:solidFill>
                          <a:srgbClr val="14003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EFE7CD7" id="aac_BackColour" o:spid="_x0000_s1026" alt="&quot;&quot;" style="position:absolute;margin-left:0;margin-top:0;width:595.3pt;height:841.9pt;z-index:-251645954;visibility:visible;mso-wrap-style:square;mso-wrap-distance-left:9pt;mso-wrap-distance-top:0;mso-wrap-distance-right:9pt;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" fillcolor="#c4acdd" strokecolor="#140034" strokeweight="25pt">
              <w10:wrap anchorx="page" anchory="page"/>
              <w10:anchorlock/>
            </v:rect>
          </w:pict>
        </mc:Fallback>
      </mc:AlternateContent>
    </w:r>
    <w:r w:rsidRPr="00B636AE">
      <w:rPr>
        <w:noProof/>
      </w:rPr>
      <mc:AlternateContent>
        <mc:Choice Requires="wpg">
          <w:drawing>
            <wp:anchor distT="0" distB="0" distL="114300" distR="114300" simplePos="0" relativeHeight="251749376" behindDoc="0" locked="1" layoutInCell="1" allowOverlap="1" wp14:anchorId="3FC2AA13" wp14:editId="2C8A9A00">
              <wp:simplePos x="0" y="0"/>
              <wp:positionH relativeFrom="page">
                <wp:posOffset>723900</wp:posOffset>
              </wp:positionH>
              <wp:positionV relativeFrom="page">
                <wp:posOffset>723900</wp:posOffset>
              </wp:positionV>
              <wp:extent cx="1988280" cy="280800"/>
              <wp:effectExtent l="0" t="0" r="0" b="5080"/>
              <wp:wrapNone/>
              <wp:docPr id="1500691536" name="aac_Cpg_Logo">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988280" cy="280800"/>
                        <a:chOff x="0" y="-21209"/>
                        <a:chExt cx="12188825" cy="1878663"/>
                      </a:xfrm>
                    </wpg:grpSpPr>
                    <wps:wsp>
                      <wps:cNvPr id="1847138549" name="Rectangle 1847138549"/>
                      <wps:cNvSpPr>
                        <a:spLocks noChangeArrowheads="1"/>
                      </wps:cNvSpPr>
                      <wps:spPr bwMode="auto">
                        <a:xfrm>
                          <a:off x="0" y="1643143"/>
                          <a:ext cx="1439863" cy="214311"/>
                        </a:xfrm>
                        <a:prstGeom prst="rect">
                          <a:avLst/>
                        </a:prstGeom>
                        <a:solidFill>
                          <a:srgbClr val="6C3F99"/>
                        </a:solid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1585346788" name="Freeform 6"/>
                      <wps:cNvSpPr>
                        <a:spLocks noEditPoints="1"/>
                      </wps:cNvSpPr>
                      <wps:spPr bwMode="auto">
                        <a:xfrm>
                          <a:off x="0" y="-21209"/>
                          <a:ext cx="12188825" cy="1296330"/>
                        </a:xfrm>
                        <a:custGeom>
                          <a:avLst/>
                          <a:gdLst>
                            <a:gd name="T0" fmla="*/ 4214 w 4841"/>
                            <a:gd name="T1" fmla="*/ 457 h 477"/>
                            <a:gd name="T2" fmla="*/ 3766 w 4841"/>
                            <a:gd name="T3" fmla="*/ 21 h 477"/>
                            <a:gd name="T4" fmla="*/ 4214 w 4841"/>
                            <a:gd name="T5" fmla="*/ 104 h 477"/>
                            <a:gd name="T6" fmla="*/ 3864 w 4841"/>
                            <a:gd name="T7" fmla="*/ 193 h 477"/>
                            <a:gd name="T8" fmla="*/ 4151 w 4841"/>
                            <a:gd name="T9" fmla="*/ 277 h 477"/>
                            <a:gd name="T10" fmla="*/ 3864 w 4841"/>
                            <a:gd name="T11" fmla="*/ 370 h 477"/>
                            <a:gd name="T12" fmla="*/ 4345 w 4841"/>
                            <a:gd name="T13" fmla="*/ 21 h 477"/>
                            <a:gd name="T14" fmla="*/ 4442 w 4841"/>
                            <a:gd name="T15" fmla="*/ 457 h 477"/>
                            <a:gd name="T16" fmla="*/ 4753 w 4841"/>
                            <a:gd name="T17" fmla="*/ 457 h 477"/>
                            <a:gd name="T18" fmla="*/ 4841 w 4841"/>
                            <a:gd name="T19" fmla="*/ 21 h 477"/>
                            <a:gd name="T20" fmla="*/ 4745 w 4841"/>
                            <a:gd name="T21" fmla="*/ 319 h 477"/>
                            <a:gd name="T22" fmla="*/ 4345 w 4841"/>
                            <a:gd name="T23" fmla="*/ 21 h 477"/>
                            <a:gd name="T24" fmla="*/ 375 w 4841"/>
                            <a:gd name="T25" fmla="*/ 283 h 477"/>
                            <a:gd name="T26" fmla="*/ 196 w 4841"/>
                            <a:gd name="T27" fmla="*/ 283 h 477"/>
                            <a:gd name="T28" fmla="*/ 572 w 4841"/>
                            <a:gd name="T29" fmla="*/ 457 h 477"/>
                            <a:gd name="T30" fmla="*/ 418 w 4841"/>
                            <a:gd name="T31" fmla="*/ 365 h 477"/>
                            <a:gd name="T32" fmla="*/ 107 w 4841"/>
                            <a:gd name="T33" fmla="*/ 457 h 477"/>
                            <a:gd name="T34" fmla="*/ 231 w 4841"/>
                            <a:gd name="T35" fmla="*/ 21 h 477"/>
                            <a:gd name="T36" fmla="*/ 2456 w 4841"/>
                            <a:gd name="T37" fmla="*/ 283 h 477"/>
                            <a:gd name="T38" fmla="*/ 2276 w 4841"/>
                            <a:gd name="T39" fmla="*/ 283 h 477"/>
                            <a:gd name="T40" fmla="*/ 2422 w 4841"/>
                            <a:gd name="T41" fmla="*/ 21 h 477"/>
                            <a:gd name="T42" fmla="*/ 2546 w 4841"/>
                            <a:gd name="T43" fmla="*/ 457 h 477"/>
                            <a:gd name="T44" fmla="*/ 2234 w 4841"/>
                            <a:gd name="T45" fmla="*/ 365 h 477"/>
                            <a:gd name="T46" fmla="*/ 2081 w 4841"/>
                            <a:gd name="T47" fmla="*/ 457 h 477"/>
                            <a:gd name="T48" fmla="*/ 2422 w 4841"/>
                            <a:gd name="T49" fmla="*/ 21 h 477"/>
                            <a:gd name="T50" fmla="*/ 932 w 4841"/>
                            <a:gd name="T51" fmla="*/ 378 h 477"/>
                            <a:gd name="T52" fmla="*/ 719 w 4841"/>
                            <a:gd name="T53" fmla="*/ 306 h 477"/>
                            <a:gd name="T54" fmla="*/ 797 w 4841"/>
                            <a:gd name="T55" fmla="*/ 105 h 477"/>
                            <a:gd name="T56" fmla="*/ 1016 w 4841"/>
                            <a:gd name="T57" fmla="*/ 156 h 477"/>
                            <a:gd name="T58" fmla="*/ 1113 w 4841"/>
                            <a:gd name="T59" fmla="*/ 117 h 477"/>
                            <a:gd name="T60" fmla="*/ 942 w 4841"/>
                            <a:gd name="T61" fmla="*/ 13 h 477"/>
                            <a:gd name="T62" fmla="*/ 617 w 4841"/>
                            <a:gd name="T63" fmla="*/ 155 h 477"/>
                            <a:gd name="T64" fmla="*/ 745 w 4841"/>
                            <a:gd name="T65" fmla="*/ 449 h 477"/>
                            <a:gd name="T66" fmla="*/ 1084 w 4841"/>
                            <a:gd name="T67" fmla="*/ 395 h 477"/>
                            <a:gd name="T68" fmla="*/ 1023 w 4841"/>
                            <a:gd name="T69" fmla="*/ 314 h 477"/>
                            <a:gd name="T70" fmla="*/ 1582 w 4841"/>
                            <a:gd name="T71" fmla="*/ 371 h 477"/>
                            <a:gd name="T72" fmla="*/ 1483 w 4841"/>
                            <a:gd name="T73" fmla="*/ 21 h 477"/>
                            <a:gd name="T74" fmla="*/ 1891 w 4841"/>
                            <a:gd name="T75" fmla="*/ 457 h 477"/>
                            <a:gd name="T76" fmla="*/ 1582 w 4841"/>
                            <a:gd name="T77" fmla="*/ 371 h 477"/>
                            <a:gd name="T78" fmla="*/ 2845 w 4841"/>
                            <a:gd name="T79" fmla="*/ 21 h 477"/>
                            <a:gd name="T80" fmla="*/ 2747 w 4841"/>
                            <a:gd name="T81" fmla="*/ 457 h 477"/>
                            <a:gd name="T82" fmla="*/ 3155 w 4841"/>
                            <a:gd name="T83" fmla="*/ 370 h 477"/>
                            <a:gd name="T84" fmla="*/ 3350 w 4841"/>
                            <a:gd name="T85" fmla="*/ 370 h 477"/>
                            <a:gd name="T86" fmla="*/ 3253 w 4841"/>
                            <a:gd name="T87" fmla="*/ 21 h 477"/>
                            <a:gd name="T88" fmla="*/ 3660 w 4841"/>
                            <a:gd name="T89" fmla="*/ 457 h 477"/>
                            <a:gd name="T90" fmla="*/ 3350 w 4841"/>
                            <a:gd name="T91" fmla="*/ 370 h 477"/>
                            <a:gd name="T92" fmla="*/ 1335 w 4841"/>
                            <a:gd name="T93" fmla="*/ 457 h 477"/>
                            <a:gd name="T94" fmla="*/ 1233 w 4841"/>
                            <a:gd name="T95" fmla="*/ 21 h 4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4841" h="477">
                              <a:moveTo>
                                <a:pt x="4214" y="370"/>
                              </a:moveTo>
                              <a:cubicBezTo>
                                <a:pt x="4214" y="457"/>
                                <a:pt x="4214" y="457"/>
                                <a:pt x="4214" y="457"/>
                              </a:cubicBezTo>
                              <a:cubicBezTo>
                                <a:pt x="3766" y="457"/>
                                <a:pt x="3766" y="457"/>
                                <a:pt x="3766" y="457"/>
                              </a:cubicBezTo>
                              <a:cubicBezTo>
                                <a:pt x="3766" y="21"/>
                                <a:pt x="3766" y="21"/>
                                <a:pt x="3766" y="21"/>
                              </a:cubicBezTo>
                              <a:cubicBezTo>
                                <a:pt x="4214" y="21"/>
                                <a:pt x="4214" y="21"/>
                                <a:pt x="4214" y="21"/>
                              </a:cubicBezTo>
                              <a:cubicBezTo>
                                <a:pt x="4214" y="104"/>
                                <a:pt x="4214" y="104"/>
                                <a:pt x="4214" y="104"/>
                              </a:cubicBezTo>
                              <a:cubicBezTo>
                                <a:pt x="3864" y="104"/>
                                <a:pt x="3864" y="104"/>
                                <a:pt x="3864" y="104"/>
                              </a:cubicBezTo>
                              <a:cubicBezTo>
                                <a:pt x="3864" y="193"/>
                                <a:pt x="3864" y="193"/>
                                <a:pt x="3864" y="193"/>
                              </a:cubicBezTo>
                              <a:cubicBezTo>
                                <a:pt x="4151" y="194"/>
                                <a:pt x="4151" y="194"/>
                                <a:pt x="4151" y="194"/>
                              </a:cubicBezTo>
                              <a:cubicBezTo>
                                <a:pt x="4151" y="277"/>
                                <a:pt x="4151" y="277"/>
                                <a:pt x="4151" y="277"/>
                              </a:cubicBezTo>
                              <a:cubicBezTo>
                                <a:pt x="3864" y="277"/>
                                <a:pt x="3864" y="277"/>
                                <a:pt x="3864" y="277"/>
                              </a:cubicBezTo>
                              <a:cubicBezTo>
                                <a:pt x="3864" y="370"/>
                                <a:pt x="3864" y="370"/>
                                <a:pt x="3864" y="370"/>
                              </a:cubicBezTo>
                              <a:lnTo>
                                <a:pt x="4214" y="370"/>
                              </a:lnTo>
                              <a:close/>
                              <a:moveTo>
                                <a:pt x="4345" y="21"/>
                              </a:moveTo>
                              <a:cubicBezTo>
                                <a:pt x="4345" y="457"/>
                                <a:pt x="4345" y="457"/>
                                <a:pt x="4345" y="457"/>
                              </a:cubicBezTo>
                              <a:cubicBezTo>
                                <a:pt x="4442" y="457"/>
                                <a:pt x="4442" y="457"/>
                                <a:pt x="4442" y="457"/>
                              </a:cubicBezTo>
                              <a:cubicBezTo>
                                <a:pt x="4442" y="144"/>
                                <a:pt x="4442" y="144"/>
                                <a:pt x="4442" y="144"/>
                              </a:cubicBezTo>
                              <a:cubicBezTo>
                                <a:pt x="4753" y="457"/>
                                <a:pt x="4753" y="457"/>
                                <a:pt x="4753" y="457"/>
                              </a:cubicBezTo>
                              <a:cubicBezTo>
                                <a:pt x="4841" y="457"/>
                                <a:pt x="4841" y="457"/>
                                <a:pt x="4841" y="457"/>
                              </a:cubicBezTo>
                              <a:cubicBezTo>
                                <a:pt x="4841" y="21"/>
                                <a:pt x="4841" y="21"/>
                                <a:pt x="4841" y="21"/>
                              </a:cubicBezTo>
                              <a:cubicBezTo>
                                <a:pt x="4745" y="21"/>
                                <a:pt x="4745" y="21"/>
                                <a:pt x="4745" y="21"/>
                              </a:cubicBezTo>
                              <a:cubicBezTo>
                                <a:pt x="4745" y="319"/>
                                <a:pt x="4745" y="319"/>
                                <a:pt x="4745" y="319"/>
                              </a:cubicBezTo>
                              <a:cubicBezTo>
                                <a:pt x="4450" y="21"/>
                                <a:pt x="4450" y="21"/>
                                <a:pt x="4450" y="21"/>
                              </a:cubicBezTo>
                              <a:lnTo>
                                <a:pt x="4345" y="21"/>
                              </a:lnTo>
                              <a:close/>
                              <a:moveTo>
                                <a:pt x="196" y="283"/>
                              </a:moveTo>
                              <a:cubicBezTo>
                                <a:pt x="375" y="283"/>
                                <a:pt x="375" y="283"/>
                                <a:pt x="375" y="283"/>
                              </a:cubicBezTo>
                              <a:cubicBezTo>
                                <a:pt x="283" y="109"/>
                                <a:pt x="283" y="109"/>
                                <a:pt x="283" y="109"/>
                              </a:cubicBezTo>
                              <a:lnTo>
                                <a:pt x="196" y="283"/>
                              </a:lnTo>
                              <a:close/>
                              <a:moveTo>
                                <a:pt x="341" y="21"/>
                              </a:moveTo>
                              <a:cubicBezTo>
                                <a:pt x="572" y="457"/>
                                <a:pt x="572" y="457"/>
                                <a:pt x="572" y="457"/>
                              </a:cubicBezTo>
                              <a:cubicBezTo>
                                <a:pt x="464" y="457"/>
                                <a:pt x="464" y="457"/>
                                <a:pt x="464" y="457"/>
                              </a:cubicBezTo>
                              <a:cubicBezTo>
                                <a:pt x="418" y="365"/>
                                <a:pt x="418" y="365"/>
                                <a:pt x="418" y="365"/>
                              </a:cubicBezTo>
                              <a:cubicBezTo>
                                <a:pt x="153" y="365"/>
                                <a:pt x="153" y="365"/>
                                <a:pt x="153" y="365"/>
                              </a:cubicBezTo>
                              <a:cubicBezTo>
                                <a:pt x="107" y="457"/>
                                <a:pt x="107" y="457"/>
                                <a:pt x="107" y="457"/>
                              </a:cubicBezTo>
                              <a:cubicBezTo>
                                <a:pt x="0" y="457"/>
                                <a:pt x="0" y="457"/>
                                <a:pt x="0" y="457"/>
                              </a:cubicBezTo>
                              <a:cubicBezTo>
                                <a:pt x="231" y="21"/>
                                <a:pt x="231" y="21"/>
                                <a:pt x="231" y="21"/>
                              </a:cubicBezTo>
                              <a:lnTo>
                                <a:pt x="341" y="21"/>
                              </a:lnTo>
                              <a:close/>
                              <a:moveTo>
                                <a:pt x="2456" y="283"/>
                              </a:moveTo>
                              <a:cubicBezTo>
                                <a:pt x="2366" y="106"/>
                                <a:pt x="2366" y="106"/>
                                <a:pt x="2366" y="106"/>
                              </a:cubicBezTo>
                              <a:cubicBezTo>
                                <a:pt x="2276" y="283"/>
                                <a:pt x="2276" y="283"/>
                                <a:pt x="2276" y="283"/>
                              </a:cubicBezTo>
                              <a:lnTo>
                                <a:pt x="2456" y="283"/>
                              </a:lnTo>
                              <a:close/>
                              <a:moveTo>
                                <a:pt x="2422" y="21"/>
                              </a:moveTo>
                              <a:cubicBezTo>
                                <a:pt x="2654" y="457"/>
                                <a:pt x="2654" y="457"/>
                                <a:pt x="2654" y="457"/>
                              </a:cubicBezTo>
                              <a:cubicBezTo>
                                <a:pt x="2546" y="457"/>
                                <a:pt x="2546" y="457"/>
                                <a:pt x="2546" y="457"/>
                              </a:cubicBezTo>
                              <a:cubicBezTo>
                                <a:pt x="2499" y="365"/>
                                <a:pt x="2499" y="365"/>
                                <a:pt x="2499" y="365"/>
                              </a:cubicBezTo>
                              <a:cubicBezTo>
                                <a:pt x="2234" y="365"/>
                                <a:pt x="2234" y="365"/>
                                <a:pt x="2234" y="365"/>
                              </a:cubicBezTo>
                              <a:cubicBezTo>
                                <a:pt x="2188" y="457"/>
                                <a:pt x="2188" y="457"/>
                                <a:pt x="2188" y="457"/>
                              </a:cubicBezTo>
                              <a:cubicBezTo>
                                <a:pt x="2081" y="457"/>
                                <a:pt x="2081" y="457"/>
                                <a:pt x="2081" y="457"/>
                              </a:cubicBezTo>
                              <a:cubicBezTo>
                                <a:pt x="2312" y="21"/>
                                <a:pt x="2312" y="21"/>
                                <a:pt x="2312" y="21"/>
                              </a:cubicBezTo>
                              <a:lnTo>
                                <a:pt x="2422" y="21"/>
                              </a:lnTo>
                              <a:close/>
                              <a:moveTo>
                                <a:pt x="1015" y="325"/>
                              </a:moveTo>
                              <a:cubicBezTo>
                                <a:pt x="993" y="353"/>
                                <a:pt x="966" y="371"/>
                                <a:pt x="932" y="378"/>
                              </a:cubicBezTo>
                              <a:cubicBezTo>
                                <a:pt x="886" y="388"/>
                                <a:pt x="841" y="387"/>
                                <a:pt x="796" y="372"/>
                              </a:cubicBezTo>
                              <a:cubicBezTo>
                                <a:pt x="762" y="360"/>
                                <a:pt x="735" y="339"/>
                                <a:pt x="719" y="306"/>
                              </a:cubicBezTo>
                              <a:cubicBezTo>
                                <a:pt x="707" y="280"/>
                                <a:pt x="704" y="254"/>
                                <a:pt x="705" y="226"/>
                              </a:cubicBezTo>
                              <a:cubicBezTo>
                                <a:pt x="709" y="168"/>
                                <a:pt x="741" y="125"/>
                                <a:pt x="797" y="105"/>
                              </a:cubicBezTo>
                              <a:cubicBezTo>
                                <a:pt x="837" y="91"/>
                                <a:pt x="879" y="89"/>
                                <a:pt x="920" y="96"/>
                              </a:cubicBezTo>
                              <a:cubicBezTo>
                                <a:pt x="960" y="103"/>
                                <a:pt x="993" y="123"/>
                                <a:pt x="1016" y="156"/>
                              </a:cubicBezTo>
                              <a:cubicBezTo>
                                <a:pt x="1018" y="158"/>
                                <a:pt x="1020" y="160"/>
                                <a:pt x="1022" y="163"/>
                              </a:cubicBezTo>
                              <a:cubicBezTo>
                                <a:pt x="1052" y="148"/>
                                <a:pt x="1082" y="133"/>
                                <a:pt x="1113" y="117"/>
                              </a:cubicBezTo>
                              <a:cubicBezTo>
                                <a:pt x="1106" y="108"/>
                                <a:pt x="1100" y="99"/>
                                <a:pt x="1092" y="92"/>
                              </a:cubicBezTo>
                              <a:cubicBezTo>
                                <a:pt x="1051" y="49"/>
                                <a:pt x="1000" y="24"/>
                                <a:pt x="942" y="13"/>
                              </a:cubicBezTo>
                              <a:cubicBezTo>
                                <a:pt x="874" y="0"/>
                                <a:pt x="808" y="6"/>
                                <a:pt x="744" y="30"/>
                              </a:cubicBezTo>
                              <a:cubicBezTo>
                                <a:pt x="683" y="53"/>
                                <a:pt x="639" y="93"/>
                                <a:pt x="617" y="155"/>
                              </a:cubicBezTo>
                              <a:cubicBezTo>
                                <a:pt x="599" y="204"/>
                                <a:pt x="598" y="254"/>
                                <a:pt x="611" y="304"/>
                              </a:cubicBezTo>
                              <a:cubicBezTo>
                                <a:pt x="630" y="375"/>
                                <a:pt x="676" y="422"/>
                                <a:pt x="745" y="449"/>
                              </a:cubicBezTo>
                              <a:cubicBezTo>
                                <a:pt x="810" y="474"/>
                                <a:pt x="878" y="477"/>
                                <a:pt x="946" y="464"/>
                              </a:cubicBezTo>
                              <a:cubicBezTo>
                                <a:pt x="998" y="454"/>
                                <a:pt x="1045" y="432"/>
                                <a:pt x="1084" y="395"/>
                              </a:cubicBezTo>
                              <a:cubicBezTo>
                                <a:pt x="1095" y="384"/>
                                <a:pt x="1105" y="373"/>
                                <a:pt x="1114" y="359"/>
                              </a:cubicBezTo>
                              <a:cubicBezTo>
                                <a:pt x="1083" y="344"/>
                                <a:pt x="1054" y="329"/>
                                <a:pt x="1023" y="314"/>
                              </a:cubicBezTo>
                              <a:cubicBezTo>
                                <a:pt x="1020" y="318"/>
                                <a:pt x="1018" y="322"/>
                                <a:pt x="1015" y="325"/>
                              </a:cubicBezTo>
                              <a:moveTo>
                                <a:pt x="1582" y="371"/>
                              </a:moveTo>
                              <a:cubicBezTo>
                                <a:pt x="1582" y="21"/>
                                <a:pt x="1582" y="21"/>
                                <a:pt x="1582" y="21"/>
                              </a:cubicBezTo>
                              <a:cubicBezTo>
                                <a:pt x="1483" y="21"/>
                                <a:pt x="1483" y="21"/>
                                <a:pt x="1483" y="21"/>
                              </a:cubicBezTo>
                              <a:cubicBezTo>
                                <a:pt x="1483" y="457"/>
                                <a:pt x="1483" y="457"/>
                                <a:pt x="1483" y="457"/>
                              </a:cubicBezTo>
                              <a:cubicBezTo>
                                <a:pt x="1891" y="457"/>
                                <a:pt x="1891" y="457"/>
                                <a:pt x="1891" y="457"/>
                              </a:cubicBezTo>
                              <a:cubicBezTo>
                                <a:pt x="1891" y="371"/>
                                <a:pt x="1891" y="371"/>
                                <a:pt x="1891" y="371"/>
                              </a:cubicBezTo>
                              <a:lnTo>
                                <a:pt x="1582" y="371"/>
                              </a:lnTo>
                              <a:close/>
                              <a:moveTo>
                                <a:pt x="2845" y="370"/>
                              </a:moveTo>
                              <a:cubicBezTo>
                                <a:pt x="2845" y="21"/>
                                <a:pt x="2845" y="21"/>
                                <a:pt x="2845" y="21"/>
                              </a:cubicBezTo>
                              <a:cubicBezTo>
                                <a:pt x="2747" y="21"/>
                                <a:pt x="2747" y="21"/>
                                <a:pt x="2747" y="21"/>
                              </a:cubicBezTo>
                              <a:cubicBezTo>
                                <a:pt x="2747" y="457"/>
                                <a:pt x="2747" y="457"/>
                                <a:pt x="2747" y="457"/>
                              </a:cubicBezTo>
                              <a:cubicBezTo>
                                <a:pt x="3155" y="457"/>
                                <a:pt x="3155" y="457"/>
                                <a:pt x="3155" y="457"/>
                              </a:cubicBezTo>
                              <a:cubicBezTo>
                                <a:pt x="3155" y="370"/>
                                <a:pt x="3155" y="370"/>
                                <a:pt x="3155" y="370"/>
                              </a:cubicBezTo>
                              <a:lnTo>
                                <a:pt x="2845" y="370"/>
                              </a:lnTo>
                              <a:close/>
                              <a:moveTo>
                                <a:pt x="3350" y="370"/>
                              </a:moveTo>
                              <a:cubicBezTo>
                                <a:pt x="3350" y="21"/>
                                <a:pt x="3350" y="21"/>
                                <a:pt x="3350" y="21"/>
                              </a:cubicBezTo>
                              <a:cubicBezTo>
                                <a:pt x="3253" y="21"/>
                                <a:pt x="3253" y="21"/>
                                <a:pt x="3253" y="21"/>
                              </a:cubicBezTo>
                              <a:cubicBezTo>
                                <a:pt x="3253" y="457"/>
                                <a:pt x="3253" y="457"/>
                                <a:pt x="3253" y="457"/>
                              </a:cubicBezTo>
                              <a:cubicBezTo>
                                <a:pt x="3660" y="457"/>
                                <a:pt x="3660" y="457"/>
                                <a:pt x="3660" y="457"/>
                              </a:cubicBezTo>
                              <a:cubicBezTo>
                                <a:pt x="3660" y="370"/>
                                <a:pt x="3660" y="370"/>
                                <a:pt x="3660" y="370"/>
                              </a:cubicBezTo>
                              <a:lnTo>
                                <a:pt x="3350" y="370"/>
                              </a:lnTo>
                              <a:close/>
                              <a:moveTo>
                                <a:pt x="1233" y="457"/>
                              </a:moveTo>
                              <a:cubicBezTo>
                                <a:pt x="1335" y="457"/>
                                <a:pt x="1335" y="457"/>
                                <a:pt x="1335" y="457"/>
                              </a:cubicBezTo>
                              <a:cubicBezTo>
                                <a:pt x="1335" y="21"/>
                                <a:pt x="1335" y="21"/>
                                <a:pt x="1335" y="21"/>
                              </a:cubicBezTo>
                              <a:cubicBezTo>
                                <a:pt x="1233" y="21"/>
                                <a:pt x="1233" y="21"/>
                                <a:pt x="1233" y="21"/>
                              </a:cubicBezTo>
                              <a:lnTo>
                                <a:pt x="1233" y="45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5B7AAAEA" id="aac_Cpg_Logo" o:spid="_x0000_s1026" alt="&quot;&quot;" style="position:absolute;margin-left:57pt;margin-top:57pt;width:156.55pt;height:22.1pt;z-index:251749376;mso-position-horizontal-relative:page;mso-position-vertical-relative:page;mso-width-relative:margin;mso-height-relative:margin" coordorigin=",-212" coordsize="121888,187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">
              <v:rect id="Rectangle 1847138549" o:spid="_x0000_s1027" style="position:absolute;top:16431;width:14398;height:2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" fillcolor="#6c3f99" stroked="f"/>
              <v:shape id="Freeform 6" o:spid="_x0000_s1028" style="position:absolute;top:-212;width:121888;height:12963;visibility:visible;mso-wrap-style:square;v-text-anchor:top" coordsize="4841,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" path="m4214,370v,87,,87,,87c3766,457,3766,457,3766,457v,-436,,-436,,-436c4214,21,4214,21,4214,21v,83,,83,,83c3864,104,3864,104,3864,104v,89,,89,,89c4151,194,4151,194,4151,194v,83,,83,,83c3864,277,3864,277,3864,277v,93,,93,,93l4214,370xm4345,21v,436,,436,,436c4442,457,4442,457,4442,457v,-313,,-313,,-313c4753,457,4753,457,4753,457v88,,88,,88,c4841,21,4841,21,4841,21v-96,,-96,,-96,c4745,319,4745,319,4745,319,4450,21,4450,21,4450,21r-105,xm196,283v179,,179,,179,c283,109,283,109,283,109l196,283xm341,21c572,457,572,457,572,457v-108,,-108,,-108,c418,365,418,365,418,365v-265,,-265,,-265,c107,457,107,457,107,457,,457,,457,,457,231,21,231,21,231,21r110,xm2456,283c2366,106,2366,106,2366,106v-90,177,-90,177,-90,177l2456,283xm2422,21v232,436,232,436,232,436c2546,457,2546,457,2546,457v-47,-92,-47,-92,-47,-92c2234,365,2234,365,2234,365v-46,92,-46,92,-46,92c2081,457,2081,457,2081,457,2312,21,2312,21,2312,21r110,xm1015,325v-22,28,-49,46,-83,53c886,388,841,387,796,372,762,360,735,339,719,306,707,280,704,254,705,226v4,-58,36,-101,92,-121c837,91,879,89,920,96v40,7,73,27,96,60c1018,158,1020,160,1022,163v30,-15,60,-30,91,-46c1106,108,1100,99,1092,92,1051,49,1000,24,942,13,874,,808,6,744,30,683,53,639,93,617,155v-18,49,-19,99,-6,149c630,375,676,422,745,449v65,25,133,28,201,15c998,454,1045,432,1084,395v11,-11,21,-22,30,-36c1083,344,1054,329,1023,314v-3,4,-5,8,-8,11m1582,371v,-350,,-350,,-350c1483,21,1483,21,1483,21v,436,,436,,436c1891,457,1891,457,1891,457v,-86,,-86,,-86l1582,371xm2845,370v,-349,,-349,,-349c2747,21,2747,21,2747,21v,436,,436,,436c3155,457,3155,457,3155,457v,-87,,-87,,-87l2845,370xm3350,370v,-349,,-349,,-349c3253,21,3253,21,3253,21v,436,,436,,436c3660,457,3660,457,3660,457v,-87,,-87,,-87l3350,370xm1233,457v102,,102,,102,c1335,21,1335,21,1335,21v-102,,-102,,-102,l1233,457xe" fillcolor="black" stroked="f">
                <v:path arrowok="t" o:connecttype="custom" o:connectlocs="10610144,1241977;9482156,57071;10610144,282638;9728903,524511;10451521,752795;9728903,1005539;10939980,57071;11184210,1241977;11967256,1241977;12188825,57071;11947113,866938;10939980,57071;944187,769101;493495,769101;1440200,1241977;1052454,991951;269408,1241977;581619,57071;6183796,769101;5730586,769101;6098189,57071;6410400,1241977;5624837,991951;5239609,1241977;6098189,57071;2346619,1027280;1810321,831608;2006712,285356;2558117,423957;2802347,317968;2371798,35330;1553502,421239;1875785,1220235;2729330,1073481;2575742,853349;3983210,1008257;3733945,57071;4761220,1241977;3983210,1008257;7163232,57071;6916485,1241977;7943760,1005539;8434737,1005539;8190508,57071;9215265,1241977;8434737,1005539;3361306,1241977;3104487,57071" o:connectangles="0,0,0,0,0,0,0,0,0,0,0,0,0,0,0,0,0,0,0,0,0,0,0,0,0,0,0,0,0,0,0,0,0,0,0,0,0,0,0,0,0,0,0,0,0,0,0,0"/>
                <o:lock v:ext="edit" verticies="t"/>
              </v:shape>
              <w10:wrap anchorx="page" anchory="page"/>
              <w10:anchorlock/>
            </v:group>
          </w:pict>
        </mc:Fallback>
      </mc:AlternateConten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CF8002" w14:textId="77777777" w:rsidR="002B32A0" w:rsidRPr="00BA4997" w:rsidRDefault="002B32A0" w:rsidP="00BA4997">
    <w:pPr>
      <w:pStyle w:val="Heade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CE6197" w14:textId="77777777" w:rsidR="002B32A0" w:rsidRPr="000D7B01" w:rsidRDefault="002B32A0" w:rsidP="000D7B01">
    <w:pPr>
      <w:pStyle w:val="Heade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acTablenolines"/>
      <w:tblW w:w="10363" w:type="dxa"/>
      <w:tblInd w:w="-2427" w:type="dxa"/>
      <w:tblLayout w:type="fixed"/>
      <w:tblLook w:val="04A0" w:firstRow="1" w:lastRow="0" w:firstColumn="1" w:lastColumn="0" w:noHBand="0" w:noVBand="1"/>
    </w:tblPr>
    <w:tblGrid>
      <w:gridCol w:w="5182"/>
      <w:gridCol w:w="5181"/>
    </w:tblGrid>
    <w:tr w:rsidR="002B32A0" w14:paraId="340F2161" w14:textId="77777777" w:rsidTr="000B0AC7">
      <w:trPr>
        <w:trHeight w:hRule="exact" w:val="356"/>
      </w:trPr>
      <w:tc>
        <w:tcPr>
          <w:tcW w:w="5182" w:type="dxa"/>
          <w:vAlign w:val="center"/>
        </w:tcPr>
        <w:p w14:paraId="3514FC8E" w14:textId="77777777" w:rsidR="002B32A0" w:rsidRDefault="002B32A0" w:rsidP="000D7B01">
          <w:pPr>
            <w:pStyle w:val="spacer"/>
          </w:pPr>
          <w:r w:rsidRPr="000261B1">
            <w:rPr>
              <w:noProof/>
            </w:rPr>
            <mc:AlternateContent>
              <mc:Choice Requires="wpg">
                <w:drawing>
                  <wp:anchor distT="0" distB="0" distL="114300" distR="114300" simplePos="0" relativeHeight="251711488" behindDoc="0" locked="1" layoutInCell="1" allowOverlap="1" wp14:anchorId="2202D50C" wp14:editId="61B3F5AA">
                    <wp:simplePos x="0" y="0"/>
                    <wp:positionH relativeFrom="page">
                      <wp:posOffset>0</wp:posOffset>
                    </wp:positionH>
                    <wp:positionV relativeFrom="page">
                      <wp:posOffset>69850</wp:posOffset>
                    </wp:positionV>
                    <wp:extent cx="981075" cy="142875"/>
                    <wp:effectExtent l="0" t="0" r="9525" b="9525"/>
                    <wp:wrapNone/>
                    <wp:docPr id="61" name="Group 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981075" cy="142875"/>
                              <a:chOff x="0" y="-21209"/>
                              <a:chExt cx="12188825" cy="1878663"/>
                            </a:xfrm>
                          </wpg:grpSpPr>
                          <wps:wsp>
                            <wps:cNvPr id="62" name="Rectangle 62"/>
                            <wps:cNvSpPr>
                              <a:spLocks noChangeArrowheads="1"/>
                            </wps:cNvSpPr>
                            <wps:spPr bwMode="auto">
                              <a:xfrm>
                                <a:off x="0" y="1643143"/>
                                <a:ext cx="1439863" cy="214311"/>
                              </a:xfrm>
                              <a:prstGeom prst="rect">
                                <a:avLst/>
                              </a:prstGeom>
                              <a:solidFill>
                                <a:srgbClr val="6C3F99"/>
                              </a:solid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63" name="Freeform 6"/>
                            <wps:cNvSpPr>
                              <a:spLocks noEditPoints="1"/>
                            </wps:cNvSpPr>
                            <wps:spPr bwMode="auto">
                              <a:xfrm>
                                <a:off x="0" y="-21209"/>
                                <a:ext cx="12188825" cy="1296330"/>
                              </a:xfrm>
                              <a:custGeom>
                                <a:avLst/>
                                <a:gdLst>
                                  <a:gd name="T0" fmla="*/ 4214 w 4841"/>
                                  <a:gd name="T1" fmla="*/ 457 h 477"/>
                                  <a:gd name="T2" fmla="*/ 3766 w 4841"/>
                                  <a:gd name="T3" fmla="*/ 21 h 477"/>
                                  <a:gd name="T4" fmla="*/ 4214 w 4841"/>
                                  <a:gd name="T5" fmla="*/ 104 h 477"/>
                                  <a:gd name="T6" fmla="*/ 3864 w 4841"/>
                                  <a:gd name="T7" fmla="*/ 193 h 477"/>
                                  <a:gd name="T8" fmla="*/ 4151 w 4841"/>
                                  <a:gd name="T9" fmla="*/ 277 h 477"/>
                                  <a:gd name="T10" fmla="*/ 3864 w 4841"/>
                                  <a:gd name="T11" fmla="*/ 370 h 477"/>
                                  <a:gd name="T12" fmla="*/ 4345 w 4841"/>
                                  <a:gd name="T13" fmla="*/ 21 h 477"/>
                                  <a:gd name="T14" fmla="*/ 4442 w 4841"/>
                                  <a:gd name="T15" fmla="*/ 457 h 477"/>
                                  <a:gd name="T16" fmla="*/ 4753 w 4841"/>
                                  <a:gd name="T17" fmla="*/ 457 h 477"/>
                                  <a:gd name="T18" fmla="*/ 4841 w 4841"/>
                                  <a:gd name="T19" fmla="*/ 21 h 477"/>
                                  <a:gd name="T20" fmla="*/ 4745 w 4841"/>
                                  <a:gd name="T21" fmla="*/ 319 h 477"/>
                                  <a:gd name="T22" fmla="*/ 4345 w 4841"/>
                                  <a:gd name="T23" fmla="*/ 21 h 477"/>
                                  <a:gd name="T24" fmla="*/ 375 w 4841"/>
                                  <a:gd name="T25" fmla="*/ 283 h 477"/>
                                  <a:gd name="T26" fmla="*/ 196 w 4841"/>
                                  <a:gd name="T27" fmla="*/ 283 h 477"/>
                                  <a:gd name="T28" fmla="*/ 572 w 4841"/>
                                  <a:gd name="T29" fmla="*/ 457 h 477"/>
                                  <a:gd name="T30" fmla="*/ 418 w 4841"/>
                                  <a:gd name="T31" fmla="*/ 365 h 477"/>
                                  <a:gd name="T32" fmla="*/ 107 w 4841"/>
                                  <a:gd name="T33" fmla="*/ 457 h 477"/>
                                  <a:gd name="T34" fmla="*/ 231 w 4841"/>
                                  <a:gd name="T35" fmla="*/ 21 h 477"/>
                                  <a:gd name="T36" fmla="*/ 2456 w 4841"/>
                                  <a:gd name="T37" fmla="*/ 283 h 477"/>
                                  <a:gd name="T38" fmla="*/ 2276 w 4841"/>
                                  <a:gd name="T39" fmla="*/ 283 h 477"/>
                                  <a:gd name="T40" fmla="*/ 2422 w 4841"/>
                                  <a:gd name="T41" fmla="*/ 21 h 477"/>
                                  <a:gd name="T42" fmla="*/ 2546 w 4841"/>
                                  <a:gd name="T43" fmla="*/ 457 h 477"/>
                                  <a:gd name="T44" fmla="*/ 2234 w 4841"/>
                                  <a:gd name="T45" fmla="*/ 365 h 477"/>
                                  <a:gd name="T46" fmla="*/ 2081 w 4841"/>
                                  <a:gd name="T47" fmla="*/ 457 h 477"/>
                                  <a:gd name="T48" fmla="*/ 2422 w 4841"/>
                                  <a:gd name="T49" fmla="*/ 21 h 477"/>
                                  <a:gd name="T50" fmla="*/ 932 w 4841"/>
                                  <a:gd name="T51" fmla="*/ 378 h 477"/>
                                  <a:gd name="T52" fmla="*/ 719 w 4841"/>
                                  <a:gd name="T53" fmla="*/ 306 h 477"/>
                                  <a:gd name="T54" fmla="*/ 797 w 4841"/>
                                  <a:gd name="T55" fmla="*/ 105 h 477"/>
                                  <a:gd name="T56" fmla="*/ 1016 w 4841"/>
                                  <a:gd name="T57" fmla="*/ 156 h 477"/>
                                  <a:gd name="T58" fmla="*/ 1113 w 4841"/>
                                  <a:gd name="T59" fmla="*/ 117 h 477"/>
                                  <a:gd name="T60" fmla="*/ 942 w 4841"/>
                                  <a:gd name="T61" fmla="*/ 13 h 477"/>
                                  <a:gd name="T62" fmla="*/ 617 w 4841"/>
                                  <a:gd name="T63" fmla="*/ 155 h 477"/>
                                  <a:gd name="T64" fmla="*/ 745 w 4841"/>
                                  <a:gd name="T65" fmla="*/ 449 h 477"/>
                                  <a:gd name="T66" fmla="*/ 1084 w 4841"/>
                                  <a:gd name="T67" fmla="*/ 395 h 477"/>
                                  <a:gd name="T68" fmla="*/ 1023 w 4841"/>
                                  <a:gd name="T69" fmla="*/ 314 h 477"/>
                                  <a:gd name="T70" fmla="*/ 1582 w 4841"/>
                                  <a:gd name="T71" fmla="*/ 371 h 477"/>
                                  <a:gd name="T72" fmla="*/ 1483 w 4841"/>
                                  <a:gd name="T73" fmla="*/ 21 h 477"/>
                                  <a:gd name="T74" fmla="*/ 1891 w 4841"/>
                                  <a:gd name="T75" fmla="*/ 457 h 477"/>
                                  <a:gd name="T76" fmla="*/ 1582 w 4841"/>
                                  <a:gd name="T77" fmla="*/ 371 h 477"/>
                                  <a:gd name="T78" fmla="*/ 2845 w 4841"/>
                                  <a:gd name="T79" fmla="*/ 21 h 477"/>
                                  <a:gd name="T80" fmla="*/ 2747 w 4841"/>
                                  <a:gd name="T81" fmla="*/ 457 h 477"/>
                                  <a:gd name="T82" fmla="*/ 3155 w 4841"/>
                                  <a:gd name="T83" fmla="*/ 370 h 477"/>
                                  <a:gd name="T84" fmla="*/ 3350 w 4841"/>
                                  <a:gd name="T85" fmla="*/ 370 h 477"/>
                                  <a:gd name="T86" fmla="*/ 3253 w 4841"/>
                                  <a:gd name="T87" fmla="*/ 21 h 477"/>
                                  <a:gd name="T88" fmla="*/ 3660 w 4841"/>
                                  <a:gd name="T89" fmla="*/ 457 h 477"/>
                                  <a:gd name="T90" fmla="*/ 3350 w 4841"/>
                                  <a:gd name="T91" fmla="*/ 370 h 477"/>
                                  <a:gd name="T92" fmla="*/ 1335 w 4841"/>
                                  <a:gd name="T93" fmla="*/ 457 h 477"/>
                                  <a:gd name="T94" fmla="*/ 1233 w 4841"/>
                                  <a:gd name="T95" fmla="*/ 21 h 4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4841" h="477">
                                    <a:moveTo>
                                      <a:pt x="4214" y="370"/>
                                    </a:moveTo>
                                    <a:cubicBezTo>
                                      <a:pt x="4214" y="457"/>
                                      <a:pt x="4214" y="457"/>
                                      <a:pt x="4214" y="457"/>
                                    </a:cubicBezTo>
                                    <a:cubicBezTo>
                                      <a:pt x="3766" y="457"/>
                                      <a:pt x="3766" y="457"/>
                                      <a:pt x="3766" y="457"/>
                                    </a:cubicBezTo>
                                    <a:cubicBezTo>
                                      <a:pt x="3766" y="21"/>
                                      <a:pt x="3766" y="21"/>
                                      <a:pt x="3766" y="21"/>
                                    </a:cubicBezTo>
                                    <a:cubicBezTo>
                                      <a:pt x="4214" y="21"/>
                                      <a:pt x="4214" y="21"/>
                                      <a:pt x="4214" y="21"/>
                                    </a:cubicBezTo>
                                    <a:cubicBezTo>
                                      <a:pt x="4214" y="104"/>
                                      <a:pt x="4214" y="104"/>
                                      <a:pt x="4214" y="104"/>
                                    </a:cubicBezTo>
                                    <a:cubicBezTo>
                                      <a:pt x="3864" y="104"/>
                                      <a:pt x="3864" y="104"/>
                                      <a:pt x="3864" y="104"/>
                                    </a:cubicBezTo>
                                    <a:cubicBezTo>
                                      <a:pt x="3864" y="193"/>
                                      <a:pt x="3864" y="193"/>
                                      <a:pt x="3864" y="193"/>
                                    </a:cubicBezTo>
                                    <a:cubicBezTo>
                                      <a:pt x="4151" y="194"/>
                                      <a:pt x="4151" y="194"/>
                                      <a:pt x="4151" y="194"/>
                                    </a:cubicBezTo>
                                    <a:cubicBezTo>
                                      <a:pt x="4151" y="277"/>
                                      <a:pt x="4151" y="277"/>
                                      <a:pt x="4151" y="277"/>
                                    </a:cubicBezTo>
                                    <a:cubicBezTo>
                                      <a:pt x="3864" y="277"/>
                                      <a:pt x="3864" y="277"/>
                                      <a:pt x="3864" y="277"/>
                                    </a:cubicBezTo>
                                    <a:cubicBezTo>
                                      <a:pt x="3864" y="370"/>
                                      <a:pt x="3864" y="370"/>
                                      <a:pt x="3864" y="370"/>
                                    </a:cubicBezTo>
                                    <a:lnTo>
                                      <a:pt x="4214" y="370"/>
                                    </a:lnTo>
                                    <a:close/>
                                    <a:moveTo>
                                      <a:pt x="4345" y="21"/>
                                    </a:moveTo>
                                    <a:cubicBezTo>
                                      <a:pt x="4345" y="457"/>
                                      <a:pt x="4345" y="457"/>
                                      <a:pt x="4345" y="457"/>
                                    </a:cubicBezTo>
                                    <a:cubicBezTo>
                                      <a:pt x="4442" y="457"/>
                                      <a:pt x="4442" y="457"/>
                                      <a:pt x="4442" y="457"/>
                                    </a:cubicBezTo>
                                    <a:cubicBezTo>
                                      <a:pt x="4442" y="144"/>
                                      <a:pt x="4442" y="144"/>
                                      <a:pt x="4442" y="144"/>
                                    </a:cubicBezTo>
                                    <a:cubicBezTo>
                                      <a:pt x="4753" y="457"/>
                                      <a:pt x="4753" y="457"/>
                                      <a:pt x="4753" y="457"/>
                                    </a:cubicBezTo>
                                    <a:cubicBezTo>
                                      <a:pt x="4841" y="457"/>
                                      <a:pt x="4841" y="457"/>
                                      <a:pt x="4841" y="457"/>
                                    </a:cubicBezTo>
                                    <a:cubicBezTo>
                                      <a:pt x="4841" y="21"/>
                                      <a:pt x="4841" y="21"/>
                                      <a:pt x="4841" y="21"/>
                                    </a:cubicBezTo>
                                    <a:cubicBezTo>
                                      <a:pt x="4745" y="21"/>
                                      <a:pt x="4745" y="21"/>
                                      <a:pt x="4745" y="21"/>
                                    </a:cubicBezTo>
                                    <a:cubicBezTo>
                                      <a:pt x="4745" y="319"/>
                                      <a:pt x="4745" y="319"/>
                                      <a:pt x="4745" y="319"/>
                                    </a:cubicBezTo>
                                    <a:cubicBezTo>
                                      <a:pt x="4450" y="21"/>
                                      <a:pt x="4450" y="21"/>
                                      <a:pt x="4450" y="21"/>
                                    </a:cubicBezTo>
                                    <a:lnTo>
                                      <a:pt x="4345" y="21"/>
                                    </a:lnTo>
                                    <a:close/>
                                    <a:moveTo>
                                      <a:pt x="196" y="283"/>
                                    </a:moveTo>
                                    <a:cubicBezTo>
                                      <a:pt x="375" y="283"/>
                                      <a:pt x="375" y="283"/>
                                      <a:pt x="375" y="283"/>
                                    </a:cubicBezTo>
                                    <a:cubicBezTo>
                                      <a:pt x="283" y="109"/>
                                      <a:pt x="283" y="109"/>
                                      <a:pt x="283" y="109"/>
                                    </a:cubicBezTo>
                                    <a:lnTo>
                                      <a:pt x="196" y="283"/>
                                    </a:lnTo>
                                    <a:close/>
                                    <a:moveTo>
                                      <a:pt x="341" y="21"/>
                                    </a:moveTo>
                                    <a:cubicBezTo>
                                      <a:pt x="572" y="457"/>
                                      <a:pt x="572" y="457"/>
                                      <a:pt x="572" y="457"/>
                                    </a:cubicBezTo>
                                    <a:cubicBezTo>
                                      <a:pt x="464" y="457"/>
                                      <a:pt x="464" y="457"/>
                                      <a:pt x="464" y="457"/>
                                    </a:cubicBezTo>
                                    <a:cubicBezTo>
                                      <a:pt x="418" y="365"/>
                                      <a:pt x="418" y="365"/>
                                      <a:pt x="418" y="365"/>
                                    </a:cubicBezTo>
                                    <a:cubicBezTo>
                                      <a:pt x="153" y="365"/>
                                      <a:pt x="153" y="365"/>
                                      <a:pt x="153" y="365"/>
                                    </a:cubicBezTo>
                                    <a:cubicBezTo>
                                      <a:pt x="107" y="457"/>
                                      <a:pt x="107" y="457"/>
                                      <a:pt x="107" y="457"/>
                                    </a:cubicBezTo>
                                    <a:cubicBezTo>
                                      <a:pt x="0" y="457"/>
                                      <a:pt x="0" y="457"/>
                                      <a:pt x="0" y="457"/>
                                    </a:cubicBezTo>
                                    <a:cubicBezTo>
                                      <a:pt x="231" y="21"/>
                                      <a:pt x="231" y="21"/>
                                      <a:pt x="231" y="21"/>
                                    </a:cubicBezTo>
                                    <a:lnTo>
                                      <a:pt x="341" y="21"/>
                                    </a:lnTo>
                                    <a:close/>
                                    <a:moveTo>
                                      <a:pt x="2456" y="283"/>
                                    </a:moveTo>
                                    <a:cubicBezTo>
                                      <a:pt x="2366" y="106"/>
                                      <a:pt x="2366" y="106"/>
                                      <a:pt x="2366" y="106"/>
                                    </a:cubicBezTo>
                                    <a:cubicBezTo>
                                      <a:pt x="2276" y="283"/>
                                      <a:pt x="2276" y="283"/>
                                      <a:pt x="2276" y="283"/>
                                    </a:cubicBezTo>
                                    <a:lnTo>
                                      <a:pt x="2456" y="283"/>
                                    </a:lnTo>
                                    <a:close/>
                                    <a:moveTo>
                                      <a:pt x="2422" y="21"/>
                                    </a:moveTo>
                                    <a:cubicBezTo>
                                      <a:pt x="2654" y="457"/>
                                      <a:pt x="2654" y="457"/>
                                      <a:pt x="2654" y="457"/>
                                    </a:cubicBezTo>
                                    <a:cubicBezTo>
                                      <a:pt x="2546" y="457"/>
                                      <a:pt x="2546" y="457"/>
                                      <a:pt x="2546" y="457"/>
                                    </a:cubicBezTo>
                                    <a:cubicBezTo>
                                      <a:pt x="2499" y="365"/>
                                      <a:pt x="2499" y="365"/>
                                      <a:pt x="2499" y="365"/>
                                    </a:cubicBezTo>
                                    <a:cubicBezTo>
                                      <a:pt x="2234" y="365"/>
                                      <a:pt x="2234" y="365"/>
                                      <a:pt x="2234" y="365"/>
                                    </a:cubicBezTo>
                                    <a:cubicBezTo>
                                      <a:pt x="2188" y="457"/>
                                      <a:pt x="2188" y="457"/>
                                      <a:pt x="2188" y="457"/>
                                    </a:cubicBezTo>
                                    <a:cubicBezTo>
                                      <a:pt x="2081" y="457"/>
                                      <a:pt x="2081" y="457"/>
                                      <a:pt x="2081" y="457"/>
                                    </a:cubicBezTo>
                                    <a:cubicBezTo>
                                      <a:pt x="2312" y="21"/>
                                      <a:pt x="2312" y="21"/>
                                      <a:pt x="2312" y="21"/>
                                    </a:cubicBezTo>
                                    <a:lnTo>
                                      <a:pt x="2422" y="21"/>
                                    </a:lnTo>
                                    <a:close/>
                                    <a:moveTo>
                                      <a:pt x="1015" y="325"/>
                                    </a:moveTo>
                                    <a:cubicBezTo>
                                      <a:pt x="993" y="353"/>
                                      <a:pt x="966" y="371"/>
                                      <a:pt x="932" y="378"/>
                                    </a:cubicBezTo>
                                    <a:cubicBezTo>
                                      <a:pt x="886" y="388"/>
                                      <a:pt x="841" y="387"/>
                                      <a:pt x="796" y="372"/>
                                    </a:cubicBezTo>
                                    <a:cubicBezTo>
                                      <a:pt x="762" y="360"/>
                                      <a:pt x="735" y="339"/>
                                      <a:pt x="719" y="306"/>
                                    </a:cubicBezTo>
                                    <a:cubicBezTo>
                                      <a:pt x="707" y="280"/>
                                      <a:pt x="704" y="254"/>
                                      <a:pt x="705" y="226"/>
                                    </a:cubicBezTo>
                                    <a:cubicBezTo>
                                      <a:pt x="709" y="168"/>
                                      <a:pt x="741" y="125"/>
                                      <a:pt x="797" y="105"/>
                                    </a:cubicBezTo>
                                    <a:cubicBezTo>
                                      <a:pt x="837" y="91"/>
                                      <a:pt x="879" y="89"/>
                                      <a:pt x="920" y="96"/>
                                    </a:cubicBezTo>
                                    <a:cubicBezTo>
                                      <a:pt x="960" y="103"/>
                                      <a:pt x="993" y="123"/>
                                      <a:pt x="1016" y="156"/>
                                    </a:cubicBezTo>
                                    <a:cubicBezTo>
                                      <a:pt x="1018" y="158"/>
                                      <a:pt x="1020" y="160"/>
                                      <a:pt x="1022" y="163"/>
                                    </a:cubicBezTo>
                                    <a:cubicBezTo>
                                      <a:pt x="1052" y="148"/>
                                      <a:pt x="1082" y="133"/>
                                      <a:pt x="1113" y="117"/>
                                    </a:cubicBezTo>
                                    <a:cubicBezTo>
                                      <a:pt x="1106" y="108"/>
                                      <a:pt x="1100" y="99"/>
                                      <a:pt x="1092" y="92"/>
                                    </a:cubicBezTo>
                                    <a:cubicBezTo>
                                      <a:pt x="1051" y="49"/>
                                      <a:pt x="1000" y="24"/>
                                      <a:pt x="942" y="13"/>
                                    </a:cubicBezTo>
                                    <a:cubicBezTo>
                                      <a:pt x="874" y="0"/>
                                      <a:pt x="808" y="6"/>
                                      <a:pt x="744" y="30"/>
                                    </a:cubicBezTo>
                                    <a:cubicBezTo>
                                      <a:pt x="683" y="53"/>
                                      <a:pt x="639" y="93"/>
                                      <a:pt x="617" y="155"/>
                                    </a:cubicBezTo>
                                    <a:cubicBezTo>
                                      <a:pt x="599" y="204"/>
                                      <a:pt x="598" y="254"/>
                                      <a:pt x="611" y="304"/>
                                    </a:cubicBezTo>
                                    <a:cubicBezTo>
                                      <a:pt x="630" y="375"/>
                                      <a:pt x="676" y="422"/>
                                      <a:pt x="745" y="449"/>
                                    </a:cubicBezTo>
                                    <a:cubicBezTo>
                                      <a:pt x="810" y="474"/>
                                      <a:pt x="878" y="477"/>
                                      <a:pt x="946" y="464"/>
                                    </a:cubicBezTo>
                                    <a:cubicBezTo>
                                      <a:pt x="998" y="454"/>
                                      <a:pt x="1045" y="432"/>
                                      <a:pt x="1084" y="395"/>
                                    </a:cubicBezTo>
                                    <a:cubicBezTo>
                                      <a:pt x="1095" y="384"/>
                                      <a:pt x="1105" y="373"/>
                                      <a:pt x="1114" y="359"/>
                                    </a:cubicBezTo>
                                    <a:cubicBezTo>
                                      <a:pt x="1083" y="344"/>
                                      <a:pt x="1054" y="329"/>
                                      <a:pt x="1023" y="314"/>
                                    </a:cubicBezTo>
                                    <a:cubicBezTo>
                                      <a:pt x="1020" y="318"/>
                                      <a:pt x="1018" y="322"/>
                                      <a:pt x="1015" y="325"/>
                                    </a:cubicBezTo>
                                    <a:moveTo>
                                      <a:pt x="1582" y="371"/>
                                    </a:moveTo>
                                    <a:cubicBezTo>
                                      <a:pt x="1582" y="21"/>
                                      <a:pt x="1582" y="21"/>
                                      <a:pt x="1582" y="21"/>
                                    </a:cubicBezTo>
                                    <a:cubicBezTo>
                                      <a:pt x="1483" y="21"/>
                                      <a:pt x="1483" y="21"/>
                                      <a:pt x="1483" y="21"/>
                                    </a:cubicBezTo>
                                    <a:cubicBezTo>
                                      <a:pt x="1483" y="457"/>
                                      <a:pt x="1483" y="457"/>
                                      <a:pt x="1483" y="457"/>
                                    </a:cubicBezTo>
                                    <a:cubicBezTo>
                                      <a:pt x="1891" y="457"/>
                                      <a:pt x="1891" y="457"/>
                                      <a:pt x="1891" y="457"/>
                                    </a:cubicBezTo>
                                    <a:cubicBezTo>
                                      <a:pt x="1891" y="371"/>
                                      <a:pt x="1891" y="371"/>
                                      <a:pt x="1891" y="371"/>
                                    </a:cubicBezTo>
                                    <a:lnTo>
                                      <a:pt x="1582" y="371"/>
                                    </a:lnTo>
                                    <a:close/>
                                    <a:moveTo>
                                      <a:pt x="2845" y="370"/>
                                    </a:moveTo>
                                    <a:cubicBezTo>
                                      <a:pt x="2845" y="21"/>
                                      <a:pt x="2845" y="21"/>
                                      <a:pt x="2845" y="21"/>
                                    </a:cubicBezTo>
                                    <a:cubicBezTo>
                                      <a:pt x="2747" y="21"/>
                                      <a:pt x="2747" y="21"/>
                                      <a:pt x="2747" y="21"/>
                                    </a:cubicBezTo>
                                    <a:cubicBezTo>
                                      <a:pt x="2747" y="457"/>
                                      <a:pt x="2747" y="457"/>
                                      <a:pt x="2747" y="457"/>
                                    </a:cubicBezTo>
                                    <a:cubicBezTo>
                                      <a:pt x="3155" y="457"/>
                                      <a:pt x="3155" y="457"/>
                                      <a:pt x="3155" y="457"/>
                                    </a:cubicBezTo>
                                    <a:cubicBezTo>
                                      <a:pt x="3155" y="370"/>
                                      <a:pt x="3155" y="370"/>
                                      <a:pt x="3155" y="370"/>
                                    </a:cubicBezTo>
                                    <a:lnTo>
                                      <a:pt x="2845" y="370"/>
                                    </a:lnTo>
                                    <a:close/>
                                    <a:moveTo>
                                      <a:pt x="3350" y="370"/>
                                    </a:moveTo>
                                    <a:cubicBezTo>
                                      <a:pt x="3350" y="21"/>
                                      <a:pt x="3350" y="21"/>
                                      <a:pt x="3350" y="21"/>
                                    </a:cubicBezTo>
                                    <a:cubicBezTo>
                                      <a:pt x="3253" y="21"/>
                                      <a:pt x="3253" y="21"/>
                                      <a:pt x="3253" y="21"/>
                                    </a:cubicBezTo>
                                    <a:cubicBezTo>
                                      <a:pt x="3253" y="457"/>
                                      <a:pt x="3253" y="457"/>
                                      <a:pt x="3253" y="457"/>
                                    </a:cubicBezTo>
                                    <a:cubicBezTo>
                                      <a:pt x="3660" y="457"/>
                                      <a:pt x="3660" y="457"/>
                                      <a:pt x="3660" y="457"/>
                                    </a:cubicBezTo>
                                    <a:cubicBezTo>
                                      <a:pt x="3660" y="370"/>
                                      <a:pt x="3660" y="370"/>
                                      <a:pt x="3660" y="370"/>
                                    </a:cubicBezTo>
                                    <a:lnTo>
                                      <a:pt x="3350" y="370"/>
                                    </a:lnTo>
                                    <a:close/>
                                    <a:moveTo>
                                      <a:pt x="1233" y="457"/>
                                    </a:moveTo>
                                    <a:cubicBezTo>
                                      <a:pt x="1335" y="457"/>
                                      <a:pt x="1335" y="457"/>
                                      <a:pt x="1335" y="457"/>
                                    </a:cubicBezTo>
                                    <a:cubicBezTo>
                                      <a:pt x="1335" y="21"/>
                                      <a:pt x="1335" y="21"/>
                                      <a:pt x="1335" y="21"/>
                                    </a:cubicBezTo>
                                    <a:cubicBezTo>
                                      <a:pt x="1233" y="21"/>
                                      <a:pt x="1233" y="21"/>
                                      <a:pt x="1233" y="21"/>
                                    </a:cubicBezTo>
                                    <a:lnTo>
                                      <a:pt x="1233" y="457"/>
                                    </a:lnTo>
                                    <a:close/>
                                  </a:path>
                                </a:pathLst>
                              </a:custGeom>
                              <a:solidFill>
                                <a:srgbClr val="0001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77F4AD9C" id="Group 61" o:spid="_x0000_s1026" alt="&quot;&quot;" style="position:absolute;margin-left:0;margin-top:5.5pt;width:77.25pt;height:11.25pt;z-index:251711488;mso-position-horizontal-relative:page;mso-position-vertical-relative:page;mso-width-relative:margin;mso-height-relative:margin" coordorigin=",-212" coordsize="121888,187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">
                    <o:lock v:ext="edit" aspectratio="t"/>
                    <v:rect id="Rectangle 62" o:spid="_x0000_s1027" style="position:absolute;top:16431;width:14398;height:2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" fillcolor="#6c3f99" stroked="f"/>
                    <v:shape id="Freeform 6" o:spid="_x0000_s1028" style="position:absolute;top:-212;width:121888;height:12963;visibility:visible;mso-wrap-style:square;v-text-anchor:top" coordsize="4841,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" path="m4214,370v,87,,87,,87c3766,457,3766,457,3766,457v,-436,,-436,,-436c4214,21,4214,21,4214,21v,83,,83,,83c3864,104,3864,104,3864,104v,89,,89,,89c4151,194,4151,194,4151,194v,83,,83,,83c3864,277,3864,277,3864,277v,93,,93,,93l4214,370xm4345,21v,436,,436,,436c4442,457,4442,457,4442,457v,-313,,-313,,-313c4753,457,4753,457,4753,457v88,,88,,88,c4841,21,4841,21,4841,21v-96,,-96,,-96,c4745,319,4745,319,4745,319,4450,21,4450,21,4450,21r-105,xm196,283v179,,179,,179,c283,109,283,109,283,109l196,283xm341,21c572,457,572,457,572,457v-108,,-108,,-108,c418,365,418,365,418,365v-265,,-265,,-265,c107,457,107,457,107,457,,457,,457,,457,231,21,231,21,231,21r110,xm2456,283c2366,106,2366,106,2366,106v-90,177,-90,177,-90,177l2456,283xm2422,21v232,436,232,436,232,436c2546,457,2546,457,2546,457v-47,-92,-47,-92,-47,-92c2234,365,2234,365,2234,365v-46,92,-46,92,-46,92c2081,457,2081,457,2081,457,2312,21,2312,21,2312,21r110,xm1015,325v-22,28,-49,46,-83,53c886,388,841,387,796,372,762,360,735,339,719,306,707,280,704,254,705,226v4,-58,36,-101,92,-121c837,91,879,89,920,96v40,7,73,27,96,60c1018,158,1020,160,1022,163v30,-15,60,-30,91,-46c1106,108,1100,99,1092,92,1051,49,1000,24,942,13,874,,808,6,744,30,683,53,639,93,617,155v-18,49,-19,99,-6,149c630,375,676,422,745,449v65,25,133,28,201,15c998,454,1045,432,1084,395v11,-11,21,-22,30,-36c1083,344,1054,329,1023,314v-3,4,-5,8,-8,11m1582,371v,-350,,-350,,-350c1483,21,1483,21,1483,21v,436,,436,,436c1891,457,1891,457,1891,457v,-86,,-86,,-86l1582,371xm2845,370v,-349,,-349,,-349c2747,21,2747,21,2747,21v,436,,436,,436c3155,457,3155,457,3155,457v,-87,,-87,,-87l2845,370xm3350,370v,-349,,-349,,-349c3253,21,3253,21,3253,21v,436,,436,,436c3660,457,3660,457,3660,457v,-87,,-87,,-87l3350,370xm1233,457v102,,102,,102,c1335,21,1335,21,1335,21v-102,,-102,,-102,l1233,457xe" fillcolor="#000100" stroked="f">
                      <v:path arrowok="t" o:connecttype="custom" o:connectlocs="10610144,1241977;9482156,57071;10610144,282638;9728903,524511;10451521,752795;9728903,1005539;10939980,57071;11184210,1241977;11967256,1241977;12188825,57071;11947113,866938;10939980,57071;944187,769101;493495,769101;1440200,1241977;1052454,991951;269408,1241977;581619,57071;6183796,769101;5730586,769101;6098189,57071;6410400,1241977;5624837,991951;5239609,1241977;6098189,57071;2346619,1027280;1810321,831608;2006712,285356;2558117,423957;2802347,317968;2371798,35330;1553502,421239;1875785,1220235;2729330,1073481;2575742,853349;3983210,1008257;3733945,57071;4761220,1241977;3983210,1008257;7163232,57071;6916485,1241977;7943760,1005539;8434737,1005539;8190508,57071;9215265,1241977;8434737,1005539;3361306,1241977;3104487,57071" o:connectangles="0,0,0,0,0,0,0,0,0,0,0,0,0,0,0,0,0,0,0,0,0,0,0,0,0,0,0,0,0,0,0,0,0,0,0,0,0,0,0,0,0,0,0,0,0,0,0,0"/>
                      <o:lock v:ext="edit" verticies="t"/>
                    </v:shape>
                    <w10:wrap anchorx="page" anchory="page"/>
                    <w10:anchorlock/>
                  </v:group>
                </w:pict>
              </mc:Fallback>
            </mc:AlternateContent>
          </w:r>
        </w:p>
      </w:tc>
      <w:tc>
        <w:tcPr>
          <w:tcW w:w="5181" w:type="dxa"/>
          <w:vAlign w:val="center"/>
        </w:tcPr>
        <w:p w14:paraId="01299A3F" w14:textId="546A073D" w:rsidR="002B32A0" w:rsidRDefault="002B32A0" w:rsidP="004A1654">
          <w:pPr>
            <w:pStyle w:val="Header-CompanyName"/>
          </w:pPr>
        </w:p>
      </w:tc>
    </w:tr>
  </w:tbl>
  <w:p w14:paraId="43804C73" w14:textId="700C8605" w:rsidR="002B32A0" w:rsidRPr="000D7B01" w:rsidRDefault="002B32A0" w:rsidP="000D7B01">
    <w:pPr>
      <w:pStyle w:val="Heade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EDCD65" w14:textId="77777777" w:rsidR="002B32A0" w:rsidRPr="000D7B01" w:rsidRDefault="002B32A0" w:rsidP="000D7B01">
    <w:pPr>
      <w:pStyle w:val="Heade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CCE50F" w14:textId="77777777" w:rsidR="002B32A0" w:rsidRPr="006B209A" w:rsidRDefault="002B32A0" w:rsidP="006B209A">
    <w:pPr>
      <w:pStyle w:val="Heade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acTablenolines"/>
      <w:tblW w:w="10363" w:type="dxa"/>
      <w:tblInd w:w="-2427" w:type="dxa"/>
      <w:tblLayout w:type="fixed"/>
      <w:tblLook w:val="04A0" w:firstRow="1" w:lastRow="0" w:firstColumn="1" w:lastColumn="0" w:noHBand="0" w:noVBand="1"/>
    </w:tblPr>
    <w:tblGrid>
      <w:gridCol w:w="5182"/>
      <w:gridCol w:w="5181"/>
    </w:tblGrid>
    <w:tr w:rsidR="002B32A0" w14:paraId="1A1697CA" w14:textId="77777777" w:rsidTr="000B0AC7">
      <w:trPr>
        <w:trHeight w:hRule="exact" w:val="356"/>
      </w:trPr>
      <w:tc>
        <w:tcPr>
          <w:tcW w:w="5182" w:type="dxa"/>
          <w:vAlign w:val="center"/>
        </w:tcPr>
        <w:p w14:paraId="61EF3484" w14:textId="77777777" w:rsidR="002B32A0" w:rsidRDefault="002B32A0" w:rsidP="006B209A">
          <w:pPr>
            <w:pStyle w:val="spacer"/>
          </w:pPr>
          <w:r w:rsidRPr="000261B1">
            <w:rPr>
              <w:noProof/>
            </w:rPr>
            <mc:AlternateContent>
              <mc:Choice Requires="wpg">
                <w:drawing>
                  <wp:anchor distT="0" distB="0" distL="114300" distR="114300" simplePos="0" relativeHeight="251712512" behindDoc="0" locked="1" layoutInCell="1" allowOverlap="1" wp14:anchorId="3080EB1D" wp14:editId="5CC88815">
                    <wp:simplePos x="0" y="0"/>
                    <wp:positionH relativeFrom="page">
                      <wp:posOffset>0</wp:posOffset>
                    </wp:positionH>
                    <wp:positionV relativeFrom="page">
                      <wp:posOffset>69850</wp:posOffset>
                    </wp:positionV>
                    <wp:extent cx="981075" cy="142875"/>
                    <wp:effectExtent l="0" t="0" r="9525" b="9525"/>
                    <wp:wrapNone/>
                    <wp:docPr id="619" name="Group 6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981075" cy="142875"/>
                              <a:chOff x="0" y="-21209"/>
                              <a:chExt cx="12188825" cy="1878663"/>
                            </a:xfrm>
                          </wpg:grpSpPr>
                          <wps:wsp>
                            <wps:cNvPr id="622" name="Rectangle 622"/>
                            <wps:cNvSpPr>
                              <a:spLocks noChangeArrowheads="1"/>
                            </wps:cNvSpPr>
                            <wps:spPr bwMode="auto">
                              <a:xfrm>
                                <a:off x="0" y="1643143"/>
                                <a:ext cx="1439863" cy="214311"/>
                              </a:xfrm>
                              <a:prstGeom prst="rect">
                                <a:avLst/>
                              </a:prstGeom>
                              <a:solidFill>
                                <a:srgbClr val="6C3F99"/>
                              </a:solid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623" name="Freeform 6"/>
                            <wps:cNvSpPr>
                              <a:spLocks noEditPoints="1"/>
                            </wps:cNvSpPr>
                            <wps:spPr bwMode="auto">
                              <a:xfrm>
                                <a:off x="0" y="-21209"/>
                                <a:ext cx="12188825" cy="1296330"/>
                              </a:xfrm>
                              <a:custGeom>
                                <a:avLst/>
                                <a:gdLst>
                                  <a:gd name="T0" fmla="*/ 4214 w 4841"/>
                                  <a:gd name="T1" fmla="*/ 457 h 477"/>
                                  <a:gd name="T2" fmla="*/ 3766 w 4841"/>
                                  <a:gd name="T3" fmla="*/ 21 h 477"/>
                                  <a:gd name="T4" fmla="*/ 4214 w 4841"/>
                                  <a:gd name="T5" fmla="*/ 104 h 477"/>
                                  <a:gd name="T6" fmla="*/ 3864 w 4841"/>
                                  <a:gd name="T7" fmla="*/ 193 h 477"/>
                                  <a:gd name="T8" fmla="*/ 4151 w 4841"/>
                                  <a:gd name="T9" fmla="*/ 277 h 477"/>
                                  <a:gd name="T10" fmla="*/ 3864 w 4841"/>
                                  <a:gd name="T11" fmla="*/ 370 h 477"/>
                                  <a:gd name="T12" fmla="*/ 4345 w 4841"/>
                                  <a:gd name="T13" fmla="*/ 21 h 477"/>
                                  <a:gd name="T14" fmla="*/ 4442 w 4841"/>
                                  <a:gd name="T15" fmla="*/ 457 h 477"/>
                                  <a:gd name="T16" fmla="*/ 4753 w 4841"/>
                                  <a:gd name="T17" fmla="*/ 457 h 477"/>
                                  <a:gd name="T18" fmla="*/ 4841 w 4841"/>
                                  <a:gd name="T19" fmla="*/ 21 h 477"/>
                                  <a:gd name="T20" fmla="*/ 4745 w 4841"/>
                                  <a:gd name="T21" fmla="*/ 319 h 477"/>
                                  <a:gd name="T22" fmla="*/ 4345 w 4841"/>
                                  <a:gd name="T23" fmla="*/ 21 h 477"/>
                                  <a:gd name="T24" fmla="*/ 375 w 4841"/>
                                  <a:gd name="T25" fmla="*/ 283 h 477"/>
                                  <a:gd name="T26" fmla="*/ 196 w 4841"/>
                                  <a:gd name="T27" fmla="*/ 283 h 477"/>
                                  <a:gd name="T28" fmla="*/ 572 w 4841"/>
                                  <a:gd name="T29" fmla="*/ 457 h 477"/>
                                  <a:gd name="T30" fmla="*/ 418 w 4841"/>
                                  <a:gd name="T31" fmla="*/ 365 h 477"/>
                                  <a:gd name="T32" fmla="*/ 107 w 4841"/>
                                  <a:gd name="T33" fmla="*/ 457 h 477"/>
                                  <a:gd name="T34" fmla="*/ 231 w 4841"/>
                                  <a:gd name="T35" fmla="*/ 21 h 477"/>
                                  <a:gd name="T36" fmla="*/ 2456 w 4841"/>
                                  <a:gd name="T37" fmla="*/ 283 h 477"/>
                                  <a:gd name="T38" fmla="*/ 2276 w 4841"/>
                                  <a:gd name="T39" fmla="*/ 283 h 477"/>
                                  <a:gd name="T40" fmla="*/ 2422 w 4841"/>
                                  <a:gd name="T41" fmla="*/ 21 h 477"/>
                                  <a:gd name="T42" fmla="*/ 2546 w 4841"/>
                                  <a:gd name="T43" fmla="*/ 457 h 477"/>
                                  <a:gd name="T44" fmla="*/ 2234 w 4841"/>
                                  <a:gd name="T45" fmla="*/ 365 h 477"/>
                                  <a:gd name="T46" fmla="*/ 2081 w 4841"/>
                                  <a:gd name="T47" fmla="*/ 457 h 477"/>
                                  <a:gd name="T48" fmla="*/ 2422 w 4841"/>
                                  <a:gd name="T49" fmla="*/ 21 h 477"/>
                                  <a:gd name="T50" fmla="*/ 932 w 4841"/>
                                  <a:gd name="T51" fmla="*/ 378 h 477"/>
                                  <a:gd name="T52" fmla="*/ 719 w 4841"/>
                                  <a:gd name="T53" fmla="*/ 306 h 477"/>
                                  <a:gd name="T54" fmla="*/ 797 w 4841"/>
                                  <a:gd name="T55" fmla="*/ 105 h 477"/>
                                  <a:gd name="T56" fmla="*/ 1016 w 4841"/>
                                  <a:gd name="T57" fmla="*/ 156 h 477"/>
                                  <a:gd name="T58" fmla="*/ 1113 w 4841"/>
                                  <a:gd name="T59" fmla="*/ 117 h 477"/>
                                  <a:gd name="T60" fmla="*/ 942 w 4841"/>
                                  <a:gd name="T61" fmla="*/ 13 h 477"/>
                                  <a:gd name="T62" fmla="*/ 617 w 4841"/>
                                  <a:gd name="T63" fmla="*/ 155 h 477"/>
                                  <a:gd name="T64" fmla="*/ 745 w 4841"/>
                                  <a:gd name="T65" fmla="*/ 449 h 477"/>
                                  <a:gd name="T66" fmla="*/ 1084 w 4841"/>
                                  <a:gd name="T67" fmla="*/ 395 h 477"/>
                                  <a:gd name="T68" fmla="*/ 1023 w 4841"/>
                                  <a:gd name="T69" fmla="*/ 314 h 477"/>
                                  <a:gd name="T70" fmla="*/ 1582 w 4841"/>
                                  <a:gd name="T71" fmla="*/ 371 h 477"/>
                                  <a:gd name="T72" fmla="*/ 1483 w 4841"/>
                                  <a:gd name="T73" fmla="*/ 21 h 477"/>
                                  <a:gd name="T74" fmla="*/ 1891 w 4841"/>
                                  <a:gd name="T75" fmla="*/ 457 h 477"/>
                                  <a:gd name="T76" fmla="*/ 1582 w 4841"/>
                                  <a:gd name="T77" fmla="*/ 371 h 477"/>
                                  <a:gd name="T78" fmla="*/ 2845 w 4841"/>
                                  <a:gd name="T79" fmla="*/ 21 h 477"/>
                                  <a:gd name="T80" fmla="*/ 2747 w 4841"/>
                                  <a:gd name="T81" fmla="*/ 457 h 477"/>
                                  <a:gd name="T82" fmla="*/ 3155 w 4841"/>
                                  <a:gd name="T83" fmla="*/ 370 h 477"/>
                                  <a:gd name="T84" fmla="*/ 3350 w 4841"/>
                                  <a:gd name="T85" fmla="*/ 370 h 477"/>
                                  <a:gd name="T86" fmla="*/ 3253 w 4841"/>
                                  <a:gd name="T87" fmla="*/ 21 h 477"/>
                                  <a:gd name="T88" fmla="*/ 3660 w 4841"/>
                                  <a:gd name="T89" fmla="*/ 457 h 477"/>
                                  <a:gd name="T90" fmla="*/ 3350 w 4841"/>
                                  <a:gd name="T91" fmla="*/ 370 h 477"/>
                                  <a:gd name="T92" fmla="*/ 1335 w 4841"/>
                                  <a:gd name="T93" fmla="*/ 457 h 477"/>
                                  <a:gd name="T94" fmla="*/ 1233 w 4841"/>
                                  <a:gd name="T95" fmla="*/ 21 h 4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4841" h="477">
                                    <a:moveTo>
                                      <a:pt x="4214" y="370"/>
                                    </a:moveTo>
                                    <a:cubicBezTo>
                                      <a:pt x="4214" y="457"/>
                                      <a:pt x="4214" y="457"/>
                                      <a:pt x="4214" y="457"/>
                                    </a:cubicBezTo>
                                    <a:cubicBezTo>
                                      <a:pt x="3766" y="457"/>
                                      <a:pt x="3766" y="457"/>
                                      <a:pt x="3766" y="457"/>
                                    </a:cubicBezTo>
                                    <a:cubicBezTo>
                                      <a:pt x="3766" y="21"/>
                                      <a:pt x="3766" y="21"/>
                                      <a:pt x="3766" y="21"/>
                                    </a:cubicBezTo>
                                    <a:cubicBezTo>
                                      <a:pt x="4214" y="21"/>
                                      <a:pt x="4214" y="21"/>
                                      <a:pt x="4214" y="21"/>
                                    </a:cubicBezTo>
                                    <a:cubicBezTo>
                                      <a:pt x="4214" y="104"/>
                                      <a:pt x="4214" y="104"/>
                                      <a:pt x="4214" y="104"/>
                                    </a:cubicBezTo>
                                    <a:cubicBezTo>
                                      <a:pt x="3864" y="104"/>
                                      <a:pt x="3864" y="104"/>
                                      <a:pt x="3864" y="104"/>
                                    </a:cubicBezTo>
                                    <a:cubicBezTo>
                                      <a:pt x="3864" y="193"/>
                                      <a:pt x="3864" y="193"/>
                                      <a:pt x="3864" y="193"/>
                                    </a:cubicBezTo>
                                    <a:cubicBezTo>
                                      <a:pt x="4151" y="194"/>
                                      <a:pt x="4151" y="194"/>
                                      <a:pt x="4151" y="194"/>
                                    </a:cubicBezTo>
                                    <a:cubicBezTo>
                                      <a:pt x="4151" y="277"/>
                                      <a:pt x="4151" y="277"/>
                                      <a:pt x="4151" y="277"/>
                                    </a:cubicBezTo>
                                    <a:cubicBezTo>
                                      <a:pt x="3864" y="277"/>
                                      <a:pt x="3864" y="277"/>
                                      <a:pt x="3864" y="277"/>
                                    </a:cubicBezTo>
                                    <a:cubicBezTo>
                                      <a:pt x="3864" y="370"/>
                                      <a:pt x="3864" y="370"/>
                                      <a:pt x="3864" y="370"/>
                                    </a:cubicBezTo>
                                    <a:lnTo>
                                      <a:pt x="4214" y="370"/>
                                    </a:lnTo>
                                    <a:close/>
                                    <a:moveTo>
                                      <a:pt x="4345" y="21"/>
                                    </a:moveTo>
                                    <a:cubicBezTo>
                                      <a:pt x="4345" y="457"/>
                                      <a:pt x="4345" y="457"/>
                                      <a:pt x="4345" y="457"/>
                                    </a:cubicBezTo>
                                    <a:cubicBezTo>
                                      <a:pt x="4442" y="457"/>
                                      <a:pt x="4442" y="457"/>
                                      <a:pt x="4442" y="457"/>
                                    </a:cubicBezTo>
                                    <a:cubicBezTo>
                                      <a:pt x="4442" y="144"/>
                                      <a:pt x="4442" y="144"/>
                                      <a:pt x="4442" y="144"/>
                                    </a:cubicBezTo>
                                    <a:cubicBezTo>
                                      <a:pt x="4753" y="457"/>
                                      <a:pt x="4753" y="457"/>
                                      <a:pt x="4753" y="457"/>
                                    </a:cubicBezTo>
                                    <a:cubicBezTo>
                                      <a:pt x="4841" y="457"/>
                                      <a:pt x="4841" y="457"/>
                                      <a:pt x="4841" y="457"/>
                                    </a:cubicBezTo>
                                    <a:cubicBezTo>
                                      <a:pt x="4841" y="21"/>
                                      <a:pt x="4841" y="21"/>
                                      <a:pt x="4841" y="21"/>
                                    </a:cubicBezTo>
                                    <a:cubicBezTo>
                                      <a:pt x="4745" y="21"/>
                                      <a:pt x="4745" y="21"/>
                                      <a:pt x="4745" y="21"/>
                                    </a:cubicBezTo>
                                    <a:cubicBezTo>
                                      <a:pt x="4745" y="319"/>
                                      <a:pt x="4745" y="319"/>
                                      <a:pt x="4745" y="319"/>
                                    </a:cubicBezTo>
                                    <a:cubicBezTo>
                                      <a:pt x="4450" y="21"/>
                                      <a:pt x="4450" y="21"/>
                                      <a:pt x="4450" y="21"/>
                                    </a:cubicBezTo>
                                    <a:lnTo>
                                      <a:pt x="4345" y="21"/>
                                    </a:lnTo>
                                    <a:close/>
                                    <a:moveTo>
                                      <a:pt x="196" y="283"/>
                                    </a:moveTo>
                                    <a:cubicBezTo>
                                      <a:pt x="375" y="283"/>
                                      <a:pt x="375" y="283"/>
                                      <a:pt x="375" y="283"/>
                                    </a:cubicBezTo>
                                    <a:cubicBezTo>
                                      <a:pt x="283" y="109"/>
                                      <a:pt x="283" y="109"/>
                                      <a:pt x="283" y="109"/>
                                    </a:cubicBezTo>
                                    <a:lnTo>
                                      <a:pt x="196" y="283"/>
                                    </a:lnTo>
                                    <a:close/>
                                    <a:moveTo>
                                      <a:pt x="341" y="21"/>
                                    </a:moveTo>
                                    <a:cubicBezTo>
                                      <a:pt x="572" y="457"/>
                                      <a:pt x="572" y="457"/>
                                      <a:pt x="572" y="457"/>
                                    </a:cubicBezTo>
                                    <a:cubicBezTo>
                                      <a:pt x="464" y="457"/>
                                      <a:pt x="464" y="457"/>
                                      <a:pt x="464" y="457"/>
                                    </a:cubicBezTo>
                                    <a:cubicBezTo>
                                      <a:pt x="418" y="365"/>
                                      <a:pt x="418" y="365"/>
                                      <a:pt x="418" y="365"/>
                                    </a:cubicBezTo>
                                    <a:cubicBezTo>
                                      <a:pt x="153" y="365"/>
                                      <a:pt x="153" y="365"/>
                                      <a:pt x="153" y="365"/>
                                    </a:cubicBezTo>
                                    <a:cubicBezTo>
                                      <a:pt x="107" y="457"/>
                                      <a:pt x="107" y="457"/>
                                      <a:pt x="107" y="457"/>
                                    </a:cubicBezTo>
                                    <a:cubicBezTo>
                                      <a:pt x="0" y="457"/>
                                      <a:pt x="0" y="457"/>
                                      <a:pt x="0" y="457"/>
                                    </a:cubicBezTo>
                                    <a:cubicBezTo>
                                      <a:pt x="231" y="21"/>
                                      <a:pt x="231" y="21"/>
                                      <a:pt x="231" y="21"/>
                                    </a:cubicBezTo>
                                    <a:lnTo>
                                      <a:pt x="341" y="21"/>
                                    </a:lnTo>
                                    <a:close/>
                                    <a:moveTo>
                                      <a:pt x="2456" y="283"/>
                                    </a:moveTo>
                                    <a:cubicBezTo>
                                      <a:pt x="2366" y="106"/>
                                      <a:pt x="2366" y="106"/>
                                      <a:pt x="2366" y="106"/>
                                    </a:cubicBezTo>
                                    <a:cubicBezTo>
                                      <a:pt x="2276" y="283"/>
                                      <a:pt x="2276" y="283"/>
                                      <a:pt x="2276" y="283"/>
                                    </a:cubicBezTo>
                                    <a:lnTo>
                                      <a:pt x="2456" y="283"/>
                                    </a:lnTo>
                                    <a:close/>
                                    <a:moveTo>
                                      <a:pt x="2422" y="21"/>
                                    </a:moveTo>
                                    <a:cubicBezTo>
                                      <a:pt x="2654" y="457"/>
                                      <a:pt x="2654" y="457"/>
                                      <a:pt x="2654" y="457"/>
                                    </a:cubicBezTo>
                                    <a:cubicBezTo>
                                      <a:pt x="2546" y="457"/>
                                      <a:pt x="2546" y="457"/>
                                      <a:pt x="2546" y="457"/>
                                    </a:cubicBezTo>
                                    <a:cubicBezTo>
                                      <a:pt x="2499" y="365"/>
                                      <a:pt x="2499" y="365"/>
                                      <a:pt x="2499" y="365"/>
                                    </a:cubicBezTo>
                                    <a:cubicBezTo>
                                      <a:pt x="2234" y="365"/>
                                      <a:pt x="2234" y="365"/>
                                      <a:pt x="2234" y="365"/>
                                    </a:cubicBezTo>
                                    <a:cubicBezTo>
                                      <a:pt x="2188" y="457"/>
                                      <a:pt x="2188" y="457"/>
                                      <a:pt x="2188" y="457"/>
                                    </a:cubicBezTo>
                                    <a:cubicBezTo>
                                      <a:pt x="2081" y="457"/>
                                      <a:pt x="2081" y="457"/>
                                      <a:pt x="2081" y="457"/>
                                    </a:cubicBezTo>
                                    <a:cubicBezTo>
                                      <a:pt x="2312" y="21"/>
                                      <a:pt x="2312" y="21"/>
                                      <a:pt x="2312" y="21"/>
                                    </a:cubicBezTo>
                                    <a:lnTo>
                                      <a:pt x="2422" y="21"/>
                                    </a:lnTo>
                                    <a:close/>
                                    <a:moveTo>
                                      <a:pt x="1015" y="325"/>
                                    </a:moveTo>
                                    <a:cubicBezTo>
                                      <a:pt x="993" y="353"/>
                                      <a:pt x="966" y="371"/>
                                      <a:pt x="932" y="378"/>
                                    </a:cubicBezTo>
                                    <a:cubicBezTo>
                                      <a:pt x="886" y="388"/>
                                      <a:pt x="841" y="387"/>
                                      <a:pt x="796" y="372"/>
                                    </a:cubicBezTo>
                                    <a:cubicBezTo>
                                      <a:pt x="762" y="360"/>
                                      <a:pt x="735" y="339"/>
                                      <a:pt x="719" y="306"/>
                                    </a:cubicBezTo>
                                    <a:cubicBezTo>
                                      <a:pt x="707" y="280"/>
                                      <a:pt x="704" y="254"/>
                                      <a:pt x="705" y="226"/>
                                    </a:cubicBezTo>
                                    <a:cubicBezTo>
                                      <a:pt x="709" y="168"/>
                                      <a:pt x="741" y="125"/>
                                      <a:pt x="797" y="105"/>
                                    </a:cubicBezTo>
                                    <a:cubicBezTo>
                                      <a:pt x="837" y="91"/>
                                      <a:pt x="879" y="89"/>
                                      <a:pt x="920" y="96"/>
                                    </a:cubicBezTo>
                                    <a:cubicBezTo>
                                      <a:pt x="960" y="103"/>
                                      <a:pt x="993" y="123"/>
                                      <a:pt x="1016" y="156"/>
                                    </a:cubicBezTo>
                                    <a:cubicBezTo>
                                      <a:pt x="1018" y="158"/>
                                      <a:pt x="1020" y="160"/>
                                      <a:pt x="1022" y="163"/>
                                    </a:cubicBezTo>
                                    <a:cubicBezTo>
                                      <a:pt x="1052" y="148"/>
                                      <a:pt x="1082" y="133"/>
                                      <a:pt x="1113" y="117"/>
                                    </a:cubicBezTo>
                                    <a:cubicBezTo>
                                      <a:pt x="1106" y="108"/>
                                      <a:pt x="1100" y="99"/>
                                      <a:pt x="1092" y="92"/>
                                    </a:cubicBezTo>
                                    <a:cubicBezTo>
                                      <a:pt x="1051" y="49"/>
                                      <a:pt x="1000" y="24"/>
                                      <a:pt x="942" y="13"/>
                                    </a:cubicBezTo>
                                    <a:cubicBezTo>
                                      <a:pt x="874" y="0"/>
                                      <a:pt x="808" y="6"/>
                                      <a:pt x="744" y="30"/>
                                    </a:cubicBezTo>
                                    <a:cubicBezTo>
                                      <a:pt x="683" y="53"/>
                                      <a:pt x="639" y="93"/>
                                      <a:pt x="617" y="155"/>
                                    </a:cubicBezTo>
                                    <a:cubicBezTo>
                                      <a:pt x="599" y="204"/>
                                      <a:pt x="598" y="254"/>
                                      <a:pt x="611" y="304"/>
                                    </a:cubicBezTo>
                                    <a:cubicBezTo>
                                      <a:pt x="630" y="375"/>
                                      <a:pt x="676" y="422"/>
                                      <a:pt x="745" y="449"/>
                                    </a:cubicBezTo>
                                    <a:cubicBezTo>
                                      <a:pt x="810" y="474"/>
                                      <a:pt x="878" y="477"/>
                                      <a:pt x="946" y="464"/>
                                    </a:cubicBezTo>
                                    <a:cubicBezTo>
                                      <a:pt x="998" y="454"/>
                                      <a:pt x="1045" y="432"/>
                                      <a:pt x="1084" y="395"/>
                                    </a:cubicBezTo>
                                    <a:cubicBezTo>
                                      <a:pt x="1095" y="384"/>
                                      <a:pt x="1105" y="373"/>
                                      <a:pt x="1114" y="359"/>
                                    </a:cubicBezTo>
                                    <a:cubicBezTo>
                                      <a:pt x="1083" y="344"/>
                                      <a:pt x="1054" y="329"/>
                                      <a:pt x="1023" y="314"/>
                                    </a:cubicBezTo>
                                    <a:cubicBezTo>
                                      <a:pt x="1020" y="318"/>
                                      <a:pt x="1018" y="322"/>
                                      <a:pt x="1015" y="325"/>
                                    </a:cubicBezTo>
                                    <a:moveTo>
                                      <a:pt x="1582" y="371"/>
                                    </a:moveTo>
                                    <a:cubicBezTo>
                                      <a:pt x="1582" y="21"/>
                                      <a:pt x="1582" y="21"/>
                                      <a:pt x="1582" y="21"/>
                                    </a:cubicBezTo>
                                    <a:cubicBezTo>
                                      <a:pt x="1483" y="21"/>
                                      <a:pt x="1483" y="21"/>
                                      <a:pt x="1483" y="21"/>
                                    </a:cubicBezTo>
                                    <a:cubicBezTo>
                                      <a:pt x="1483" y="457"/>
                                      <a:pt x="1483" y="457"/>
                                      <a:pt x="1483" y="457"/>
                                    </a:cubicBezTo>
                                    <a:cubicBezTo>
                                      <a:pt x="1891" y="457"/>
                                      <a:pt x="1891" y="457"/>
                                      <a:pt x="1891" y="457"/>
                                    </a:cubicBezTo>
                                    <a:cubicBezTo>
                                      <a:pt x="1891" y="371"/>
                                      <a:pt x="1891" y="371"/>
                                      <a:pt x="1891" y="371"/>
                                    </a:cubicBezTo>
                                    <a:lnTo>
                                      <a:pt x="1582" y="371"/>
                                    </a:lnTo>
                                    <a:close/>
                                    <a:moveTo>
                                      <a:pt x="2845" y="370"/>
                                    </a:moveTo>
                                    <a:cubicBezTo>
                                      <a:pt x="2845" y="21"/>
                                      <a:pt x="2845" y="21"/>
                                      <a:pt x="2845" y="21"/>
                                    </a:cubicBezTo>
                                    <a:cubicBezTo>
                                      <a:pt x="2747" y="21"/>
                                      <a:pt x="2747" y="21"/>
                                      <a:pt x="2747" y="21"/>
                                    </a:cubicBezTo>
                                    <a:cubicBezTo>
                                      <a:pt x="2747" y="457"/>
                                      <a:pt x="2747" y="457"/>
                                      <a:pt x="2747" y="457"/>
                                    </a:cubicBezTo>
                                    <a:cubicBezTo>
                                      <a:pt x="3155" y="457"/>
                                      <a:pt x="3155" y="457"/>
                                      <a:pt x="3155" y="457"/>
                                    </a:cubicBezTo>
                                    <a:cubicBezTo>
                                      <a:pt x="3155" y="370"/>
                                      <a:pt x="3155" y="370"/>
                                      <a:pt x="3155" y="370"/>
                                    </a:cubicBezTo>
                                    <a:lnTo>
                                      <a:pt x="2845" y="370"/>
                                    </a:lnTo>
                                    <a:close/>
                                    <a:moveTo>
                                      <a:pt x="3350" y="370"/>
                                    </a:moveTo>
                                    <a:cubicBezTo>
                                      <a:pt x="3350" y="21"/>
                                      <a:pt x="3350" y="21"/>
                                      <a:pt x="3350" y="21"/>
                                    </a:cubicBezTo>
                                    <a:cubicBezTo>
                                      <a:pt x="3253" y="21"/>
                                      <a:pt x="3253" y="21"/>
                                      <a:pt x="3253" y="21"/>
                                    </a:cubicBezTo>
                                    <a:cubicBezTo>
                                      <a:pt x="3253" y="457"/>
                                      <a:pt x="3253" y="457"/>
                                      <a:pt x="3253" y="457"/>
                                    </a:cubicBezTo>
                                    <a:cubicBezTo>
                                      <a:pt x="3660" y="457"/>
                                      <a:pt x="3660" y="457"/>
                                      <a:pt x="3660" y="457"/>
                                    </a:cubicBezTo>
                                    <a:cubicBezTo>
                                      <a:pt x="3660" y="370"/>
                                      <a:pt x="3660" y="370"/>
                                      <a:pt x="3660" y="370"/>
                                    </a:cubicBezTo>
                                    <a:lnTo>
                                      <a:pt x="3350" y="370"/>
                                    </a:lnTo>
                                    <a:close/>
                                    <a:moveTo>
                                      <a:pt x="1233" y="457"/>
                                    </a:moveTo>
                                    <a:cubicBezTo>
                                      <a:pt x="1335" y="457"/>
                                      <a:pt x="1335" y="457"/>
                                      <a:pt x="1335" y="457"/>
                                    </a:cubicBezTo>
                                    <a:cubicBezTo>
                                      <a:pt x="1335" y="21"/>
                                      <a:pt x="1335" y="21"/>
                                      <a:pt x="1335" y="21"/>
                                    </a:cubicBezTo>
                                    <a:cubicBezTo>
                                      <a:pt x="1233" y="21"/>
                                      <a:pt x="1233" y="21"/>
                                      <a:pt x="1233" y="21"/>
                                    </a:cubicBezTo>
                                    <a:lnTo>
                                      <a:pt x="1233" y="457"/>
                                    </a:lnTo>
                                    <a:close/>
                                  </a:path>
                                </a:pathLst>
                              </a:custGeom>
                              <a:solidFill>
                                <a:srgbClr val="0001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426D44D2" id="Group 619" o:spid="_x0000_s1026" alt="&quot;&quot;" style="position:absolute;margin-left:0;margin-top:5.5pt;width:77.25pt;height:11.25pt;z-index:251712512;mso-position-horizontal-relative:page;mso-position-vertical-relative:page;mso-width-relative:margin;mso-height-relative:margin" coordorigin=",-212" coordsize="121888,187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">
                    <o:lock v:ext="edit" aspectratio="t"/>
                    <v:rect id="Rectangle 622" o:spid="_x0000_s1027" style="position:absolute;top:16431;width:14398;height:2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" fillcolor="#6c3f99" stroked="f"/>
                    <v:shape id="Freeform 6" o:spid="_x0000_s1028" style="position:absolute;top:-212;width:121888;height:12963;visibility:visible;mso-wrap-style:square;v-text-anchor:top" coordsize="4841,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" path="m4214,370v,87,,87,,87c3766,457,3766,457,3766,457v,-436,,-436,,-436c4214,21,4214,21,4214,21v,83,,83,,83c3864,104,3864,104,3864,104v,89,,89,,89c4151,194,4151,194,4151,194v,83,,83,,83c3864,277,3864,277,3864,277v,93,,93,,93l4214,370xm4345,21v,436,,436,,436c4442,457,4442,457,4442,457v,-313,,-313,,-313c4753,457,4753,457,4753,457v88,,88,,88,c4841,21,4841,21,4841,21v-96,,-96,,-96,c4745,319,4745,319,4745,319,4450,21,4450,21,4450,21r-105,xm196,283v179,,179,,179,c283,109,283,109,283,109l196,283xm341,21c572,457,572,457,572,457v-108,,-108,,-108,c418,365,418,365,418,365v-265,,-265,,-265,c107,457,107,457,107,457,,457,,457,,457,231,21,231,21,231,21r110,xm2456,283c2366,106,2366,106,2366,106v-90,177,-90,177,-90,177l2456,283xm2422,21v232,436,232,436,232,436c2546,457,2546,457,2546,457v-47,-92,-47,-92,-47,-92c2234,365,2234,365,2234,365v-46,92,-46,92,-46,92c2081,457,2081,457,2081,457,2312,21,2312,21,2312,21r110,xm1015,325v-22,28,-49,46,-83,53c886,388,841,387,796,372,762,360,735,339,719,306,707,280,704,254,705,226v4,-58,36,-101,92,-121c837,91,879,89,920,96v40,7,73,27,96,60c1018,158,1020,160,1022,163v30,-15,60,-30,91,-46c1106,108,1100,99,1092,92,1051,49,1000,24,942,13,874,,808,6,744,30,683,53,639,93,617,155v-18,49,-19,99,-6,149c630,375,676,422,745,449v65,25,133,28,201,15c998,454,1045,432,1084,395v11,-11,21,-22,30,-36c1083,344,1054,329,1023,314v-3,4,-5,8,-8,11m1582,371v,-350,,-350,,-350c1483,21,1483,21,1483,21v,436,,436,,436c1891,457,1891,457,1891,457v,-86,,-86,,-86l1582,371xm2845,370v,-349,,-349,,-349c2747,21,2747,21,2747,21v,436,,436,,436c3155,457,3155,457,3155,457v,-87,,-87,,-87l2845,370xm3350,370v,-349,,-349,,-349c3253,21,3253,21,3253,21v,436,,436,,436c3660,457,3660,457,3660,457v,-87,,-87,,-87l3350,370xm1233,457v102,,102,,102,c1335,21,1335,21,1335,21v-102,,-102,,-102,l1233,457xe" fillcolor="#000100" stroked="f">
                      <v:path arrowok="t" o:connecttype="custom" o:connectlocs="10610144,1241977;9482156,57071;10610144,282638;9728903,524511;10451521,752795;9728903,1005539;10939980,57071;11184210,1241977;11967256,1241977;12188825,57071;11947113,866938;10939980,57071;944187,769101;493495,769101;1440200,1241977;1052454,991951;269408,1241977;581619,57071;6183796,769101;5730586,769101;6098189,57071;6410400,1241977;5624837,991951;5239609,1241977;6098189,57071;2346619,1027280;1810321,831608;2006712,285356;2558117,423957;2802347,317968;2371798,35330;1553502,421239;1875785,1220235;2729330,1073481;2575742,853349;3983210,1008257;3733945,57071;4761220,1241977;3983210,1008257;7163232,57071;6916485,1241977;7943760,1005539;8434737,1005539;8190508,57071;9215265,1241977;8434737,1005539;3361306,1241977;3104487,57071" o:connectangles="0,0,0,0,0,0,0,0,0,0,0,0,0,0,0,0,0,0,0,0,0,0,0,0,0,0,0,0,0,0,0,0,0,0,0,0,0,0,0,0,0,0,0,0,0,0,0,0"/>
                      <o:lock v:ext="edit" verticies="t"/>
                    </v:shape>
                    <w10:wrap anchorx="page" anchory="page"/>
                    <w10:anchorlock/>
                  </v:group>
                </w:pict>
              </mc:Fallback>
            </mc:AlternateContent>
          </w:r>
        </w:p>
      </w:tc>
      <w:tc>
        <w:tcPr>
          <w:tcW w:w="5181" w:type="dxa"/>
          <w:vAlign w:val="center"/>
        </w:tcPr>
        <w:p w14:paraId="30BE92E8" w14:textId="07E82377" w:rsidR="002B32A0" w:rsidRDefault="002B32A0" w:rsidP="004A1654">
          <w:pPr>
            <w:pStyle w:val="Header-CompanyName"/>
          </w:pPr>
        </w:p>
      </w:tc>
    </w:tr>
  </w:tbl>
  <w:p w14:paraId="6FC9DB20" w14:textId="6451339C" w:rsidR="002B32A0" w:rsidRPr="006B209A" w:rsidRDefault="002B32A0" w:rsidP="006B209A">
    <w:pPr>
      <w:pStyle w:val="Heade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418E22" w14:textId="77777777" w:rsidR="002B32A0" w:rsidRPr="006B209A" w:rsidRDefault="002B32A0" w:rsidP="006B209A">
    <w:pPr>
      <w:pStyle w:val="Header"/>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8FA042" w14:textId="77777777" w:rsidR="002B32A0" w:rsidRPr="006B209A" w:rsidRDefault="002B32A0" w:rsidP="006B209A">
    <w:pPr>
      <w:pStyle w:val="Heade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acTablenolines"/>
      <w:tblW w:w="10052" w:type="dxa"/>
      <w:tblLayout w:type="fixed"/>
      <w:tblLook w:val="04A0" w:firstRow="1" w:lastRow="0" w:firstColumn="1" w:lastColumn="0" w:noHBand="0" w:noVBand="1"/>
    </w:tblPr>
    <w:tblGrid>
      <w:gridCol w:w="5026"/>
      <w:gridCol w:w="5026"/>
    </w:tblGrid>
    <w:tr w:rsidR="002B32A0" w14:paraId="5011F876" w14:textId="77777777" w:rsidTr="000B0AC7">
      <w:trPr>
        <w:trHeight w:hRule="exact" w:val="356"/>
      </w:trPr>
      <w:tc>
        <w:tcPr>
          <w:tcW w:w="5026" w:type="dxa"/>
          <w:vAlign w:val="center"/>
        </w:tcPr>
        <w:p w14:paraId="36F1FFAF" w14:textId="77777777" w:rsidR="002B32A0" w:rsidRDefault="002B32A0" w:rsidP="006B209A">
          <w:pPr>
            <w:pStyle w:val="spacer"/>
          </w:pPr>
          <w:r w:rsidRPr="000261B1">
            <w:rPr>
              <w:noProof/>
            </w:rPr>
            <mc:AlternateContent>
              <mc:Choice Requires="wpg">
                <w:drawing>
                  <wp:anchor distT="0" distB="0" distL="114300" distR="114300" simplePos="0" relativeHeight="251713536" behindDoc="0" locked="1" layoutInCell="1" allowOverlap="1" wp14:anchorId="2B84A27C" wp14:editId="1A5A2778">
                    <wp:simplePos x="0" y="0"/>
                    <wp:positionH relativeFrom="page">
                      <wp:posOffset>0</wp:posOffset>
                    </wp:positionH>
                    <wp:positionV relativeFrom="page">
                      <wp:posOffset>69850</wp:posOffset>
                    </wp:positionV>
                    <wp:extent cx="981075" cy="142875"/>
                    <wp:effectExtent l="0" t="0" r="9525" b="9525"/>
                    <wp:wrapNone/>
                    <wp:docPr id="629" name="Group 6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981075" cy="142875"/>
                              <a:chOff x="0" y="-21209"/>
                              <a:chExt cx="12188825" cy="1878663"/>
                            </a:xfrm>
                          </wpg:grpSpPr>
                          <wps:wsp>
                            <wps:cNvPr id="630" name="Rectangle 630"/>
                            <wps:cNvSpPr>
                              <a:spLocks noChangeArrowheads="1"/>
                            </wps:cNvSpPr>
                            <wps:spPr bwMode="auto">
                              <a:xfrm>
                                <a:off x="0" y="1643143"/>
                                <a:ext cx="1439863" cy="214311"/>
                              </a:xfrm>
                              <a:prstGeom prst="rect">
                                <a:avLst/>
                              </a:prstGeom>
                              <a:solidFill>
                                <a:srgbClr val="6C3F99"/>
                              </a:solid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631" name="Freeform 6"/>
                            <wps:cNvSpPr>
                              <a:spLocks noEditPoints="1"/>
                            </wps:cNvSpPr>
                            <wps:spPr bwMode="auto">
                              <a:xfrm>
                                <a:off x="0" y="-21209"/>
                                <a:ext cx="12188825" cy="1296330"/>
                              </a:xfrm>
                              <a:custGeom>
                                <a:avLst/>
                                <a:gdLst>
                                  <a:gd name="T0" fmla="*/ 4214 w 4841"/>
                                  <a:gd name="T1" fmla="*/ 457 h 477"/>
                                  <a:gd name="T2" fmla="*/ 3766 w 4841"/>
                                  <a:gd name="T3" fmla="*/ 21 h 477"/>
                                  <a:gd name="T4" fmla="*/ 4214 w 4841"/>
                                  <a:gd name="T5" fmla="*/ 104 h 477"/>
                                  <a:gd name="T6" fmla="*/ 3864 w 4841"/>
                                  <a:gd name="T7" fmla="*/ 193 h 477"/>
                                  <a:gd name="T8" fmla="*/ 4151 w 4841"/>
                                  <a:gd name="T9" fmla="*/ 277 h 477"/>
                                  <a:gd name="T10" fmla="*/ 3864 w 4841"/>
                                  <a:gd name="T11" fmla="*/ 370 h 477"/>
                                  <a:gd name="T12" fmla="*/ 4345 w 4841"/>
                                  <a:gd name="T13" fmla="*/ 21 h 477"/>
                                  <a:gd name="T14" fmla="*/ 4442 w 4841"/>
                                  <a:gd name="T15" fmla="*/ 457 h 477"/>
                                  <a:gd name="T16" fmla="*/ 4753 w 4841"/>
                                  <a:gd name="T17" fmla="*/ 457 h 477"/>
                                  <a:gd name="T18" fmla="*/ 4841 w 4841"/>
                                  <a:gd name="T19" fmla="*/ 21 h 477"/>
                                  <a:gd name="T20" fmla="*/ 4745 w 4841"/>
                                  <a:gd name="T21" fmla="*/ 319 h 477"/>
                                  <a:gd name="T22" fmla="*/ 4345 w 4841"/>
                                  <a:gd name="T23" fmla="*/ 21 h 477"/>
                                  <a:gd name="T24" fmla="*/ 375 w 4841"/>
                                  <a:gd name="T25" fmla="*/ 283 h 477"/>
                                  <a:gd name="T26" fmla="*/ 196 w 4841"/>
                                  <a:gd name="T27" fmla="*/ 283 h 477"/>
                                  <a:gd name="T28" fmla="*/ 572 w 4841"/>
                                  <a:gd name="T29" fmla="*/ 457 h 477"/>
                                  <a:gd name="T30" fmla="*/ 418 w 4841"/>
                                  <a:gd name="T31" fmla="*/ 365 h 477"/>
                                  <a:gd name="T32" fmla="*/ 107 w 4841"/>
                                  <a:gd name="T33" fmla="*/ 457 h 477"/>
                                  <a:gd name="T34" fmla="*/ 231 w 4841"/>
                                  <a:gd name="T35" fmla="*/ 21 h 477"/>
                                  <a:gd name="T36" fmla="*/ 2456 w 4841"/>
                                  <a:gd name="T37" fmla="*/ 283 h 477"/>
                                  <a:gd name="T38" fmla="*/ 2276 w 4841"/>
                                  <a:gd name="T39" fmla="*/ 283 h 477"/>
                                  <a:gd name="T40" fmla="*/ 2422 w 4841"/>
                                  <a:gd name="T41" fmla="*/ 21 h 477"/>
                                  <a:gd name="T42" fmla="*/ 2546 w 4841"/>
                                  <a:gd name="T43" fmla="*/ 457 h 477"/>
                                  <a:gd name="T44" fmla="*/ 2234 w 4841"/>
                                  <a:gd name="T45" fmla="*/ 365 h 477"/>
                                  <a:gd name="T46" fmla="*/ 2081 w 4841"/>
                                  <a:gd name="T47" fmla="*/ 457 h 477"/>
                                  <a:gd name="T48" fmla="*/ 2422 w 4841"/>
                                  <a:gd name="T49" fmla="*/ 21 h 477"/>
                                  <a:gd name="T50" fmla="*/ 932 w 4841"/>
                                  <a:gd name="T51" fmla="*/ 378 h 477"/>
                                  <a:gd name="T52" fmla="*/ 719 w 4841"/>
                                  <a:gd name="T53" fmla="*/ 306 h 477"/>
                                  <a:gd name="T54" fmla="*/ 797 w 4841"/>
                                  <a:gd name="T55" fmla="*/ 105 h 477"/>
                                  <a:gd name="T56" fmla="*/ 1016 w 4841"/>
                                  <a:gd name="T57" fmla="*/ 156 h 477"/>
                                  <a:gd name="T58" fmla="*/ 1113 w 4841"/>
                                  <a:gd name="T59" fmla="*/ 117 h 477"/>
                                  <a:gd name="T60" fmla="*/ 942 w 4841"/>
                                  <a:gd name="T61" fmla="*/ 13 h 477"/>
                                  <a:gd name="T62" fmla="*/ 617 w 4841"/>
                                  <a:gd name="T63" fmla="*/ 155 h 477"/>
                                  <a:gd name="T64" fmla="*/ 745 w 4841"/>
                                  <a:gd name="T65" fmla="*/ 449 h 477"/>
                                  <a:gd name="T66" fmla="*/ 1084 w 4841"/>
                                  <a:gd name="T67" fmla="*/ 395 h 477"/>
                                  <a:gd name="T68" fmla="*/ 1023 w 4841"/>
                                  <a:gd name="T69" fmla="*/ 314 h 477"/>
                                  <a:gd name="T70" fmla="*/ 1582 w 4841"/>
                                  <a:gd name="T71" fmla="*/ 371 h 477"/>
                                  <a:gd name="T72" fmla="*/ 1483 w 4841"/>
                                  <a:gd name="T73" fmla="*/ 21 h 477"/>
                                  <a:gd name="T74" fmla="*/ 1891 w 4841"/>
                                  <a:gd name="T75" fmla="*/ 457 h 477"/>
                                  <a:gd name="T76" fmla="*/ 1582 w 4841"/>
                                  <a:gd name="T77" fmla="*/ 371 h 477"/>
                                  <a:gd name="T78" fmla="*/ 2845 w 4841"/>
                                  <a:gd name="T79" fmla="*/ 21 h 477"/>
                                  <a:gd name="T80" fmla="*/ 2747 w 4841"/>
                                  <a:gd name="T81" fmla="*/ 457 h 477"/>
                                  <a:gd name="T82" fmla="*/ 3155 w 4841"/>
                                  <a:gd name="T83" fmla="*/ 370 h 477"/>
                                  <a:gd name="T84" fmla="*/ 3350 w 4841"/>
                                  <a:gd name="T85" fmla="*/ 370 h 477"/>
                                  <a:gd name="T86" fmla="*/ 3253 w 4841"/>
                                  <a:gd name="T87" fmla="*/ 21 h 477"/>
                                  <a:gd name="T88" fmla="*/ 3660 w 4841"/>
                                  <a:gd name="T89" fmla="*/ 457 h 477"/>
                                  <a:gd name="T90" fmla="*/ 3350 w 4841"/>
                                  <a:gd name="T91" fmla="*/ 370 h 477"/>
                                  <a:gd name="T92" fmla="*/ 1335 w 4841"/>
                                  <a:gd name="T93" fmla="*/ 457 h 477"/>
                                  <a:gd name="T94" fmla="*/ 1233 w 4841"/>
                                  <a:gd name="T95" fmla="*/ 21 h 4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4841" h="477">
                                    <a:moveTo>
                                      <a:pt x="4214" y="370"/>
                                    </a:moveTo>
                                    <a:cubicBezTo>
                                      <a:pt x="4214" y="457"/>
                                      <a:pt x="4214" y="457"/>
                                      <a:pt x="4214" y="457"/>
                                    </a:cubicBezTo>
                                    <a:cubicBezTo>
                                      <a:pt x="3766" y="457"/>
                                      <a:pt x="3766" y="457"/>
                                      <a:pt x="3766" y="457"/>
                                    </a:cubicBezTo>
                                    <a:cubicBezTo>
                                      <a:pt x="3766" y="21"/>
                                      <a:pt x="3766" y="21"/>
                                      <a:pt x="3766" y="21"/>
                                    </a:cubicBezTo>
                                    <a:cubicBezTo>
                                      <a:pt x="4214" y="21"/>
                                      <a:pt x="4214" y="21"/>
                                      <a:pt x="4214" y="21"/>
                                    </a:cubicBezTo>
                                    <a:cubicBezTo>
                                      <a:pt x="4214" y="104"/>
                                      <a:pt x="4214" y="104"/>
                                      <a:pt x="4214" y="104"/>
                                    </a:cubicBezTo>
                                    <a:cubicBezTo>
                                      <a:pt x="3864" y="104"/>
                                      <a:pt x="3864" y="104"/>
                                      <a:pt x="3864" y="104"/>
                                    </a:cubicBezTo>
                                    <a:cubicBezTo>
                                      <a:pt x="3864" y="193"/>
                                      <a:pt x="3864" y="193"/>
                                      <a:pt x="3864" y="193"/>
                                    </a:cubicBezTo>
                                    <a:cubicBezTo>
                                      <a:pt x="4151" y="194"/>
                                      <a:pt x="4151" y="194"/>
                                      <a:pt x="4151" y="194"/>
                                    </a:cubicBezTo>
                                    <a:cubicBezTo>
                                      <a:pt x="4151" y="277"/>
                                      <a:pt x="4151" y="277"/>
                                      <a:pt x="4151" y="277"/>
                                    </a:cubicBezTo>
                                    <a:cubicBezTo>
                                      <a:pt x="3864" y="277"/>
                                      <a:pt x="3864" y="277"/>
                                      <a:pt x="3864" y="277"/>
                                    </a:cubicBezTo>
                                    <a:cubicBezTo>
                                      <a:pt x="3864" y="370"/>
                                      <a:pt x="3864" y="370"/>
                                      <a:pt x="3864" y="370"/>
                                    </a:cubicBezTo>
                                    <a:lnTo>
                                      <a:pt x="4214" y="370"/>
                                    </a:lnTo>
                                    <a:close/>
                                    <a:moveTo>
                                      <a:pt x="4345" y="21"/>
                                    </a:moveTo>
                                    <a:cubicBezTo>
                                      <a:pt x="4345" y="457"/>
                                      <a:pt x="4345" y="457"/>
                                      <a:pt x="4345" y="457"/>
                                    </a:cubicBezTo>
                                    <a:cubicBezTo>
                                      <a:pt x="4442" y="457"/>
                                      <a:pt x="4442" y="457"/>
                                      <a:pt x="4442" y="457"/>
                                    </a:cubicBezTo>
                                    <a:cubicBezTo>
                                      <a:pt x="4442" y="144"/>
                                      <a:pt x="4442" y="144"/>
                                      <a:pt x="4442" y="144"/>
                                    </a:cubicBezTo>
                                    <a:cubicBezTo>
                                      <a:pt x="4753" y="457"/>
                                      <a:pt x="4753" y="457"/>
                                      <a:pt x="4753" y="457"/>
                                    </a:cubicBezTo>
                                    <a:cubicBezTo>
                                      <a:pt x="4841" y="457"/>
                                      <a:pt x="4841" y="457"/>
                                      <a:pt x="4841" y="457"/>
                                    </a:cubicBezTo>
                                    <a:cubicBezTo>
                                      <a:pt x="4841" y="21"/>
                                      <a:pt x="4841" y="21"/>
                                      <a:pt x="4841" y="21"/>
                                    </a:cubicBezTo>
                                    <a:cubicBezTo>
                                      <a:pt x="4745" y="21"/>
                                      <a:pt x="4745" y="21"/>
                                      <a:pt x="4745" y="21"/>
                                    </a:cubicBezTo>
                                    <a:cubicBezTo>
                                      <a:pt x="4745" y="319"/>
                                      <a:pt x="4745" y="319"/>
                                      <a:pt x="4745" y="319"/>
                                    </a:cubicBezTo>
                                    <a:cubicBezTo>
                                      <a:pt x="4450" y="21"/>
                                      <a:pt x="4450" y="21"/>
                                      <a:pt x="4450" y="21"/>
                                    </a:cubicBezTo>
                                    <a:lnTo>
                                      <a:pt x="4345" y="21"/>
                                    </a:lnTo>
                                    <a:close/>
                                    <a:moveTo>
                                      <a:pt x="196" y="283"/>
                                    </a:moveTo>
                                    <a:cubicBezTo>
                                      <a:pt x="375" y="283"/>
                                      <a:pt x="375" y="283"/>
                                      <a:pt x="375" y="283"/>
                                    </a:cubicBezTo>
                                    <a:cubicBezTo>
                                      <a:pt x="283" y="109"/>
                                      <a:pt x="283" y="109"/>
                                      <a:pt x="283" y="109"/>
                                    </a:cubicBezTo>
                                    <a:lnTo>
                                      <a:pt x="196" y="283"/>
                                    </a:lnTo>
                                    <a:close/>
                                    <a:moveTo>
                                      <a:pt x="341" y="21"/>
                                    </a:moveTo>
                                    <a:cubicBezTo>
                                      <a:pt x="572" y="457"/>
                                      <a:pt x="572" y="457"/>
                                      <a:pt x="572" y="457"/>
                                    </a:cubicBezTo>
                                    <a:cubicBezTo>
                                      <a:pt x="464" y="457"/>
                                      <a:pt x="464" y="457"/>
                                      <a:pt x="464" y="457"/>
                                    </a:cubicBezTo>
                                    <a:cubicBezTo>
                                      <a:pt x="418" y="365"/>
                                      <a:pt x="418" y="365"/>
                                      <a:pt x="418" y="365"/>
                                    </a:cubicBezTo>
                                    <a:cubicBezTo>
                                      <a:pt x="153" y="365"/>
                                      <a:pt x="153" y="365"/>
                                      <a:pt x="153" y="365"/>
                                    </a:cubicBezTo>
                                    <a:cubicBezTo>
                                      <a:pt x="107" y="457"/>
                                      <a:pt x="107" y="457"/>
                                      <a:pt x="107" y="457"/>
                                    </a:cubicBezTo>
                                    <a:cubicBezTo>
                                      <a:pt x="0" y="457"/>
                                      <a:pt x="0" y="457"/>
                                      <a:pt x="0" y="457"/>
                                    </a:cubicBezTo>
                                    <a:cubicBezTo>
                                      <a:pt x="231" y="21"/>
                                      <a:pt x="231" y="21"/>
                                      <a:pt x="231" y="21"/>
                                    </a:cubicBezTo>
                                    <a:lnTo>
                                      <a:pt x="341" y="21"/>
                                    </a:lnTo>
                                    <a:close/>
                                    <a:moveTo>
                                      <a:pt x="2456" y="283"/>
                                    </a:moveTo>
                                    <a:cubicBezTo>
                                      <a:pt x="2366" y="106"/>
                                      <a:pt x="2366" y="106"/>
                                      <a:pt x="2366" y="106"/>
                                    </a:cubicBezTo>
                                    <a:cubicBezTo>
                                      <a:pt x="2276" y="283"/>
                                      <a:pt x="2276" y="283"/>
                                      <a:pt x="2276" y="283"/>
                                    </a:cubicBezTo>
                                    <a:lnTo>
                                      <a:pt x="2456" y="283"/>
                                    </a:lnTo>
                                    <a:close/>
                                    <a:moveTo>
                                      <a:pt x="2422" y="21"/>
                                    </a:moveTo>
                                    <a:cubicBezTo>
                                      <a:pt x="2654" y="457"/>
                                      <a:pt x="2654" y="457"/>
                                      <a:pt x="2654" y="457"/>
                                    </a:cubicBezTo>
                                    <a:cubicBezTo>
                                      <a:pt x="2546" y="457"/>
                                      <a:pt x="2546" y="457"/>
                                      <a:pt x="2546" y="457"/>
                                    </a:cubicBezTo>
                                    <a:cubicBezTo>
                                      <a:pt x="2499" y="365"/>
                                      <a:pt x="2499" y="365"/>
                                      <a:pt x="2499" y="365"/>
                                    </a:cubicBezTo>
                                    <a:cubicBezTo>
                                      <a:pt x="2234" y="365"/>
                                      <a:pt x="2234" y="365"/>
                                      <a:pt x="2234" y="365"/>
                                    </a:cubicBezTo>
                                    <a:cubicBezTo>
                                      <a:pt x="2188" y="457"/>
                                      <a:pt x="2188" y="457"/>
                                      <a:pt x="2188" y="457"/>
                                    </a:cubicBezTo>
                                    <a:cubicBezTo>
                                      <a:pt x="2081" y="457"/>
                                      <a:pt x="2081" y="457"/>
                                      <a:pt x="2081" y="457"/>
                                    </a:cubicBezTo>
                                    <a:cubicBezTo>
                                      <a:pt x="2312" y="21"/>
                                      <a:pt x="2312" y="21"/>
                                      <a:pt x="2312" y="21"/>
                                    </a:cubicBezTo>
                                    <a:lnTo>
                                      <a:pt x="2422" y="21"/>
                                    </a:lnTo>
                                    <a:close/>
                                    <a:moveTo>
                                      <a:pt x="1015" y="325"/>
                                    </a:moveTo>
                                    <a:cubicBezTo>
                                      <a:pt x="993" y="353"/>
                                      <a:pt x="966" y="371"/>
                                      <a:pt x="932" y="378"/>
                                    </a:cubicBezTo>
                                    <a:cubicBezTo>
                                      <a:pt x="886" y="388"/>
                                      <a:pt x="841" y="387"/>
                                      <a:pt x="796" y="372"/>
                                    </a:cubicBezTo>
                                    <a:cubicBezTo>
                                      <a:pt x="762" y="360"/>
                                      <a:pt x="735" y="339"/>
                                      <a:pt x="719" y="306"/>
                                    </a:cubicBezTo>
                                    <a:cubicBezTo>
                                      <a:pt x="707" y="280"/>
                                      <a:pt x="704" y="254"/>
                                      <a:pt x="705" y="226"/>
                                    </a:cubicBezTo>
                                    <a:cubicBezTo>
                                      <a:pt x="709" y="168"/>
                                      <a:pt x="741" y="125"/>
                                      <a:pt x="797" y="105"/>
                                    </a:cubicBezTo>
                                    <a:cubicBezTo>
                                      <a:pt x="837" y="91"/>
                                      <a:pt x="879" y="89"/>
                                      <a:pt x="920" y="96"/>
                                    </a:cubicBezTo>
                                    <a:cubicBezTo>
                                      <a:pt x="960" y="103"/>
                                      <a:pt x="993" y="123"/>
                                      <a:pt x="1016" y="156"/>
                                    </a:cubicBezTo>
                                    <a:cubicBezTo>
                                      <a:pt x="1018" y="158"/>
                                      <a:pt x="1020" y="160"/>
                                      <a:pt x="1022" y="163"/>
                                    </a:cubicBezTo>
                                    <a:cubicBezTo>
                                      <a:pt x="1052" y="148"/>
                                      <a:pt x="1082" y="133"/>
                                      <a:pt x="1113" y="117"/>
                                    </a:cubicBezTo>
                                    <a:cubicBezTo>
                                      <a:pt x="1106" y="108"/>
                                      <a:pt x="1100" y="99"/>
                                      <a:pt x="1092" y="92"/>
                                    </a:cubicBezTo>
                                    <a:cubicBezTo>
                                      <a:pt x="1051" y="49"/>
                                      <a:pt x="1000" y="24"/>
                                      <a:pt x="942" y="13"/>
                                    </a:cubicBezTo>
                                    <a:cubicBezTo>
                                      <a:pt x="874" y="0"/>
                                      <a:pt x="808" y="6"/>
                                      <a:pt x="744" y="30"/>
                                    </a:cubicBezTo>
                                    <a:cubicBezTo>
                                      <a:pt x="683" y="53"/>
                                      <a:pt x="639" y="93"/>
                                      <a:pt x="617" y="155"/>
                                    </a:cubicBezTo>
                                    <a:cubicBezTo>
                                      <a:pt x="599" y="204"/>
                                      <a:pt x="598" y="254"/>
                                      <a:pt x="611" y="304"/>
                                    </a:cubicBezTo>
                                    <a:cubicBezTo>
                                      <a:pt x="630" y="375"/>
                                      <a:pt x="676" y="422"/>
                                      <a:pt x="745" y="449"/>
                                    </a:cubicBezTo>
                                    <a:cubicBezTo>
                                      <a:pt x="810" y="474"/>
                                      <a:pt x="878" y="477"/>
                                      <a:pt x="946" y="464"/>
                                    </a:cubicBezTo>
                                    <a:cubicBezTo>
                                      <a:pt x="998" y="454"/>
                                      <a:pt x="1045" y="432"/>
                                      <a:pt x="1084" y="395"/>
                                    </a:cubicBezTo>
                                    <a:cubicBezTo>
                                      <a:pt x="1095" y="384"/>
                                      <a:pt x="1105" y="373"/>
                                      <a:pt x="1114" y="359"/>
                                    </a:cubicBezTo>
                                    <a:cubicBezTo>
                                      <a:pt x="1083" y="344"/>
                                      <a:pt x="1054" y="329"/>
                                      <a:pt x="1023" y="314"/>
                                    </a:cubicBezTo>
                                    <a:cubicBezTo>
                                      <a:pt x="1020" y="318"/>
                                      <a:pt x="1018" y="322"/>
                                      <a:pt x="1015" y="325"/>
                                    </a:cubicBezTo>
                                    <a:moveTo>
                                      <a:pt x="1582" y="371"/>
                                    </a:moveTo>
                                    <a:cubicBezTo>
                                      <a:pt x="1582" y="21"/>
                                      <a:pt x="1582" y="21"/>
                                      <a:pt x="1582" y="21"/>
                                    </a:cubicBezTo>
                                    <a:cubicBezTo>
                                      <a:pt x="1483" y="21"/>
                                      <a:pt x="1483" y="21"/>
                                      <a:pt x="1483" y="21"/>
                                    </a:cubicBezTo>
                                    <a:cubicBezTo>
                                      <a:pt x="1483" y="457"/>
                                      <a:pt x="1483" y="457"/>
                                      <a:pt x="1483" y="457"/>
                                    </a:cubicBezTo>
                                    <a:cubicBezTo>
                                      <a:pt x="1891" y="457"/>
                                      <a:pt x="1891" y="457"/>
                                      <a:pt x="1891" y="457"/>
                                    </a:cubicBezTo>
                                    <a:cubicBezTo>
                                      <a:pt x="1891" y="371"/>
                                      <a:pt x="1891" y="371"/>
                                      <a:pt x="1891" y="371"/>
                                    </a:cubicBezTo>
                                    <a:lnTo>
                                      <a:pt x="1582" y="371"/>
                                    </a:lnTo>
                                    <a:close/>
                                    <a:moveTo>
                                      <a:pt x="2845" y="370"/>
                                    </a:moveTo>
                                    <a:cubicBezTo>
                                      <a:pt x="2845" y="21"/>
                                      <a:pt x="2845" y="21"/>
                                      <a:pt x="2845" y="21"/>
                                    </a:cubicBezTo>
                                    <a:cubicBezTo>
                                      <a:pt x="2747" y="21"/>
                                      <a:pt x="2747" y="21"/>
                                      <a:pt x="2747" y="21"/>
                                    </a:cubicBezTo>
                                    <a:cubicBezTo>
                                      <a:pt x="2747" y="457"/>
                                      <a:pt x="2747" y="457"/>
                                      <a:pt x="2747" y="457"/>
                                    </a:cubicBezTo>
                                    <a:cubicBezTo>
                                      <a:pt x="3155" y="457"/>
                                      <a:pt x="3155" y="457"/>
                                      <a:pt x="3155" y="457"/>
                                    </a:cubicBezTo>
                                    <a:cubicBezTo>
                                      <a:pt x="3155" y="370"/>
                                      <a:pt x="3155" y="370"/>
                                      <a:pt x="3155" y="370"/>
                                    </a:cubicBezTo>
                                    <a:lnTo>
                                      <a:pt x="2845" y="370"/>
                                    </a:lnTo>
                                    <a:close/>
                                    <a:moveTo>
                                      <a:pt x="3350" y="370"/>
                                    </a:moveTo>
                                    <a:cubicBezTo>
                                      <a:pt x="3350" y="21"/>
                                      <a:pt x="3350" y="21"/>
                                      <a:pt x="3350" y="21"/>
                                    </a:cubicBezTo>
                                    <a:cubicBezTo>
                                      <a:pt x="3253" y="21"/>
                                      <a:pt x="3253" y="21"/>
                                      <a:pt x="3253" y="21"/>
                                    </a:cubicBezTo>
                                    <a:cubicBezTo>
                                      <a:pt x="3253" y="457"/>
                                      <a:pt x="3253" y="457"/>
                                      <a:pt x="3253" y="457"/>
                                    </a:cubicBezTo>
                                    <a:cubicBezTo>
                                      <a:pt x="3660" y="457"/>
                                      <a:pt x="3660" y="457"/>
                                      <a:pt x="3660" y="457"/>
                                    </a:cubicBezTo>
                                    <a:cubicBezTo>
                                      <a:pt x="3660" y="370"/>
                                      <a:pt x="3660" y="370"/>
                                      <a:pt x="3660" y="370"/>
                                    </a:cubicBezTo>
                                    <a:lnTo>
                                      <a:pt x="3350" y="370"/>
                                    </a:lnTo>
                                    <a:close/>
                                    <a:moveTo>
                                      <a:pt x="1233" y="457"/>
                                    </a:moveTo>
                                    <a:cubicBezTo>
                                      <a:pt x="1335" y="457"/>
                                      <a:pt x="1335" y="457"/>
                                      <a:pt x="1335" y="457"/>
                                    </a:cubicBezTo>
                                    <a:cubicBezTo>
                                      <a:pt x="1335" y="21"/>
                                      <a:pt x="1335" y="21"/>
                                      <a:pt x="1335" y="21"/>
                                    </a:cubicBezTo>
                                    <a:cubicBezTo>
                                      <a:pt x="1233" y="21"/>
                                      <a:pt x="1233" y="21"/>
                                      <a:pt x="1233" y="21"/>
                                    </a:cubicBezTo>
                                    <a:lnTo>
                                      <a:pt x="1233" y="457"/>
                                    </a:lnTo>
                                    <a:close/>
                                  </a:path>
                                </a:pathLst>
                              </a:custGeom>
                              <a:solidFill>
                                <a:srgbClr val="FFFE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6C3AD2DD" id="Group 629" o:spid="_x0000_s1026" alt="&quot;&quot;" style="position:absolute;margin-left:0;margin-top:5.5pt;width:77.25pt;height:11.25pt;z-index:251713536;mso-position-horizontal-relative:page;mso-position-vertical-relative:page;mso-width-relative:margin;mso-height-relative:margin" coordorigin=",-212" coordsize="121888,187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">
                    <o:lock v:ext="edit" aspectratio="t"/>
                    <v:rect id="Rectangle 630" o:spid="_x0000_s1027" style="position:absolute;top:16431;width:14398;height:2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" fillcolor="#6c3f99" stroked="f"/>
                    <v:shape id="Freeform 6" o:spid="_x0000_s1028" style="position:absolute;top:-212;width:121888;height:12963;visibility:visible;mso-wrap-style:square;v-text-anchor:top" coordsize="4841,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" path="m4214,370v,87,,87,,87c3766,457,3766,457,3766,457v,-436,,-436,,-436c4214,21,4214,21,4214,21v,83,,83,,83c3864,104,3864,104,3864,104v,89,,89,,89c4151,194,4151,194,4151,194v,83,,83,,83c3864,277,3864,277,3864,277v,93,,93,,93l4214,370xm4345,21v,436,,436,,436c4442,457,4442,457,4442,457v,-313,,-313,,-313c4753,457,4753,457,4753,457v88,,88,,88,c4841,21,4841,21,4841,21v-96,,-96,,-96,c4745,319,4745,319,4745,319,4450,21,4450,21,4450,21r-105,xm196,283v179,,179,,179,c283,109,283,109,283,109l196,283xm341,21c572,457,572,457,572,457v-108,,-108,,-108,c418,365,418,365,418,365v-265,,-265,,-265,c107,457,107,457,107,457,,457,,457,,457,231,21,231,21,231,21r110,xm2456,283c2366,106,2366,106,2366,106v-90,177,-90,177,-90,177l2456,283xm2422,21v232,436,232,436,232,436c2546,457,2546,457,2546,457v-47,-92,-47,-92,-47,-92c2234,365,2234,365,2234,365v-46,92,-46,92,-46,92c2081,457,2081,457,2081,457,2312,21,2312,21,2312,21r110,xm1015,325v-22,28,-49,46,-83,53c886,388,841,387,796,372,762,360,735,339,719,306,707,280,704,254,705,226v4,-58,36,-101,92,-121c837,91,879,89,920,96v40,7,73,27,96,60c1018,158,1020,160,1022,163v30,-15,60,-30,91,-46c1106,108,1100,99,1092,92,1051,49,1000,24,942,13,874,,808,6,744,30,683,53,639,93,617,155v-18,49,-19,99,-6,149c630,375,676,422,745,449v65,25,133,28,201,15c998,454,1045,432,1084,395v11,-11,21,-22,30,-36c1083,344,1054,329,1023,314v-3,4,-5,8,-8,11m1582,371v,-350,,-350,,-350c1483,21,1483,21,1483,21v,436,,436,,436c1891,457,1891,457,1891,457v,-86,,-86,,-86l1582,371xm2845,370v,-349,,-349,,-349c2747,21,2747,21,2747,21v,436,,436,,436c3155,457,3155,457,3155,457v,-87,,-87,,-87l2845,370xm3350,370v,-349,,-349,,-349c3253,21,3253,21,3253,21v,436,,436,,436c3660,457,3660,457,3660,457v,-87,,-87,,-87l3350,370xm1233,457v102,,102,,102,c1335,21,1335,21,1335,21v-102,,-102,,-102,l1233,457xe" fillcolor="#fffeff" stroked="f">
                      <v:path arrowok="t" o:connecttype="custom" o:connectlocs="10610144,1241977;9482156,57071;10610144,282638;9728903,524511;10451521,752795;9728903,1005539;10939980,57071;11184210,1241977;11967256,1241977;12188825,57071;11947113,866938;10939980,57071;944187,769101;493495,769101;1440200,1241977;1052454,991951;269408,1241977;581619,57071;6183796,769101;5730586,769101;6098189,57071;6410400,1241977;5624837,991951;5239609,1241977;6098189,57071;2346619,1027280;1810321,831608;2006712,285356;2558117,423957;2802347,317968;2371798,35330;1553502,421239;1875785,1220235;2729330,1073481;2575742,853349;3983210,1008257;3733945,57071;4761220,1241977;3983210,1008257;7163232,57071;6916485,1241977;7943760,1005539;8434737,1005539;8190508,57071;9215265,1241977;8434737,1005539;3361306,1241977;3104487,57071" o:connectangles="0,0,0,0,0,0,0,0,0,0,0,0,0,0,0,0,0,0,0,0,0,0,0,0,0,0,0,0,0,0,0,0,0,0,0,0,0,0,0,0,0,0,0,0,0,0,0,0"/>
                      <o:lock v:ext="edit" verticies="t"/>
                    </v:shape>
                    <w10:wrap anchorx="page" anchory="page"/>
                    <w10:anchorlock/>
                  </v:group>
                </w:pict>
              </mc:Fallback>
            </mc:AlternateContent>
          </w:r>
        </w:p>
      </w:tc>
      <w:tc>
        <w:tcPr>
          <w:tcW w:w="5026" w:type="dxa"/>
          <w:vAlign w:val="center"/>
        </w:tcPr>
        <w:p w14:paraId="7CEAA03B" w14:textId="2068710B" w:rsidR="002B32A0" w:rsidRDefault="002B32A0" w:rsidP="004A1654">
          <w:pPr>
            <w:pStyle w:val="Header-CompanyName"/>
          </w:pPr>
        </w:p>
      </w:tc>
    </w:tr>
  </w:tbl>
  <w:p w14:paraId="5C75989D" w14:textId="62383AC5" w:rsidR="002B32A0" w:rsidRPr="006B209A" w:rsidRDefault="002B32A0" w:rsidP="006B209A">
    <w:pPr>
      <w:pStyle w:val="tagpartBanner"/>
    </w:pPr>
    <w:r>
      <w:rPr>
        <w:noProof/>
      </w:rPr>
      <mc:AlternateContent>
        <mc:Choice Requires="wps">
          <w:drawing>
            <wp:anchor distT="0" distB="0" distL="114300" distR="114300" simplePos="0" relativeHeight="251673600" behindDoc="1" locked="1" layoutInCell="1" allowOverlap="1" wp14:anchorId="5B074599" wp14:editId="4105EE73">
              <wp:simplePos x="0" y="0"/>
              <wp:positionH relativeFrom="page">
                <wp:posOffset>0</wp:posOffset>
              </wp:positionH>
              <wp:positionV relativeFrom="page">
                <wp:posOffset>0</wp:posOffset>
              </wp:positionV>
              <wp:extent cx="7560310" cy="10692130"/>
              <wp:effectExtent l="0" t="0" r="2540" b="0"/>
              <wp:wrapNone/>
              <wp:docPr id="628" name="Rectangle 6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0310" cy="10692130"/>
                      </a:xfrm>
                      <a:prstGeom prst="rect">
                        <a:avLst/>
                      </a:prstGeom>
                      <a:solidFill>
                        <a:srgbClr val="14003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A602B91" id="Rectangle 628" o:spid="_x0000_s1026" alt="&quot;&quot;" style="position:absolute;margin-left:0;margin-top:0;width:595.3pt;height:841.9pt;z-index:-251642880;visibility:visible;mso-wrap-style:square;mso-wrap-distance-left:9pt;mso-wrap-distance-top:0;mso-wrap-distance-right:9pt;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" fillcolor="#140034" stroked="f" strokeweight="1pt">
              <w10:wrap anchorx="page" anchory="page"/>
              <w10:anchorlock/>
            </v:rect>
          </w:pict>
        </mc:Fallback>
      </mc:AlternateContent>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2AB93E" w14:textId="77777777" w:rsidR="002B32A0" w:rsidRPr="006B209A" w:rsidRDefault="002B32A0" w:rsidP="006B209A">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94B925" w14:textId="77777777" w:rsidR="002B32A0" w:rsidRPr="00667A67" w:rsidRDefault="002B32A0" w:rsidP="00667A67">
    <w:pPr>
      <w:pStyle w:val="Heade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88C79D" w14:textId="77777777" w:rsidR="002B32A0" w:rsidRPr="009337C5" w:rsidRDefault="002B32A0" w:rsidP="00327E78">
    <w:pPr>
      <w:pStyle w:val="Header"/>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acTablenolines"/>
      <w:tblW w:w="10348" w:type="dxa"/>
      <w:tblInd w:w="-2412" w:type="dxa"/>
      <w:tblLayout w:type="fixed"/>
      <w:tblLook w:val="04A0" w:firstRow="1" w:lastRow="0" w:firstColumn="1" w:lastColumn="0" w:noHBand="0" w:noVBand="1"/>
    </w:tblPr>
    <w:tblGrid>
      <w:gridCol w:w="5175"/>
      <w:gridCol w:w="5173"/>
    </w:tblGrid>
    <w:tr w:rsidR="002B32A0" w14:paraId="5EAE5155" w14:textId="77777777" w:rsidTr="000B0AC7">
      <w:trPr>
        <w:trHeight w:hRule="exact" w:val="356"/>
      </w:trPr>
      <w:tc>
        <w:tcPr>
          <w:tcW w:w="5175" w:type="dxa"/>
          <w:vAlign w:val="center"/>
        </w:tcPr>
        <w:p w14:paraId="366A313C" w14:textId="77777777" w:rsidR="002B32A0" w:rsidRDefault="002B32A0" w:rsidP="00327E78">
          <w:pPr>
            <w:pStyle w:val="spacer"/>
          </w:pPr>
          <w:r w:rsidRPr="000261B1">
            <w:rPr>
              <w:noProof/>
            </w:rPr>
            <mc:AlternateContent>
              <mc:Choice Requires="wpg">
                <w:drawing>
                  <wp:anchor distT="0" distB="0" distL="114300" distR="114300" simplePos="0" relativeHeight="251724800" behindDoc="0" locked="1" layoutInCell="1" allowOverlap="1" wp14:anchorId="6706F152" wp14:editId="1064C982">
                    <wp:simplePos x="0" y="0"/>
                    <wp:positionH relativeFrom="page">
                      <wp:posOffset>0</wp:posOffset>
                    </wp:positionH>
                    <wp:positionV relativeFrom="page">
                      <wp:posOffset>69850</wp:posOffset>
                    </wp:positionV>
                    <wp:extent cx="981075" cy="142875"/>
                    <wp:effectExtent l="0" t="0" r="9525" b="9525"/>
                    <wp:wrapNone/>
                    <wp:docPr id="73" name="Group 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981075" cy="142875"/>
                              <a:chOff x="0" y="-21209"/>
                              <a:chExt cx="12188825" cy="1878663"/>
                            </a:xfrm>
                          </wpg:grpSpPr>
                          <wps:wsp>
                            <wps:cNvPr id="74" name="Rectangle 74"/>
                            <wps:cNvSpPr>
                              <a:spLocks noChangeArrowheads="1"/>
                            </wps:cNvSpPr>
                            <wps:spPr bwMode="auto">
                              <a:xfrm>
                                <a:off x="0" y="1643143"/>
                                <a:ext cx="1439863" cy="214311"/>
                              </a:xfrm>
                              <a:prstGeom prst="rect">
                                <a:avLst/>
                              </a:prstGeom>
                              <a:solidFill>
                                <a:srgbClr val="6C3F99"/>
                              </a:solid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75" name="Freeform 6"/>
                            <wps:cNvSpPr>
                              <a:spLocks noEditPoints="1"/>
                            </wps:cNvSpPr>
                            <wps:spPr bwMode="auto">
                              <a:xfrm>
                                <a:off x="0" y="-21209"/>
                                <a:ext cx="12188825" cy="1296330"/>
                              </a:xfrm>
                              <a:custGeom>
                                <a:avLst/>
                                <a:gdLst>
                                  <a:gd name="T0" fmla="*/ 4214 w 4841"/>
                                  <a:gd name="T1" fmla="*/ 457 h 477"/>
                                  <a:gd name="T2" fmla="*/ 3766 w 4841"/>
                                  <a:gd name="T3" fmla="*/ 21 h 477"/>
                                  <a:gd name="T4" fmla="*/ 4214 w 4841"/>
                                  <a:gd name="T5" fmla="*/ 104 h 477"/>
                                  <a:gd name="T6" fmla="*/ 3864 w 4841"/>
                                  <a:gd name="T7" fmla="*/ 193 h 477"/>
                                  <a:gd name="T8" fmla="*/ 4151 w 4841"/>
                                  <a:gd name="T9" fmla="*/ 277 h 477"/>
                                  <a:gd name="T10" fmla="*/ 3864 w 4841"/>
                                  <a:gd name="T11" fmla="*/ 370 h 477"/>
                                  <a:gd name="T12" fmla="*/ 4345 w 4841"/>
                                  <a:gd name="T13" fmla="*/ 21 h 477"/>
                                  <a:gd name="T14" fmla="*/ 4442 w 4841"/>
                                  <a:gd name="T15" fmla="*/ 457 h 477"/>
                                  <a:gd name="T16" fmla="*/ 4753 w 4841"/>
                                  <a:gd name="T17" fmla="*/ 457 h 477"/>
                                  <a:gd name="T18" fmla="*/ 4841 w 4841"/>
                                  <a:gd name="T19" fmla="*/ 21 h 477"/>
                                  <a:gd name="T20" fmla="*/ 4745 w 4841"/>
                                  <a:gd name="T21" fmla="*/ 319 h 477"/>
                                  <a:gd name="T22" fmla="*/ 4345 w 4841"/>
                                  <a:gd name="T23" fmla="*/ 21 h 477"/>
                                  <a:gd name="T24" fmla="*/ 375 w 4841"/>
                                  <a:gd name="T25" fmla="*/ 283 h 477"/>
                                  <a:gd name="T26" fmla="*/ 196 w 4841"/>
                                  <a:gd name="T27" fmla="*/ 283 h 477"/>
                                  <a:gd name="T28" fmla="*/ 572 w 4841"/>
                                  <a:gd name="T29" fmla="*/ 457 h 477"/>
                                  <a:gd name="T30" fmla="*/ 418 w 4841"/>
                                  <a:gd name="T31" fmla="*/ 365 h 477"/>
                                  <a:gd name="T32" fmla="*/ 107 w 4841"/>
                                  <a:gd name="T33" fmla="*/ 457 h 477"/>
                                  <a:gd name="T34" fmla="*/ 231 w 4841"/>
                                  <a:gd name="T35" fmla="*/ 21 h 477"/>
                                  <a:gd name="T36" fmla="*/ 2456 w 4841"/>
                                  <a:gd name="T37" fmla="*/ 283 h 477"/>
                                  <a:gd name="T38" fmla="*/ 2276 w 4841"/>
                                  <a:gd name="T39" fmla="*/ 283 h 477"/>
                                  <a:gd name="T40" fmla="*/ 2422 w 4841"/>
                                  <a:gd name="T41" fmla="*/ 21 h 477"/>
                                  <a:gd name="T42" fmla="*/ 2546 w 4841"/>
                                  <a:gd name="T43" fmla="*/ 457 h 477"/>
                                  <a:gd name="T44" fmla="*/ 2234 w 4841"/>
                                  <a:gd name="T45" fmla="*/ 365 h 477"/>
                                  <a:gd name="T46" fmla="*/ 2081 w 4841"/>
                                  <a:gd name="T47" fmla="*/ 457 h 477"/>
                                  <a:gd name="T48" fmla="*/ 2422 w 4841"/>
                                  <a:gd name="T49" fmla="*/ 21 h 477"/>
                                  <a:gd name="T50" fmla="*/ 932 w 4841"/>
                                  <a:gd name="T51" fmla="*/ 378 h 477"/>
                                  <a:gd name="T52" fmla="*/ 719 w 4841"/>
                                  <a:gd name="T53" fmla="*/ 306 h 477"/>
                                  <a:gd name="T54" fmla="*/ 797 w 4841"/>
                                  <a:gd name="T55" fmla="*/ 105 h 477"/>
                                  <a:gd name="T56" fmla="*/ 1016 w 4841"/>
                                  <a:gd name="T57" fmla="*/ 156 h 477"/>
                                  <a:gd name="T58" fmla="*/ 1113 w 4841"/>
                                  <a:gd name="T59" fmla="*/ 117 h 477"/>
                                  <a:gd name="T60" fmla="*/ 942 w 4841"/>
                                  <a:gd name="T61" fmla="*/ 13 h 477"/>
                                  <a:gd name="T62" fmla="*/ 617 w 4841"/>
                                  <a:gd name="T63" fmla="*/ 155 h 477"/>
                                  <a:gd name="T64" fmla="*/ 745 w 4841"/>
                                  <a:gd name="T65" fmla="*/ 449 h 477"/>
                                  <a:gd name="T66" fmla="*/ 1084 w 4841"/>
                                  <a:gd name="T67" fmla="*/ 395 h 477"/>
                                  <a:gd name="T68" fmla="*/ 1023 w 4841"/>
                                  <a:gd name="T69" fmla="*/ 314 h 477"/>
                                  <a:gd name="T70" fmla="*/ 1582 w 4841"/>
                                  <a:gd name="T71" fmla="*/ 371 h 477"/>
                                  <a:gd name="T72" fmla="*/ 1483 w 4841"/>
                                  <a:gd name="T73" fmla="*/ 21 h 477"/>
                                  <a:gd name="T74" fmla="*/ 1891 w 4841"/>
                                  <a:gd name="T75" fmla="*/ 457 h 477"/>
                                  <a:gd name="T76" fmla="*/ 1582 w 4841"/>
                                  <a:gd name="T77" fmla="*/ 371 h 477"/>
                                  <a:gd name="T78" fmla="*/ 2845 w 4841"/>
                                  <a:gd name="T79" fmla="*/ 21 h 477"/>
                                  <a:gd name="T80" fmla="*/ 2747 w 4841"/>
                                  <a:gd name="T81" fmla="*/ 457 h 477"/>
                                  <a:gd name="T82" fmla="*/ 3155 w 4841"/>
                                  <a:gd name="T83" fmla="*/ 370 h 477"/>
                                  <a:gd name="T84" fmla="*/ 3350 w 4841"/>
                                  <a:gd name="T85" fmla="*/ 370 h 477"/>
                                  <a:gd name="T86" fmla="*/ 3253 w 4841"/>
                                  <a:gd name="T87" fmla="*/ 21 h 477"/>
                                  <a:gd name="T88" fmla="*/ 3660 w 4841"/>
                                  <a:gd name="T89" fmla="*/ 457 h 477"/>
                                  <a:gd name="T90" fmla="*/ 3350 w 4841"/>
                                  <a:gd name="T91" fmla="*/ 370 h 477"/>
                                  <a:gd name="T92" fmla="*/ 1335 w 4841"/>
                                  <a:gd name="T93" fmla="*/ 457 h 477"/>
                                  <a:gd name="T94" fmla="*/ 1233 w 4841"/>
                                  <a:gd name="T95" fmla="*/ 21 h 4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4841" h="477">
                                    <a:moveTo>
                                      <a:pt x="4214" y="370"/>
                                    </a:moveTo>
                                    <a:cubicBezTo>
                                      <a:pt x="4214" y="457"/>
                                      <a:pt x="4214" y="457"/>
                                      <a:pt x="4214" y="457"/>
                                    </a:cubicBezTo>
                                    <a:cubicBezTo>
                                      <a:pt x="3766" y="457"/>
                                      <a:pt x="3766" y="457"/>
                                      <a:pt x="3766" y="457"/>
                                    </a:cubicBezTo>
                                    <a:cubicBezTo>
                                      <a:pt x="3766" y="21"/>
                                      <a:pt x="3766" y="21"/>
                                      <a:pt x="3766" y="21"/>
                                    </a:cubicBezTo>
                                    <a:cubicBezTo>
                                      <a:pt x="4214" y="21"/>
                                      <a:pt x="4214" y="21"/>
                                      <a:pt x="4214" y="21"/>
                                    </a:cubicBezTo>
                                    <a:cubicBezTo>
                                      <a:pt x="4214" y="104"/>
                                      <a:pt x="4214" y="104"/>
                                      <a:pt x="4214" y="104"/>
                                    </a:cubicBezTo>
                                    <a:cubicBezTo>
                                      <a:pt x="3864" y="104"/>
                                      <a:pt x="3864" y="104"/>
                                      <a:pt x="3864" y="104"/>
                                    </a:cubicBezTo>
                                    <a:cubicBezTo>
                                      <a:pt x="3864" y="193"/>
                                      <a:pt x="3864" y="193"/>
                                      <a:pt x="3864" y="193"/>
                                    </a:cubicBezTo>
                                    <a:cubicBezTo>
                                      <a:pt x="4151" y="194"/>
                                      <a:pt x="4151" y="194"/>
                                      <a:pt x="4151" y="194"/>
                                    </a:cubicBezTo>
                                    <a:cubicBezTo>
                                      <a:pt x="4151" y="277"/>
                                      <a:pt x="4151" y="277"/>
                                      <a:pt x="4151" y="277"/>
                                    </a:cubicBezTo>
                                    <a:cubicBezTo>
                                      <a:pt x="3864" y="277"/>
                                      <a:pt x="3864" y="277"/>
                                      <a:pt x="3864" y="277"/>
                                    </a:cubicBezTo>
                                    <a:cubicBezTo>
                                      <a:pt x="3864" y="370"/>
                                      <a:pt x="3864" y="370"/>
                                      <a:pt x="3864" y="370"/>
                                    </a:cubicBezTo>
                                    <a:lnTo>
                                      <a:pt x="4214" y="370"/>
                                    </a:lnTo>
                                    <a:close/>
                                    <a:moveTo>
                                      <a:pt x="4345" y="21"/>
                                    </a:moveTo>
                                    <a:cubicBezTo>
                                      <a:pt x="4345" y="457"/>
                                      <a:pt x="4345" y="457"/>
                                      <a:pt x="4345" y="457"/>
                                    </a:cubicBezTo>
                                    <a:cubicBezTo>
                                      <a:pt x="4442" y="457"/>
                                      <a:pt x="4442" y="457"/>
                                      <a:pt x="4442" y="457"/>
                                    </a:cubicBezTo>
                                    <a:cubicBezTo>
                                      <a:pt x="4442" y="144"/>
                                      <a:pt x="4442" y="144"/>
                                      <a:pt x="4442" y="144"/>
                                    </a:cubicBezTo>
                                    <a:cubicBezTo>
                                      <a:pt x="4753" y="457"/>
                                      <a:pt x="4753" y="457"/>
                                      <a:pt x="4753" y="457"/>
                                    </a:cubicBezTo>
                                    <a:cubicBezTo>
                                      <a:pt x="4841" y="457"/>
                                      <a:pt x="4841" y="457"/>
                                      <a:pt x="4841" y="457"/>
                                    </a:cubicBezTo>
                                    <a:cubicBezTo>
                                      <a:pt x="4841" y="21"/>
                                      <a:pt x="4841" y="21"/>
                                      <a:pt x="4841" y="21"/>
                                    </a:cubicBezTo>
                                    <a:cubicBezTo>
                                      <a:pt x="4745" y="21"/>
                                      <a:pt x="4745" y="21"/>
                                      <a:pt x="4745" y="21"/>
                                    </a:cubicBezTo>
                                    <a:cubicBezTo>
                                      <a:pt x="4745" y="319"/>
                                      <a:pt x="4745" y="319"/>
                                      <a:pt x="4745" y="319"/>
                                    </a:cubicBezTo>
                                    <a:cubicBezTo>
                                      <a:pt x="4450" y="21"/>
                                      <a:pt x="4450" y="21"/>
                                      <a:pt x="4450" y="21"/>
                                    </a:cubicBezTo>
                                    <a:lnTo>
                                      <a:pt x="4345" y="21"/>
                                    </a:lnTo>
                                    <a:close/>
                                    <a:moveTo>
                                      <a:pt x="196" y="283"/>
                                    </a:moveTo>
                                    <a:cubicBezTo>
                                      <a:pt x="375" y="283"/>
                                      <a:pt x="375" y="283"/>
                                      <a:pt x="375" y="283"/>
                                    </a:cubicBezTo>
                                    <a:cubicBezTo>
                                      <a:pt x="283" y="109"/>
                                      <a:pt x="283" y="109"/>
                                      <a:pt x="283" y="109"/>
                                    </a:cubicBezTo>
                                    <a:lnTo>
                                      <a:pt x="196" y="283"/>
                                    </a:lnTo>
                                    <a:close/>
                                    <a:moveTo>
                                      <a:pt x="341" y="21"/>
                                    </a:moveTo>
                                    <a:cubicBezTo>
                                      <a:pt x="572" y="457"/>
                                      <a:pt x="572" y="457"/>
                                      <a:pt x="572" y="457"/>
                                    </a:cubicBezTo>
                                    <a:cubicBezTo>
                                      <a:pt x="464" y="457"/>
                                      <a:pt x="464" y="457"/>
                                      <a:pt x="464" y="457"/>
                                    </a:cubicBezTo>
                                    <a:cubicBezTo>
                                      <a:pt x="418" y="365"/>
                                      <a:pt x="418" y="365"/>
                                      <a:pt x="418" y="365"/>
                                    </a:cubicBezTo>
                                    <a:cubicBezTo>
                                      <a:pt x="153" y="365"/>
                                      <a:pt x="153" y="365"/>
                                      <a:pt x="153" y="365"/>
                                    </a:cubicBezTo>
                                    <a:cubicBezTo>
                                      <a:pt x="107" y="457"/>
                                      <a:pt x="107" y="457"/>
                                      <a:pt x="107" y="457"/>
                                    </a:cubicBezTo>
                                    <a:cubicBezTo>
                                      <a:pt x="0" y="457"/>
                                      <a:pt x="0" y="457"/>
                                      <a:pt x="0" y="457"/>
                                    </a:cubicBezTo>
                                    <a:cubicBezTo>
                                      <a:pt x="231" y="21"/>
                                      <a:pt x="231" y="21"/>
                                      <a:pt x="231" y="21"/>
                                    </a:cubicBezTo>
                                    <a:lnTo>
                                      <a:pt x="341" y="21"/>
                                    </a:lnTo>
                                    <a:close/>
                                    <a:moveTo>
                                      <a:pt x="2456" y="283"/>
                                    </a:moveTo>
                                    <a:cubicBezTo>
                                      <a:pt x="2366" y="106"/>
                                      <a:pt x="2366" y="106"/>
                                      <a:pt x="2366" y="106"/>
                                    </a:cubicBezTo>
                                    <a:cubicBezTo>
                                      <a:pt x="2276" y="283"/>
                                      <a:pt x="2276" y="283"/>
                                      <a:pt x="2276" y="283"/>
                                    </a:cubicBezTo>
                                    <a:lnTo>
                                      <a:pt x="2456" y="283"/>
                                    </a:lnTo>
                                    <a:close/>
                                    <a:moveTo>
                                      <a:pt x="2422" y="21"/>
                                    </a:moveTo>
                                    <a:cubicBezTo>
                                      <a:pt x="2654" y="457"/>
                                      <a:pt x="2654" y="457"/>
                                      <a:pt x="2654" y="457"/>
                                    </a:cubicBezTo>
                                    <a:cubicBezTo>
                                      <a:pt x="2546" y="457"/>
                                      <a:pt x="2546" y="457"/>
                                      <a:pt x="2546" y="457"/>
                                    </a:cubicBezTo>
                                    <a:cubicBezTo>
                                      <a:pt x="2499" y="365"/>
                                      <a:pt x="2499" y="365"/>
                                      <a:pt x="2499" y="365"/>
                                    </a:cubicBezTo>
                                    <a:cubicBezTo>
                                      <a:pt x="2234" y="365"/>
                                      <a:pt x="2234" y="365"/>
                                      <a:pt x="2234" y="365"/>
                                    </a:cubicBezTo>
                                    <a:cubicBezTo>
                                      <a:pt x="2188" y="457"/>
                                      <a:pt x="2188" y="457"/>
                                      <a:pt x="2188" y="457"/>
                                    </a:cubicBezTo>
                                    <a:cubicBezTo>
                                      <a:pt x="2081" y="457"/>
                                      <a:pt x="2081" y="457"/>
                                      <a:pt x="2081" y="457"/>
                                    </a:cubicBezTo>
                                    <a:cubicBezTo>
                                      <a:pt x="2312" y="21"/>
                                      <a:pt x="2312" y="21"/>
                                      <a:pt x="2312" y="21"/>
                                    </a:cubicBezTo>
                                    <a:lnTo>
                                      <a:pt x="2422" y="21"/>
                                    </a:lnTo>
                                    <a:close/>
                                    <a:moveTo>
                                      <a:pt x="1015" y="325"/>
                                    </a:moveTo>
                                    <a:cubicBezTo>
                                      <a:pt x="993" y="353"/>
                                      <a:pt x="966" y="371"/>
                                      <a:pt x="932" y="378"/>
                                    </a:cubicBezTo>
                                    <a:cubicBezTo>
                                      <a:pt x="886" y="388"/>
                                      <a:pt x="841" y="387"/>
                                      <a:pt x="796" y="372"/>
                                    </a:cubicBezTo>
                                    <a:cubicBezTo>
                                      <a:pt x="762" y="360"/>
                                      <a:pt x="735" y="339"/>
                                      <a:pt x="719" y="306"/>
                                    </a:cubicBezTo>
                                    <a:cubicBezTo>
                                      <a:pt x="707" y="280"/>
                                      <a:pt x="704" y="254"/>
                                      <a:pt x="705" y="226"/>
                                    </a:cubicBezTo>
                                    <a:cubicBezTo>
                                      <a:pt x="709" y="168"/>
                                      <a:pt x="741" y="125"/>
                                      <a:pt x="797" y="105"/>
                                    </a:cubicBezTo>
                                    <a:cubicBezTo>
                                      <a:pt x="837" y="91"/>
                                      <a:pt x="879" y="89"/>
                                      <a:pt x="920" y="96"/>
                                    </a:cubicBezTo>
                                    <a:cubicBezTo>
                                      <a:pt x="960" y="103"/>
                                      <a:pt x="993" y="123"/>
                                      <a:pt x="1016" y="156"/>
                                    </a:cubicBezTo>
                                    <a:cubicBezTo>
                                      <a:pt x="1018" y="158"/>
                                      <a:pt x="1020" y="160"/>
                                      <a:pt x="1022" y="163"/>
                                    </a:cubicBezTo>
                                    <a:cubicBezTo>
                                      <a:pt x="1052" y="148"/>
                                      <a:pt x="1082" y="133"/>
                                      <a:pt x="1113" y="117"/>
                                    </a:cubicBezTo>
                                    <a:cubicBezTo>
                                      <a:pt x="1106" y="108"/>
                                      <a:pt x="1100" y="99"/>
                                      <a:pt x="1092" y="92"/>
                                    </a:cubicBezTo>
                                    <a:cubicBezTo>
                                      <a:pt x="1051" y="49"/>
                                      <a:pt x="1000" y="24"/>
                                      <a:pt x="942" y="13"/>
                                    </a:cubicBezTo>
                                    <a:cubicBezTo>
                                      <a:pt x="874" y="0"/>
                                      <a:pt x="808" y="6"/>
                                      <a:pt x="744" y="30"/>
                                    </a:cubicBezTo>
                                    <a:cubicBezTo>
                                      <a:pt x="683" y="53"/>
                                      <a:pt x="639" y="93"/>
                                      <a:pt x="617" y="155"/>
                                    </a:cubicBezTo>
                                    <a:cubicBezTo>
                                      <a:pt x="599" y="204"/>
                                      <a:pt x="598" y="254"/>
                                      <a:pt x="611" y="304"/>
                                    </a:cubicBezTo>
                                    <a:cubicBezTo>
                                      <a:pt x="630" y="375"/>
                                      <a:pt x="676" y="422"/>
                                      <a:pt x="745" y="449"/>
                                    </a:cubicBezTo>
                                    <a:cubicBezTo>
                                      <a:pt x="810" y="474"/>
                                      <a:pt x="878" y="477"/>
                                      <a:pt x="946" y="464"/>
                                    </a:cubicBezTo>
                                    <a:cubicBezTo>
                                      <a:pt x="998" y="454"/>
                                      <a:pt x="1045" y="432"/>
                                      <a:pt x="1084" y="395"/>
                                    </a:cubicBezTo>
                                    <a:cubicBezTo>
                                      <a:pt x="1095" y="384"/>
                                      <a:pt x="1105" y="373"/>
                                      <a:pt x="1114" y="359"/>
                                    </a:cubicBezTo>
                                    <a:cubicBezTo>
                                      <a:pt x="1083" y="344"/>
                                      <a:pt x="1054" y="329"/>
                                      <a:pt x="1023" y="314"/>
                                    </a:cubicBezTo>
                                    <a:cubicBezTo>
                                      <a:pt x="1020" y="318"/>
                                      <a:pt x="1018" y="322"/>
                                      <a:pt x="1015" y="325"/>
                                    </a:cubicBezTo>
                                    <a:moveTo>
                                      <a:pt x="1582" y="371"/>
                                    </a:moveTo>
                                    <a:cubicBezTo>
                                      <a:pt x="1582" y="21"/>
                                      <a:pt x="1582" y="21"/>
                                      <a:pt x="1582" y="21"/>
                                    </a:cubicBezTo>
                                    <a:cubicBezTo>
                                      <a:pt x="1483" y="21"/>
                                      <a:pt x="1483" y="21"/>
                                      <a:pt x="1483" y="21"/>
                                    </a:cubicBezTo>
                                    <a:cubicBezTo>
                                      <a:pt x="1483" y="457"/>
                                      <a:pt x="1483" y="457"/>
                                      <a:pt x="1483" y="457"/>
                                    </a:cubicBezTo>
                                    <a:cubicBezTo>
                                      <a:pt x="1891" y="457"/>
                                      <a:pt x="1891" y="457"/>
                                      <a:pt x="1891" y="457"/>
                                    </a:cubicBezTo>
                                    <a:cubicBezTo>
                                      <a:pt x="1891" y="371"/>
                                      <a:pt x="1891" y="371"/>
                                      <a:pt x="1891" y="371"/>
                                    </a:cubicBezTo>
                                    <a:lnTo>
                                      <a:pt x="1582" y="371"/>
                                    </a:lnTo>
                                    <a:close/>
                                    <a:moveTo>
                                      <a:pt x="2845" y="370"/>
                                    </a:moveTo>
                                    <a:cubicBezTo>
                                      <a:pt x="2845" y="21"/>
                                      <a:pt x="2845" y="21"/>
                                      <a:pt x="2845" y="21"/>
                                    </a:cubicBezTo>
                                    <a:cubicBezTo>
                                      <a:pt x="2747" y="21"/>
                                      <a:pt x="2747" y="21"/>
                                      <a:pt x="2747" y="21"/>
                                    </a:cubicBezTo>
                                    <a:cubicBezTo>
                                      <a:pt x="2747" y="457"/>
                                      <a:pt x="2747" y="457"/>
                                      <a:pt x="2747" y="457"/>
                                    </a:cubicBezTo>
                                    <a:cubicBezTo>
                                      <a:pt x="3155" y="457"/>
                                      <a:pt x="3155" y="457"/>
                                      <a:pt x="3155" y="457"/>
                                    </a:cubicBezTo>
                                    <a:cubicBezTo>
                                      <a:pt x="3155" y="370"/>
                                      <a:pt x="3155" y="370"/>
                                      <a:pt x="3155" y="370"/>
                                    </a:cubicBezTo>
                                    <a:lnTo>
                                      <a:pt x="2845" y="370"/>
                                    </a:lnTo>
                                    <a:close/>
                                    <a:moveTo>
                                      <a:pt x="3350" y="370"/>
                                    </a:moveTo>
                                    <a:cubicBezTo>
                                      <a:pt x="3350" y="21"/>
                                      <a:pt x="3350" y="21"/>
                                      <a:pt x="3350" y="21"/>
                                    </a:cubicBezTo>
                                    <a:cubicBezTo>
                                      <a:pt x="3253" y="21"/>
                                      <a:pt x="3253" y="21"/>
                                      <a:pt x="3253" y="21"/>
                                    </a:cubicBezTo>
                                    <a:cubicBezTo>
                                      <a:pt x="3253" y="457"/>
                                      <a:pt x="3253" y="457"/>
                                      <a:pt x="3253" y="457"/>
                                    </a:cubicBezTo>
                                    <a:cubicBezTo>
                                      <a:pt x="3660" y="457"/>
                                      <a:pt x="3660" y="457"/>
                                      <a:pt x="3660" y="457"/>
                                    </a:cubicBezTo>
                                    <a:cubicBezTo>
                                      <a:pt x="3660" y="370"/>
                                      <a:pt x="3660" y="370"/>
                                      <a:pt x="3660" y="370"/>
                                    </a:cubicBezTo>
                                    <a:lnTo>
                                      <a:pt x="3350" y="370"/>
                                    </a:lnTo>
                                    <a:close/>
                                    <a:moveTo>
                                      <a:pt x="1233" y="457"/>
                                    </a:moveTo>
                                    <a:cubicBezTo>
                                      <a:pt x="1335" y="457"/>
                                      <a:pt x="1335" y="457"/>
                                      <a:pt x="1335" y="457"/>
                                    </a:cubicBezTo>
                                    <a:cubicBezTo>
                                      <a:pt x="1335" y="21"/>
                                      <a:pt x="1335" y="21"/>
                                      <a:pt x="1335" y="21"/>
                                    </a:cubicBezTo>
                                    <a:cubicBezTo>
                                      <a:pt x="1233" y="21"/>
                                      <a:pt x="1233" y="21"/>
                                      <a:pt x="1233" y="21"/>
                                    </a:cubicBezTo>
                                    <a:lnTo>
                                      <a:pt x="1233" y="457"/>
                                    </a:lnTo>
                                    <a:close/>
                                  </a:path>
                                </a:pathLst>
                              </a:custGeom>
                              <a:solidFill>
                                <a:srgbClr val="0001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56231075" id="Group 73" o:spid="_x0000_s1026" alt="&quot;&quot;" style="position:absolute;margin-left:0;margin-top:5.5pt;width:77.25pt;height:11.25pt;z-index:251724800;mso-position-horizontal-relative:page;mso-position-vertical-relative:page;mso-width-relative:margin;mso-height-relative:margin" coordorigin=",-212" coordsize="121888,187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">
                    <o:lock v:ext="edit" aspectratio="t"/>
                    <v:rect id="Rectangle 74" o:spid="_x0000_s1027" style="position:absolute;top:16431;width:14398;height:2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" fillcolor="#6c3f99" stroked="f"/>
                    <v:shape id="Freeform 6" o:spid="_x0000_s1028" style="position:absolute;top:-212;width:121888;height:12963;visibility:visible;mso-wrap-style:square;v-text-anchor:top" coordsize="4841,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" path="m4214,370v,87,,87,,87c3766,457,3766,457,3766,457v,-436,,-436,,-436c4214,21,4214,21,4214,21v,83,,83,,83c3864,104,3864,104,3864,104v,89,,89,,89c4151,194,4151,194,4151,194v,83,,83,,83c3864,277,3864,277,3864,277v,93,,93,,93l4214,370xm4345,21v,436,,436,,436c4442,457,4442,457,4442,457v,-313,,-313,,-313c4753,457,4753,457,4753,457v88,,88,,88,c4841,21,4841,21,4841,21v-96,,-96,,-96,c4745,319,4745,319,4745,319,4450,21,4450,21,4450,21r-105,xm196,283v179,,179,,179,c283,109,283,109,283,109l196,283xm341,21c572,457,572,457,572,457v-108,,-108,,-108,c418,365,418,365,418,365v-265,,-265,,-265,c107,457,107,457,107,457,,457,,457,,457,231,21,231,21,231,21r110,xm2456,283c2366,106,2366,106,2366,106v-90,177,-90,177,-90,177l2456,283xm2422,21v232,436,232,436,232,436c2546,457,2546,457,2546,457v-47,-92,-47,-92,-47,-92c2234,365,2234,365,2234,365v-46,92,-46,92,-46,92c2081,457,2081,457,2081,457,2312,21,2312,21,2312,21r110,xm1015,325v-22,28,-49,46,-83,53c886,388,841,387,796,372,762,360,735,339,719,306,707,280,704,254,705,226v4,-58,36,-101,92,-121c837,91,879,89,920,96v40,7,73,27,96,60c1018,158,1020,160,1022,163v30,-15,60,-30,91,-46c1106,108,1100,99,1092,92,1051,49,1000,24,942,13,874,,808,6,744,30,683,53,639,93,617,155v-18,49,-19,99,-6,149c630,375,676,422,745,449v65,25,133,28,201,15c998,454,1045,432,1084,395v11,-11,21,-22,30,-36c1083,344,1054,329,1023,314v-3,4,-5,8,-8,11m1582,371v,-350,,-350,,-350c1483,21,1483,21,1483,21v,436,,436,,436c1891,457,1891,457,1891,457v,-86,,-86,,-86l1582,371xm2845,370v,-349,,-349,,-349c2747,21,2747,21,2747,21v,436,,436,,436c3155,457,3155,457,3155,457v,-87,,-87,,-87l2845,370xm3350,370v,-349,,-349,,-349c3253,21,3253,21,3253,21v,436,,436,,436c3660,457,3660,457,3660,457v,-87,,-87,,-87l3350,370xm1233,457v102,,102,,102,c1335,21,1335,21,1335,21v-102,,-102,,-102,l1233,457xe" fillcolor="#000100" stroked="f">
                      <v:path arrowok="t" o:connecttype="custom" o:connectlocs="10610144,1241977;9482156,57071;10610144,282638;9728903,524511;10451521,752795;9728903,1005539;10939980,57071;11184210,1241977;11967256,1241977;12188825,57071;11947113,866938;10939980,57071;944187,769101;493495,769101;1440200,1241977;1052454,991951;269408,1241977;581619,57071;6183796,769101;5730586,769101;6098189,57071;6410400,1241977;5624837,991951;5239609,1241977;6098189,57071;2346619,1027280;1810321,831608;2006712,285356;2558117,423957;2802347,317968;2371798,35330;1553502,421239;1875785,1220235;2729330,1073481;2575742,853349;3983210,1008257;3733945,57071;4761220,1241977;3983210,1008257;7163232,57071;6916485,1241977;7943760,1005539;8434737,1005539;8190508,57071;9215265,1241977;8434737,1005539;3361306,1241977;3104487,57071" o:connectangles="0,0,0,0,0,0,0,0,0,0,0,0,0,0,0,0,0,0,0,0,0,0,0,0,0,0,0,0,0,0,0,0,0,0,0,0,0,0,0,0,0,0,0,0,0,0,0,0"/>
                      <o:lock v:ext="edit" verticies="t"/>
                    </v:shape>
                    <w10:wrap anchorx="page" anchory="page"/>
                    <w10:anchorlock/>
                  </v:group>
                </w:pict>
              </mc:Fallback>
            </mc:AlternateContent>
          </w:r>
        </w:p>
      </w:tc>
      <w:tc>
        <w:tcPr>
          <w:tcW w:w="5173" w:type="dxa"/>
          <w:vAlign w:val="center"/>
        </w:tcPr>
        <w:p w14:paraId="22EFA58A" w14:textId="5488849A" w:rsidR="002B32A0" w:rsidRDefault="002B32A0" w:rsidP="004A1654">
          <w:pPr>
            <w:pStyle w:val="Header-CompanyName"/>
          </w:pPr>
        </w:p>
      </w:tc>
    </w:tr>
  </w:tbl>
  <w:p w14:paraId="60731E8A" w14:textId="5B05B617" w:rsidR="002B32A0" w:rsidRPr="009337C5" w:rsidRDefault="002B32A0" w:rsidP="00327E78">
    <w:pPr>
      <w:pStyle w:val="Header"/>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C457B8" w14:textId="77777777" w:rsidR="002B32A0" w:rsidRPr="009337C5" w:rsidRDefault="002B32A0" w:rsidP="00327E78">
    <w:pPr>
      <w:pStyle w:val="Heade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2C5E01" w14:textId="77777777" w:rsidR="002B32A0" w:rsidRPr="009337C5" w:rsidRDefault="002B32A0" w:rsidP="00327E78">
    <w:pPr>
      <w:pStyle w:val="Header"/>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acTablenolines"/>
      <w:tblW w:w="10348" w:type="dxa"/>
      <w:tblInd w:w="-2412" w:type="dxa"/>
      <w:tblLayout w:type="fixed"/>
      <w:tblLook w:val="04A0" w:firstRow="1" w:lastRow="0" w:firstColumn="1" w:lastColumn="0" w:noHBand="0" w:noVBand="1"/>
    </w:tblPr>
    <w:tblGrid>
      <w:gridCol w:w="5175"/>
      <w:gridCol w:w="5173"/>
    </w:tblGrid>
    <w:tr w:rsidR="002B32A0" w14:paraId="260DDE86" w14:textId="77777777" w:rsidTr="000B0AC7">
      <w:trPr>
        <w:trHeight w:hRule="exact" w:val="356"/>
      </w:trPr>
      <w:tc>
        <w:tcPr>
          <w:tcW w:w="5175" w:type="dxa"/>
          <w:vAlign w:val="center"/>
        </w:tcPr>
        <w:p w14:paraId="362A39B6" w14:textId="77777777" w:rsidR="002B32A0" w:rsidRDefault="002B32A0" w:rsidP="00327E78">
          <w:pPr>
            <w:pStyle w:val="spacer"/>
          </w:pPr>
          <w:r w:rsidRPr="000261B1">
            <w:rPr>
              <w:noProof/>
            </w:rPr>
            <mc:AlternateContent>
              <mc:Choice Requires="wpg">
                <w:drawing>
                  <wp:anchor distT="0" distB="0" distL="114300" distR="114300" simplePos="0" relativeHeight="251726848" behindDoc="0" locked="1" layoutInCell="1" allowOverlap="1" wp14:anchorId="4F567AFE" wp14:editId="43B94B40">
                    <wp:simplePos x="0" y="0"/>
                    <wp:positionH relativeFrom="page">
                      <wp:posOffset>0</wp:posOffset>
                    </wp:positionH>
                    <wp:positionV relativeFrom="page">
                      <wp:posOffset>69850</wp:posOffset>
                    </wp:positionV>
                    <wp:extent cx="981075" cy="142875"/>
                    <wp:effectExtent l="0" t="0" r="9525" b="9525"/>
                    <wp:wrapNone/>
                    <wp:docPr id="654" name="Group 6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981075" cy="142875"/>
                              <a:chOff x="0" y="-21209"/>
                              <a:chExt cx="12188825" cy="1878663"/>
                            </a:xfrm>
                          </wpg:grpSpPr>
                          <wps:wsp>
                            <wps:cNvPr id="655" name="Rectangle 655"/>
                            <wps:cNvSpPr>
                              <a:spLocks noChangeArrowheads="1"/>
                            </wps:cNvSpPr>
                            <wps:spPr bwMode="auto">
                              <a:xfrm>
                                <a:off x="0" y="1643143"/>
                                <a:ext cx="1439863" cy="214311"/>
                              </a:xfrm>
                              <a:prstGeom prst="rect">
                                <a:avLst/>
                              </a:prstGeom>
                              <a:solidFill>
                                <a:srgbClr val="6C3F99"/>
                              </a:solid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656" name="Freeform 6"/>
                            <wps:cNvSpPr>
                              <a:spLocks noEditPoints="1"/>
                            </wps:cNvSpPr>
                            <wps:spPr bwMode="auto">
                              <a:xfrm>
                                <a:off x="0" y="-21209"/>
                                <a:ext cx="12188825" cy="1296330"/>
                              </a:xfrm>
                              <a:custGeom>
                                <a:avLst/>
                                <a:gdLst>
                                  <a:gd name="T0" fmla="*/ 4214 w 4841"/>
                                  <a:gd name="T1" fmla="*/ 457 h 477"/>
                                  <a:gd name="T2" fmla="*/ 3766 w 4841"/>
                                  <a:gd name="T3" fmla="*/ 21 h 477"/>
                                  <a:gd name="T4" fmla="*/ 4214 w 4841"/>
                                  <a:gd name="T5" fmla="*/ 104 h 477"/>
                                  <a:gd name="T6" fmla="*/ 3864 w 4841"/>
                                  <a:gd name="T7" fmla="*/ 193 h 477"/>
                                  <a:gd name="T8" fmla="*/ 4151 w 4841"/>
                                  <a:gd name="T9" fmla="*/ 277 h 477"/>
                                  <a:gd name="T10" fmla="*/ 3864 w 4841"/>
                                  <a:gd name="T11" fmla="*/ 370 h 477"/>
                                  <a:gd name="T12" fmla="*/ 4345 w 4841"/>
                                  <a:gd name="T13" fmla="*/ 21 h 477"/>
                                  <a:gd name="T14" fmla="*/ 4442 w 4841"/>
                                  <a:gd name="T15" fmla="*/ 457 h 477"/>
                                  <a:gd name="T16" fmla="*/ 4753 w 4841"/>
                                  <a:gd name="T17" fmla="*/ 457 h 477"/>
                                  <a:gd name="T18" fmla="*/ 4841 w 4841"/>
                                  <a:gd name="T19" fmla="*/ 21 h 477"/>
                                  <a:gd name="T20" fmla="*/ 4745 w 4841"/>
                                  <a:gd name="T21" fmla="*/ 319 h 477"/>
                                  <a:gd name="T22" fmla="*/ 4345 w 4841"/>
                                  <a:gd name="T23" fmla="*/ 21 h 477"/>
                                  <a:gd name="T24" fmla="*/ 375 w 4841"/>
                                  <a:gd name="T25" fmla="*/ 283 h 477"/>
                                  <a:gd name="T26" fmla="*/ 196 w 4841"/>
                                  <a:gd name="T27" fmla="*/ 283 h 477"/>
                                  <a:gd name="T28" fmla="*/ 572 w 4841"/>
                                  <a:gd name="T29" fmla="*/ 457 h 477"/>
                                  <a:gd name="T30" fmla="*/ 418 w 4841"/>
                                  <a:gd name="T31" fmla="*/ 365 h 477"/>
                                  <a:gd name="T32" fmla="*/ 107 w 4841"/>
                                  <a:gd name="T33" fmla="*/ 457 h 477"/>
                                  <a:gd name="T34" fmla="*/ 231 w 4841"/>
                                  <a:gd name="T35" fmla="*/ 21 h 477"/>
                                  <a:gd name="T36" fmla="*/ 2456 w 4841"/>
                                  <a:gd name="T37" fmla="*/ 283 h 477"/>
                                  <a:gd name="T38" fmla="*/ 2276 w 4841"/>
                                  <a:gd name="T39" fmla="*/ 283 h 477"/>
                                  <a:gd name="T40" fmla="*/ 2422 w 4841"/>
                                  <a:gd name="T41" fmla="*/ 21 h 477"/>
                                  <a:gd name="T42" fmla="*/ 2546 w 4841"/>
                                  <a:gd name="T43" fmla="*/ 457 h 477"/>
                                  <a:gd name="T44" fmla="*/ 2234 w 4841"/>
                                  <a:gd name="T45" fmla="*/ 365 h 477"/>
                                  <a:gd name="T46" fmla="*/ 2081 w 4841"/>
                                  <a:gd name="T47" fmla="*/ 457 h 477"/>
                                  <a:gd name="T48" fmla="*/ 2422 w 4841"/>
                                  <a:gd name="T49" fmla="*/ 21 h 477"/>
                                  <a:gd name="T50" fmla="*/ 932 w 4841"/>
                                  <a:gd name="T51" fmla="*/ 378 h 477"/>
                                  <a:gd name="T52" fmla="*/ 719 w 4841"/>
                                  <a:gd name="T53" fmla="*/ 306 h 477"/>
                                  <a:gd name="T54" fmla="*/ 797 w 4841"/>
                                  <a:gd name="T55" fmla="*/ 105 h 477"/>
                                  <a:gd name="T56" fmla="*/ 1016 w 4841"/>
                                  <a:gd name="T57" fmla="*/ 156 h 477"/>
                                  <a:gd name="T58" fmla="*/ 1113 w 4841"/>
                                  <a:gd name="T59" fmla="*/ 117 h 477"/>
                                  <a:gd name="T60" fmla="*/ 942 w 4841"/>
                                  <a:gd name="T61" fmla="*/ 13 h 477"/>
                                  <a:gd name="T62" fmla="*/ 617 w 4841"/>
                                  <a:gd name="T63" fmla="*/ 155 h 477"/>
                                  <a:gd name="T64" fmla="*/ 745 w 4841"/>
                                  <a:gd name="T65" fmla="*/ 449 h 477"/>
                                  <a:gd name="T66" fmla="*/ 1084 w 4841"/>
                                  <a:gd name="T67" fmla="*/ 395 h 477"/>
                                  <a:gd name="T68" fmla="*/ 1023 w 4841"/>
                                  <a:gd name="T69" fmla="*/ 314 h 477"/>
                                  <a:gd name="T70" fmla="*/ 1582 w 4841"/>
                                  <a:gd name="T71" fmla="*/ 371 h 477"/>
                                  <a:gd name="T72" fmla="*/ 1483 w 4841"/>
                                  <a:gd name="T73" fmla="*/ 21 h 477"/>
                                  <a:gd name="T74" fmla="*/ 1891 w 4841"/>
                                  <a:gd name="T75" fmla="*/ 457 h 477"/>
                                  <a:gd name="T76" fmla="*/ 1582 w 4841"/>
                                  <a:gd name="T77" fmla="*/ 371 h 477"/>
                                  <a:gd name="T78" fmla="*/ 2845 w 4841"/>
                                  <a:gd name="T79" fmla="*/ 21 h 477"/>
                                  <a:gd name="T80" fmla="*/ 2747 w 4841"/>
                                  <a:gd name="T81" fmla="*/ 457 h 477"/>
                                  <a:gd name="T82" fmla="*/ 3155 w 4841"/>
                                  <a:gd name="T83" fmla="*/ 370 h 477"/>
                                  <a:gd name="T84" fmla="*/ 3350 w 4841"/>
                                  <a:gd name="T85" fmla="*/ 370 h 477"/>
                                  <a:gd name="T86" fmla="*/ 3253 w 4841"/>
                                  <a:gd name="T87" fmla="*/ 21 h 477"/>
                                  <a:gd name="T88" fmla="*/ 3660 w 4841"/>
                                  <a:gd name="T89" fmla="*/ 457 h 477"/>
                                  <a:gd name="T90" fmla="*/ 3350 w 4841"/>
                                  <a:gd name="T91" fmla="*/ 370 h 477"/>
                                  <a:gd name="T92" fmla="*/ 1335 w 4841"/>
                                  <a:gd name="T93" fmla="*/ 457 h 477"/>
                                  <a:gd name="T94" fmla="*/ 1233 w 4841"/>
                                  <a:gd name="T95" fmla="*/ 21 h 4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4841" h="477">
                                    <a:moveTo>
                                      <a:pt x="4214" y="370"/>
                                    </a:moveTo>
                                    <a:cubicBezTo>
                                      <a:pt x="4214" y="457"/>
                                      <a:pt x="4214" y="457"/>
                                      <a:pt x="4214" y="457"/>
                                    </a:cubicBezTo>
                                    <a:cubicBezTo>
                                      <a:pt x="3766" y="457"/>
                                      <a:pt x="3766" y="457"/>
                                      <a:pt x="3766" y="457"/>
                                    </a:cubicBezTo>
                                    <a:cubicBezTo>
                                      <a:pt x="3766" y="21"/>
                                      <a:pt x="3766" y="21"/>
                                      <a:pt x="3766" y="21"/>
                                    </a:cubicBezTo>
                                    <a:cubicBezTo>
                                      <a:pt x="4214" y="21"/>
                                      <a:pt x="4214" y="21"/>
                                      <a:pt x="4214" y="21"/>
                                    </a:cubicBezTo>
                                    <a:cubicBezTo>
                                      <a:pt x="4214" y="104"/>
                                      <a:pt x="4214" y="104"/>
                                      <a:pt x="4214" y="104"/>
                                    </a:cubicBezTo>
                                    <a:cubicBezTo>
                                      <a:pt x="3864" y="104"/>
                                      <a:pt x="3864" y="104"/>
                                      <a:pt x="3864" y="104"/>
                                    </a:cubicBezTo>
                                    <a:cubicBezTo>
                                      <a:pt x="3864" y="193"/>
                                      <a:pt x="3864" y="193"/>
                                      <a:pt x="3864" y="193"/>
                                    </a:cubicBezTo>
                                    <a:cubicBezTo>
                                      <a:pt x="4151" y="194"/>
                                      <a:pt x="4151" y="194"/>
                                      <a:pt x="4151" y="194"/>
                                    </a:cubicBezTo>
                                    <a:cubicBezTo>
                                      <a:pt x="4151" y="277"/>
                                      <a:pt x="4151" y="277"/>
                                      <a:pt x="4151" y="277"/>
                                    </a:cubicBezTo>
                                    <a:cubicBezTo>
                                      <a:pt x="3864" y="277"/>
                                      <a:pt x="3864" y="277"/>
                                      <a:pt x="3864" y="277"/>
                                    </a:cubicBezTo>
                                    <a:cubicBezTo>
                                      <a:pt x="3864" y="370"/>
                                      <a:pt x="3864" y="370"/>
                                      <a:pt x="3864" y="370"/>
                                    </a:cubicBezTo>
                                    <a:lnTo>
                                      <a:pt x="4214" y="370"/>
                                    </a:lnTo>
                                    <a:close/>
                                    <a:moveTo>
                                      <a:pt x="4345" y="21"/>
                                    </a:moveTo>
                                    <a:cubicBezTo>
                                      <a:pt x="4345" y="457"/>
                                      <a:pt x="4345" y="457"/>
                                      <a:pt x="4345" y="457"/>
                                    </a:cubicBezTo>
                                    <a:cubicBezTo>
                                      <a:pt x="4442" y="457"/>
                                      <a:pt x="4442" y="457"/>
                                      <a:pt x="4442" y="457"/>
                                    </a:cubicBezTo>
                                    <a:cubicBezTo>
                                      <a:pt x="4442" y="144"/>
                                      <a:pt x="4442" y="144"/>
                                      <a:pt x="4442" y="144"/>
                                    </a:cubicBezTo>
                                    <a:cubicBezTo>
                                      <a:pt x="4753" y="457"/>
                                      <a:pt x="4753" y="457"/>
                                      <a:pt x="4753" y="457"/>
                                    </a:cubicBezTo>
                                    <a:cubicBezTo>
                                      <a:pt x="4841" y="457"/>
                                      <a:pt x="4841" y="457"/>
                                      <a:pt x="4841" y="457"/>
                                    </a:cubicBezTo>
                                    <a:cubicBezTo>
                                      <a:pt x="4841" y="21"/>
                                      <a:pt x="4841" y="21"/>
                                      <a:pt x="4841" y="21"/>
                                    </a:cubicBezTo>
                                    <a:cubicBezTo>
                                      <a:pt x="4745" y="21"/>
                                      <a:pt x="4745" y="21"/>
                                      <a:pt x="4745" y="21"/>
                                    </a:cubicBezTo>
                                    <a:cubicBezTo>
                                      <a:pt x="4745" y="319"/>
                                      <a:pt x="4745" y="319"/>
                                      <a:pt x="4745" y="319"/>
                                    </a:cubicBezTo>
                                    <a:cubicBezTo>
                                      <a:pt x="4450" y="21"/>
                                      <a:pt x="4450" y="21"/>
                                      <a:pt x="4450" y="21"/>
                                    </a:cubicBezTo>
                                    <a:lnTo>
                                      <a:pt x="4345" y="21"/>
                                    </a:lnTo>
                                    <a:close/>
                                    <a:moveTo>
                                      <a:pt x="196" y="283"/>
                                    </a:moveTo>
                                    <a:cubicBezTo>
                                      <a:pt x="375" y="283"/>
                                      <a:pt x="375" y="283"/>
                                      <a:pt x="375" y="283"/>
                                    </a:cubicBezTo>
                                    <a:cubicBezTo>
                                      <a:pt x="283" y="109"/>
                                      <a:pt x="283" y="109"/>
                                      <a:pt x="283" y="109"/>
                                    </a:cubicBezTo>
                                    <a:lnTo>
                                      <a:pt x="196" y="283"/>
                                    </a:lnTo>
                                    <a:close/>
                                    <a:moveTo>
                                      <a:pt x="341" y="21"/>
                                    </a:moveTo>
                                    <a:cubicBezTo>
                                      <a:pt x="572" y="457"/>
                                      <a:pt x="572" y="457"/>
                                      <a:pt x="572" y="457"/>
                                    </a:cubicBezTo>
                                    <a:cubicBezTo>
                                      <a:pt x="464" y="457"/>
                                      <a:pt x="464" y="457"/>
                                      <a:pt x="464" y="457"/>
                                    </a:cubicBezTo>
                                    <a:cubicBezTo>
                                      <a:pt x="418" y="365"/>
                                      <a:pt x="418" y="365"/>
                                      <a:pt x="418" y="365"/>
                                    </a:cubicBezTo>
                                    <a:cubicBezTo>
                                      <a:pt x="153" y="365"/>
                                      <a:pt x="153" y="365"/>
                                      <a:pt x="153" y="365"/>
                                    </a:cubicBezTo>
                                    <a:cubicBezTo>
                                      <a:pt x="107" y="457"/>
                                      <a:pt x="107" y="457"/>
                                      <a:pt x="107" y="457"/>
                                    </a:cubicBezTo>
                                    <a:cubicBezTo>
                                      <a:pt x="0" y="457"/>
                                      <a:pt x="0" y="457"/>
                                      <a:pt x="0" y="457"/>
                                    </a:cubicBezTo>
                                    <a:cubicBezTo>
                                      <a:pt x="231" y="21"/>
                                      <a:pt x="231" y="21"/>
                                      <a:pt x="231" y="21"/>
                                    </a:cubicBezTo>
                                    <a:lnTo>
                                      <a:pt x="341" y="21"/>
                                    </a:lnTo>
                                    <a:close/>
                                    <a:moveTo>
                                      <a:pt x="2456" y="283"/>
                                    </a:moveTo>
                                    <a:cubicBezTo>
                                      <a:pt x="2366" y="106"/>
                                      <a:pt x="2366" y="106"/>
                                      <a:pt x="2366" y="106"/>
                                    </a:cubicBezTo>
                                    <a:cubicBezTo>
                                      <a:pt x="2276" y="283"/>
                                      <a:pt x="2276" y="283"/>
                                      <a:pt x="2276" y="283"/>
                                    </a:cubicBezTo>
                                    <a:lnTo>
                                      <a:pt x="2456" y="283"/>
                                    </a:lnTo>
                                    <a:close/>
                                    <a:moveTo>
                                      <a:pt x="2422" y="21"/>
                                    </a:moveTo>
                                    <a:cubicBezTo>
                                      <a:pt x="2654" y="457"/>
                                      <a:pt x="2654" y="457"/>
                                      <a:pt x="2654" y="457"/>
                                    </a:cubicBezTo>
                                    <a:cubicBezTo>
                                      <a:pt x="2546" y="457"/>
                                      <a:pt x="2546" y="457"/>
                                      <a:pt x="2546" y="457"/>
                                    </a:cubicBezTo>
                                    <a:cubicBezTo>
                                      <a:pt x="2499" y="365"/>
                                      <a:pt x="2499" y="365"/>
                                      <a:pt x="2499" y="365"/>
                                    </a:cubicBezTo>
                                    <a:cubicBezTo>
                                      <a:pt x="2234" y="365"/>
                                      <a:pt x="2234" y="365"/>
                                      <a:pt x="2234" y="365"/>
                                    </a:cubicBezTo>
                                    <a:cubicBezTo>
                                      <a:pt x="2188" y="457"/>
                                      <a:pt x="2188" y="457"/>
                                      <a:pt x="2188" y="457"/>
                                    </a:cubicBezTo>
                                    <a:cubicBezTo>
                                      <a:pt x="2081" y="457"/>
                                      <a:pt x="2081" y="457"/>
                                      <a:pt x="2081" y="457"/>
                                    </a:cubicBezTo>
                                    <a:cubicBezTo>
                                      <a:pt x="2312" y="21"/>
                                      <a:pt x="2312" y="21"/>
                                      <a:pt x="2312" y="21"/>
                                    </a:cubicBezTo>
                                    <a:lnTo>
                                      <a:pt x="2422" y="21"/>
                                    </a:lnTo>
                                    <a:close/>
                                    <a:moveTo>
                                      <a:pt x="1015" y="325"/>
                                    </a:moveTo>
                                    <a:cubicBezTo>
                                      <a:pt x="993" y="353"/>
                                      <a:pt x="966" y="371"/>
                                      <a:pt x="932" y="378"/>
                                    </a:cubicBezTo>
                                    <a:cubicBezTo>
                                      <a:pt x="886" y="388"/>
                                      <a:pt x="841" y="387"/>
                                      <a:pt x="796" y="372"/>
                                    </a:cubicBezTo>
                                    <a:cubicBezTo>
                                      <a:pt x="762" y="360"/>
                                      <a:pt x="735" y="339"/>
                                      <a:pt x="719" y="306"/>
                                    </a:cubicBezTo>
                                    <a:cubicBezTo>
                                      <a:pt x="707" y="280"/>
                                      <a:pt x="704" y="254"/>
                                      <a:pt x="705" y="226"/>
                                    </a:cubicBezTo>
                                    <a:cubicBezTo>
                                      <a:pt x="709" y="168"/>
                                      <a:pt x="741" y="125"/>
                                      <a:pt x="797" y="105"/>
                                    </a:cubicBezTo>
                                    <a:cubicBezTo>
                                      <a:pt x="837" y="91"/>
                                      <a:pt x="879" y="89"/>
                                      <a:pt x="920" y="96"/>
                                    </a:cubicBezTo>
                                    <a:cubicBezTo>
                                      <a:pt x="960" y="103"/>
                                      <a:pt x="993" y="123"/>
                                      <a:pt x="1016" y="156"/>
                                    </a:cubicBezTo>
                                    <a:cubicBezTo>
                                      <a:pt x="1018" y="158"/>
                                      <a:pt x="1020" y="160"/>
                                      <a:pt x="1022" y="163"/>
                                    </a:cubicBezTo>
                                    <a:cubicBezTo>
                                      <a:pt x="1052" y="148"/>
                                      <a:pt x="1082" y="133"/>
                                      <a:pt x="1113" y="117"/>
                                    </a:cubicBezTo>
                                    <a:cubicBezTo>
                                      <a:pt x="1106" y="108"/>
                                      <a:pt x="1100" y="99"/>
                                      <a:pt x="1092" y="92"/>
                                    </a:cubicBezTo>
                                    <a:cubicBezTo>
                                      <a:pt x="1051" y="49"/>
                                      <a:pt x="1000" y="24"/>
                                      <a:pt x="942" y="13"/>
                                    </a:cubicBezTo>
                                    <a:cubicBezTo>
                                      <a:pt x="874" y="0"/>
                                      <a:pt x="808" y="6"/>
                                      <a:pt x="744" y="30"/>
                                    </a:cubicBezTo>
                                    <a:cubicBezTo>
                                      <a:pt x="683" y="53"/>
                                      <a:pt x="639" y="93"/>
                                      <a:pt x="617" y="155"/>
                                    </a:cubicBezTo>
                                    <a:cubicBezTo>
                                      <a:pt x="599" y="204"/>
                                      <a:pt x="598" y="254"/>
                                      <a:pt x="611" y="304"/>
                                    </a:cubicBezTo>
                                    <a:cubicBezTo>
                                      <a:pt x="630" y="375"/>
                                      <a:pt x="676" y="422"/>
                                      <a:pt x="745" y="449"/>
                                    </a:cubicBezTo>
                                    <a:cubicBezTo>
                                      <a:pt x="810" y="474"/>
                                      <a:pt x="878" y="477"/>
                                      <a:pt x="946" y="464"/>
                                    </a:cubicBezTo>
                                    <a:cubicBezTo>
                                      <a:pt x="998" y="454"/>
                                      <a:pt x="1045" y="432"/>
                                      <a:pt x="1084" y="395"/>
                                    </a:cubicBezTo>
                                    <a:cubicBezTo>
                                      <a:pt x="1095" y="384"/>
                                      <a:pt x="1105" y="373"/>
                                      <a:pt x="1114" y="359"/>
                                    </a:cubicBezTo>
                                    <a:cubicBezTo>
                                      <a:pt x="1083" y="344"/>
                                      <a:pt x="1054" y="329"/>
                                      <a:pt x="1023" y="314"/>
                                    </a:cubicBezTo>
                                    <a:cubicBezTo>
                                      <a:pt x="1020" y="318"/>
                                      <a:pt x="1018" y="322"/>
                                      <a:pt x="1015" y="325"/>
                                    </a:cubicBezTo>
                                    <a:moveTo>
                                      <a:pt x="1582" y="371"/>
                                    </a:moveTo>
                                    <a:cubicBezTo>
                                      <a:pt x="1582" y="21"/>
                                      <a:pt x="1582" y="21"/>
                                      <a:pt x="1582" y="21"/>
                                    </a:cubicBezTo>
                                    <a:cubicBezTo>
                                      <a:pt x="1483" y="21"/>
                                      <a:pt x="1483" y="21"/>
                                      <a:pt x="1483" y="21"/>
                                    </a:cubicBezTo>
                                    <a:cubicBezTo>
                                      <a:pt x="1483" y="457"/>
                                      <a:pt x="1483" y="457"/>
                                      <a:pt x="1483" y="457"/>
                                    </a:cubicBezTo>
                                    <a:cubicBezTo>
                                      <a:pt x="1891" y="457"/>
                                      <a:pt x="1891" y="457"/>
                                      <a:pt x="1891" y="457"/>
                                    </a:cubicBezTo>
                                    <a:cubicBezTo>
                                      <a:pt x="1891" y="371"/>
                                      <a:pt x="1891" y="371"/>
                                      <a:pt x="1891" y="371"/>
                                    </a:cubicBezTo>
                                    <a:lnTo>
                                      <a:pt x="1582" y="371"/>
                                    </a:lnTo>
                                    <a:close/>
                                    <a:moveTo>
                                      <a:pt x="2845" y="370"/>
                                    </a:moveTo>
                                    <a:cubicBezTo>
                                      <a:pt x="2845" y="21"/>
                                      <a:pt x="2845" y="21"/>
                                      <a:pt x="2845" y="21"/>
                                    </a:cubicBezTo>
                                    <a:cubicBezTo>
                                      <a:pt x="2747" y="21"/>
                                      <a:pt x="2747" y="21"/>
                                      <a:pt x="2747" y="21"/>
                                    </a:cubicBezTo>
                                    <a:cubicBezTo>
                                      <a:pt x="2747" y="457"/>
                                      <a:pt x="2747" y="457"/>
                                      <a:pt x="2747" y="457"/>
                                    </a:cubicBezTo>
                                    <a:cubicBezTo>
                                      <a:pt x="3155" y="457"/>
                                      <a:pt x="3155" y="457"/>
                                      <a:pt x="3155" y="457"/>
                                    </a:cubicBezTo>
                                    <a:cubicBezTo>
                                      <a:pt x="3155" y="370"/>
                                      <a:pt x="3155" y="370"/>
                                      <a:pt x="3155" y="370"/>
                                    </a:cubicBezTo>
                                    <a:lnTo>
                                      <a:pt x="2845" y="370"/>
                                    </a:lnTo>
                                    <a:close/>
                                    <a:moveTo>
                                      <a:pt x="3350" y="370"/>
                                    </a:moveTo>
                                    <a:cubicBezTo>
                                      <a:pt x="3350" y="21"/>
                                      <a:pt x="3350" y="21"/>
                                      <a:pt x="3350" y="21"/>
                                    </a:cubicBezTo>
                                    <a:cubicBezTo>
                                      <a:pt x="3253" y="21"/>
                                      <a:pt x="3253" y="21"/>
                                      <a:pt x="3253" y="21"/>
                                    </a:cubicBezTo>
                                    <a:cubicBezTo>
                                      <a:pt x="3253" y="457"/>
                                      <a:pt x="3253" y="457"/>
                                      <a:pt x="3253" y="457"/>
                                    </a:cubicBezTo>
                                    <a:cubicBezTo>
                                      <a:pt x="3660" y="457"/>
                                      <a:pt x="3660" y="457"/>
                                      <a:pt x="3660" y="457"/>
                                    </a:cubicBezTo>
                                    <a:cubicBezTo>
                                      <a:pt x="3660" y="370"/>
                                      <a:pt x="3660" y="370"/>
                                      <a:pt x="3660" y="370"/>
                                    </a:cubicBezTo>
                                    <a:lnTo>
                                      <a:pt x="3350" y="370"/>
                                    </a:lnTo>
                                    <a:close/>
                                    <a:moveTo>
                                      <a:pt x="1233" y="457"/>
                                    </a:moveTo>
                                    <a:cubicBezTo>
                                      <a:pt x="1335" y="457"/>
                                      <a:pt x="1335" y="457"/>
                                      <a:pt x="1335" y="457"/>
                                    </a:cubicBezTo>
                                    <a:cubicBezTo>
                                      <a:pt x="1335" y="21"/>
                                      <a:pt x="1335" y="21"/>
                                      <a:pt x="1335" y="21"/>
                                    </a:cubicBezTo>
                                    <a:cubicBezTo>
                                      <a:pt x="1233" y="21"/>
                                      <a:pt x="1233" y="21"/>
                                      <a:pt x="1233" y="21"/>
                                    </a:cubicBezTo>
                                    <a:lnTo>
                                      <a:pt x="1233" y="457"/>
                                    </a:lnTo>
                                    <a:close/>
                                  </a:path>
                                </a:pathLst>
                              </a:custGeom>
                              <a:solidFill>
                                <a:srgbClr val="0001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4DA21B01" id="Group 654" o:spid="_x0000_s1026" alt="&quot;&quot;" style="position:absolute;margin-left:0;margin-top:5.5pt;width:77.25pt;height:11.25pt;z-index:251726848;mso-position-horizontal-relative:page;mso-position-vertical-relative:page;mso-width-relative:margin;mso-height-relative:margin" coordorigin=",-212" coordsize="121888,187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">
                    <o:lock v:ext="edit" aspectratio="t"/>
                    <v:rect id="Rectangle 655" o:spid="_x0000_s1027" style="position:absolute;top:16431;width:14398;height:2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" fillcolor="#6c3f99" stroked="f"/>
                    <v:shape id="Freeform 6" o:spid="_x0000_s1028" style="position:absolute;top:-212;width:121888;height:12963;visibility:visible;mso-wrap-style:square;v-text-anchor:top" coordsize="4841,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" path="m4214,370v,87,,87,,87c3766,457,3766,457,3766,457v,-436,,-436,,-436c4214,21,4214,21,4214,21v,83,,83,,83c3864,104,3864,104,3864,104v,89,,89,,89c4151,194,4151,194,4151,194v,83,,83,,83c3864,277,3864,277,3864,277v,93,,93,,93l4214,370xm4345,21v,436,,436,,436c4442,457,4442,457,4442,457v,-313,,-313,,-313c4753,457,4753,457,4753,457v88,,88,,88,c4841,21,4841,21,4841,21v-96,,-96,,-96,c4745,319,4745,319,4745,319,4450,21,4450,21,4450,21r-105,xm196,283v179,,179,,179,c283,109,283,109,283,109l196,283xm341,21c572,457,572,457,572,457v-108,,-108,,-108,c418,365,418,365,418,365v-265,,-265,,-265,c107,457,107,457,107,457,,457,,457,,457,231,21,231,21,231,21r110,xm2456,283c2366,106,2366,106,2366,106v-90,177,-90,177,-90,177l2456,283xm2422,21v232,436,232,436,232,436c2546,457,2546,457,2546,457v-47,-92,-47,-92,-47,-92c2234,365,2234,365,2234,365v-46,92,-46,92,-46,92c2081,457,2081,457,2081,457,2312,21,2312,21,2312,21r110,xm1015,325v-22,28,-49,46,-83,53c886,388,841,387,796,372,762,360,735,339,719,306,707,280,704,254,705,226v4,-58,36,-101,92,-121c837,91,879,89,920,96v40,7,73,27,96,60c1018,158,1020,160,1022,163v30,-15,60,-30,91,-46c1106,108,1100,99,1092,92,1051,49,1000,24,942,13,874,,808,6,744,30,683,53,639,93,617,155v-18,49,-19,99,-6,149c630,375,676,422,745,449v65,25,133,28,201,15c998,454,1045,432,1084,395v11,-11,21,-22,30,-36c1083,344,1054,329,1023,314v-3,4,-5,8,-8,11m1582,371v,-350,,-350,,-350c1483,21,1483,21,1483,21v,436,,436,,436c1891,457,1891,457,1891,457v,-86,,-86,,-86l1582,371xm2845,370v,-349,,-349,,-349c2747,21,2747,21,2747,21v,436,,436,,436c3155,457,3155,457,3155,457v,-87,,-87,,-87l2845,370xm3350,370v,-349,,-349,,-349c3253,21,3253,21,3253,21v,436,,436,,436c3660,457,3660,457,3660,457v,-87,,-87,,-87l3350,370xm1233,457v102,,102,,102,c1335,21,1335,21,1335,21v-102,,-102,,-102,l1233,457xe" fillcolor="#000100" stroked="f">
                      <v:path arrowok="t" o:connecttype="custom" o:connectlocs="10610144,1241977;9482156,57071;10610144,282638;9728903,524511;10451521,752795;9728903,1005539;10939980,57071;11184210,1241977;11967256,1241977;12188825,57071;11947113,866938;10939980,57071;944187,769101;493495,769101;1440200,1241977;1052454,991951;269408,1241977;581619,57071;6183796,769101;5730586,769101;6098189,57071;6410400,1241977;5624837,991951;5239609,1241977;6098189,57071;2346619,1027280;1810321,831608;2006712,285356;2558117,423957;2802347,317968;2371798,35330;1553502,421239;1875785,1220235;2729330,1073481;2575742,853349;3983210,1008257;3733945,57071;4761220,1241977;3983210,1008257;7163232,57071;6916485,1241977;7943760,1005539;8434737,1005539;8190508,57071;9215265,1241977;8434737,1005539;3361306,1241977;3104487,57071" o:connectangles="0,0,0,0,0,0,0,0,0,0,0,0,0,0,0,0,0,0,0,0,0,0,0,0,0,0,0,0,0,0,0,0,0,0,0,0,0,0,0,0,0,0,0,0,0,0,0,0"/>
                      <o:lock v:ext="edit" verticies="t"/>
                    </v:shape>
                    <w10:wrap anchorx="page" anchory="page"/>
                    <w10:anchorlock/>
                  </v:group>
                </w:pict>
              </mc:Fallback>
            </mc:AlternateContent>
          </w:r>
        </w:p>
      </w:tc>
      <w:tc>
        <w:tcPr>
          <w:tcW w:w="5173" w:type="dxa"/>
          <w:vAlign w:val="center"/>
        </w:tcPr>
        <w:p w14:paraId="0CF4CA9F" w14:textId="6CECA0F0" w:rsidR="002B32A0" w:rsidRDefault="002B32A0" w:rsidP="004A1654">
          <w:pPr>
            <w:pStyle w:val="Header-CompanyName"/>
          </w:pPr>
        </w:p>
      </w:tc>
    </w:tr>
  </w:tbl>
  <w:p w14:paraId="7D1E8D52" w14:textId="7A5DBBB1" w:rsidR="002B32A0" w:rsidRPr="009337C5" w:rsidRDefault="002B32A0" w:rsidP="00327E78">
    <w:pPr>
      <w:pStyle w:val="Header"/>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657DD2" w14:textId="77777777" w:rsidR="002B32A0" w:rsidRPr="009337C5" w:rsidRDefault="002B32A0" w:rsidP="00327E78">
    <w:pPr>
      <w:pStyle w:val="Header"/>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1E9725" w14:textId="77777777" w:rsidR="002B32A0" w:rsidRDefault="002B32A0">
    <w:pPr>
      <w:pStyle w:val="Header"/>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acTablenolines"/>
      <w:tblW w:w="10349" w:type="dxa"/>
      <w:tblInd w:w="-2412" w:type="dxa"/>
      <w:tblLayout w:type="fixed"/>
      <w:tblLook w:val="04A0" w:firstRow="1" w:lastRow="0" w:firstColumn="1" w:lastColumn="0" w:noHBand="0" w:noVBand="1"/>
    </w:tblPr>
    <w:tblGrid>
      <w:gridCol w:w="5176"/>
      <w:gridCol w:w="5173"/>
    </w:tblGrid>
    <w:tr w:rsidR="002B32A0" w14:paraId="12D4A809" w14:textId="77777777" w:rsidTr="000B0AC7">
      <w:trPr>
        <w:trHeight w:hRule="exact" w:val="356"/>
      </w:trPr>
      <w:tc>
        <w:tcPr>
          <w:tcW w:w="5176" w:type="dxa"/>
          <w:vAlign w:val="center"/>
        </w:tcPr>
        <w:p w14:paraId="74DF14D7" w14:textId="77777777" w:rsidR="002B32A0" w:rsidRDefault="002B32A0" w:rsidP="00327E78">
          <w:pPr>
            <w:pStyle w:val="spacer"/>
          </w:pPr>
          <w:r w:rsidRPr="000261B1">
            <w:rPr>
              <w:noProof/>
            </w:rPr>
            <mc:AlternateContent>
              <mc:Choice Requires="wpg">
                <w:drawing>
                  <wp:anchor distT="0" distB="0" distL="114300" distR="114300" simplePos="0" relativeHeight="251729920" behindDoc="0" locked="1" layoutInCell="1" allowOverlap="1" wp14:anchorId="7164B2F3" wp14:editId="3F321647">
                    <wp:simplePos x="0" y="0"/>
                    <wp:positionH relativeFrom="page">
                      <wp:posOffset>66040</wp:posOffset>
                    </wp:positionH>
                    <wp:positionV relativeFrom="page">
                      <wp:posOffset>80645</wp:posOffset>
                    </wp:positionV>
                    <wp:extent cx="981075" cy="142875"/>
                    <wp:effectExtent l="0" t="0" r="9525" b="9525"/>
                    <wp:wrapNone/>
                    <wp:docPr id="666" name="Group 6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981075" cy="142875"/>
                              <a:chOff x="0" y="-21209"/>
                              <a:chExt cx="12188825" cy="1878663"/>
                            </a:xfrm>
                          </wpg:grpSpPr>
                          <wps:wsp>
                            <wps:cNvPr id="667" name="Rectangle 667"/>
                            <wps:cNvSpPr>
                              <a:spLocks noChangeArrowheads="1"/>
                            </wps:cNvSpPr>
                            <wps:spPr bwMode="auto">
                              <a:xfrm>
                                <a:off x="0" y="1643143"/>
                                <a:ext cx="1439863" cy="214311"/>
                              </a:xfrm>
                              <a:prstGeom prst="rect">
                                <a:avLst/>
                              </a:prstGeom>
                              <a:solidFill>
                                <a:srgbClr val="6C3F99"/>
                              </a:solid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668" name="Freeform 6"/>
                            <wps:cNvSpPr>
                              <a:spLocks noEditPoints="1"/>
                            </wps:cNvSpPr>
                            <wps:spPr bwMode="auto">
                              <a:xfrm>
                                <a:off x="0" y="-21209"/>
                                <a:ext cx="12188825" cy="1296330"/>
                              </a:xfrm>
                              <a:custGeom>
                                <a:avLst/>
                                <a:gdLst>
                                  <a:gd name="T0" fmla="*/ 4214 w 4841"/>
                                  <a:gd name="T1" fmla="*/ 457 h 477"/>
                                  <a:gd name="T2" fmla="*/ 3766 w 4841"/>
                                  <a:gd name="T3" fmla="*/ 21 h 477"/>
                                  <a:gd name="T4" fmla="*/ 4214 w 4841"/>
                                  <a:gd name="T5" fmla="*/ 104 h 477"/>
                                  <a:gd name="T6" fmla="*/ 3864 w 4841"/>
                                  <a:gd name="T7" fmla="*/ 193 h 477"/>
                                  <a:gd name="T8" fmla="*/ 4151 w 4841"/>
                                  <a:gd name="T9" fmla="*/ 277 h 477"/>
                                  <a:gd name="T10" fmla="*/ 3864 w 4841"/>
                                  <a:gd name="T11" fmla="*/ 370 h 477"/>
                                  <a:gd name="T12" fmla="*/ 4345 w 4841"/>
                                  <a:gd name="T13" fmla="*/ 21 h 477"/>
                                  <a:gd name="T14" fmla="*/ 4442 w 4841"/>
                                  <a:gd name="T15" fmla="*/ 457 h 477"/>
                                  <a:gd name="T16" fmla="*/ 4753 w 4841"/>
                                  <a:gd name="T17" fmla="*/ 457 h 477"/>
                                  <a:gd name="T18" fmla="*/ 4841 w 4841"/>
                                  <a:gd name="T19" fmla="*/ 21 h 477"/>
                                  <a:gd name="T20" fmla="*/ 4745 w 4841"/>
                                  <a:gd name="T21" fmla="*/ 319 h 477"/>
                                  <a:gd name="T22" fmla="*/ 4345 w 4841"/>
                                  <a:gd name="T23" fmla="*/ 21 h 477"/>
                                  <a:gd name="T24" fmla="*/ 375 w 4841"/>
                                  <a:gd name="T25" fmla="*/ 283 h 477"/>
                                  <a:gd name="T26" fmla="*/ 196 w 4841"/>
                                  <a:gd name="T27" fmla="*/ 283 h 477"/>
                                  <a:gd name="T28" fmla="*/ 572 w 4841"/>
                                  <a:gd name="T29" fmla="*/ 457 h 477"/>
                                  <a:gd name="T30" fmla="*/ 418 w 4841"/>
                                  <a:gd name="T31" fmla="*/ 365 h 477"/>
                                  <a:gd name="T32" fmla="*/ 107 w 4841"/>
                                  <a:gd name="T33" fmla="*/ 457 h 477"/>
                                  <a:gd name="T34" fmla="*/ 231 w 4841"/>
                                  <a:gd name="T35" fmla="*/ 21 h 477"/>
                                  <a:gd name="T36" fmla="*/ 2456 w 4841"/>
                                  <a:gd name="T37" fmla="*/ 283 h 477"/>
                                  <a:gd name="T38" fmla="*/ 2276 w 4841"/>
                                  <a:gd name="T39" fmla="*/ 283 h 477"/>
                                  <a:gd name="T40" fmla="*/ 2422 w 4841"/>
                                  <a:gd name="T41" fmla="*/ 21 h 477"/>
                                  <a:gd name="T42" fmla="*/ 2546 w 4841"/>
                                  <a:gd name="T43" fmla="*/ 457 h 477"/>
                                  <a:gd name="T44" fmla="*/ 2234 w 4841"/>
                                  <a:gd name="T45" fmla="*/ 365 h 477"/>
                                  <a:gd name="T46" fmla="*/ 2081 w 4841"/>
                                  <a:gd name="T47" fmla="*/ 457 h 477"/>
                                  <a:gd name="T48" fmla="*/ 2422 w 4841"/>
                                  <a:gd name="T49" fmla="*/ 21 h 477"/>
                                  <a:gd name="T50" fmla="*/ 932 w 4841"/>
                                  <a:gd name="T51" fmla="*/ 378 h 477"/>
                                  <a:gd name="T52" fmla="*/ 719 w 4841"/>
                                  <a:gd name="T53" fmla="*/ 306 h 477"/>
                                  <a:gd name="T54" fmla="*/ 797 w 4841"/>
                                  <a:gd name="T55" fmla="*/ 105 h 477"/>
                                  <a:gd name="T56" fmla="*/ 1016 w 4841"/>
                                  <a:gd name="T57" fmla="*/ 156 h 477"/>
                                  <a:gd name="T58" fmla="*/ 1113 w 4841"/>
                                  <a:gd name="T59" fmla="*/ 117 h 477"/>
                                  <a:gd name="T60" fmla="*/ 942 w 4841"/>
                                  <a:gd name="T61" fmla="*/ 13 h 477"/>
                                  <a:gd name="T62" fmla="*/ 617 w 4841"/>
                                  <a:gd name="T63" fmla="*/ 155 h 477"/>
                                  <a:gd name="T64" fmla="*/ 745 w 4841"/>
                                  <a:gd name="T65" fmla="*/ 449 h 477"/>
                                  <a:gd name="T66" fmla="*/ 1084 w 4841"/>
                                  <a:gd name="T67" fmla="*/ 395 h 477"/>
                                  <a:gd name="T68" fmla="*/ 1023 w 4841"/>
                                  <a:gd name="T69" fmla="*/ 314 h 477"/>
                                  <a:gd name="T70" fmla="*/ 1582 w 4841"/>
                                  <a:gd name="T71" fmla="*/ 371 h 477"/>
                                  <a:gd name="T72" fmla="*/ 1483 w 4841"/>
                                  <a:gd name="T73" fmla="*/ 21 h 477"/>
                                  <a:gd name="T74" fmla="*/ 1891 w 4841"/>
                                  <a:gd name="T75" fmla="*/ 457 h 477"/>
                                  <a:gd name="T76" fmla="*/ 1582 w 4841"/>
                                  <a:gd name="T77" fmla="*/ 371 h 477"/>
                                  <a:gd name="T78" fmla="*/ 2845 w 4841"/>
                                  <a:gd name="T79" fmla="*/ 21 h 477"/>
                                  <a:gd name="T80" fmla="*/ 2747 w 4841"/>
                                  <a:gd name="T81" fmla="*/ 457 h 477"/>
                                  <a:gd name="T82" fmla="*/ 3155 w 4841"/>
                                  <a:gd name="T83" fmla="*/ 370 h 477"/>
                                  <a:gd name="T84" fmla="*/ 3350 w 4841"/>
                                  <a:gd name="T85" fmla="*/ 370 h 477"/>
                                  <a:gd name="T86" fmla="*/ 3253 w 4841"/>
                                  <a:gd name="T87" fmla="*/ 21 h 477"/>
                                  <a:gd name="T88" fmla="*/ 3660 w 4841"/>
                                  <a:gd name="T89" fmla="*/ 457 h 477"/>
                                  <a:gd name="T90" fmla="*/ 3350 w 4841"/>
                                  <a:gd name="T91" fmla="*/ 370 h 477"/>
                                  <a:gd name="T92" fmla="*/ 1335 w 4841"/>
                                  <a:gd name="T93" fmla="*/ 457 h 477"/>
                                  <a:gd name="T94" fmla="*/ 1233 w 4841"/>
                                  <a:gd name="T95" fmla="*/ 21 h 4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4841" h="477">
                                    <a:moveTo>
                                      <a:pt x="4214" y="370"/>
                                    </a:moveTo>
                                    <a:cubicBezTo>
                                      <a:pt x="4214" y="457"/>
                                      <a:pt x="4214" y="457"/>
                                      <a:pt x="4214" y="457"/>
                                    </a:cubicBezTo>
                                    <a:cubicBezTo>
                                      <a:pt x="3766" y="457"/>
                                      <a:pt x="3766" y="457"/>
                                      <a:pt x="3766" y="457"/>
                                    </a:cubicBezTo>
                                    <a:cubicBezTo>
                                      <a:pt x="3766" y="21"/>
                                      <a:pt x="3766" y="21"/>
                                      <a:pt x="3766" y="21"/>
                                    </a:cubicBezTo>
                                    <a:cubicBezTo>
                                      <a:pt x="4214" y="21"/>
                                      <a:pt x="4214" y="21"/>
                                      <a:pt x="4214" y="21"/>
                                    </a:cubicBezTo>
                                    <a:cubicBezTo>
                                      <a:pt x="4214" y="104"/>
                                      <a:pt x="4214" y="104"/>
                                      <a:pt x="4214" y="104"/>
                                    </a:cubicBezTo>
                                    <a:cubicBezTo>
                                      <a:pt x="3864" y="104"/>
                                      <a:pt x="3864" y="104"/>
                                      <a:pt x="3864" y="104"/>
                                    </a:cubicBezTo>
                                    <a:cubicBezTo>
                                      <a:pt x="3864" y="193"/>
                                      <a:pt x="3864" y="193"/>
                                      <a:pt x="3864" y="193"/>
                                    </a:cubicBezTo>
                                    <a:cubicBezTo>
                                      <a:pt x="4151" y="194"/>
                                      <a:pt x="4151" y="194"/>
                                      <a:pt x="4151" y="194"/>
                                    </a:cubicBezTo>
                                    <a:cubicBezTo>
                                      <a:pt x="4151" y="277"/>
                                      <a:pt x="4151" y="277"/>
                                      <a:pt x="4151" y="277"/>
                                    </a:cubicBezTo>
                                    <a:cubicBezTo>
                                      <a:pt x="3864" y="277"/>
                                      <a:pt x="3864" y="277"/>
                                      <a:pt x="3864" y="277"/>
                                    </a:cubicBezTo>
                                    <a:cubicBezTo>
                                      <a:pt x="3864" y="370"/>
                                      <a:pt x="3864" y="370"/>
                                      <a:pt x="3864" y="370"/>
                                    </a:cubicBezTo>
                                    <a:lnTo>
                                      <a:pt x="4214" y="370"/>
                                    </a:lnTo>
                                    <a:close/>
                                    <a:moveTo>
                                      <a:pt x="4345" y="21"/>
                                    </a:moveTo>
                                    <a:cubicBezTo>
                                      <a:pt x="4345" y="457"/>
                                      <a:pt x="4345" y="457"/>
                                      <a:pt x="4345" y="457"/>
                                    </a:cubicBezTo>
                                    <a:cubicBezTo>
                                      <a:pt x="4442" y="457"/>
                                      <a:pt x="4442" y="457"/>
                                      <a:pt x="4442" y="457"/>
                                    </a:cubicBezTo>
                                    <a:cubicBezTo>
                                      <a:pt x="4442" y="144"/>
                                      <a:pt x="4442" y="144"/>
                                      <a:pt x="4442" y="144"/>
                                    </a:cubicBezTo>
                                    <a:cubicBezTo>
                                      <a:pt x="4753" y="457"/>
                                      <a:pt x="4753" y="457"/>
                                      <a:pt x="4753" y="457"/>
                                    </a:cubicBezTo>
                                    <a:cubicBezTo>
                                      <a:pt x="4841" y="457"/>
                                      <a:pt x="4841" y="457"/>
                                      <a:pt x="4841" y="457"/>
                                    </a:cubicBezTo>
                                    <a:cubicBezTo>
                                      <a:pt x="4841" y="21"/>
                                      <a:pt x="4841" y="21"/>
                                      <a:pt x="4841" y="21"/>
                                    </a:cubicBezTo>
                                    <a:cubicBezTo>
                                      <a:pt x="4745" y="21"/>
                                      <a:pt x="4745" y="21"/>
                                      <a:pt x="4745" y="21"/>
                                    </a:cubicBezTo>
                                    <a:cubicBezTo>
                                      <a:pt x="4745" y="319"/>
                                      <a:pt x="4745" y="319"/>
                                      <a:pt x="4745" y="319"/>
                                    </a:cubicBezTo>
                                    <a:cubicBezTo>
                                      <a:pt x="4450" y="21"/>
                                      <a:pt x="4450" y="21"/>
                                      <a:pt x="4450" y="21"/>
                                    </a:cubicBezTo>
                                    <a:lnTo>
                                      <a:pt x="4345" y="21"/>
                                    </a:lnTo>
                                    <a:close/>
                                    <a:moveTo>
                                      <a:pt x="196" y="283"/>
                                    </a:moveTo>
                                    <a:cubicBezTo>
                                      <a:pt x="375" y="283"/>
                                      <a:pt x="375" y="283"/>
                                      <a:pt x="375" y="283"/>
                                    </a:cubicBezTo>
                                    <a:cubicBezTo>
                                      <a:pt x="283" y="109"/>
                                      <a:pt x="283" y="109"/>
                                      <a:pt x="283" y="109"/>
                                    </a:cubicBezTo>
                                    <a:lnTo>
                                      <a:pt x="196" y="283"/>
                                    </a:lnTo>
                                    <a:close/>
                                    <a:moveTo>
                                      <a:pt x="341" y="21"/>
                                    </a:moveTo>
                                    <a:cubicBezTo>
                                      <a:pt x="572" y="457"/>
                                      <a:pt x="572" y="457"/>
                                      <a:pt x="572" y="457"/>
                                    </a:cubicBezTo>
                                    <a:cubicBezTo>
                                      <a:pt x="464" y="457"/>
                                      <a:pt x="464" y="457"/>
                                      <a:pt x="464" y="457"/>
                                    </a:cubicBezTo>
                                    <a:cubicBezTo>
                                      <a:pt x="418" y="365"/>
                                      <a:pt x="418" y="365"/>
                                      <a:pt x="418" y="365"/>
                                    </a:cubicBezTo>
                                    <a:cubicBezTo>
                                      <a:pt x="153" y="365"/>
                                      <a:pt x="153" y="365"/>
                                      <a:pt x="153" y="365"/>
                                    </a:cubicBezTo>
                                    <a:cubicBezTo>
                                      <a:pt x="107" y="457"/>
                                      <a:pt x="107" y="457"/>
                                      <a:pt x="107" y="457"/>
                                    </a:cubicBezTo>
                                    <a:cubicBezTo>
                                      <a:pt x="0" y="457"/>
                                      <a:pt x="0" y="457"/>
                                      <a:pt x="0" y="457"/>
                                    </a:cubicBezTo>
                                    <a:cubicBezTo>
                                      <a:pt x="231" y="21"/>
                                      <a:pt x="231" y="21"/>
                                      <a:pt x="231" y="21"/>
                                    </a:cubicBezTo>
                                    <a:lnTo>
                                      <a:pt x="341" y="21"/>
                                    </a:lnTo>
                                    <a:close/>
                                    <a:moveTo>
                                      <a:pt x="2456" y="283"/>
                                    </a:moveTo>
                                    <a:cubicBezTo>
                                      <a:pt x="2366" y="106"/>
                                      <a:pt x="2366" y="106"/>
                                      <a:pt x="2366" y="106"/>
                                    </a:cubicBezTo>
                                    <a:cubicBezTo>
                                      <a:pt x="2276" y="283"/>
                                      <a:pt x="2276" y="283"/>
                                      <a:pt x="2276" y="283"/>
                                    </a:cubicBezTo>
                                    <a:lnTo>
                                      <a:pt x="2456" y="283"/>
                                    </a:lnTo>
                                    <a:close/>
                                    <a:moveTo>
                                      <a:pt x="2422" y="21"/>
                                    </a:moveTo>
                                    <a:cubicBezTo>
                                      <a:pt x="2654" y="457"/>
                                      <a:pt x="2654" y="457"/>
                                      <a:pt x="2654" y="457"/>
                                    </a:cubicBezTo>
                                    <a:cubicBezTo>
                                      <a:pt x="2546" y="457"/>
                                      <a:pt x="2546" y="457"/>
                                      <a:pt x="2546" y="457"/>
                                    </a:cubicBezTo>
                                    <a:cubicBezTo>
                                      <a:pt x="2499" y="365"/>
                                      <a:pt x="2499" y="365"/>
                                      <a:pt x="2499" y="365"/>
                                    </a:cubicBezTo>
                                    <a:cubicBezTo>
                                      <a:pt x="2234" y="365"/>
                                      <a:pt x="2234" y="365"/>
                                      <a:pt x="2234" y="365"/>
                                    </a:cubicBezTo>
                                    <a:cubicBezTo>
                                      <a:pt x="2188" y="457"/>
                                      <a:pt x="2188" y="457"/>
                                      <a:pt x="2188" y="457"/>
                                    </a:cubicBezTo>
                                    <a:cubicBezTo>
                                      <a:pt x="2081" y="457"/>
                                      <a:pt x="2081" y="457"/>
                                      <a:pt x="2081" y="457"/>
                                    </a:cubicBezTo>
                                    <a:cubicBezTo>
                                      <a:pt x="2312" y="21"/>
                                      <a:pt x="2312" y="21"/>
                                      <a:pt x="2312" y="21"/>
                                    </a:cubicBezTo>
                                    <a:lnTo>
                                      <a:pt x="2422" y="21"/>
                                    </a:lnTo>
                                    <a:close/>
                                    <a:moveTo>
                                      <a:pt x="1015" y="325"/>
                                    </a:moveTo>
                                    <a:cubicBezTo>
                                      <a:pt x="993" y="353"/>
                                      <a:pt x="966" y="371"/>
                                      <a:pt x="932" y="378"/>
                                    </a:cubicBezTo>
                                    <a:cubicBezTo>
                                      <a:pt x="886" y="388"/>
                                      <a:pt x="841" y="387"/>
                                      <a:pt x="796" y="372"/>
                                    </a:cubicBezTo>
                                    <a:cubicBezTo>
                                      <a:pt x="762" y="360"/>
                                      <a:pt x="735" y="339"/>
                                      <a:pt x="719" y="306"/>
                                    </a:cubicBezTo>
                                    <a:cubicBezTo>
                                      <a:pt x="707" y="280"/>
                                      <a:pt x="704" y="254"/>
                                      <a:pt x="705" y="226"/>
                                    </a:cubicBezTo>
                                    <a:cubicBezTo>
                                      <a:pt x="709" y="168"/>
                                      <a:pt x="741" y="125"/>
                                      <a:pt x="797" y="105"/>
                                    </a:cubicBezTo>
                                    <a:cubicBezTo>
                                      <a:pt x="837" y="91"/>
                                      <a:pt x="879" y="89"/>
                                      <a:pt x="920" y="96"/>
                                    </a:cubicBezTo>
                                    <a:cubicBezTo>
                                      <a:pt x="960" y="103"/>
                                      <a:pt x="993" y="123"/>
                                      <a:pt x="1016" y="156"/>
                                    </a:cubicBezTo>
                                    <a:cubicBezTo>
                                      <a:pt x="1018" y="158"/>
                                      <a:pt x="1020" y="160"/>
                                      <a:pt x="1022" y="163"/>
                                    </a:cubicBezTo>
                                    <a:cubicBezTo>
                                      <a:pt x="1052" y="148"/>
                                      <a:pt x="1082" y="133"/>
                                      <a:pt x="1113" y="117"/>
                                    </a:cubicBezTo>
                                    <a:cubicBezTo>
                                      <a:pt x="1106" y="108"/>
                                      <a:pt x="1100" y="99"/>
                                      <a:pt x="1092" y="92"/>
                                    </a:cubicBezTo>
                                    <a:cubicBezTo>
                                      <a:pt x="1051" y="49"/>
                                      <a:pt x="1000" y="24"/>
                                      <a:pt x="942" y="13"/>
                                    </a:cubicBezTo>
                                    <a:cubicBezTo>
                                      <a:pt x="874" y="0"/>
                                      <a:pt x="808" y="6"/>
                                      <a:pt x="744" y="30"/>
                                    </a:cubicBezTo>
                                    <a:cubicBezTo>
                                      <a:pt x="683" y="53"/>
                                      <a:pt x="639" y="93"/>
                                      <a:pt x="617" y="155"/>
                                    </a:cubicBezTo>
                                    <a:cubicBezTo>
                                      <a:pt x="599" y="204"/>
                                      <a:pt x="598" y="254"/>
                                      <a:pt x="611" y="304"/>
                                    </a:cubicBezTo>
                                    <a:cubicBezTo>
                                      <a:pt x="630" y="375"/>
                                      <a:pt x="676" y="422"/>
                                      <a:pt x="745" y="449"/>
                                    </a:cubicBezTo>
                                    <a:cubicBezTo>
                                      <a:pt x="810" y="474"/>
                                      <a:pt x="878" y="477"/>
                                      <a:pt x="946" y="464"/>
                                    </a:cubicBezTo>
                                    <a:cubicBezTo>
                                      <a:pt x="998" y="454"/>
                                      <a:pt x="1045" y="432"/>
                                      <a:pt x="1084" y="395"/>
                                    </a:cubicBezTo>
                                    <a:cubicBezTo>
                                      <a:pt x="1095" y="384"/>
                                      <a:pt x="1105" y="373"/>
                                      <a:pt x="1114" y="359"/>
                                    </a:cubicBezTo>
                                    <a:cubicBezTo>
                                      <a:pt x="1083" y="344"/>
                                      <a:pt x="1054" y="329"/>
                                      <a:pt x="1023" y="314"/>
                                    </a:cubicBezTo>
                                    <a:cubicBezTo>
                                      <a:pt x="1020" y="318"/>
                                      <a:pt x="1018" y="322"/>
                                      <a:pt x="1015" y="325"/>
                                    </a:cubicBezTo>
                                    <a:moveTo>
                                      <a:pt x="1582" y="371"/>
                                    </a:moveTo>
                                    <a:cubicBezTo>
                                      <a:pt x="1582" y="21"/>
                                      <a:pt x="1582" y="21"/>
                                      <a:pt x="1582" y="21"/>
                                    </a:cubicBezTo>
                                    <a:cubicBezTo>
                                      <a:pt x="1483" y="21"/>
                                      <a:pt x="1483" y="21"/>
                                      <a:pt x="1483" y="21"/>
                                    </a:cubicBezTo>
                                    <a:cubicBezTo>
                                      <a:pt x="1483" y="457"/>
                                      <a:pt x="1483" y="457"/>
                                      <a:pt x="1483" y="457"/>
                                    </a:cubicBezTo>
                                    <a:cubicBezTo>
                                      <a:pt x="1891" y="457"/>
                                      <a:pt x="1891" y="457"/>
                                      <a:pt x="1891" y="457"/>
                                    </a:cubicBezTo>
                                    <a:cubicBezTo>
                                      <a:pt x="1891" y="371"/>
                                      <a:pt x="1891" y="371"/>
                                      <a:pt x="1891" y="371"/>
                                    </a:cubicBezTo>
                                    <a:lnTo>
                                      <a:pt x="1582" y="371"/>
                                    </a:lnTo>
                                    <a:close/>
                                    <a:moveTo>
                                      <a:pt x="2845" y="370"/>
                                    </a:moveTo>
                                    <a:cubicBezTo>
                                      <a:pt x="2845" y="21"/>
                                      <a:pt x="2845" y="21"/>
                                      <a:pt x="2845" y="21"/>
                                    </a:cubicBezTo>
                                    <a:cubicBezTo>
                                      <a:pt x="2747" y="21"/>
                                      <a:pt x="2747" y="21"/>
                                      <a:pt x="2747" y="21"/>
                                    </a:cubicBezTo>
                                    <a:cubicBezTo>
                                      <a:pt x="2747" y="457"/>
                                      <a:pt x="2747" y="457"/>
                                      <a:pt x="2747" y="457"/>
                                    </a:cubicBezTo>
                                    <a:cubicBezTo>
                                      <a:pt x="3155" y="457"/>
                                      <a:pt x="3155" y="457"/>
                                      <a:pt x="3155" y="457"/>
                                    </a:cubicBezTo>
                                    <a:cubicBezTo>
                                      <a:pt x="3155" y="370"/>
                                      <a:pt x="3155" y="370"/>
                                      <a:pt x="3155" y="370"/>
                                    </a:cubicBezTo>
                                    <a:lnTo>
                                      <a:pt x="2845" y="370"/>
                                    </a:lnTo>
                                    <a:close/>
                                    <a:moveTo>
                                      <a:pt x="3350" y="370"/>
                                    </a:moveTo>
                                    <a:cubicBezTo>
                                      <a:pt x="3350" y="21"/>
                                      <a:pt x="3350" y="21"/>
                                      <a:pt x="3350" y="21"/>
                                    </a:cubicBezTo>
                                    <a:cubicBezTo>
                                      <a:pt x="3253" y="21"/>
                                      <a:pt x="3253" y="21"/>
                                      <a:pt x="3253" y="21"/>
                                    </a:cubicBezTo>
                                    <a:cubicBezTo>
                                      <a:pt x="3253" y="457"/>
                                      <a:pt x="3253" y="457"/>
                                      <a:pt x="3253" y="457"/>
                                    </a:cubicBezTo>
                                    <a:cubicBezTo>
                                      <a:pt x="3660" y="457"/>
                                      <a:pt x="3660" y="457"/>
                                      <a:pt x="3660" y="457"/>
                                    </a:cubicBezTo>
                                    <a:cubicBezTo>
                                      <a:pt x="3660" y="370"/>
                                      <a:pt x="3660" y="370"/>
                                      <a:pt x="3660" y="370"/>
                                    </a:cubicBezTo>
                                    <a:lnTo>
                                      <a:pt x="3350" y="370"/>
                                    </a:lnTo>
                                    <a:close/>
                                    <a:moveTo>
                                      <a:pt x="1233" y="457"/>
                                    </a:moveTo>
                                    <a:cubicBezTo>
                                      <a:pt x="1335" y="457"/>
                                      <a:pt x="1335" y="457"/>
                                      <a:pt x="1335" y="457"/>
                                    </a:cubicBezTo>
                                    <a:cubicBezTo>
                                      <a:pt x="1335" y="21"/>
                                      <a:pt x="1335" y="21"/>
                                      <a:pt x="1335" y="21"/>
                                    </a:cubicBezTo>
                                    <a:cubicBezTo>
                                      <a:pt x="1233" y="21"/>
                                      <a:pt x="1233" y="21"/>
                                      <a:pt x="1233" y="21"/>
                                    </a:cubicBezTo>
                                    <a:lnTo>
                                      <a:pt x="1233" y="457"/>
                                    </a:lnTo>
                                    <a:close/>
                                  </a:path>
                                </a:pathLst>
                              </a:custGeom>
                              <a:solidFill>
                                <a:srgbClr val="0001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2B5D3A67" id="Group 666" o:spid="_x0000_s1026" alt="&quot;&quot;" style="position:absolute;margin-left:5.2pt;margin-top:6.35pt;width:77.25pt;height:11.25pt;z-index:251729920;mso-position-horizontal-relative:page;mso-position-vertical-relative:page;mso-width-relative:margin;mso-height-relative:margin" coordorigin=",-212" coordsize="121888,187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">
                    <o:lock v:ext="edit" aspectratio="t"/>
                    <v:rect id="Rectangle 667" o:spid="_x0000_s1027" style="position:absolute;top:16431;width:14398;height:2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" fillcolor="#6c3f99" stroked="f"/>
                    <v:shape id="Freeform 6" o:spid="_x0000_s1028" style="position:absolute;top:-212;width:121888;height:12963;visibility:visible;mso-wrap-style:square;v-text-anchor:top" coordsize="4841,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" path="m4214,370v,87,,87,,87c3766,457,3766,457,3766,457v,-436,,-436,,-436c4214,21,4214,21,4214,21v,83,,83,,83c3864,104,3864,104,3864,104v,89,,89,,89c4151,194,4151,194,4151,194v,83,,83,,83c3864,277,3864,277,3864,277v,93,,93,,93l4214,370xm4345,21v,436,,436,,436c4442,457,4442,457,4442,457v,-313,,-313,,-313c4753,457,4753,457,4753,457v88,,88,,88,c4841,21,4841,21,4841,21v-96,,-96,,-96,c4745,319,4745,319,4745,319,4450,21,4450,21,4450,21r-105,xm196,283v179,,179,,179,c283,109,283,109,283,109l196,283xm341,21c572,457,572,457,572,457v-108,,-108,,-108,c418,365,418,365,418,365v-265,,-265,,-265,c107,457,107,457,107,457,,457,,457,,457,231,21,231,21,231,21r110,xm2456,283c2366,106,2366,106,2366,106v-90,177,-90,177,-90,177l2456,283xm2422,21v232,436,232,436,232,436c2546,457,2546,457,2546,457v-47,-92,-47,-92,-47,-92c2234,365,2234,365,2234,365v-46,92,-46,92,-46,92c2081,457,2081,457,2081,457,2312,21,2312,21,2312,21r110,xm1015,325v-22,28,-49,46,-83,53c886,388,841,387,796,372,762,360,735,339,719,306,707,280,704,254,705,226v4,-58,36,-101,92,-121c837,91,879,89,920,96v40,7,73,27,96,60c1018,158,1020,160,1022,163v30,-15,60,-30,91,-46c1106,108,1100,99,1092,92,1051,49,1000,24,942,13,874,,808,6,744,30,683,53,639,93,617,155v-18,49,-19,99,-6,149c630,375,676,422,745,449v65,25,133,28,201,15c998,454,1045,432,1084,395v11,-11,21,-22,30,-36c1083,344,1054,329,1023,314v-3,4,-5,8,-8,11m1582,371v,-350,,-350,,-350c1483,21,1483,21,1483,21v,436,,436,,436c1891,457,1891,457,1891,457v,-86,,-86,,-86l1582,371xm2845,370v,-349,,-349,,-349c2747,21,2747,21,2747,21v,436,,436,,436c3155,457,3155,457,3155,457v,-87,,-87,,-87l2845,370xm3350,370v,-349,,-349,,-349c3253,21,3253,21,3253,21v,436,,436,,436c3660,457,3660,457,3660,457v,-87,,-87,,-87l3350,370xm1233,457v102,,102,,102,c1335,21,1335,21,1335,21v-102,,-102,,-102,l1233,457xe" fillcolor="#000100" stroked="f">
                      <v:path arrowok="t" o:connecttype="custom" o:connectlocs="10610144,1241977;9482156,57071;10610144,282638;9728903,524511;10451521,752795;9728903,1005539;10939980,57071;11184210,1241977;11967256,1241977;12188825,57071;11947113,866938;10939980,57071;944187,769101;493495,769101;1440200,1241977;1052454,991951;269408,1241977;581619,57071;6183796,769101;5730586,769101;6098189,57071;6410400,1241977;5624837,991951;5239609,1241977;6098189,57071;2346619,1027280;1810321,831608;2006712,285356;2558117,423957;2802347,317968;2371798,35330;1553502,421239;1875785,1220235;2729330,1073481;2575742,853349;3983210,1008257;3733945,57071;4761220,1241977;3983210,1008257;7163232,57071;6916485,1241977;7943760,1005539;8434737,1005539;8190508,57071;9215265,1241977;8434737,1005539;3361306,1241977;3104487,57071" o:connectangles="0,0,0,0,0,0,0,0,0,0,0,0,0,0,0,0,0,0,0,0,0,0,0,0,0,0,0,0,0,0,0,0,0,0,0,0,0,0,0,0,0,0,0,0,0,0,0,0"/>
                      <o:lock v:ext="edit" verticies="t"/>
                    </v:shape>
                    <w10:wrap anchorx="page" anchory="page"/>
                    <w10:anchorlock/>
                  </v:group>
                </w:pict>
              </mc:Fallback>
            </mc:AlternateContent>
          </w:r>
        </w:p>
      </w:tc>
      <w:tc>
        <w:tcPr>
          <w:tcW w:w="5173" w:type="dxa"/>
          <w:vAlign w:val="center"/>
        </w:tcPr>
        <w:p w14:paraId="2D2F8381" w14:textId="049BEDEB" w:rsidR="002B32A0" w:rsidRDefault="002B32A0" w:rsidP="004A1654">
          <w:pPr>
            <w:pStyle w:val="Header-CompanyName"/>
          </w:pPr>
        </w:p>
      </w:tc>
    </w:tr>
  </w:tbl>
  <w:p w14:paraId="033F0F48" w14:textId="71673DA6" w:rsidR="002B32A0" w:rsidRPr="00AB12E8" w:rsidRDefault="002B32A0" w:rsidP="00327E78">
    <w:pPr>
      <w:pStyle w:val="Header"/>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E6FEA7" w14:textId="77777777" w:rsidR="002B32A0" w:rsidRDefault="002B32A0">
    <w:pPr>
      <w:pStyle w:val="Header"/>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acTablenolines"/>
      <w:tblW w:w="14742" w:type="dxa"/>
      <w:tblLayout w:type="fixed"/>
      <w:tblLook w:val="04A0" w:firstRow="1" w:lastRow="0" w:firstColumn="1" w:lastColumn="0" w:noHBand="0" w:noVBand="1"/>
    </w:tblPr>
    <w:tblGrid>
      <w:gridCol w:w="5176"/>
      <w:gridCol w:w="9566"/>
    </w:tblGrid>
    <w:tr w:rsidR="005C152F" w14:paraId="214EA083" w14:textId="77777777" w:rsidTr="000B0AC7">
      <w:trPr>
        <w:trHeight w:hRule="exact" w:val="356"/>
      </w:trPr>
      <w:tc>
        <w:tcPr>
          <w:tcW w:w="5176" w:type="dxa"/>
          <w:vAlign w:val="center"/>
        </w:tcPr>
        <w:p w14:paraId="4B948C7E" w14:textId="77777777" w:rsidR="005C152F" w:rsidRDefault="005C152F" w:rsidP="005C152F">
          <w:pPr>
            <w:pStyle w:val="spacer"/>
            <w:ind w:left="1274"/>
          </w:pPr>
          <w:r w:rsidRPr="000261B1">
            <w:rPr>
              <w:noProof/>
            </w:rPr>
            <mc:AlternateContent>
              <mc:Choice Requires="wpg">
                <w:drawing>
                  <wp:anchor distT="0" distB="0" distL="114300" distR="114300" simplePos="0" relativeHeight="251747328" behindDoc="0" locked="1" layoutInCell="1" allowOverlap="1" wp14:anchorId="58DCD597" wp14:editId="2AFAF758">
                    <wp:simplePos x="0" y="0"/>
                    <wp:positionH relativeFrom="page">
                      <wp:posOffset>66040</wp:posOffset>
                    </wp:positionH>
                    <wp:positionV relativeFrom="page">
                      <wp:posOffset>80645</wp:posOffset>
                    </wp:positionV>
                    <wp:extent cx="981075" cy="142875"/>
                    <wp:effectExtent l="0" t="0" r="9525" b="9525"/>
                    <wp:wrapNone/>
                    <wp:docPr id="1429903649" name="Group 14299036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981075" cy="142875"/>
                              <a:chOff x="0" y="-21209"/>
                              <a:chExt cx="12188825" cy="1878663"/>
                            </a:xfrm>
                          </wpg:grpSpPr>
                          <wps:wsp>
                            <wps:cNvPr id="1825811058" name="Rectangle 1825811058"/>
                            <wps:cNvSpPr>
                              <a:spLocks noChangeArrowheads="1"/>
                            </wps:cNvSpPr>
                            <wps:spPr bwMode="auto">
                              <a:xfrm>
                                <a:off x="0" y="1643143"/>
                                <a:ext cx="1439863" cy="214311"/>
                              </a:xfrm>
                              <a:prstGeom prst="rect">
                                <a:avLst/>
                              </a:prstGeom>
                              <a:solidFill>
                                <a:srgbClr val="6C3F99"/>
                              </a:solid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1582292211" name="Freeform 6"/>
                            <wps:cNvSpPr>
                              <a:spLocks noEditPoints="1"/>
                            </wps:cNvSpPr>
                            <wps:spPr bwMode="auto">
                              <a:xfrm>
                                <a:off x="0" y="-21209"/>
                                <a:ext cx="12188825" cy="1296330"/>
                              </a:xfrm>
                              <a:custGeom>
                                <a:avLst/>
                                <a:gdLst>
                                  <a:gd name="T0" fmla="*/ 4214 w 4841"/>
                                  <a:gd name="T1" fmla="*/ 457 h 477"/>
                                  <a:gd name="T2" fmla="*/ 3766 w 4841"/>
                                  <a:gd name="T3" fmla="*/ 21 h 477"/>
                                  <a:gd name="T4" fmla="*/ 4214 w 4841"/>
                                  <a:gd name="T5" fmla="*/ 104 h 477"/>
                                  <a:gd name="T6" fmla="*/ 3864 w 4841"/>
                                  <a:gd name="T7" fmla="*/ 193 h 477"/>
                                  <a:gd name="T8" fmla="*/ 4151 w 4841"/>
                                  <a:gd name="T9" fmla="*/ 277 h 477"/>
                                  <a:gd name="T10" fmla="*/ 3864 w 4841"/>
                                  <a:gd name="T11" fmla="*/ 370 h 477"/>
                                  <a:gd name="T12" fmla="*/ 4345 w 4841"/>
                                  <a:gd name="T13" fmla="*/ 21 h 477"/>
                                  <a:gd name="T14" fmla="*/ 4442 w 4841"/>
                                  <a:gd name="T15" fmla="*/ 457 h 477"/>
                                  <a:gd name="T16" fmla="*/ 4753 w 4841"/>
                                  <a:gd name="T17" fmla="*/ 457 h 477"/>
                                  <a:gd name="T18" fmla="*/ 4841 w 4841"/>
                                  <a:gd name="T19" fmla="*/ 21 h 477"/>
                                  <a:gd name="T20" fmla="*/ 4745 w 4841"/>
                                  <a:gd name="T21" fmla="*/ 319 h 477"/>
                                  <a:gd name="T22" fmla="*/ 4345 w 4841"/>
                                  <a:gd name="T23" fmla="*/ 21 h 477"/>
                                  <a:gd name="T24" fmla="*/ 375 w 4841"/>
                                  <a:gd name="T25" fmla="*/ 283 h 477"/>
                                  <a:gd name="T26" fmla="*/ 196 w 4841"/>
                                  <a:gd name="T27" fmla="*/ 283 h 477"/>
                                  <a:gd name="T28" fmla="*/ 572 w 4841"/>
                                  <a:gd name="T29" fmla="*/ 457 h 477"/>
                                  <a:gd name="T30" fmla="*/ 418 w 4841"/>
                                  <a:gd name="T31" fmla="*/ 365 h 477"/>
                                  <a:gd name="T32" fmla="*/ 107 w 4841"/>
                                  <a:gd name="T33" fmla="*/ 457 h 477"/>
                                  <a:gd name="T34" fmla="*/ 231 w 4841"/>
                                  <a:gd name="T35" fmla="*/ 21 h 477"/>
                                  <a:gd name="T36" fmla="*/ 2456 w 4841"/>
                                  <a:gd name="T37" fmla="*/ 283 h 477"/>
                                  <a:gd name="T38" fmla="*/ 2276 w 4841"/>
                                  <a:gd name="T39" fmla="*/ 283 h 477"/>
                                  <a:gd name="T40" fmla="*/ 2422 w 4841"/>
                                  <a:gd name="T41" fmla="*/ 21 h 477"/>
                                  <a:gd name="T42" fmla="*/ 2546 w 4841"/>
                                  <a:gd name="T43" fmla="*/ 457 h 477"/>
                                  <a:gd name="T44" fmla="*/ 2234 w 4841"/>
                                  <a:gd name="T45" fmla="*/ 365 h 477"/>
                                  <a:gd name="T46" fmla="*/ 2081 w 4841"/>
                                  <a:gd name="T47" fmla="*/ 457 h 477"/>
                                  <a:gd name="T48" fmla="*/ 2422 w 4841"/>
                                  <a:gd name="T49" fmla="*/ 21 h 477"/>
                                  <a:gd name="T50" fmla="*/ 932 w 4841"/>
                                  <a:gd name="T51" fmla="*/ 378 h 477"/>
                                  <a:gd name="T52" fmla="*/ 719 w 4841"/>
                                  <a:gd name="T53" fmla="*/ 306 h 477"/>
                                  <a:gd name="T54" fmla="*/ 797 w 4841"/>
                                  <a:gd name="T55" fmla="*/ 105 h 477"/>
                                  <a:gd name="T56" fmla="*/ 1016 w 4841"/>
                                  <a:gd name="T57" fmla="*/ 156 h 477"/>
                                  <a:gd name="T58" fmla="*/ 1113 w 4841"/>
                                  <a:gd name="T59" fmla="*/ 117 h 477"/>
                                  <a:gd name="T60" fmla="*/ 942 w 4841"/>
                                  <a:gd name="T61" fmla="*/ 13 h 477"/>
                                  <a:gd name="T62" fmla="*/ 617 w 4841"/>
                                  <a:gd name="T63" fmla="*/ 155 h 477"/>
                                  <a:gd name="T64" fmla="*/ 745 w 4841"/>
                                  <a:gd name="T65" fmla="*/ 449 h 477"/>
                                  <a:gd name="T66" fmla="*/ 1084 w 4841"/>
                                  <a:gd name="T67" fmla="*/ 395 h 477"/>
                                  <a:gd name="T68" fmla="*/ 1023 w 4841"/>
                                  <a:gd name="T69" fmla="*/ 314 h 477"/>
                                  <a:gd name="T70" fmla="*/ 1582 w 4841"/>
                                  <a:gd name="T71" fmla="*/ 371 h 477"/>
                                  <a:gd name="T72" fmla="*/ 1483 w 4841"/>
                                  <a:gd name="T73" fmla="*/ 21 h 477"/>
                                  <a:gd name="T74" fmla="*/ 1891 w 4841"/>
                                  <a:gd name="T75" fmla="*/ 457 h 477"/>
                                  <a:gd name="T76" fmla="*/ 1582 w 4841"/>
                                  <a:gd name="T77" fmla="*/ 371 h 477"/>
                                  <a:gd name="T78" fmla="*/ 2845 w 4841"/>
                                  <a:gd name="T79" fmla="*/ 21 h 477"/>
                                  <a:gd name="T80" fmla="*/ 2747 w 4841"/>
                                  <a:gd name="T81" fmla="*/ 457 h 477"/>
                                  <a:gd name="T82" fmla="*/ 3155 w 4841"/>
                                  <a:gd name="T83" fmla="*/ 370 h 477"/>
                                  <a:gd name="T84" fmla="*/ 3350 w 4841"/>
                                  <a:gd name="T85" fmla="*/ 370 h 477"/>
                                  <a:gd name="T86" fmla="*/ 3253 w 4841"/>
                                  <a:gd name="T87" fmla="*/ 21 h 477"/>
                                  <a:gd name="T88" fmla="*/ 3660 w 4841"/>
                                  <a:gd name="T89" fmla="*/ 457 h 477"/>
                                  <a:gd name="T90" fmla="*/ 3350 w 4841"/>
                                  <a:gd name="T91" fmla="*/ 370 h 477"/>
                                  <a:gd name="T92" fmla="*/ 1335 w 4841"/>
                                  <a:gd name="T93" fmla="*/ 457 h 477"/>
                                  <a:gd name="T94" fmla="*/ 1233 w 4841"/>
                                  <a:gd name="T95" fmla="*/ 21 h 4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4841" h="477">
                                    <a:moveTo>
                                      <a:pt x="4214" y="370"/>
                                    </a:moveTo>
                                    <a:cubicBezTo>
                                      <a:pt x="4214" y="457"/>
                                      <a:pt x="4214" y="457"/>
                                      <a:pt x="4214" y="457"/>
                                    </a:cubicBezTo>
                                    <a:cubicBezTo>
                                      <a:pt x="3766" y="457"/>
                                      <a:pt x="3766" y="457"/>
                                      <a:pt x="3766" y="457"/>
                                    </a:cubicBezTo>
                                    <a:cubicBezTo>
                                      <a:pt x="3766" y="21"/>
                                      <a:pt x="3766" y="21"/>
                                      <a:pt x="3766" y="21"/>
                                    </a:cubicBezTo>
                                    <a:cubicBezTo>
                                      <a:pt x="4214" y="21"/>
                                      <a:pt x="4214" y="21"/>
                                      <a:pt x="4214" y="21"/>
                                    </a:cubicBezTo>
                                    <a:cubicBezTo>
                                      <a:pt x="4214" y="104"/>
                                      <a:pt x="4214" y="104"/>
                                      <a:pt x="4214" y="104"/>
                                    </a:cubicBezTo>
                                    <a:cubicBezTo>
                                      <a:pt x="3864" y="104"/>
                                      <a:pt x="3864" y="104"/>
                                      <a:pt x="3864" y="104"/>
                                    </a:cubicBezTo>
                                    <a:cubicBezTo>
                                      <a:pt x="3864" y="193"/>
                                      <a:pt x="3864" y="193"/>
                                      <a:pt x="3864" y="193"/>
                                    </a:cubicBezTo>
                                    <a:cubicBezTo>
                                      <a:pt x="4151" y="194"/>
                                      <a:pt x="4151" y="194"/>
                                      <a:pt x="4151" y="194"/>
                                    </a:cubicBezTo>
                                    <a:cubicBezTo>
                                      <a:pt x="4151" y="277"/>
                                      <a:pt x="4151" y="277"/>
                                      <a:pt x="4151" y="277"/>
                                    </a:cubicBezTo>
                                    <a:cubicBezTo>
                                      <a:pt x="3864" y="277"/>
                                      <a:pt x="3864" y="277"/>
                                      <a:pt x="3864" y="277"/>
                                    </a:cubicBezTo>
                                    <a:cubicBezTo>
                                      <a:pt x="3864" y="370"/>
                                      <a:pt x="3864" y="370"/>
                                      <a:pt x="3864" y="370"/>
                                    </a:cubicBezTo>
                                    <a:lnTo>
                                      <a:pt x="4214" y="370"/>
                                    </a:lnTo>
                                    <a:close/>
                                    <a:moveTo>
                                      <a:pt x="4345" y="21"/>
                                    </a:moveTo>
                                    <a:cubicBezTo>
                                      <a:pt x="4345" y="457"/>
                                      <a:pt x="4345" y="457"/>
                                      <a:pt x="4345" y="457"/>
                                    </a:cubicBezTo>
                                    <a:cubicBezTo>
                                      <a:pt x="4442" y="457"/>
                                      <a:pt x="4442" y="457"/>
                                      <a:pt x="4442" y="457"/>
                                    </a:cubicBezTo>
                                    <a:cubicBezTo>
                                      <a:pt x="4442" y="144"/>
                                      <a:pt x="4442" y="144"/>
                                      <a:pt x="4442" y="144"/>
                                    </a:cubicBezTo>
                                    <a:cubicBezTo>
                                      <a:pt x="4753" y="457"/>
                                      <a:pt x="4753" y="457"/>
                                      <a:pt x="4753" y="457"/>
                                    </a:cubicBezTo>
                                    <a:cubicBezTo>
                                      <a:pt x="4841" y="457"/>
                                      <a:pt x="4841" y="457"/>
                                      <a:pt x="4841" y="457"/>
                                    </a:cubicBezTo>
                                    <a:cubicBezTo>
                                      <a:pt x="4841" y="21"/>
                                      <a:pt x="4841" y="21"/>
                                      <a:pt x="4841" y="21"/>
                                    </a:cubicBezTo>
                                    <a:cubicBezTo>
                                      <a:pt x="4745" y="21"/>
                                      <a:pt x="4745" y="21"/>
                                      <a:pt x="4745" y="21"/>
                                    </a:cubicBezTo>
                                    <a:cubicBezTo>
                                      <a:pt x="4745" y="319"/>
                                      <a:pt x="4745" y="319"/>
                                      <a:pt x="4745" y="319"/>
                                    </a:cubicBezTo>
                                    <a:cubicBezTo>
                                      <a:pt x="4450" y="21"/>
                                      <a:pt x="4450" y="21"/>
                                      <a:pt x="4450" y="21"/>
                                    </a:cubicBezTo>
                                    <a:lnTo>
                                      <a:pt x="4345" y="21"/>
                                    </a:lnTo>
                                    <a:close/>
                                    <a:moveTo>
                                      <a:pt x="196" y="283"/>
                                    </a:moveTo>
                                    <a:cubicBezTo>
                                      <a:pt x="375" y="283"/>
                                      <a:pt x="375" y="283"/>
                                      <a:pt x="375" y="283"/>
                                    </a:cubicBezTo>
                                    <a:cubicBezTo>
                                      <a:pt x="283" y="109"/>
                                      <a:pt x="283" y="109"/>
                                      <a:pt x="283" y="109"/>
                                    </a:cubicBezTo>
                                    <a:lnTo>
                                      <a:pt x="196" y="283"/>
                                    </a:lnTo>
                                    <a:close/>
                                    <a:moveTo>
                                      <a:pt x="341" y="21"/>
                                    </a:moveTo>
                                    <a:cubicBezTo>
                                      <a:pt x="572" y="457"/>
                                      <a:pt x="572" y="457"/>
                                      <a:pt x="572" y="457"/>
                                    </a:cubicBezTo>
                                    <a:cubicBezTo>
                                      <a:pt x="464" y="457"/>
                                      <a:pt x="464" y="457"/>
                                      <a:pt x="464" y="457"/>
                                    </a:cubicBezTo>
                                    <a:cubicBezTo>
                                      <a:pt x="418" y="365"/>
                                      <a:pt x="418" y="365"/>
                                      <a:pt x="418" y="365"/>
                                    </a:cubicBezTo>
                                    <a:cubicBezTo>
                                      <a:pt x="153" y="365"/>
                                      <a:pt x="153" y="365"/>
                                      <a:pt x="153" y="365"/>
                                    </a:cubicBezTo>
                                    <a:cubicBezTo>
                                      <a:pt x="107" y="457"/>
                                      <a:pt x="107" y="457"/>
                                      <a:pt x="107" y="457"/>
                                    </a:cubicBezTo>
                                    <a:cubicBezTo>
                                      <a:pt x="0" y="457"/>
                                      <a:pt x="0" y="457"/>
                                      <a:pt x="0" y="457"/>
                                    </a:cubicBezTo>
                                    <a:cubicBezTo>
                                      <a:pt x="231" y="21"/>
                                      <a:pt x="231" y="21"/>
                                      <a:pt x="231" y="21"/>
                                    </a:cubicBezTo>
                                    <a:lnTo>
                                      <a:pt x="341" y="21"/>
                                    </a:lnTo>
                                    <a:close/>
                                    <a:moveTo>
                                      <a:pt x="2456" y="283"/>
                                    </a:moveTo>
                                    <a:cubicBezTo>
                                      <a:pt x="2366" y="106"/>
                                      <a:pt x="2366" y="106"/>
                                      <a:pt x="2366" y="106"/>
                                    </a:cubicBezTo>
                                    <a:cubicBezTo>
                                      <a:pt x="2276" y="283"/>
                                      <a:pt x="2276" y="283"/>
                                      <a:pt x="2276" y="283"/>
                                    </a:cubicBezTo>
                                    <a:lnTo>
                                      <a:pt x="2456" y="283"/>
                                    </a:lnTo>
                                    <a:close/>
                                    <a:moveTo>
                                      <a:pt x="2422" y="21"/>
                                    </a:moveTo>
                                    <a:cubicBezTo>
                                      <a:pt x="2654" y="457"/>
                                      <a:pt x="2654" y="457"/>
                                      <a:pt x="2654" y="457"/>
                                    </a:cubicBezTo>
                                    <a:cubicBezTo>
                                      <a:pt x="2546" y="457"/>
                                      <a:pt x="2546" y="457"/>
                                      <a:pt x="2546" y="457"/>
                                    </a:cubicBezTo>
                                    <a:cubicBezTo>
                                      <a:pt x="2499" y="365"/>
                                      <a:pt x="2499" y="365"/>
                                      <a:pt x="2499" y="365"/>
                                    </a:cubicBezTo>
                                    <a:cubicBezTo>
                                      <a:pt x="2234" y="365"/>
                                      <a:pt x="2234" y="365"/>
                                      <a:pt x="2234" y="365"/>
                                    </a:cubicBezTo>
                                    <a:cubicBezTo>
                                      <a:pt x="2188" y="457"/>
                                      <a:pt x="2188" y="457"/>
                                      <a:pt x="2188" y="457"/>
                                    </a:cubicBezTo>
                                    <a:cubicBezTo>
                                      <a:pt x="2081" y="457"/>
                                      <a:pt x="2081" y="457"/>
                                      <a:pt x="2081" y="457"/>
                                    </a:cubicBezTo>
                                    <a:cubicBezTo>
                                      <a:pt x="2312" y="21"/>
                                      <a:pt x="2312" y="21"/>
                                      <a:pt x="2312" y="21"/>
                                    </a:cubicBezTo>
                                    <a:lnTo>
                                      <a:pt x="2422" y="21"/>
                                    </a:lnTo>
                                    <a:close/>
                                    <a:moveTo>
                                      <a:pt x="1015" y="325"/>
                                    </a:moveTo>
                                    <a:cubicBezTo>
                                      <a:pt x="993" y="353"/>
                                      <a:pt x="966" y="371"/>
                                      <a:pt x="932" y="378"/>
                                    </a:cubicBezTo>
                                    <a:cubicBezTo>
                                      <a:pt x="886" y="388"/>
                                      <a:pt x="841" y="387"/>
                                      <a:pt x="796" y="372"/>
                                    </a:cubicBezTo>
                                    <a:cubicBezTo>
                                      <a:pt x="762" y="360"/>
                                      <a:pt x="735" y="339"/>
                                      <a:pt x="719" y="306"/>
                                    </a:cubicBezTo>
                                    <a:cubicBezTo>
                                      <a:pt x="707" y="280"/>
                                      <a:pt x="704" y="254"/>
                                      <a:pt x="705" y="226"/>
                                    </a:cubicBezTo>
                                    <a:cubicBezTo>
                                      <a:pt x="709" y="168"/>
                                      <a:pt x="741" y="125"/>
                                      <a:pt x="797" y="105"/>
                                    </a:cubicBezTo>
                                    <a:cubicBezTo>
                                      <a:pt x="837" y="91"/>
                                      <a:pt x="879" y="89"/>
                                      <a:pt x="920" y="96"/>
                                    </a:cubicBezTo>
                                    <a:cubicBezTo>
                                      <a:pt x="960" y="103"/>
                                      <a:pt x="993" y="123"/>
                                      <a:pt x="1016" y="156"/>
                                    </a:cubicBezTo>
                                    <a:cubicBezTo>
                                      <a:pt x="1018" y="158"/>
                                      <a:pt x="1020" y="160"/>
                                      <a:pt x="1022" y="163"/>
                                    </a:cubicBezTo>
                                    <a:cubicBezTo>
                                      <a:pt x="1052" y="148"/>
                                      <a:pt x="1082" y="133"/>
                                      <a:pt x="1113" y="117"/>
                                    </a:cubicBezTo>
                                    <a:cubicBezTo>
                                      <a:pt x="1106" y="108"/>
                                      <a:pt x="1100" y="99"/>
                                      <a:pt x="1092" y="92"/>
                                    </a:cubicBezTo>
                                    <a:cubicBezTo>
                                      <a:pt x="1051" y="49"/>
                                      <a:pt x="1000" y="24"/>
                                      <a:pt x="942" y="13"/>
                                    </a:cubicBezTo>
                                    <a:cubicBezTo>
                                      <a:pt x="874" y="0"/>
                                      <a:pt x="808" y="6"/>
                                      <a:pt x="744" y="30"/>
                                    </a:cubicBezTo>
                                    <a:cubicBezTo>
                                      <a:pt x="683" y="53"/>
                                      <a:pt x="639" y="93"/>
                                      <a:pt x="617" y="155"/>
                                    </a:cubicBezTo>
                                    <a:cubicBezTo>
                                      <a:pt x="599" y="204"/>
                                      <a:pt x="598" y="254"/>
                                      <a:pt x="611" y="304"/>
                                    </a:cubicBezTo>
                                    <a:cubicBezTo>
                                      <a:pt x="630" y="375"/>
                                      <a:pt x="676" y="422"/>
                                      <a:pt x="745" y="449"/>
                                    </a:cubicBezTo>
                                    <a:cubicBezTo>
                                      <a:pt x="810" y="474"/>
                                      <a:pt x="878" y="477"/>
                                      <a:pt x="946" y="464"/>
                                    </a:cubicBezTo>
                                    <a:cubicBezTo>
                                      <a:pt x="998" y="454"/>
                                      <a:pt x="1045" y="432"/>
                                      <a:pt x="1084" y="395"/>
                                    </a:cubicBezTo>
                                    <a:cubicBezTo>
                                      <a:pt x="1095" y="384"/>
                                      <a:pt x="1105" y="373"/>
                                      <a:pt x="1114" y="359"/>
                                    </a:cubicBezTo>
                                    <a:cubicBezTo>
                                      <a:pt x="1083" y="344"/>
                                      <a:pt x="1054" y="329"/>
                                      <a:pt x="1023" y="314"/>
                                    </a:cubicBezTo>
                                    <a:cubicBezTo>
                                      <a:pt x="1020" y="318"/>
                                      <a:pt x="1018" y="322"/>
                                      <a:pt x="1015" y="325"/>
                                    </a:cubicBezTo>
                                    <a:moveTo>
                                      <a:pt x="1582" y="371"/>
                                    </a:moveTo>
                                    <a:cubicBezTo>
                                      <a:pt x="1582" y="21"/>
                                      <a:pt x="1582" y="21"/>
                                      <a:pt x="1582" y="21"/>
                                    </a:cubicBezTo>
                                    <a:cubicBezTo>
                                      <a:pt x="1483" y="21"/>
                                      <a:pt x="1483" y="21"/>
                                      <a:pt x="1483" y="21"/>
                                    </a:cubicBezTo>
                                    <a:cubicBezTo>
                                      <a:pt x="1483" y="457"/>
                                      <a:pt x="1483" y="457"/>
                                      <a:pt x="1483" y="457"/>
                                    </a:cubicBezTo>
                                    <a:cubicBezTo>
                                      <a:pt x="1891" y="457"/>
                                      <a:pt x="1891" y="457"/>
                                      <a:pt x="1891" y="457"/>
                                    </a:cubicBezTo>
                                    <a:cubicBezTo>
                                      <a:pt x="1891" y="371"/>
                                      <a:pt x="1891" y="371"/>
                                      <a:pt x="1891" y="371"/>
                                    </a:cubicBezTo>
                                    <a:lnTo>
                                      <a:pt x="1582" y="371"/>
                                    </a:lnTo>
                                    <a:close/>
                                    <a:moveTo>
                                      <a:pt x="2845" y="370"/>
                                    </a:moveTo>
                                    <a:cubicBezTo>
                                      <a:pt x="2845" y="21"/>
                                      <a:pt x="2845" y="21"/>
                                      <a:pt x="2845" y="21"/>
                                    </a:cubicBezTo>
                                    <a:cubicBezTo>
                                      <a:pt x="2747" y="21"/>
                                      <a:pt x="2747" y="21"/>
                                      <a:pt x="2747" y="21"/>
                                    </a:cubicBezTo>
                                    <a:cubicBezTo>
                                      <a:pt x="2747" y="457"/>
                                      <a:pt x="2747" y="457"/>
                                      <a:pt x="2747" y="457"/>
                                    </a:cubicBezTo>
                                    <a:cubicBezTo>
                                      <a:pt x="3155" y="457"/>
                                      <a:pt x="3155" y="457"/>
                                      <a:pt x="3155" y="457"/>
                                    </a:cubicBezTo>
                                    <a:cubicBezTo>
                                      <a:pt x="3155" y="370"/>
                                      <a:pt x="3155" y="370"/>
                                      <a:pt x="3155" y="370"/>
                                    </a:cubicBezTo>
                                    <a:lnTo>
                                      <a:pt x="2845" y="370"/>
                                    </a:lnTo>
                                    <a:close/>
                                    <a:moveTo>
                                      <a:pt x="3350" y="370"/>
                                    </a:moveTo>
                                    <a:cubicBezTo>
                                      <a:pt x="3350" y="21"/>
                                      <a:pt x="3350" y="21"/>
                                      <a:pt x="3350" y="21"/>
                                    </a:cubicBezTo>
                                    <a:cubicBezTo>
                                      <a:pt x="3253" y="21"/>
                                      <a:pt x="3253" y="21"/>
                                      <a:pt x="3253" y="21"/>
                                    </a:cubicBezTo>
                                    <a:cubicBezTo>
                                      <a:pt x="3253" y="457"/>
                                      <a:pt x="3253" y="457"/>
                                      <a:pt x="3253" y="457"/>
                                    </a:cubicBezTo>
                                    <a:cubicBezTo>
                                      <a:pt x="3660" y="457"/>
                                      <a:pt x="3660" y="457"/>
                                      <a:pt x="3660" y="457"/>
                                    </a:cubicBezTo>
                                    <a:cubicBezTo>
                                      <a:pt x="3660" y="370"/>
                                      <a:pt x="3660" y="370"/>
                                      <a:pt x="3660" y="370"/>
                                    </a:cubicBezTo>
                                    <a:lnTo>
                                      <a:pt x="3350" y="370"/>
                                    </a:lnTo>
                                    <a:close/>
                                    <a:moveTo>
                                      <a:pt x="1233" y="457"/>
                                    </a:moveTo>
                                    <a:cubicBezTo>
                                      <a:pt x="1335" y="457"/>
                                      <a:pt x="1335" y="457"/>
                                      <a:pt x="1335" y="457"/>
                                    </a:cubicBezTo>
                                    <a:cubicBezTo>
                                      <a:pt x="1335" y="21"/>
                                      <a:pt x="1335" y="21"/>
                                      <a:pt x="1335" y="21"/>
                                    </a:cubicBezTo>
                                    <a:cubicBezTo>
                                      <a:pt x="1233" y="21"/>
                                      <a:pt x="1233" y="21"/>
                                      <a:pt x="1233" y="21"/>
                                    </a:cubicBezTo>
                                    <a:lnTo>
                                      <a:pt x="1233" y="457"/>
                                    </a:lnTo>
                                    <a:close/>
                                  </a:path>
                                </a:pathLst>
                              </a:custGeom>
                              <a:solidFill>
                                <a:srgbClr val="0001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732DF21C" id="Group 1429903649" o:spid="_x0000_s1026" alt="&quot;&quot;" style="position:absolute;margin-left:5.2pt;margin-top:6.35pt;width:77.25pt;height:11.25pt;z-index:251747328;mso-position-horizontal-relative:page;mso-position-vertical-relative:page;mso-width-relative:margin;mso-height-relative:margin" coordorigin=",-212" coordsize="121888,187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">
                    <o:lock v:ext="edit" aspectratio="t"/>
                    <v:rect id="Rectangle 1825811058" o:spid="_x0000_s1027" style="position:absolute;top:16431;width:14398;height:2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" fillcolor="#6c3f99" stroked="f"/>
                    <v:shape id="Freeform 6" o:spid="_x0000_s1028" style="position:absolute;top:-212;width:121888;height:12963;visibility:visible;mso-wrap-style:square;v-text-anchor:top" coordsize="4841,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" path="m4214,370v,87,,87,,87c3766,457,3766,457,3766,457v,-436,,-436,,-436c4214,21,4214,21,4214,21v,83,,83,,83c3864,104,3864,104,3864,104v,89,,89,,89c4151,194,4151,194,4151,194v,83,,83,,83c3864,277,3864,277,3864,277v,93,,93,,93l4214,370xm4345,21v,436,,436,,436c4442,457,4442,457,4442,457v,-313,,-313,,-313c4753,457,4753,457,4753,457v88,,88,,88,c4841,21,4841,21,4841,21v-96,,-96,,-96,c4745,319,4745,319,4745,319,4450,21,4450,21,4450,21r-105,xm196,283v179,,179,,179,c283,109,283,109,283,109l196,283xm341,21c572,457,572,457,572,457v-108,,-108,,-108,c418,365,418,365,418,365v-265,,-265,,-265,c107,457,107,457,107,457,,457,,457,,457,231,21,231,21,231,21r110,xm2456,283c2366,106,2366,106,2366,106v-90,177,-90,177,-90,177l2456,283xm2422,21v232,436,232,436,232,436c2546,457,2546,457,2546,457v-47,-92,-47,-92,-47,-92c2234,365,2234,365,2234,365v-46,92,-46,92,-46,92c2081,457,2081,457,2081,457,2312,21,2312,21,2312,21r110,xm1015,325v-22,28,-49,46,-83,53c886,388,841,387,796,372,762,360,735,339,719,306,707,280,704,254,705,226v4,-58,36,-101,92,-121c837,91,879,89,920,96v40,7,73,27,96,60c1018,158,1020,160,1022,163v30,-15,60,-30,91,-46c1106,108,1100,99,1092,92,1051,49,1000,24,942,13,874,,808,6,744,30,683,53,639,93,617,155v-18,49,-19,99,-6,149c630,375,676,422,745,449v65,25,133,28,201,15c998,454,1045,432,1084,395v11,-11,21,-22,30,-36c1083,344,1054,329,1023,314v-3,4,-5,8,-8,11m1582,371v,-350,,-350,,-350c1483,21,1483,21,1483,21v,436,,436,,436c1891,457,1891,457,1891,457v,-86,,-86,,-86l1582,371xm2845,370v,-349,,-349,,-349c2747,21,2747,21,2747,21v,436,,436,,436c3155,457,3155,457,3155,457v,-87,,-87,,-87l2845,370xm3350,370v,-349,,-349,,-349c3253,21,3253,21,3253,21v,436,,436,,436c3660,457,3660,457,3660,457v,-87,,-87,,-87l3350,370xm1233,457v102,,102,,102,c1335,21,1335,21,1335,21v-102,,-102,,-102,l1233,457xe" fillcolor="#000100" stroked="f">
                      <v:path arrowok="t" o:connecttype="custom" o:connectlocs="10610144,1241977;9482156,57071;10610144,282638;9728903,524511;10451521,752795;9728903,1005539;10939980,57071;11184210,1241977;11967256,1241977;12188825,57071;11947113,866938;10939980,57071;944187,769101;493495,769101;1440200,1241977;1052454,991951;269408,1241977;581619,57071;6183796,769101;5730586,769101;6098189,57071;6410400,1241977;5624837,991951;5239609,1241977;6098189,57071;2346619,1027280;1810321,831608;2006712,285356;2558117,423957;2802347,317968;2371798,35330;1553502,421239;1875785,1220235;2729330,1073481;2575742,853349;3983210,1008257;3733945,57071;4761220,1241977;3983210,1008257;7163232,57071;6916485,1241977;7943760,1005539;8434737,1005539;8190508,57071;9215265,1241977;8434737,1005539;3361306,1241977;3104487,57071" o:connectangles="0,0,0,0,0,0,0,0,0,0,0,0,0,0,0,0,0,0,0,0,0,0,0,0,0,0,0,0,0,0,0,0,0,0,0,0,0,0,0,0,0,0,0,0,0,0,0,0"/>
                      <o:lock v:ext="edit" verticies="t"/>
                    </v:shape>
                    <w10:wrap anchorx="page" anchory="page"/>
                    <w10:anchorlock/>
                  </v:group>
                </w:pict>
              </mc:Fallback>
            </mc:AlternateContent>
          </w:r>
        </w:p>
      </w:tc>
      <w:tc>
        <w:tcPr>
          <w:tcW w:w="9566" w:type="dxa"/>
          <w:vAlign w:val="center"/>
        </w:tcPr>
        <w:p w14:paraId="1CDE9032" w14:textId="1A22B815" w:rsidR="005C152F" w:rsidRDefault="005C152F" w:rsidP="004A1654">
          <w:pPr>
            <w:pStyle w:val="Header-CompanyName"/>
          </w:pPr>
        </w:p>
      </w:tc>
    </w:tr>
  </w:tbl>
  <w:p w14:paraId="60708CF7" w14:textId="77777777" w:rsidR="005C152F" w:rsidRPr="00AB12E8" w:rsidRDefault="005C152F" w:rsidP="00327E78">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acTablenolines"/>
      <w:tblW w:w="10363" w:type="dxa"/>
      <w:tblInd w:w="-2427" w:type="dxa"/>
      <w:tblLayout w:type="fixed"/>
      <w:tblLook w:val="04A0" w:firstRow="1" w:lastRow="0" w:firstColumn="1" w:lastColumn="0" w:noHBand="0" w:noVBand="1"/>
    </w:tblPr>
    <w:tblGrid>
      <w:gridCol w:w="5182"/>
      <w:gridCol w:w="5181"/>
    </w:tblGrid>
    <w:tr w:rsidR="002B32A0" w14:paraId="16E88992" w14:textId="77777777" w:rsidTr="000B0AC7">
      <w:trPr>
        <w:trHeight w:hRule="exact" w:val="356"/>
      </w:trPr>
      <w:tc>
        <w:tcPr>
          <w:tcW w:w="5182" w:type="dxa"/>
          <w:vAlign w:val="center"/>
        </w:tcPr>
        <w:p w14:paraId="55971CE3" w14:textId="77777777" w:rsidR="002B32A0" w:rsidRDefault="002B32A0" w:rsidP="00667A67">
          <w:pPr>
            <w:pStyle w:val="spacer"/>
          </w:pPr>
          <w:r w:rsidRPr="000261B1">
            <w:rPr>
              <w:noProof/>
            </w:rPr>
            <mc:AlternateContent>
              <mc:Choice Requires="wpg">
                <w:drawing>
                  <wp:anchor distT="0" distB="0" distL="114300" distR="114300" simplePos="0" relativeHeight="251702272" behindDoc="0" locked="1" layoutInCell="1" allowOverlap="1" wp14:anchorId="7C8E478F" wp14:editId="795C30AE">
                    <wp:simplePos x="0" y="0"/>
                    <wp:positionH relativeFrom="page">
                      <wp:posOffset>0</wp:posOffset>
                    </wp:positionH>
                    <wp:positionV relativeFrom="page">
                      <wp:posOffset>69850</wp:posOffset>
                    </wp:positionV>
                    <wp:extent cx="981075" cy="142875"/>
                    <wp:effectExtent l="0" t="0" r="9525" b="9525"/>
                    <wp:wrapNone/>
                    <wp:docPr id="989782364" name="Group 9897823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981075" cy="142875"/>
                              <a:chOff x="0" y="-21209"/>
                              <a:chExt cx="12188825" cy="1878663"/>
                            </a:xfrm>
                          </wpg:grpSpPr>
                          <wps:wsp>
                            <wps:cNvPr id="991055473" name="Rectangle 991055473"/>
                            <wps:cNvSpPr>
                              <a:spLocks noChangeArrowheads="1"/>
                            </wps:cNvSpPr>
                            <wps:spPr bwMode="auto">
                              <a:xfrm>
                                <a:off x="0" y="1643143"/>
                                <a:ext cx="1439863" cy="214311"/>
                              </a:xfrm>
                              <a:prstGeom prst="rect">
                                <a:avLst/>
                              </a:prstGeom>
                              <a:solidFill>
                                <a:srgbClr val="6C3F99"/>
                              </a:solid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1749272453" name="Freeform 6"/>
                            <wps:cNvSpPr>
                              <a:spLocks noEditPoints="1"/>
                            </wps:cNvSpPr>
                            <wps:spPr bwMode="auto">
                              <a:xfrm>
                                <a:off x="0" y="-21209"/>
                                <a:ext cx="12188825" cy="1296330"/>
                              </a:xfrm>
                              <a:custGeom>
                                <a:avLst/>
                                <a:gdLst>
                                  <a:gd name="T0" fmla="*/ 4214 w 4841"/>
                                  <a:gd name="T1" fmla="*/ 457 h 477"/>
                                  <a:gd name="T2" fmla="*/ 3766 w 4841"/>
                                  <a:gd name="T3" fmla="*/ 21 h 477"/>
                                  <a:gd name="T4" fmla="*/ 4214 w 4841"/>
                                  <a:gd name="T5" fmla="*/ 104 h 477"/>
                                  <a:gd name="T6" fmla="*/ 3864 w 4841"/>
                                  <a:gd name="T7" fmla="*/ 193 h 477"/>
                                  <a:gd name="T8" fmla="*/ 4151 w 4841"/>
                                  <a:gd name="T9" fmla="*/ 277 h 477"/>
                                  <a:gd name="T10" fmla="*/ 3864 w 4841"/>
                                  <a:gd name="T11" fmla="*/ 370 h 477"/>
                                  <a:gd name="T12" fmla="*/ 4345 w 4841"/>
                                  <a:gd name="T13" fmla="*/ 21 h 477"/>
                                  <a:gd name="T14" fmla="*/ 4442 w 4841"/>
                                  <a:gd name="T15" fmla="*/ 457 h 477"/>
                                  <a:gd name="T16" fmla="*/ 4753 w 4841"/>
                                  <a:gd name="T17" fmla="*/ 457 h 477"/>
                                  <a:gd name="T18" fmla="*/ 4841 w 4841"/>
                                  <a:gd name="T19" fmla="*/ 21 h 477"/>
                                  <a:gd name="T20" fmla="*/ 4745 w 4841"/>
                                  <a:gd name="T21" fmla="*/ 319 h 477"/>
                                  <a:gd name="T22" fmla="*/ 4345 w 4841"/>
                                  <a:gd name="T23" fmla="*/ 21 h 477"/>
                                  <a:gd name="T24" fmla="*/ 375 w 4841"/>
                                  <a:gd name="T25" fmla="*/ 283 h 477"/>
                                  <a:gd name="T26" fmla="*/ 196 w 4841"/>
                                  <a:gd name="T27" fmla="*/ 283 h 477"/>
                                  <a:gd name="T28" fmla="*/ 572 w 4841"/>
                                  <a:gd name="T29" fmla="*/ 457 h 477"/>
                                  <a:gd name="T30" fmla="*/ 418 w 4841"/>
                                  <a:gd name="T31" fmla="*/ 365 h 477"/>
                                  <a:gd name="T32" fmla="*/ 107 w 4841"/>
                                  <a:gd name="T33" fmla="*/ 457 h 477"/>
                                  <a:gd name="T34" fmla="*/ 231 w 4841"/>
                                  <a:gd name="T35" fmla="*/ 21 h 477"/>
                                  <a:gd name="T36" fmla="*/ 2456 w 4841"/>
                                  <a:gd name="T37" fmla="*/ 283 h 477"/>
                                  <a:gd name="T38" fmla="*/ 2276 w 4841"/>
                                  <a:gd name="T39" fmla="*/ 283 h 477"/>
                                  <a:gd name="T40" fmla="*/ 2422 w 4841"/>
                                  <a:gd name="T41" fmla="*/ 21 h 477"/>
                                  <a:gd name="T42" fmla="*/ 2546 w 4841"/>
                                  <a:gd name="T43" fmla="*/ 457 h 477"/>
                                  <a:gd name="T44" fmla="*/ 2234 w 4841"/>
                                  <a:gd name="T45" fmla="*/ 365 h 477"/>
                                  <a:gd name="T46" fmla="*/ 2081 w 4841"/>
                                  <a:gd name="T47" fmla="*/ 457 h 477"/>
                                  <a:gd name="T48" fmla="*/ 2422 w 4841"/>
                                  <a:gd name="T49" fmla="*/ 21 h 477"/>
                                  <a:gd name="T50" fmla="*/ 932 w 4841"/>
                                  <a:gd name="T51" fmla="*/ 378 h 477"/>
                                  <a:gd name="T52" fmla="*/ 719 w 4841"/>
                                  <a:gd name="T53" fmla="*/ 306 h 477"/>
                                  <a:gd name="T54" fmla="*/ 797 w 4841"/>
                                  <a:gd name="T55" fmla="*/ 105 h 477"/>
                                  <a:gd name="T56" fmla="*/ 1016 w 4841"/>
                                  <a:gd name="T57" fmla="*/ 156 h 477"/>
                                  <a:gd name="T58" fmla="*/ 1113 w 4841"/>
                                  <a:gd name="T59" fmla="*/ 117 h 477"/>
                                  <a:gd name="T60" fmla="*/ 942 w 4841"/>
                                  <a:gd name="T61" fmla="*/ 13 h 477"/>
                                  <a:gd name="T62" fmla="*/ 617 w 4841"/>
                                  <a:gd name="T63" fmla="*/ 155 h 477"/>
                                  <a:gd name="T64" fmla="*/ 745 w 4841"/>
                                  <a:gd name="T65" fmla="*/ 449 h 477"/>
                                  <a:gd name="T66" fmla="*/ 1084 w 4841"/>
                                  <a:gd name="T67" fmla="*/ 395 h 477"/>
                                  <a:gd name="T68" fmla="*/ 1023 w 4841"/>
                                  <a:gd name="T69" fmla="*/ 314 h 477"/>
                                  <a:gd name="T70" fmla="*/ 1582 w 4841"/>
                                  <a:gd name="T71" fmla="*/ 371 h 477"/>
                                  <a:gd name="T72" fmla="*/ 1483 w 4841"/>
                                  <a:gd name="T73" fmla="*/ 21 h 477"/>
                                  <a:gd name="T74" fmla="*/ 1891 w 4841"/>
                                  <a:gd name="T75" fmla="*/ 457 h 477"/>
                                  <a:gd name="T76" fmla="*/ 1582 w 4841"/>
                                  <a:gd name="T77" fmla="*/ 371 h 477"/>
                                  <a:gd name="T78" fmla="*/ 2845 w 4841"/>
                                  <a:gd name="T79" fmla="*/ 21 h 477"/>
                                  <a:gd name="T80" fmla="*/ 2747 w 4841"/>
                                  <a:gd name="T81" fmla="*/ 457 h 477"/>
                                  <a:gd name="T82" fmla="*/ 3155 w 4841"/>
                                  <a:gd name="T83" fmla="*/ 370 h 477"/>
                                  <a:gd name="T84" fmla="*/ 3350 w 4841"/>
                                  <a:gd name="T85" fmla="*/ 370 h 477"/>
                                  <a:gd name="T86" fmla="*/ 3253 w 4841"/>
                                  <a:gd name="T87" fmla="*/ 21 h 477"/>
                                  <a:gd name="T88" fmla="*/ 3660 w 4841"/>
                                  <a:gd name="T89" fmla="*/ 457 h 477"/>
                                  <a:gd name="T90" fmla="*/ 3350 w 4841"/>
                                  <a:gd name="T91" fmla="*/ 370 h 477"/>
                                  <a:gd name="T92" fmla="*/ 1335 w 4841"/>
                                  <a:gd name="T93" fmla="*/ 457 h 477"/>
                                  <a:gd name="T94" fmla="*/ 1233 w 4841"/>
                                  <a:gd name="T95" fmla="*/ 21 h 4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4841" h="477">
                                    <a:moveTo>
                                      <a:pt x="4214" y="370"/>
                                    </a:moveTo>
                                    <a:cubicBezTo>
                                      <a:pt x="4214" y="457"/>
                                      <a:pt x="4214" y="457"/>
                                      <a:pt x="4214" y="457"/>
                                    </a:cubicBezTo>
                                    <a:cubicBezTo>
                                      <a:pt x="3766" y="457"/>
                                      <a:pt x="3766" y="457"/>
                                      <a:pt x="3766" y="457"/>
                                    </a:cubicBezTo>
                                    <a:cubicBezTo>
                                      <a:pt x="3766" y="21"/>
                                      <a:pt x="3766" y="21"/>
                                      <a:pt x="3766" y="21"/>
                                    </a:cubicBezTo>
                                    <a:cubicBezTo>
                                      <a:pt x="4214" y="21"/>
                                      <a:pt x="4214" y="21"/>
                                      <a:pt x="4214" y="21"/>
                                    </a:cubicBezTo>
                                    <a:cubicBezTo>
                                      <a:pt x="4214" y="104"/>
                                      <a:pt x="4214" y="104"/>
                                      <a:pt x="4214" y="104"/>
                                    </a:cubicBezTo>
                                    <a:cubicBezTo>
                                      <a:pt x="3864" y="104"/>
                                      <a:pt x="3864" y="104"/>
                                      <a:pt x="3864" y="104"/>
                                    </a:cubicBezTo>
                                    <a:cubicBezTo>
                                      <a:pt x="3864" y="193"/>
                                      <a:pt x="3864" y="193"/>
                                      <a:pt x="3864" y="193"/>
                                    </a:cubicBezTo>
                                    <a:cubicBezTo>
                                      <a:pt x="4151" y="194"/>
                                      <a:pt x="4151" y="194"/>
                                      <a:pt x="4151" y="194"/>
                                    </a:cubicBezTo>
                                    <a:cubicBezTo>
                                      <a:pt x="4151" y="277"/>
                                      <a:pt x="4151" y="277"/>
                                      <a:pt x="4151" y="277"/>
                                    </a:cubicBezTo>
                                    <a:cubicBezTo>
                                      <a:pt x="3864" y="277"/>
                                      <a:pt x="3864" y="277"/>
                                      <a:pt x="3864" y="277"/>
                                    </a:cubicBezTo>
                                    <a:cubicBezTo>
                                      <a:pt x="3864" y="370"/>
                                      <a:pt x="3864" y="370"/>
                                      <a:pt x="3864" y="370"/>
                                    </a:cubicBezTo>
                                    <a:lnTo>
                                      <a:pt x="4214" y="370"/>
                                    </a:lnTo>
                                    <a:close/>
                                    <a:moveTo>
                                      <a:pt x="4345" y="21"/>
                                    </a:moveTo>
                                    <a:cubicBezTo>
                                      <a:pt x="4345" y="457"/>
                                      <a:pt x="4345" y="457"/>
                                      <a:pt x="4345" y="457"/>
                                    </a:cubicBezTo>
                                    <a:cubicBezTo>
                                      <a:pt x="4442" y="457"/>
                                      <a:pt x="4442" y="457"/>
                                      <a:pt x="4442" y="457"/>
                                    </a:cubicBezTo>
                                    <a:cubicBezTo>
                                      <a:pt x="4442" y="144"/>
                                      <a:pt x="4442" y="144"/>
                                      <a:pt x="4442" y="144"/>
                                    </a:cubicBezTo>
                                    <a:cubicBezTo>
                                      <a:pt x="4753" y="457"/>
                                      <a:pt x="4753" y="457"/>
                                      <a:pt x="4753" y="457"/>
                                    </a:cubicBezTo>
                                    <a:cubicBezTo>
                                      <a:pt x="4841" y="457"/>
                                      <a:pt x="4841" y="457"/>
                                      <a:pt x="4841" y="457"/>
                                    </a:cubicBezTo>
                                    <a:cubicBezTo>
                                      <a:pt x="4841" y="21"/>
                                      <a:pt x="4841" y="21"/>
                                      <a:pt x="4841" y="21"/>
                                    </a:cubicBezTo>
                                    <a:cubicBezTo>
                                      <a:pt x="4745" y="21"/>
                                      <a:pt x="4745" y="21"/>
                                      <a:pt x="4745" y="21"/>
                                    </a:cubicBezTo>
                                    <a:cubicBezTo>
                                      <a:pt x="4745" y="319"/>
                                      <a:pt x="4745" y="319"/>
                                      <a:pt x="4745" y="319"/>
                                    </a:cubicBezTo>
                                    <a:cubicBezTo>
                                      <a:pt x="4450" y="21"/>
                                      <a:pt x="4450" y="21"/>
                                      <a:pt x="4450" y="21"/>
                                    </a:cubicBezTo>
                                    <a:lnTo>
                                      <a:pt x="4345" y="21"/>
                                    </a:lnTo>
                                    <a:close/>
                                    <a:moveTo>
                                      <a:pt x="196" y="283"/>
                                    </a:moveTo>
                                    <a:cubicBezTo>
                                      <a:pt x="375" y="283"/>
                                      <a:pt x="375" y="283"/>
                                      <a:pt x="375" y="283"/>
                                    </a:cubicBezTo>
                                    <a:cubicBezTo>
                                      <a:pt x="283" y="109"/>
                                      <a:pt x="283" y="109"/>
                                      <a:pt x="283" y="109"/>
                                    </a:cubicBezTo>
                                    <a:lnTo>
                                      <a:pt x="196" y="283"/>
                                    </a:lnTo>
                                    <a:close/>
                                    <a:moveTo>
                                      <a:pt x="341" y="21"/>
                                    </a:moveTo>
                                    <a:cubicBezTo>
                                      <a:pt x="572" y="457"/>
                                      <a:pt x="572" y="457"/>
                                      <a:pt x="572" y="457"/>
                                    </a:cubicBezTo>
                                    <a:cubicBezTo>
                                      <a:pt x="464" y="457"/>
                                      <a:pt x="464" y="457"/>
                                      <a:pt x="464" y="457"/>
                                    </a:cubicBezTo>
                                    <a:cubicBezTo>
                                      <a:pt x="418" y="365"/>
                                      <a:pt x="418" y="365"/>
                                      <a:pt x="418" y="365"/>
                                    </a:cubicBezTo>
                                    <a:cubicBezTo>
                                      <a:pt x="153" y="365"/>
                                      <a:pt x="153" y="365"/>
                                      <a:pt x="153" y="365"/>
                                    </a:cubicBezTo>
                                    <a:cubicBezTo>
                                      <a:pt x="107" y="457"/>
                                      <a:pt x="107" y="457"/>
                                      <a:pt x="107" y="457"/>
                                    </a:cubicBezTo>
                                    <a:cubicBezTo>
                                      <a:pt x="0" y="457"/>
                                      <a:pt x="0" y="457"/>
                                      <a:pt x="0" y="457"/>
                                    </a:cubicBezTo>
                                    <a:cubicBezTo>
                                      <a:pt x="231" y="21"/>
                                      <a:pt x="231" y="21"/>
                                      <a:pt x="231" y="21"/>
                                    </a:cubicBezTo>
                                    <a:lnTo>
                                      <a:pt x="341" y="21"/>
                                    </a:lnTo>
                                    <a:close/>
                                    <a:moveTo>
                                      <a:pt x="2456" y="283"/>
                                    </a:moveTo>
                                    <a:cubicBezTo>
                                      <a:pt x="2366" y="106"/>
                                      <a:pt x="2366" y="106"/>
                                      <a:pt x="2366" y="106"/>
                                    </a:cubicBezTo>
                                    <a:cubicBezTo>
                                      <a:pt x="2276" y="283"/>
                                      <a:pt x="2276" y="283"/>
                                      <a:pt x="2276" y="283"/>
                                    </a:cubicBezTo>
                                    <a:lnTo>
                                      <a:pt x="2456" y="283"/>
                                    </a:lnTo>
                                    <a:close/>
                                    <a:moveTo>
                                      <a:pt x="2422" y="21"/>
                                    </a:moveTo>
                                    <a:cubicBezTo>
                                      <a:pt x="2654" y="457"/>
                                      <a:pt x="2654" y="457"/>
                                      <a:pt x="2654" y="457"/>
                                    </a:cubicBezTo>
                                    <a:cubicBezTo>
                                      <a:pt x="2546" y="457"/>
                                      <a:pt x="2546" y="457"/>
                                      <a:pt x="2546" y="457"/>
                                    </a:cubicBezTo>
                                    <a:cubicBezTo>
                                      <a:pt x="2499" y="365"/>
                                      <a:pt x="2499" y="365"/>
                                      <a:pt x="2499" y="365"/>
                                    </a:cubicBezTo>
                                    <a:cubicBezTo>
                                      <a:pt x="2234" y="365"/>
                                      <a:pt x="2234" y="365"/>
                                      <a:pt x="2234" y="365"/>
                                    </a:cubicBezTo>
                                    <a:cubicBezTo>
                                      <a:pt x="2188" y="457"/>
                                      <a:pt x="2188" y="457"/>
                                      <a:pt x="2188" y="457"/>
                                    </a:cubicBezTo>
                                    <a:cubicBezTo>
                                      <a:pt x="2081" y="457"/>
                                      <a:pt x="2081" y="457"/>
                                      <a:pt x="2081" y="457"/>
                                    </a:cubicBezTo>
                                    <a:cubicBezTo>
                                      <a:pt x="2312" y="21"/>
                                      <a:pt x="2312" y="21"/>
                                      <a:pt x="2312" y="21"/>
                                    </a:cubicBezTo>
                                    <a:lnTo>
                                      <a:pt x="2422" y="21"/>
                                    </a:lnTo>
                                    <a:close/>
                                    <a:moveTo>
                                      <a:pt x="1015" y="325"/>
                                    </a:moveTo>
                                    <a:cubicBezTo>
                                      <a:pt x="993" y="353"/>
                                      <a:pt x="966" y="371"/>
                                      <a:pt x="932" y="378"/>
                                    </a:cubicBezTo>
                                    <a:cubicBezTo>
                                      <a:pt x="886" y="388"/>
                                      <a:pt x="841" y="387"/>
                                      <a:pt x="796" y="372"/>
                                    </a:cubicBezTo>
                                    <a:cubicBezTo>
                                      <a:pt x="762" y="360"/>
                                      <a:pt x="735" y="339"/>
                                      <a:pt x="719" y="306"/>
                                    </a:cubicBezTo>
                                    <a:cubicBezTo>
                                      <a:pt x="707" y="280"/>
                                      <a:pt x="704" y="254"/>
                                      <a:pt x="705" y="226"/>
                                    </a:cubicBezTo>
                                    <a:cubicBezTo>
                                      <a:pt x="709" y="168"/>
                                      <a:pt x="741" y="125"/>
                                      <a:pt x="797" y="105"/>
                                    </a:cubicBezTo>
                                    <a:cubicBezTo>
                                      <a:pt x="837" y="91"/>
                                      <a:pt x="879" y="89"/>
                                      <a:pt x="920" y="96"/>
                                    </a:cubicBezTo>
                                    <a:cubicBezTo>
                                      <a:pt x="960" y="103"/>
                                      <a:pt x="993" y="123"/>
                                      <a:pt x="1016" y="156"/>
                                    </a:cubicBezTo>
                                    <a:cubicBezTo>
                                      <a:pt x="1018" y="158"/>
                                      <a:pt x="1020" y="160"/>
                                      <a:pt x="1022" y="163"/>
                                    </a:cubicBezTo>
                                    <a:cubicBezTo>
                                      <a:pt x="1052" y="148"/>
                                      <a:pt x="1082" y="133"/>
                                      <a:pt x="1113" y="117"/>
                                    </a:cubicBezTo>
                                    <a:cubicBezTo>
                                      <a:pt x="1106" y="108"/>
                                      <a:pt x="1100" y="99"/>
                                      <a:pt x="1092" y="92"/>
                                    </a:cubicBezTo>
                                    <a:cubicBezTo>
                                      <a:pt x="1051" y="49"/>
                                      <a:pt x="1000" y="24"/>
                                      <a:pt x="942" y="13"/>
                                    </a:cubicBezTo>
                                    <a:cubicBezTo>
                                      <a:pt x="874" y="0"/>
                                      <a:pt x="808" y="6"/>
                                      <a:pt x="744" y="30"/>
                                    </a:cubicBezTo>
                                    <a:cubicBezTo>
                                      <a:pt x="683" y="53"/>
                                      <a:pt x="639" y="93"/>
                                      <a:pt x="617" y="155"/>
                                    </a:cubicBezTo>
                                    <a:cubicBezTo>
                                      <a:pt x="599" y="204"/>
                                      <a:pt x="598" y="254"/>
                                      <a:pt x="611" y="304"/>
                                    </a:cubicBezTo>
                                    <a:cubicBezTo>
                                      <a:pt x="630" y="375"/>
                                      <a:pt x="676" y="422"/>
                                      <a:pt x="745" y="449"/>
                                    </a:cubicBezTo>
                                    <a:cubicBezTo>
                                      <a:pt x="810" y="474"/>
                                      <a:pt x="878" y="477"/>
                                      <a:pt x="946" y="464"/>
                                    </a:cubicBezTo>
                                    <a:cubicBezTo>
                                      <a:pt x="998" y="454"/>
                                      <a:pt x="1045" y="432"/>
                                      <a:pt x="1084" y="395"/>
                                    </a:cubicBezTo>
                                    <a:cubicBezTo>
                                      <a:pt x="1095" y="384"/>
                                      <a:pt x="1105" y="373"/>
                                      <a:pt x="1114" y="359"/>
                                    </a:cubicBezTo>
                                    <a:cubicBezTo>
                                      <a:pt x="1083" y="344"/>
                                      <a:pt x="1054" y="329"/>
                                      <a:pt x="1023" y="314"/>
                                    </a:cubicBezTo>
                                    <a:cubicBezTo>
                                      <a:pt x="1020" y="318"/>
                                      <a:pt x="1018" y="322"/>
                                      <a:pt x="1015" y="325"/>
                                    </a:cubicBezTo>
                                    <a:moveTo>
                                      <a:pt x="1582" y="371"/>
                                    </a:moveTo>
                                    <a:cubicBezTo>
                                      <a:pt x="1582" y="21"/>
                                      <a:pt x="1582" y="21"/>
                                      <a:pt x="1582" y="21"/>
                                    </a:cubicBezTo>
                                    <a:cubicBezTo>
                                      <a:pt x="1483" y="21"/>
                                      <a:pt x="1483" y="21"/>
                                      <a:pt x="1483" y="21"/>
                                    </a:cubicBezTo>
                                    <a:cubicBezTo>
                                      <a:pt x="1483" y="457"/>
                                      <a:pt x="1483" y="457"/>
                                      <a:pt x="1483" y="457"/>
                                    </a:cubicBezTo>
                                    <a:cubicBezTo>
                                      <a:pt x="1891" y="457"/>
                                      <a:pt x="1891" y="457"/>
                                      <a:pt x="1891" y="457"/>
                                    </a:cubicBezTo>
                                    <a:cubicBezTo>
                                      <a:pt x="1891" y="371"/>
                                      <a:pt x="1891" y="371"/>
                                      <a:pt x="1891" y="371"/>
                                    </a:cubicBezTo>
                                    <a:lnTo>
                                      <a:pt x="1582" y="371"/>
                                    </a:lnTo>
                                    <a:close/>
                                    <a:moveTo>
                                      <a:pt x="2845" y="370"/>
                                    </a:moveTo>
                                    <a:cubicBezTo>
                                      <a:pt x="2845" y="21"/>
                                      <a:pt x="2845" y="21"/>
                                      <a:pt x="2845" y="21"/>
                                    </a:cubicBezTo>
                                    <a:cubicBezTo>
                                      <a:pt x="2747" y="21"/>
                                      <a:pt x="2747" y="21"/>
                                      <a:pt x="2747" y="21"/>
                                    </a:cubicBezTo>
                                    <a:cubicBezTo>
                                      <a:pt x="2747" y="457"/>
                                      <a:pt x="2747" y="457"/>
                                      <a:pt x="2747" y="457"/>
                                    </a:cubicBezTo>
                                    <a:cubicBezTo>
                                      <a:pt x="3155" y="457"/>
                                      <a:pt x="3155" y="457"/>
                                      <a:pt x="3155" y="457"/>
                                    </a:cubicBezTo>
                                    <a:cubicBezTo>
                                      <a:pt x="3155" y="370"/>
                                      <a:pt x="3155" y="370"/>
                                      <a:pt x="3155" y="370"/>
                                    </a:cubicBezTo>
                                    <a:lnTo>
                                      <a:pt x="2845" y="370"/>
                                    </a:lnTo>
                                    <a:close/>
                                    <a:moveTo>
                                      <a:pt x="3350" y="370"/>
                                    </a:moveTo>
                                    <a:cubicBezTo>
                                      <a:pt x="3350" y="21"/>
                                      <a:pt x="3350" y="21"/>
                                      <a:pt x="3350" y="21"/>
                                    </a:cubicBezTo>
                                    <a:cubicBezTo>
                                      <a:pt x="3253" y="21"/>
                                      <a:pt x="3253" y="21"/>
                                      <a:pt x="3253" y="21"/>
                                    </a:cubicBezTo>
                                    <a:cubicBezTo>
                                      <a:pt x="3253" y="457"/>
                                      <a:pt x="3253" y="457"/>
                                      <a:pt x="3253" y="457"/>
                                    </a:cubicBezTo>
                                    <a:cubicBezTo>
                                      <a:pt x="3660" y="457"/>
                                      <a:pt x="3660" y="457"/>
                                      <a:pt x="3660" y="457"/>
                                    </a:cubicBezTo>
                                    <a:cubicBezTo>
                                      <a:pt x="3660" y="370"/>
                                      <a:pt x="3660" y="370"/>
                                      <a:pt x="3660" y="370"/>
                                    </a:cubicBezTo>
                                    <a:lnTo>
                                      <a:pt x="3350" y="370"/>
                                    </a:lnTo>
                                    <a:close/>
                                    <a:moveTo>
                                      <a:pt x="1233" y="457"/>
                                    </a:moveTo>
                                    <a:cubicBezTo>
                                      <a:pt x="1335" y="457"/>
                                      <a:pt x="1335" y="457"/>
                                      <a:pt x="1335" y="457"/>
                                    </a:cubicBezTo>
                                    <a:cubicBezTo>
                                      <a:pt x="1335" y="21"/>
                                      <a:pt x="1335" y="21"/>
                                      <a:pt x="1335" y="21"/>
                                    </a:cubicBezTo>
                                    <a:cubicBezTo>
                                      <a:pt x="1233" y="21"/>
                                      <a:pt x="1233" y="21"/>
                                      <a:pt x="1233" y="21"/>
                                    </a:cubicBezTo>
                                    <a:lnTo>
                                      <a:pt x="1233" y="457"/>
                                    </a:lnTo>
                                    <a:close/>
                                  </a:path>
                                </a:pathLst>
                              </a:custGeom>
                              <a:solidFill>
                                <a:srgbClr val="0001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48F65B29" id="Group 989782364" o:spid="_x0000_s1026" alt="&quot;&quot;" style="position:absolute;margin-left:0;margin-top:5.5pt;width:77.25pt;height:11.25pt;z-index:251702272;mso-position-horizontal-relative:page;mso-position-vertical-relative:page;mso-width-relative:margin;mso-height-relative:margin" coordorigin=",-212" coordsize="121888,187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">
                    <o:lock v:ext="edit" aspectratio="t"/>
                    <v:rect id="Rectangle 991055473" o:spid="_x0000_s1027" style="position:absolute;top:16431;width:14398;height:2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" fillcolor="#6c3f99" stroked="f"/>
                    <v:shape id="Freeform 6" o:spid="_x0000_s1028" style="position:absolute;top:-212;width:121888;height:12963;visibility:visible;mso-wrap-style:square;v-text-anchor:top" coordsize="4841,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" path="m4214,370v,87,,87,,87c3766,457,3766,457,3766,457v,-436,,-436,,-436c4214,21,4214,21,4214,21v,83,,83,,83c3864,104,3864,104,3864,104v,89,,89,,89c4151,194,4151,194,4151,194v,83,,83,,83c3864,277,3864,277,3864,277v,93,,93,,93l4214,370xm4345,21v,436,,436,,436c4442,457,4442,457,4442,457v,-313,,-313,,-313c4753,457,4753,457,4753,457v88,,88,,88,c4841,21,4841,21,4841,21v-96,,-96,,-96,c4745,319,4745,319,4745,319,4450,21,4450,21,4450,21r-105,xm196,283v179,,179,,179,c283,109,283,109,283,109l196,283xm341,21c572,457,572,457,572,457v-108,,-108,,-108,c418,365,418,365,418,365v-265,,-265,,-265,c107,457,107,457,107,457,,457,,457,,457,231,21,231,21,231,21r110,xm2456,283c2366,106,2366,106,2366,106v-90,177,-90,177,-90,177l2456,283xm2422,21v232,436,232,436,232,436c2546,457,2546,457,2546,457v-47,-92,-47,-92,-47,-92c2234,365,2234,365,2234,365v-46,92,-46,92,-46,92c2081,457,2081,457,2081,457,2312,21,2312,21,2312,21r110,xm1015,325v-22,28,-49,46,-83,53c886,388,841,387,796,372,762,360,735,339,719,306,707,280,704,254,705,226v4,-58,36,-101,92,-121c837,91,879,89,920,96v40,7,73,27,96,60c1018,158,1020,160,1022,163v30,-15,60,-30,91,-46c1106,108,1100,99,1092,92,1051,49,1000,24,942,13,874,,808,6,744,30,683,53,639,93,617,155v-18,49,-19,99,-6,149c630,375,676,422,745,449v65,25,133,28,201,15c998,454,1045,432,1084,395v11,-11,21,-22,30,-36c1083,344,1054,329,1023,314v-3,4,-5,8,-8,11m1582,371v,-350,,-350,,-350c1483,21,1483,21,1483,21v,436,,436,,436c1891,457,1891,457,1891,457v,-86,,-86,,-86l1582,371xm2845,370v,-349,,-349,,-349c2747,21,2747,21,2747,21v,436,,436,,436c3155,457,3155,457,3155,457v,-87,,-87,,-87l2845,370xm3350,370v,-349,,-349,,-349c3253,21,3253,21,3253,21v,436,,436,,436c3660,457,3660,457,3660,457v,-87,,-87,,-87l3350,370xm1233,457v102,,102,,102,c1335,21,1335,21,1335,21v-102,,-102,,-102,l1233,457xe" fillcolor="#000100" stroked="f">
                      <v:path arrowok="t" o:connecttype="custom" o:connectlocs="10610144,1241977;9482156,57071;10610144,282638;9728903,524511;10451521,752795;9728903,1005539;10939980,57071;11184210,1241977;11967256,1241977;12188825,57071;11947113,866938;10939980,57071;944187,769101;493495,769101;1440200,1241977;1052454,991951;269408,1241977;581619,57071;6183796,769101;5730586,769101;6098189,57071;6410400,1241977;5624837,991951;5239609,1241977;6098189,57071;2346619,1027280;1810321,831608;2006712,285356;2558117,423957;2802347,317968;2371798,35330;1553502,421239;1875785,1220235;2729330,1073481;2575742,853349;3983210,1008257;3733945,57071;4761220,1241977;3983210,1008257;7163232,57071;6916485,1241977;7943760,1005539;8434737,1005539;8190508,57071;9215265,1241977;8434737,1005539;3361306,1241977;3104487,57071" o:connectangles="0,0,0,0,0,0,0,0,0,0,0,0,0,0,0,0,0,0,0,0,0,0,0,0,0,0,0,0,0,0,0,0,0,0,0,0,0,0,0,0,0,0,0,0,0,0,0,0"/>
                      <o:lock v:ext="edit" verticies="t"/>
                    </v:shape>
                    <w10:wrap anchorx="page" anchory="page"/>
                    <w10:anchorlock/>
                  </v:group>
                </w:pict>
              </mc:Fallback>
            </mc:AlternateContent>
          </w:r>
        </w:p>
      </w:tc>
      <w:tc>
        <w:tcPr>
          <w:tcW w:w="5181" w:type="dxa"/>
          <w:vAlign w:val="center"/>
        </w:tcPr>
        <w:p w14:paraId="213C0716" w14:textId="0B07A53B" w:rsidR="002B32A0" w:rsidRDefault="002B32A0" w:rsidP="004A1654">
          <w:pPr>
            <w:pStyle w:val="Header-CompanyName"/>
          </w:pPr>
        </w:p>
      </w:tc>
    </w:tr>
  </w:tbl>
  <w:p w14:paraId="71F270D1" w14:textId="77777777" w:rsidR="002B32A0" w:rsidRDefault="002B32A0" w:rsidP="00667A67">
    <w:pPr>
      <w:pStyle w:val="Header"/>
    </w:pPr>
  </w:p>
  <w:p w14:paraId="5F5C6A2F" w14:textId="655F6C94" w:rsidR="002B32A0" w:rsidRPr="00667A67" w:rsidRDefault="002B32A0" w:rsidP="00667A67">
    <w:pPr>
      <w:pStyle w:val="Header"/>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016549" w14:textId="77777777" w:rsidR="002B32A0" w:rsidRPr="009337C5" w:rsidRDefault="002B32A0" w:rsidP="00327E78">
    <w:pPr>
      <w:pStyle w:val="Header"/>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acTablenolines"/>
      <w:tblW w:w="10348" w:type="dxa"/>
      <w:tblInd w:w="-2412" w:type="dxa"/>
      <w:tblLayout w:type="fixed"/>
      <w:tblLook w:val="04A0" w:firstRow="1" w:lastRow="0" w:firstColumn="1" w:lastColumn="0" w:noHBand="0" w:noVBand="1"/>
    </w:tblPr>
    <w:tblGrid>
      <w:gridCol w:w="5175"/>
      <w:gridCol w:w="5173"/>
    </w:tblGrid>
    <w:tr w:rsidR="002B32A0" w14:paraId="29C89A34" w14:textId="77777777" w:rsidTr="000B0AC7">
      <w:trPr>
        <w:trHeight w:hRule="exact" w:val="356"/>
      </w:trPr>
      <w:tc>
        <w:tcPr>
          <w:tcW w:w="5175" w:type="dxa"/>
          <w:vAlign w:val="center"/>
        </w:tcPr>
        <w:p w14:paraId="092B4F37" w14:textId="77777777" w:rsidR="002B32A0" w:rsidRDefault="002B32A0" w:rsidP="00327E78">
          <w:pPr>
            <w:pStyle w:val="spacer"/>
          </w:pPr>
          <w:r w:rsidRPr="000261B1">
            <w:rPr>
              <w:noProof/>
            </w:rPr>
            <mc:AlternateContent>
              <mc:Choice Requires="wpg">
                <w:drawing>
                  <wp:anchor distT="0" distB="0" distL="114300" distR="114300" simplePos="0" relativeHeight="251731968" behindDoc="0" locked="1" layoutInCell="1" allowOverlap="1" wp14:anchorId="08157AED" wp14:editId="3B198202">
                    <wp:simplePos x="0" y="0"/>
                    <wp:positionH relativeFrom="page">
                      <wp:posOffset>0</wp:posOffset>
                    </wp:positionH>
                    <wp:positionV relativeFrom="page">
                      <wp:posOffset>69850</wp:posOffset>
                    </wp:positionV>
                    <wp:extent cx="981075" cy="142875"/>
                    <wp:effectExtent l="0" t="0" r="9525" b="9525"/>
                    <wp:wrapNone/>
                    <wp:docPr id="669" name="Group 6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981075" cy="142875"/>
                              <a:chOff x="0" y="-21209"/>
                              <a:chExt cx="12188825" cy="1878663"/>
                            </a:xfrm>
                          </wpg:grpSpPr>
                          <wps:wsp>
                            <wps:cNvPr id="670" name="Rectangle 670"/>
                            <wps:cNvSpPr>
                              <a:spLocks noChangeArrowheads="1"/>
                            </wps:cNvSpPr>
                            <wps:spPr bwMode="auto">
                              <a:xfrm>
                                <a:off x="0" y="1643143"/>
                                <a:ext cx="1439863" cy="214311"/>
                              </a:xfrm>
                              <a:prstGeom prst="rect">
                                <a:avLst/>
                              </a:prstGeom>
                              <a:solidFill>
                                <a:srgbClr val="6C3F99"/>
                              </a:solid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671" name="Freeform 6"/>
                            <wps:cNvSpPr>
                              <a:spLocks noEditPoints="1"/>
                            </wps:cNvSpPr>
                            <wps:spPr bwMode="auto">
                              <a:xfrm>
                                <a:off x="0" y="-21209"/>
                                <a:ext cx="12188825" cy="1296330"/>
                              </a:xfrm>
                              <a:custGeom>
                                <a:avLst/>
                                <a:gdLst>
                                  <a:gd name="T0" fmla="*/ 4214 w 4841"/>
                                  <a:gd name="T1" fmla="*/ 457 h 477"/>
                                  <a:gd name="T2" fmla="*/ 3766 w 4841"/>
                                  <a:gd name="T3" fmla="*/ 21 h 477"/>
                                  <a:gd name="T4" fmla="*/ 4214 w 4841"/>
                                  <a:gd name="T5" fmla="*/ 104 h 477"/>
                                  <a:gd name="T6" fmla="*/ 3864 w 4841"/>
                                  <a:gd name="T7" fmla="*/ 193 h 477"/>
                                  <a:gd name="T8" fmla="*/ 4151 w 4841"/>
                                  <a:gd name="T9" fmla="*/ 277 h 477"/>
                                  <a:gd name="T10" fmla="*/ 3864 w 4841"/>
                                  <a:gd name="T11" fmla="*/ 370 h 477"/>
                                  <a:gd name="T12" fmla="*/ 4345 w 4841"/>
                                  <a:gd name="T13" fmla="*/ 21 h 477"/>
                                  <a:gd name="T14" fmla="*/ 4442 w 4841"/>
                                  <a:gd name="T15" fmla="*/ 457 h 477"/>
                                  <a:gd name="T16" fmla="*/ 4753 w 4841"/>
                                  <a:gd name="T17" fmla="*/ 457 h 477"/>
                                  <a:gd name="T18" fmla="*/ 4841 w 4841"/>
                                  <a:gd name="T19" fmla="*/ 21 h 477"/>
                                  <a:gd name="T20" fmla="*/ 4745 w 4841"/>
                                  <a:gd name="T21" fmla="*/ 319 h 477"/>
                                  <a:gd name="T22" fmla="*/ 4345 w 4841"/>
                                  <a:gd name="T23" fmla="*/ 21 h 477"/>
                                  <a:gd name="T24" fmla="*/ 375 w 4841"/>
                                  <a:gd name="T25" fmla="*/ 283 h 477"/>
                                  <a:gd name="T26" fmla="*/ 196 w 4841"/>
                                  <a:gd name="T27" fmla="*/ 283 h 477"/>
                                  <a:gd name="T28" fmla="*/ 572 w 4841"/>
                                  <a:gd name="T29" fmla="*/ 457 h 477"/>
                                  <a:gd name="T30" fmla="*/ 418 w 4841"/>
                                  <a:gd name="T31" fmla="*/ 365 h 477"/>
                                  <a:gd name="T32" fmla="*/ 107 w 4841"/>
                                  <a:gd name="T33" fmla="*/ 457 h 477"/>
                                  <a:gd name="T34" fmla="*/ 231 w 4841"/>
                                  <a:gd name="T35" fmla="*/ 21 h 477"/>
                                  <a:gd name="T36" fmla="*/ 2456 w 4841"/>
                                  <a:gd name="T37" fmla="*/ 283 h 477"/>
                                  <a:gd name="T38" fmla="*/ 2276 w 4841"/>
                                  <a:gd name="T39" fmla="*/ 283 h 477"/>
                                  <a:gd name="T40" fmla="*/ 2422 w 4841"/>
                                  <a:gd name="T41" fmla="*/ 21 h 477"/>
                                  <a:gd name="T42" fmla="*/ 2546 w 4841"/>
                                  <a:gd name="T43" fmla="*/ 457 h 477"/>
                                  <a:gd name="T44" fmla="*/ 2234 w 4841"/>
                                  <a:gd name="T45" fmla="*/ 365 h 477"/>
                                  <a:gd name="T46" fmla="*/ 2081 w 4841"/>
                                  <a:gd name="T47" fmla="*/ 457 h 477"/>
                                  <a:gd name="T48" fmla="*/ 2422 w 4841"/>
                                  <a:gd name="T49" fmla="*/ 21 h 477"/>
                                  <a:gd name="T50" fmla="*/ 932 w 4841"/>
                                  <a:gd name="T51" fmla="*/ 378 h 477"/>
                                  <a:gd name="T52" fmla="*/ 719 w 4841"/>
                                  <a:gd name="T53" fmla="*/ 306 h 477"/>
                                  <a:gd name="T54" fmla="*/ 797 w 4841"/>
                                  <a:gd name="T55" fmla="*/ 105 h 477"/>
                                  <a:gd name="T56" fmla="*/ 1016 w 4841"/>
                                  <a:gd name="T57" fmla="*/ 156 h 477"/>
                                  <a:gd name="T58" fmla="*/ 1113 w 4841"/>
                                  <a:gd name="T59" fmla="*/ 117 h 477"/>
                                  <a:gd name="T60" fmla="*/ 942 w 4841"/>
                                  <a:gd name="T61" fmla="*/ 13 h 477"/>
                                  <a:gd name="T62" fmla="*/ 617 w 4841"/>
                                  <a:gd name="T63" fmla="*/ 155 h 477"/>
                                  <a:gd name="T64" fmla="*/ 745 w 4841"/>
                                  <a:gd name="T65" fmla="*/ 449 h 477"/>
                                  <a:gd name="T66" fmla="*/ 1084 w 4841"/>
                                  <a:gd name="T67" fmla="*/ 395 h 477"/>
                                  <a:gd name="T68" fmla="*/ 1023 w 4841"/>
                                  <a:gd name="T69" fmla="*/ 314 h 477"/>
                                  <a:gd name="T70" fmla="*/ 1582 w 4841"/>
                                  <a:gd name="T71" fmla="*/ 371 h 477"/>
                                  <a:gd name="T72" fmla="*/ 1483 w 4841"/>
                                  <a:gd name="T73" fmla="*/ 21 h 477"/>
                                  <a:gd name="T74" fmla="*/ 1891 w 4841"/>
                                  <a:gd name="T75" fmla="*/ 457 h 477"/>
                                  <a:gd name="T76" fmla="*/ 1582 w 4841"/>
                                  <a:gd name="T77" fmla="*/ 371 h 477"/>
                                  <a:gd name="T78" fmla="*/ 2845 w 4841"/>
                                  <a:gd name="T79" fmla="*/ 21 h 477"/>
                                  <a:gd name="T80" fmla="*/ 2747 w 4841"/>
                                  <a:gd name="T81" fmla="*/ 457 h 477"/>
                                  <a:gd name="T82" fmla="*/ 3155 w 4841"/>
                                  <a:gd name="T83" fmla="*/ 370 h 477"/>
                                  <a:gd name="T84" fmla="*/ 3350 w 4841"/>
                                  <a:gd name="T85" fmla="*/ 370 h 477"/>
                                  <a:gd name="T86" fmla="*/ 3253 w 4841"/>
                                  <a:gd name="T87" fmla="*/ 21 h 477"/>
                                  <a:gd name="T88" fmla="*/ 3660 w 4841"/>
                                  <a:gd name="T89" fmla="*/ 457 h 477"/>
                                  <a:gd name="T90" fmla="*/ 3350 w 4841"/>
                                  <a:gd name="T91" fmla="*/ 370 h 477"/>
                                  <a:gd name="T92" fmla="*/ 1335 w 4841"/>
                                  <a:gd name="T93" fmla="*/ 457 h 477"/>
                                  <a:gd name="T94" fmla="*/ 1233 w 4841"/>
                                  <a:gd name="T95" fmla="*/ 21 h 4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4841" h="477">
                                    <a:moveTo>
                                      <a:pt x="4214" y="370"/>
                                    </a:moveTo>
                                    <a:cubicBezTo>
                                      <a:pt x="4214" y="457"/>
                                      <a:pt x="4214" y="457"/>
                                      <a:pt x="4214" y="457"/>
                                    </a:cubicBezTo>
                                    <a:cubicBezTo>
                                      <a:pt x="3766" y="457"/>
                                      <a:pt x="3766" y="457"/>
                                      <a:pt x="3766" y="457"/>
                                    </a:cubicBezTo>
                                    <a:cubicBezTo>
                                      <a:pt x="3766" y="21"/>
                                      <a:pt x="3766" y="21"/>
                                      <a:pt x="3766" y="21"/>
                                    </a:cubicBezTo>
                                    <a:cubicBezTo>
                                      <a:pt x="4214" y="21"/>
                                      <a:pt x="4214" y="21"/>
                                      <a:pt x="4214" y="21"/>
                                    </a:cubicBezTo>
                                    <a:cubicBezTo>
                                      <a:pt x="4214" y="104"/>
                                      <a:pt x="4214" y="104"/>
                                      <a:pt x="4214" y="104"/>
                                    </a:cubicBezTo>
                                    <a:cubicBezTo>
                                      <a:pt x="3864" y="104"/>
                                      <a:pt x="3864" y="104"/>
                                      <a:pt x="3864" y="104"/>
                                    </a:cubicBezTo>
                                    <a:cubicBezTo>
                                      <a:pt x="3864" y="193"/>
                                      <a:pt x="3864" y="193"/>
                                      <a:pt x="3864" y="193"/>
                                    </a:cubicBezTo>
                                    <a:cubicBezTo>
                                      <a:pt x="4151" y="194"/>
                                      <a:pt x="4151" y="194"/>
                                      <a:pt x="4151" y="194"/>
                                    </a:cubicBezTo>
                                    <a:cubicBezTo>
                                      <a:pt x="4151" y="277"/>
                                      <a:pt x="4151" y="277"/>
                                      <a:pt x="4151" y="277"/>
                                    </a:cubicBezTo>
                                    <a:cubicBezTo>
                                      <a:pt x="3864" y="277"/>
                                      <a:pt x="3864" y="277"/>
                                      <a:pt x="3864" y="277"/>
                                    </a:cubicBezTo>
                                    <a:cubicBezTo>
                                      <a:pt x="3864" y="370"/>
                                      <a:pt x="3864" y="370"/>
                                      <a:pt x="3864" y="370"/>
                                    </a:cubicBezTo>
                                    <a:lnTo>
                                      <a:pt x="4214" y="370"/>
                                    </a:lnTo>
                                    <a:close/>
                                    <a:moveTo>
                                      <a:pt x="4345" y="21"/>
                                    </a:moveTo>
                                    <a:cubicBezTo>
                                      <a:pt x="4345" y="457"/>
                                      <a:pt x="4345" y="457"/>
                                      <a:pt x="4345" y="457"/>
                                    </a:cubicBezTo>
                                    <a:cubicBezTo>
                                      <a:pt x="4442" y="457"/>
                                      <a:pt x="4442" y="457"/>
                                      <a:pt x="4442" y="457"/>
                                    </a:cubicBezTo>
                                    <a:cubicBezTo>
                                      <a:pt x="4442" y="144"/>
                                      <a:pt x="4442" y="144"/>
                                      <a:pt x="4442" y="144"/>
                                    </a:cubicBezTo>
                                    <a:cubicBezTo>
                                      <a:pt x="4753" y="457"/>
                                      <a:pt x="4753" y="457"/>
                                      <a:pt x="4753" y="457"/>
                                    </a:cubicBezTo>
                                    <a:cubicBezTo>
                                      <a:pt x="4841" y="457"/>
                                      <a:pt x="4841" y="457"/>
                                      <a:pt x="4841" y="457"/>
                                    </a:cubicBezTo>
                                    <a:cubicBezTo>
                                      <a:pt x="4841" y="21"/>
                                      <a:pt x="4841" y="21"/>
                                      <a:pt x="4841" y="21"/>
                                    </a:cubicBezTo>
                                    <a:cubicBezTo>
                                      <a:pt x="4745" y="21"/>
                                      <a:pt x="4745" y="21"/>
                                      <a:pt x="4745" y="21"/>
                                    </a:cubicBezTo>
                                    <a:cubicBezTo>
                                      <a:pt x="4745" y="319"/>
                                      <a:pt x="4745" y="319"/>
                                      <a:pt x="4745" y="319"/>
                                    </a:cubicBezTo>
                                    <a:cubicBezTo>
                                      <a:pt x="4450" y="21"/>
                                      <a:pt x="4450" y="21"/>
                                      <a:pt x="4450" y="21"/>
                                    </a:cubicBezTo>
                                    <a:lnTo>
                                      <a:pt x="4345" y="21"/>
                                    </a:lnTo>
                                    <a:close/>
                                    <a:moveTo>
                                      <a:pt x="196" y="283"/>
                                    </a:moveTo>
                                    <a:cubicBezTo>
                                      <a:pt x="375" y="283"/>
                                      <a:pt x="375" y="283"/>
                                      <a:pt x="375" y="283"/>
                                    </a:cubicBezTo>
                                    <a:cubicBezTo>
                                      <a:pt x="283" y="109"/>
                                      <a:pt x="283" y="109"/>
                                      <a:pt x="283" y="109"/>
                                    </a:cubicBezTo>
                                    <a:lnTo>
                                      <a:pt x="196" y="283"/>
                                    </a:lnTo>
                                    <a:close/>
                                    <a:moveTo>
                                      <a:pt x="341" y="21"/>
                                    </a:moveTo>
                                    <a:cubicBezTo>
                                      <a:pt x="572" y="457"/>
                                      <a:pt x="572" y="457"/>
                                      <a:pt x="572" y="457"/>
                                    </a:cubicBezTo>
                                    <a:cubicBezTo>
                                      <a:pt x="464" y="457"/>
                                      <a:pt x="464" y="457"/>
                                      <a:pt x="464" y="457"/>
                                    </a:cubicBezTo>
                                    <a:cubicBezTo>
                                      <a:pt x="418" y="365"/>
                                      <a:pt x="418" y="365"/>
                                      <a:pt x="418" y="365"/>
                                    </a:cubicBezTo>
                                    <a:cubicBezTo>
                                      <a:pt x="153" y="365"/>
                                      <a:pt x="153" y="365"/>
                                      <a:pt x="153" y="365"/>
                                    </a:cubicBezTo>
                                    <a:cubicBezTo>
                                      <a:pt x="107" y="457"/>
                                      <a:pt x="107" y="457"/>
                                      <a:pt x="107" y="457"/>
                                    </a:cubicBezTo>
                                    <a:cubicBezTo>
                                      <a:pt x="0" y="457"/>
                                      <a:pt x="0" y="457"/>
                                      <a:pt x="0" y="457"/>
                                    </a:cubicBezTo>
                                    <a:cubicBezTo>
                                      <a:pt x="231" y="21"/>
                                      <a:pt x="231" y="21"/>
                                      <a:pt x="231" y="21"/>
                                    </a:cubicBezTo>
                                    <a:lnTo>
                                      <a:pt x="341" y="21"/>
                                    </a:lnTo>
                                    <a:close/>
                                    <a:moveTo>
                                      <a:pt x="2456" y="283"/>
                                    </a:moveTo>
                                    <a:cubicBezTo>
                                      <a:pt x="2366" y="106"/>
                                      <a:pt x="2366" y="106"/>
                                      <a:pt x="2366" y="106"/>
                                    </a:cubicBezTo>
                                    <a:cubicBezTo>
                                      <a:pt x="2276" y="283"/>
                                      <a:pt x="2276" y="283"/>
                                      <a:pt x="2276" y="283"/>
                                    </a:cubicBezTo>
                                    <a:lnTo>
                                      <a:pt x="2456" y="283"/>
                                    </a:lnTo>
                                    <a:close/>
                                    <a:moveTo>
                                      <a:pt x="2422" y="21"/>
                                    </a:moveTo>
                                    <a:cubicBezTo>
                                      <a:pt x="2654" y="457"/>
                                      <a:pt x="2654" y="457"/>
                                      <a:pt x="2654" y="457"/>
                                    </a:cubicBezTo>
                                    <a:cubicBezTo>
                                      <a:pt x="2546" y="457"/>
                                      <a:pt x="2546" y="457"/>
                                      <a:pt x="2546" y="457"/>
                                    </a:cubicBezTo>
                                    <a:cubicBezTo>
                                      <a:pt x="2499" y="365"/>
                                      <a:pt x="2499" y="365"/>
                                      <a:pt x="2499" y="365"/>
                                    </a:cubicBezTo>
                                    <a:cubicBezTo>
                                      <a:pt x="2234" y="365"/>
                                      <a:pt x="2234" y="365"/>
                                      <a:pt x="2234" y="365"/>
                                    </a:cubicBezTo>
                                    <a:cubicBezTo>
                                      <a:pt x="2188" y="457"/>
                                      <a:pt x="2188" y="457"/>
                                      <a:pt x="2188" y="457"/>
                                    </a:cubicBezTo>
                                    <a:cubicBezTo>
                                      <a:pt x="2081" y="457"/>
                                      <a:pt x="2081" y="457"/>
                                      <a:pt x="2081" y="457"/>
                                    </a:cubicBezTo>
                                    <a:cubicBezTo>
                                      <a:pt x="2312" y="21"/>
                                      <a:pt x="2312" y="21"/>
                                      <a:pt x="2312" y="21"/>
                                    </a:cubicBezTo>
                                    <a:lnTo>
                                      <a:pt x="2422" y="21"/>
                                    </a:lnTo>
                                    <a:close/>
                                    <a:moveTo>
                                      <a:pt x="1015" y="325"/>
                                    </a:moveTo>
                                    <a:cubicBezTo>
                                      <a:pt x="993" y="353"/>
                                      <a:pt x="966" y="371"/>
                                      <a:pt x="932" y="378"/>
                                    </a:cubicBezTo>
                                    <a:cubicBezTo>
                                      <a:pt x="886" y="388"/>
                                      <a:pt x="841" y="387"/>
                                      <a:pt x="796" y="372"/>
                                    </a:cubicBezTo>
                                    <a:cubicBezTo>
                                      <a:pt x="762" y="360"/>
                                      <a:pt x="735" y="339"/>
                                      <a:pt x="719" y="306"/>
                                    </a:cubicBezTo>
                                    <a:cubicBezTo>
                                      <a:pt x="707" y="280"/>
                                      <a:pt x="704" y="254"/>
                                      <a:pt x="705" y="226"/>
                                    </a:cubicBezTo>
                                    <a:cubicBezTo>
                                      <a:pt x="709" y="168"/>
                                      <a:pt x="741" y="125"/>
                                      <a:pt x="797" y="105"/>
                                    </a:cubicBezTo>
                                    <a:cubicBezTo>
                                      <a:pt x="837" y="91"/>
                                      <a:pt x="879" y="89"/>
                                      <a:pt x="920" y="96"/>
                                    </a:cubicBezTo>
                                    <a:cubicBezTo>
                                      <a:pt x="960" y="103"/>
                                      <a:pt x="993" y="123"/>
                                      <a:pt x="1016" y="156"/>
                                    </a:cubicBezTo>
                                    <a:cubicBezTo>
                                      <a:pt x="1018" y="158"/>
                                      <a:pt x="1020" y="160"/>
                                      <a:pt x="1022" y="163"/>
                                    </a:cubicBezTo>
                                    <a:cubicBezTo>
                                      <a:pt x="1052" y="148"/>
                                      <a:pt x="1082" y="133"/>
                                      <a:pt x="1113" y="117"/>
                                    </a:cubicBezTo>
                                    <a:cubicBezTo>
                                      <a:pt x="1106" y="108"/>
                                      <a:pt x="1100" y="99"/>
                                      <a:pt x="1092" y="92"/>
                                    </a:cubicBezTo>
                                    <a:cubicBezTo>
                                      <a:pt x="1051" y="49"/>
                                      <a:pt x="1000" y="24"/>
                                      <a:pt x="942" y="13"/>
                                    </a:cubicBezTo>
                                    <a:cubicBezTo>
                                      <a:pt x="874" y="0"/>
                                      <a:pt x="808" y="6"/>
                                      <a:pt x="744" y="30"/>
                                    </a:cubicBezTo>
                                    <a:cubicBezTo>
                                      <a:pt x="683" y="53"/>
                                      <a:pt x="639" y="93"/>
                                      <a:pt x="617" y="155"/>
                                    </a:cubicBezTo>
                                    <a:cubicBezTo>
                                      <a:pt x="599" y="204"/>
                                      <a:pt x="598" y="254"/>
                                      <a:pt x="611" y="304"/>
                                    </a:cubicBezTo>
                                    <a:cubicBezTo>
                                      <a:pt x="630" y="375"/>
                                      <a:pt x="676" y="422"/>
                                      <a:pt x="745" y="449"/>
                                    </a:cubicBezTo>
                                    <a:cubicBezTo>
                                      <a:pt x="810" y="474"/>
                                      <a:pt x="878" y="477"/>
                                      <a:pt x="946" y="464"/>
                                    </a:cubicBezTo>
                                    <a:cubicBezTo>
                                      <a:pt x="998" y="454"/>
                                      <a:pt x="1045" y="432"/>
                                      <a:pt x="1084" y="395"/>
                                    </a:cubicBezTo>
                                    <a:cubicBezTo>
                                      <a:pt x="1095" y="384"/>
                                      <a:pt x="1105" y="373"/>
                                      <a:pt x="1114" y="359"/>
                                    </a:cubicBezTo>
                                    <a:cubicBezTo>
                                      <a:pt x="1083" y="344"/>
                                      <a:pt x="1054" y="329"/>
                                      <a:pt x="1023" y="314"/>
                                    </a:cubicBezTo>
                                    <a:cubicBezTo>
                                      <a:pt x="1020" y="318"/>
                                      <a:pt x="1018" y="322"/>
                                      <a:pt x="1015" y="325"/>
                                    </a:cubicBezTo>
                                    <a:moveTo>
                                      <a:pt x="1582" y="371"/>
                                    </a:moveTo>
                                    <a:cubicBezTo>
                                      <a:pt x="1582" y="21"/>
                                      <a:pt x="1582" y="21"/>
                                      <a:pt x="1582" y="21"/>
                                    </a:cubicBezTo>
                                    <a:cubicBezTo>
                                      <a:pt x="1483" y="21"/>
                                      <a:pt x="1483" y="21"/>
                                      <a:pt x="1483" y="21"/>
                                    </a:cubicBezTo>
                                    <a:cubicBezTo>
                                      <a:pt x="1483" y="457"/>
                                      <a:pt x="1483" y="457"/>
                                      <a:pt x="1483" y="457"/>
                                    </a:cubicBezTo>
                                    <a:cubicBezTo>
                                      <a:pt x="1891" y="457"/>
                                      <a:pt x="1891" y="457"/>
                                      <a:pt x="1891" y="457"/>
                                    </a:cubicBezTo>
                                    <a:cubicBezTo>
                                      <a:pt x="1891" y="371"/>
                                      <a:pt x="1891" y="371"/>
                                      <a:pt x="1891" y="371"/>
                                    </a:cubicBezTo>
                                    <a:lnTo>
                                      <a:pt x="1582" y="371"/>
                                    </a:lnTo>
                                    <a:close/>
                                    <a:moveTo>
                                      <a:pt x="2845" y="370"/>
                                    </a:moveTo>
                                    <a:cubicBezTo>
                                      <a:pt x="2845" y="21"/>
                                      <a:pt x="2845" y="21"/>
                                      <a:pt x="2845" y="21"/>
                                    </a:cubicBezTo>
                                    <a:cubicBezTo>
                                      <a:pt x="2747" y="21"/>
                                      <a:pt x="2747" y="21"/>
                                      <a:pt x="2747" y="21"/>
                                    </a:cubicBezTo>
                                    <a:cubicBezTo>
                                      <a:pt x="2747" y="457"/>
                                      <a:pt x="2747" y="457"/>
                                      <a:pt x="2747" y="457"/>
                                    </a:cubicBezTo>
                                    <a:cubicBezTo>
                                      <a:pt x="3155" y="457"/>
                                      <a:pt x="3155" y="457"/>
                                      <a:pt x="3155" y="457"/>
                                    </a:cubicBezTo>
                                    <a:cubicBezTo>
                                      <a:pt x="3155" y="370"/>
                                      <a:pt x="3155" y="370"/>
                                      <a:pt x="3155" y="370"/>
                                    </a:cubicBezTo>
                                    <a:lnTo>
                                      <a:pt x="2845" y="370"/>
                                    </a:lnTo>
                                    <a:close/>
                                    <a:moveTo>
                                      <a:pt x="3350" y="370"/>
                                    </a:moveTo>
                                    <a:cubicBezTo>
                                      <a:pt x="3350" y="21"/>
                                      <a:pt x="3350" y="21"/>
                                      <a:pt x="3350" y="21"/>
                                    </a:cubicBezTo>
                                    <a:cubicBezTo>
                                      <a:pt x="3253" y="21"/>
                                      <a:pt x="3253" y="21"/>
                                      <a:pt x="3253" y="21"/>
                                    </a:cubicBezTo>
                                    <a:cubicBezTo>
                                      <a:pt x="3253" y="457"/>
                                      <a:pt x="3253" y="457"/>
                                      <a:pt x="3253" y="457"/>
                                    </a:cubicBezTo>
                                    <a:cubicBezTo>
                                      <a:pt x="3660" y="457"/>
                                      <a:pt x="3660" y="457"/>
                                      <a:pt x="3660" y="457"/>
                                    </a:cubicBezTo>
                                    <a:cubicBezTo>
                                      <a:pt x="3660" y="370"/>
                                      <a:pt x="3660" y="370"/>
                                      <a:pt x="3660" y="370"/>
                                    </a:cubicBezTo>
                                    <a:lnTo>
                                      <a:pt x="3350" y="370"/>
                                    </a:lnTo>
                                    <a:close/>
                                    <a:moveTo>
                                      <a:pt x="1233" y="457"/>
                                    </a:moveTo>
                                    <a:cubicBezTo>
                                      <a:pt x="1335" y="457"/>
                                      <a:pt x="1335" y="457"/>
                                      <a:pt x="1335" y="457"/>
                                    </a:cubicBezTo>
                                    <a:cubicBezTo>
                                      <a:pt x="1335" y="21"/>
                                      <a:pt x="1335" y="21"/>
                                      <a:pt x="1335" y="21"/>
                                    </a:cubicBezTo>
                                    <a:cubicBezTo>
                                      <a:pt x="1233" y="21"/>
                                      <a:pt x="1233" y="21"/>
                                      <a:pt x="1233" y="21"/>
                                    </a:cubicBezTo>
                                    <a:lnTo>
                                      <a:pt x="1233" y="457"/>
                                    </a:lnTo>
                                    <a:close/>
                                  </a:path>
                                </a:pathLst>
                              </a:custGeom>
                              <a:solidFill>
                                <a:srgbClr val="0001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668C6EC9" id="Group 669" o:spid="_x0000_s1026" alt="&quot;&quot;" style="position:absolute;margin-left:0;margin-top:5.5pt;width:77.25pt;height:11.25pt;z-index:251731968;mso-position-horizontal-relative:page;mso-position-vertical-relative:page;mso-width-relative:margin;mso-height-relative:margin" coordorigin=",-212" coordsize="121888,187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">
                    <o:lock v:ext="edit" aspectratio="t"/>
                    <v:rect id="Rectangle 670" o:spid="_x0000_s1027" style="position:absolute;top:16431;width:14398;height:2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" fillcolor="#6c3f99" stroked="f"/>
                    <v:shape id="Freeform 6" o:spid="_x0000_s1028" style="position:absolute;top:-212;width:121888;height:12963;visibility:visible;mso-wrap-style:square;v-text-anchor:top" coordsize="4841,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" path="m4214,370v,87,,87,,87c3766,457,3766,457,3766,457v,-436,,-436,,-436c4214,21,4214,21,4214,21v,83,,83,,83c3864,104,3864,104,3864,104v,89,,89,,89c4151,194,4151,194,4151,194v,83,,83,,83c3864,277,3864,277,3864,277v,93,,93,,93l4214,370xm4345,21v,436,,436,,436c4442,457,4442,457,4442,457v,-313,,-313,,-313c4753,457,4753,457,4753,457v88,,88,,88,c4841,21,4841,21,4841,21v-96,,-96,,-96,c4745,319,4745,319,4745,319,4450,21,4450,21,4450,21r-105,xm196,283v179,,179,,179,c283,109,283,109,283,109l196,283xm341,21c572,457,572,457,572,457v-108,,-108,,-108,c418,365,418,365,418,365v-265,,-265,,-265,c107,457,107,457,107,457,,457,,457,,457,231,21,231,21,231,21r110,xm2456,283c2366,106,2366,106,2366,106v-90,177,-90,177,-90,177l2456,283xm2422,21v232,436,232,436,232,436c2546,457,2546,457,2546,457v-47,-92,-47,-92,-47,-92c2234,365,2234,365,2234,365v-46,92,-46,92,-46,92c2081,457,2081,457,2081,457,2312,21,2312,21,2312,21r110,xm1015,325v-22,28,-49,46,-83,53c886,388,841,387,796,372,762,360,735,339,719,306,707,280,704,254,705,226v4,-58,36,-101,92,-121c837,91,879,89,920,96v40,7,73,27,96,60c1018,158,1020,160,1022,163v30,-15,60,-30,91,-46c1106,108,1100,99,1092,92,1051,49,1000,24,942,13,874,,808,6,744,30,683,53,639,93,617,155v-18,49,-19,99,-6,149c630,375,676,422,745,449v65,25,133,28,201,15c998,454,1045,432,1084,395v11,-11,21,-22,30,-36c1083,344,1054,329,1023,314v-3,4,-5,8,-8,11m1582,371v,-350,,-350,,-350c1483,21,1483,21,1483,21v,436,,436,,436c1891,457,1891,457,1891,457v,-86,,-86,,-86l1582,371xm2845,370v,-349,,-349,,-349c2747,21,2747,21,2747,21v,436,,436,,436c3155,457,3155,457,3155,457v,-87,,-87,,-87l2845,370xm3350,370v,-349,,-349,,-349c3253,21,3253,21,3253,21v,436,,436,,436c3660,457,3660,457,3660,457v,-87,,-87,,-87l3350,370xm1233,457v102,,102,,102,c1335,21,1335,21,1335,21v-102,,-102,,-102,l1233,457xe" fillcolor="#000100" stroked="f">
                      <v:path arrowok="t" o:connecttype="custom" o:connectlocs="10610144,1241977;9482156,57071;10610144,282638;9728903,524511;10451521,752795;9728903,1005539;10939980,57071;11184210,1241977;11967256,1241977;12188825,57071;11947113,866938;10939980,57071;944187,769101;493495,769101;1440200,1241977;1052454,991951;269408,1241977;581619,57071;6183796,769101;5730586,769101;6098189,57071;6410400,1241977;5624837,991951;5239609,1241977;6098189,57071;2346619,1027280;1810321,831608;2006712,285356;2558117,423957;2802347,317968;2371798,35330;1553502,421239;1875785,1220235;2729330,1073481;2575742,853349;3983210,1008257;3733945,57071;4761220,1241977;3983210,1008257;7163232,57071;6916485,1241977;7943760,1005539;8434737,1005539;8190508,57071;9215265,1241977;8434737,1005539;3361306,1241977;3104487,57071" o:connectangles="0,0,0,0,0,0,0,0,0,0,0,0,0,0,0,0,0,0,0,0,0,0,0,0,0,0,0,0,0,0,0,0,0,0,0,0,0,0,0,0,0,0,0,0,0,0,0,0"/>
                      <o:lock v:ext="edit" verticies="t"/>
                    </v:shape>
                    <w10:wrap anchorx="page" anchory="page"/>
                    <w10:anchorlock/>
                  </v:group>
                </w:pict>
              </mc:Fallback>
            </mc:AlternateContent>
          </w:r>
        </w:p>
      </w:tc>
      <w:tc>
        <w:tcPr>
          <w:tcW w:w="5173" w:type="dxa"/>
          <w:vAlign w:val="center"/>
        </w:tcPr>
        <w:p w14:paraId="5D8A9D7D" w14:textId="3BC59D8F" w:rsidR="002B32A0" w:rsidRDefault="002B32A0" w:rsidP="004A1654">
          <w:pPr>
            <w:pStyle w:val="Header-CompanyName"/>
          </w:pPr>
        </w:p>
      </w:tc>
    </w:tr>
  </w:tbl>
  <w:p w14:paraId="0FD095E9" w14:textId="7666436B" w:rsidR="002B32A0" w:rsidRPr="009337C5" w:rsidRDefault="002B32A0" w:rsidP="00327E78">
    <w:pPr>
      <w:pStyle w:val="Header"/>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C0A50D" w14:textId="77777777" w:rsidR="002B32A0" w:rsidRPr="009337C5" w:rsidRDefault="002B32A0" w:rsidP="00327E78">
    <w:pPr>
      <w:pStyle w:val="Header"/>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C4AB65" w14:textId="77777777" w:rsidR="002B32A0" w:rsidRPr="008A0C00" w:rsidRDefault="002B32A0" w:rsidP="008A0C00">
    <w:pPr>
      <w:pStyle w:val="Header"/>
    </w:pP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acTablenolines"/>
      <w:tblW w:w="10363" w:type="dxa"/>
      <w:tblInd w:w="-2427" w:type="dxa"/>
      <w:tblLayout w:type="fixed"/>
      <w:tblLook w:val="04A0" w:firstRow="1" w:lastRow="0" w:firstColumn="1" w:lastColumn="0" w:noHBand="0" w:noVBand="1"/>
    </w:tblPr>
    <w:tblGrid>
      <w:gridCol w:w="5182"/>
      <w:gridCol w:w="5181"/>
    </w:tblGrid>
    <w:tr w:rsidR="002B32A0" w14:paraId="6DB650A1" w14:textId="77777777" w:rsidTr="000B0AC7">
      <w:trPr>
        <w:trHeight w:hRule="exact" w:val="356"/>
      </w:trPr>
      <w:tc>
        <w:tcPr>
          <w:tcW w:w="5182" w:type="dxa"/>
          <w:vAlign w:val="center"/>
        </w:tcPr>
        <w:p w14:paraId="4EE1109E" w14:textId="77777777" w:rsidR="002B32A0" w:rsidRDefault="002B32A0" w:rsidP="008A0C00">
          <w:pPr>
            <w:pStyle w:val="spacer"/>
          </w:pPr>
          <w:r w:rsidRPr="000261B1">
            <w:rPr>
              <w:noProof/>
            </w:rPr>
            <mc:AlternateContent>
              <mc:Choice Requires="wpg">
                <w:drawing>
                  <wp:anchor distT="0" distB="0" distL="114300" distR="114300" simplePos="0" relativeHeight="251734016" behindDoc="0" locked="1" layoutInCell="1" allowOverlap="1" wp14:anchorId="1999E0B2" wp14:editId="3F4DD7BE">
                    <wp:simplePos x="0" y="0"/>
                    <wp:positionH relativeFrom="page">
                      <wp:posOffset>0</wp:posOffset>
                    </wp:positionH>
                    <wp:positionV relativeFrom="page">
                      <wp:posOffset>69850</wp:posOffset>
                    </wp:positionV>
                    <wp:extent cx="981075" cy="142875"/>
                    <wp:effectExtent l="0" t="0" r="9525" b="9525"/>
                    <wp:wrapNone/>
                    <wp:docPr id="202" name="Group 2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981075" cy="142875"/>
                              <a:chOff x="0" y="-21209"/>
                              <a:chExt cx="12188825" cy="1878663"/>
                            </a:xfrm>
                          </wpg:grpSpPr>
                          <wps:wsp>
                            <wps:cNvPr id="203" name="Rectangle 203"/>
                            <wps:cNvSpPr>
                              <a:spLocks noChangeArrowheads="1"/>
                            </wps:cNvSpPr>
                            <wps:spPr bwMode="auto">
                              <a:xfrm>
                                <a:off x="0" y="1643143"/>
                                <a:ext cx="1439863" cy="214311"/>
                              </a:xfrm>
                              <a:prstGeom prst="rect">
                                <a:avLst/>
                              </a:prstGeom>
                              <a:solidFill>
                                <a:srgbClr val="6C3F99"/>
                              </a:solid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204" name="Freeform 6"/>
                            <wps:cNvSpPr>
                              <a:spLocks noEditPoints="1"/>
                            </wps:cNvSpPr>
                            <wps:spPr bwMode="auto">
                              <a:xfrm>
                                <a:off x="0" y="-21209"/>
                                <a:ext cx="12188825" cy="1296330"/>
                              </a:xfrm>
                              <a:custGeom>
                                <a:avLst/>
                                <a:gdLst>
                                  <a:gd name="T0" fmla="*/ 4214 w 4841"/>
                                  <a:gd name="T1" fmla="*/ 457 h 477"/>
                                  <a:gd name="T2" fmla="*/ 3766 w 4841"/>
                                  <a:gd name="T3" fmla="*/ 21 h 477"/>
                                  <a:gd name="T4" fmla="*/ 4214 w 4841"/>
                                  <a:gd name="T5" fmla="*/ 104 h 477"/>
                                  <a:gd name="T6" fmla="*/ 3864 w 4841"/>
                                  <a:gd name="T7" fmla="*/ 193 h 477"/>
                                  <a:gd name="T8" fmla="*/ 4151 w 4841"/>
                                  <a:gd name="T9" fmla="*/ 277 h 477"/>
                                  <a:gd name="T10" fmla="*/ 3864 w 4841"/>
                                  <a:gd name="T11" fmla="*/ 370 h 477"/>
                                  <a:gd name="T12" fmla="*/ 4345 w 4841"/>
                                  <a:gd name="T13" fmla="*/ 21 h 477"/>
                                  <a:gd name="T14" fmla="*/ 4442 w 4841"/>
                                  <a:gd name="T15" fmla="*/ 457 h 477"/>
                                  <a:gd name="T16" fmla="*/ 4753 w 4841"/>
                                  <a:gd name="T17" fmla="*/ 457 h 477"/>
                                  <a:gd name="T18" fmla="*/ 4841 w 4841"/>
                                  <a:gd name="T19" fmla="*/ 21 h 477"/>
                                  <a:gd name="T20" fmla="*/ 4745 w 4841"/>
                                  <a:gd name="T21" fmla="*/ 319 h 477"/>
                                  <a:gd name="T22" fmla="*/ 4345 w 4841"/>
                                  <a:gd name="T23" fmla="*/ 21 h 477"/>
                                  <a:gd name="T24" fmla="*/ 375 w 4841"/>
                                  <a:gd name="T25" fmla="*/ 283 h 477"/>
                                  <a:gd name="T26" fmla="*/ 196 w 4841"/>
                                  <a:gd name="T27" fmla="*/ 283 h 477"/>
                                  <a:gd name="T28" fmla="*/ 572 w 4841"/>
                                  <a:gd name="T29" fmla="*/ 457 h 477"/>
                                  <a:gd name="T30" fmla="*/ 418 w 4841"/>
                                  <a:gd name="T31" fmla="*/ 365 h 477"/>
                                  <a:gd name="T32" fmla="*/ 107 w 4841"/>
                                  <a:gd name="T33" fmla="*/ 457 h 477"/>
                                  <a:gd name="T34" fmla="*/ 231 w 4841"/>
                                  <a:gd name="T35" fmla="*/ 21 h 477"/>
                                  <a:gd name="T36" fmla="*/ 2456 w 4841"/>
                                  <a:gd name="T37" fmla="*/ 283 h 477"/>
                                  <a:gd name="T38" fmla="*/ 2276 w 4841"/>
                                  <a:gd name="T39" fmla="*/ 283 h 477"/>
                                  <a:gd name="T40" fmla="*/ 2422 w 4841"/>
                                  <a:gd name="T41" fmla="*/ 21 h 477"/>
                                  <a:gd name="T42" fmla="*/ 2546 w 4841"/>
                                  <a:gd name="T43" fmla="*/ 457 h 477"/>
                                  <a:gd name="T44" fmla="*/ 2234 w 4841"/>
                                  <a:gd name="T45" fmla="*/ 365 h 477"/>
                                  <a:gd name="T46" fmla="*/ 2081 w 4841"/>
                                  <a:gd name="T47" fmla="*/ 457 h 477"/>
                                  <a:gd name="T48" fmla="*/ 2422 w 4841"/>
                                  <a:gd name="T49" fmla="*/ 21 h 477"/>
                                  <a:gd name="T50" fmla="*/ 932 w 4841"/>
                                  <a:gd name="T51" fmla="*/ 378 h 477"/>
                                  <a:gd name="T52" fmla="*/ 719 w 4841"/>
                                  <a:gd name="T53" fmla="*/ 306 h 477"/>
                                  <a:gd name="T54" fmla="*/ 797 w 4841"/>
                                  <a:gd name="T55" fmla="*/ 105 h 477"/>
                                  <a:gd name="T56" fmla="*/ 1016 w 4841"/>
                                  <a:gd name="T57" fmla="*/ 156 h 477"/>
                                  <a:gd name="T58" fmla="*/ 1113 w 4841"/>
                                  <a:gd name="T59" fmla="*/ 117 h 477"/>
                                  <a:gd name="T60" fmla="*/ 942 w 4841"/>
                                  <a:gd name="T61" fmla="*/ 13 h 477"/>
                                  <a:gd name="T62" fmla="*/ 617 w 4841"/>
                                  <a:gd name="T63" fmla="*/ 155 h 477"/>
                                  <a:gd name="T64" fmla="*/ 745 w 4841"/>
                                  <a:gd name="T65" fmla="*/ 449 h 477"/>
                                  <a:gd name="T66" fmla="*/ 1084 w 4841"/>
                                  <a:gd name="T67" fmla="*/ 395 h 477"/>
                                  <a:gd name="T68" fmla="*/ 1023 w 4841"/>
                                  <a:gd name="T69" fmla="*/ 314 h 477"/>
                                  <a:gd name="T70" fmla="*/ 1582 w 4841"/>
                                  <a:gd name="T71" fmla="*/ 371 h 477"/>
                                  <a:gd name="T72" fmla="*/ 1483 w 4841"/>
                                  <a:gd name="T73" fmla="*/ 21 h 477"/>
                                  <a:gd name="T74" fmla="*/ 1891 w 4841"/>
                                  <a:gd name="T75" fmla="*/ 457 h 477"/>
                                  <a:gd name="T76" fmla="*/ 1582 w 4841"/>
                                  <a:gd name="T77" fmla="*/ 371 h 477"/>
                                  <a:gd name="T78" fmla="*/ 2845 w 4841"/>
                                  <a:gd name="T79" fmla="*/ 21 h 477"/>
                                  <a:gd name="T80" fmla="*/ 2747 w 4841"/>
                                  <a:gd name="T81" fmla="*/ 457 h 477"/>
                                  <a:gd name="T82" fmla="*/ 3155 w 4841"/>
                                  <a:gd name="T83" fmla="*/ 370 h 477"/>
                                  <a:gd name="T84" fmla="*/ 3350 w 4841"/>
                                  <a:gd name="T85" fmla="*/ 370 h 477"/>
                                  <a:gd name="T86" fmla="*/ 3253 w 4841"/>
                                  <a:gd name="T87" fmla="*/ 21 h 477"/>
                                  <a:gd name="T88" fmla="*/ 3660 w 4841"/>
                                  <a:gd name="T89" fmla="*/ 457 h 477"/>
                                  <a:gd name="T90" fmla="*/ 3350 w 4841"/>
                                  <a:gd name="T91" fmla="*/ 370 h 477"/>
                                  <a:gd name="T92" fmla="*/ 1335 w 4841"/>
                                  <a:gd name="T93" fmla="*/ 457 h 477"/>
                                  <a:gd name="T94" fmla="*/ 1233 w 4841"/>
                                  <a:gd name="T95" fmla="*/ 21 h 4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4841" h="477">
                                    <a:moveTo>
                                      <a:pt x="4214" y="370"/>
                                    </a:moveTo>
                                    <a:cubicBezTo>
                                      <a:pt x="4214" y="457"/>
                                      <a:pt x="4214" y="457"/>
                                      <a:pt x="4214" y="457"/>
                                    </a:cubicBezTo>
                                    <a:cubicBezTo>
                                      <a:pt x="3766" y="457"/>
                                      <a:pt x="3766" y="457"/>
                                      <a:pt x="3766" y="457"/>
                                    </a:cubicBezTo>
                                    <a:cubicBezTo>
                                      <a:pt x="3766" y="21"/>
                                      <a:pt x="3766" y="21"/>
                                      <a:pt x="3766" y="21"/>
                                    </a:cubicBezTo>
                                    <a:cubicBezTo>
                                      <a:pt x="4214" y="21"/>
                                      <a:pt x="4214" y="21"/>
                                      <a:pt x="4214" y="21"/>
                                    </a:cubicBezTo>
                                    <a:cubicBezTo>
                                      <a:pt x="4214" y="104"/>
                                      <a:pt x="4214" y="104"/>
                                      <a:pt x="4214" y="104"/>
                                    </a:cubicBezTo>
                                    <a:cubicBezTo>
                                      <a:pt x="3864" y="104"/>
                                      <a:pt x="3864" y="104"/>
                                      <a:pt x="3864" y="104"/>
                                    </a:cubicBezTo>
                                    <a:cubicBezTo>
                                      <a:pt x="3864" y="193"/>
                                      <a:pt x="3864" y="193"/>
                                      <a:pt x="3864" y="193"/>
                                    </a:cubicBezTo>
                                    <a:cubicBezTo>
                                      <a:pt x="4151" y="194"/>
                                      <a:pt x="4151" y="194"/>
                                      <a:pt x="4151" y="194"/>
                                    </a:cubicBezTo>
                                    <a:cubicBezTo>
                                      <a:pt x="4151" y="277"/>
                                      <a:pt x="4151" y="277"/>
                                      <a:pt x="4151" y="277"/>
                                    </a:cubicBezTo>
                                    <a:cubicBezTo>
                                      <a:pt x="3864" y="277"/>
                                      <a:pt x="3864" y="277"/>
                                      <a:pt x="3864" y="277"/>
                                    </a:cubicBezTo>
                                    <a:cubicBezTo>
                                      <a:pt x="3864" y="370"/>
                                      <a:pt x="3864" y="370"/>
                                      <a:pt x="3864" y="370"/>
                                    </a:cubicBezTo>
                                    <a:lnTo>
                                      <a:pt x="4214" y="370"/>
                                    </a:lnTo>
                                    <a:close/>
                                    <a:moveTo>
                                      <a:pt x="4345" y="21"/>
                                    </a:moveTo>
                                    <a:cubicBezTo>
                                      <a:pt x="4345" y="457"/>
                                      <a:pt x="4345" y="457"/>
                                      <a:pt x="4345" y="457"/>
                                    </a:cubicBezTo>
                                    <a:cubicBezTo>
                                      <a:pt x="4442" y="457"/>
                                      <a:pt x="4442" y="457"/>
                                      <a:pt x="4442" y="457"/>
                                    </a:cubicBezTo>
                                    <a:cubicBezTo>
                                      <a:pt x="4442" y="144"/>
                                      <a:pt x="4442" y="144"/>
                                      <a:pt x="4442" y="144"/>
                                    </a:cubicBezTo>
                                    <a:cubicBezTo>
                                      <a:pt x="4753" y="457"/>
                                      <a:pt x="4753" y="457"/>
                                      <a:pt x="4753" y="457"/>
                                    </a:cubicBezTo>
                                    <a:cubicBezTo>
                                      <a:pt x="4841" y="457"/>
                                      <a:pt x="4841" y="457"/>
                                      <a:pt x="4841" y="457"/>
                                    </a:cubicBezTo>
                                    <a:cubicBezTo>
                                      <a:pt x="4841" y="21"/>
                                      <a:pt x="4841" y="21"/>
                                      <a:pt x="4841" y="21"/>
                                    </a:cubicBezTo>
                                    <a:cubicBezTo>
                                      <a:pt x="4745" y="21"/>
                                      <a:pt x="4745" y="21"/>
                                      <a:pt x="4745" y="21"/>
                                    </a:cubicBezTo>
                                    <a:cubicBezTo>
                                      <a:pt x="4745" y="319"/>
                                      <a:pt x="4745" y="319"/>
                                      <a:pt x="4745" y="319"/>
                                    </a:cubicBezTo>
                                    <a:cubicBezTo>
                                      <a:pt x="4450" y="21"/>
                                      <a:pt x="4450" y="21"/>
                                      <a:pt x="4450" y="21"/>
                                    </a:cubicBezTo>
                                    <a:lnTo>
                                      <a:pt x="4345" y="21"/>
                                    </a:lnTo>
                                    <a:close/>
                                    <a:moveTo>
                                      <a:pt x="196" y="283"/>
                                    </a:moveTo>
                                    <a:cubicBezTo>
                                      <a:pt x="375" y="283"/>
                                      <a:pt x="375" y="283"/>
                                      <a:pt x="375" y="283"/>
                                    </a:cubicBezTo>
                                    <a:cubicBezTo>
                                      <a:pt x="283" y="109"/>
                                      <a:pt x="283" y="109"/>
                                      <a:pt x="283" y="109"/>
                                    </a:cubicBezTo>
                                    <a:lnTo>
                                      <a:pt x="196" y="283"/>
                                    </a:lnTo>
                                    <a:close/>
                                    <a:moveTo>
                                      <a:pt x="341" y="21"/>
                                    </a:moveTo>
                                    <a:cubicBezTo>
                                      <a:pt x="572" y="457"/>
                                      <a:pt x="572" y="457"/>
                                      <a:pt x="572" y="457"/>
                                    </a:cubicBezTo>
                                    <a:cubicBezTo>
                                      <a:pt x="464" y="457"/>
                                      <a:pt x="464" y="457"/>
                                      <a:pt x="464" y="457"/>
                                    </a:cubicBezTo>
                                    <a:cubicBezTo>
                                      <a:pt x="418" y="365"/>
                                      <a:pt x="418" y="365"/>
                                      <a:pt x="418" y="365"/>
                                    </a:cubicBezTo>
                                    <a:cubicBezTo>
                                      <a:pt x="153" y="365"/>
                                      <a:pt x="153" y="365"/>
                                      <a:pt x="153" y="365"/>
                                    </a:cubicBezTo>
                                    <a:cubicBezTo>
                                      <a:pt x="107" y="457"/>
                                      <a:pt x="107" y="457"/>
                                      <a:pt x="107" y="457"/>
                                    </a:cubicBezTo>
                                    <a:cubicBezTo>
                                      <a:pt x="0" y="457"/>
                                      <a:pt x="0" y="457"/>
                                      <a:pt x="0" y="457"/>
                                    </a:cubicBezTo>
                                    <a:cubicBezTo>
                                      <a:pt x="231" y="21"/>
                                      <a:pt x="231" y="21"/>
                                      <a:pt x="231" y="21"/>
                                    </a:cubicBezTo>
                                    <a:lnTo>
                                      <a:pt x="341" y="21"/>
                                    </a:lnTo>
                                    <a:close/>
                                    <a:moveTo>
                                      <a:pt x="2456" y="283"/>
                                    </a:moveTo>
                                    <a:cubicBezTo>
                                      <a:pt x="2366" y="106"/>
                                      <a:pt x="2366" y="106"/>
                                      <a:pt x="2366" y="106"/>
                                    </a:cubicBezTo>
                                    <a:cubicBezTo>
                                      <a:pt x="2276" y="283"/>
                                      <a:pt x="2276" y="283"/>
                                      <a:pt x="2276" y="283"/>
                                    </a:cubicBezTo>
                                    <a:lnTo>
                                      <a:pt x="2456" y="283"/>
                                    </a:lnTo>
                                    <a:close/>
                                    <a:moveTo>
                                      <a:pt x="2422" y="21"/>
                                    </a:moveTo>
                                    <a:cubicBezTo>
                                      <a:pt x="2654" y="457"/>
                                      <a:pt x="2654" y="457"/>
                                      <a:pt x="2654" y="457"/>
                                    </a:cubicBezTo>
                                    <a:cubicBezTo>
                                      <a:pt x="2546" y="457"/>
                                      <a:pt x="2546" y="457"/>
                                      <a:pt x="2546" y="457"/>
                                    </a:cubicBezTo>
                                    <a:cubicBezTo>
                                      <a:pt x="2499" y="365"/>
                                      <a:pt x="2499" y="365"/>
                                      <a:pt x="2499" y="365"/>
                                    </a:cubicBezTo>
                                    <a:cubicBezTo>
                                      <a:pt x="2234" y="365"/>
                                      <a:pt x="2234" y="365"/>
                                      <a:pt x="2234" y="365"/>
                                    </a:cubicBezTo>
                                    <a:cubicBezTo>
                                      <a:pt x="2188" y="457"/>
                                      <a:pt x="2188" y="457"/>
                                      <a:pt x="2188" y="457"/>
                                    </a:cubicBezTo>
                                    <a:cubicBezTo>
                                      <a:pt x="2081" y="457"/>
                                      <a:pt x="2081" y="457"/>
                                      <a:pt x="2081" y="457"/>
                                    </a:cubicBezTo>
                                    <a:cubicBezTo>
                                      <a:pt x="2312" y="21"/>
                                      <a:pt x="2312" y="21"/>
                                      <a:pt x="2312" y="21"/>
                                    </a:cubicBezTo>
                                    <a:lnTo>
                                      <a:pt x="2422" y="21"/>
                                    </a:lnTo>
                                    <a:close/>
                                    <a:moveTo>
                                      <a:pt x="1015" y="325"/>
                                    </a:moveTo>
                                    <a:cubicBezTo>
                                      <a:pt x="993" y="353"/>
                                      <a:pt x="966" y="371"/>
                                      <a:pt x="932" y="378"/>
                                    </a:cubicBezTo>
                                    <a:cubicBezTo>
                                      <a:pt x="886" y="388"/>
                                      <a:pt x="841" y="387"/>
                                      <a:pt x="796" y="372"/>
                                    </a:cubicBezTo>
                                    <a:cubicBezTo>
                                      <a:pt x="762" y="360"/>
                                      <a:pt x="735" y="339"/>
                                      <a:pt x="719" y="306"/>
                                    </a:cubicBezTo>
                                    <a:cubicBezTo>
                                      <a:pt x="707" y="280"/>
                                      <a:pt x="704" y="254"/>
                                      <a:pt x="705" y="226"/>
                                    </a:cubicBezTo>
                                    <a:cubicBezTo>
                                      <a:pt x="709" y="168"/>
                                      <a:pt x="741" y="125"/>
                                      <a:pt x="797" y="105"/>
                                    </a:cubicBezTo>
                                    <a:cubicBezTo>
                                      <a:pt x="837" y="91"/>
                                      <a:pt x="879" y="89"/>
                                      <a:pt x="920" y="96"/>
                                    </a:cubicBezTo>
                                    <a:cubicBezTo>
                                      <a:pt x="960" y="103"/>
                                      <a:pt x="993" y="123"/>
                                      <a:pt x="1016" y="156"/>
                                    </a:cubicBezTo>
                                    <a:cubicBezTo>
                                      <a:pt x="1018" y="158"/>
                                      <a:pt x="1020" y="160"/>
                                      <a:pt x="1022" y="163"/>
                                    </a:cubicBezTo>
                                    <a:cubicBezTo>
                                      <a:pt x="1052" y="148"/>
                                      <a:pt x="1082" y="133"/>
                                      <a:pt x="1113" y="117"/>
                                    </a:cubicBezTo>
                                    <a:cubicBezTo>
                                      <a:pt x="1106" y="108"/>
                                      <a:pt x="1100" y="99"/>
                                      <a:pt x="1092" y="92"/>
                                    </a:cubicBezTo>
                                    <a:cubicBezTo>
                                      <a:pt x="1051" y="49"/>
                                      <a:pt x="1000" y="24"/>
                                      <a:pt x="942" y="13"/>
                                    </a:cubicBezTo>
                                    <a:cubicBezTo>
                                      <a:pt x="874" y="0"/>
                                      <a:pt x="808" y="6"/>
                                      <a:pt x="744" y="30"/>
                                    </a:cubicBezTo>
                                    <a:cubicBezTo>
                                      <a:pt x="683" y="53"/>
                                      <a:pt x="639" y="93"/>
                                      <a:pt x="617" y="155"/>
                                    </a:cubicBezTo>
                                    <a:cubicBezTo>
                                      <a:pt x="599" y="204"/>
                                      <a:pt x="598" y="254"/>
                                      <a:pt x="611" y="304"/>
                                    </a:cubicBezTo>
                                    <a:cubicBezTo>
                                      <a:pt x="630" y="375"/>
                                      <a:pt x="676" y="422"/>
                                      <a:pt x="745" y="449"/>
                                    </a:cubicBezTo>
                                    <a:cubicBezTo>
                                      <a:pt x="810" y="474"/>
                                      <a:pt x="878" y="477"/>
                                      <a:pt x="946" y="464"/>
                                    </a:cubicBezTo>
                                    <a:cubicBezTo>
                                      <a:pt x="998" y="454"/>
                                      <a:pt x="1045" y="432"/>
                                      <a:pt x="1084" y="395"/>
                                    </a:cubicBezTo>
                                    <a:cubicBezTo>
                                      <a:pt x="1095" y="384"/>
                                      <a:pt x="1105" y="373"/>
                                      <a:pt x="1114" y="359"/>
                                    </a:cubicBezTo>
                                    <a:cubicBezTo>
                                      <a:pt x="1083" y="344"/>
                                      <a:pt x="1054" y="329"/>
                                      <a:pt x="1023" y="314"/>
                                    </a:cubicBezTo>
                                    <a:cubicBezTo>
                                      <a:pt x="1020" y="318"/>
                                      <a:pt x="1018" y="322"/>
                                      <a:pt x="1015" y="325"/>
                                    </a:cubicBezTo>
                                    <a:moveTo>
                                      <a:pt x="1582" y="371"/>
                                    </a:moveTo>
                                    <a:cubicBezTo>
                                      <a:pt x="1582" y="21"/>
                                      <a:pt x="1582" y="21"/>
                                      <a:pt x="1582" y="21"/>
                                    </a:cubicBezTo>
                                    <a:cubicBezTo>
                                      <a:pt x="1483" y="21"/>
                                      <a:pt x="1483" y="21"/>
                                      <a:pt x="1483" y="21"/>
                                    </a:cubicBezTo>
                                    <a:cubicBezTo>
                                      <a:pt x="1483" y="457"/>
                                      <a:pt x="1483" y="457"/>
                                      <a:pt x="1483" y="457"/>
                                    </a:cubicBezTo>
                                    <a:cubicBezTo>
                                      <a:pt x="1891" y="457"/>
                                      <a:pt x="1891" y="457"/>
                                      <a:pt x="1891" y="457"/>
                                    </a:cubicBezTo>
                                    <a:cubicBezTo>
                                      <a:pt x="1891" y="371"/>
                                      <a:pt x="1891" y="371"/>
                                      <a:pt x="1891" y="371"/>
                                    </a:cubicBezTo>
                                    <a:lnTo>
                                      <a:pt x="1582" y="371"/>
                                    </a:lnTo>
                                    <a:close/>
                                    <a:moveTo>
                                      <a:pt x="2845" y="370"/>
                                    </a:moveTo>
                                    <a:cubicBezTo>
                                      <a:pt x="2845" y="21"/>
                                      <a:pt x="2845" y="21"/>
                                      <a:pt x="2845" y="21"/>
                                    </a:cubicBezTo>
                                    <a:cubicBezTo>
                                      <a:pt x="2747" y="21"/>
                                      <a:pt x="2747" y="21"/>
                                      <a:pt x="2747" y="21"/>
                                    </a:cubicBezTo>
                                    <a:cubicBezTo>
                                      <a:pt x="2747" y="457"/>
                                      <a:pt x="2747" y="457"/>
                                      <a:pt x="2747" y="457"/>
                                    </a:cubicBezTo>
                                    <a:cubicBezTo>
                                      <a:pt x="3155" y="457"/>
                                      <a:pt x="3155" y="457"/>
                                      <a:pt x="3155" y="457"/>
                                    </a:cubicBezTo>
                                    <a:cubicBezTo>
                                      <a:pt x="3155" y="370"/>
                                      <a:pt x="3155" y="370"/>
                                      <a:pt x="3155" y="370"/>
                                    </a:cubicBezTo>
                                    <a:lnTo>
                                      <a:pt x="2845" y="370"/>
                                    </a:lnTo>
                                    <a:close/>
                                    <a:moveTo>
                                      <a:pt x="3350" y="370"/>
                                    </a:moveTo>
                                    <a:cubicBezTo>
                                      <a:pt x="3350" y="21"/>
                                      <a:pt x="3350" y="21"/>
                                      <a:pt x="3350" y="21"/>
                                    </a:cubicBezTo>
                                    <a:cubicBezTo>
                                      <a:pt x="3253" y="21"/>
                                      <a:pt x="3253" y="21"/>
                                      <a:pt x="3253" y="21"/>
                                    </a:cubicBezTo>
                                    <a:cubicBezTo>
                                      <a:pt x="3253" y="457"/>
                                      <a:pt x="3253" y="457"/>
                                      <a:pt x="3253" y="457"/>
                                    </a:cubicBezTo>
                                    <a:cubicBezTo>
                                      <a:pt x="3660" y="457"/>
                                      <a:pt x="3660" y="457"/>
                                      <a:pt x="3660" y="457"/>
                                    </a:cubicBezTo>
                                    <a:cubicBezTo>
                                      <a:pt x="3660" y="370"/>
                                      <a:pt x="3660" y="370"/>
                                      <a:pt x="3660" y="370"/>
                                    </a:cubicBezTo>
                                    <a:lnTo>
                                      <a:pt x="3350" y="370"/>
                                    </a:lnTo>
                                    <a:close/>
                                    <a:moveTo>
                                      <a:pt x="1233" y="457"/>
                                    </a:moveTo>
                                    <a:cubicBezTo>
                                      <a:pt x="1335" y="457"/>
                                      <a:pt x="1335" y="457"/>
                                      <a:pt x="1335" y="457"/>
                                    </a:cubicBezTo>
                                    <a:cubicBezTo>
                                      <a:pt x="1335" y="21"/>
                                      <a:pt x="1335" y="21"/>
                                      <a:pt x="1335" y="21"/>
                                    </a:cubicBezTo>
                                    <a:cubicBezTo>
                                      <a:pt x="1233" y="21"/>
                                      <a:pt x="1233" y="21"/>
                                      <a:pt x="1233" y="21"/>
                                    </a:cubicBezTo>
                                    <a:lnTo>
                                      <a:pt x="1233" y="457"/>
                                    </a:lnTo>
                                    <a:close/>
                                  </a:path>
                                </a:pathLst>
                              </a:custGeom>
                              <a:solidFill>
                                <a:srgbClr val="0001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4654471E" id="Group 202" o:spid="_x0000_s1026" alt="&quot;&quot;" style="position:absolute;margin-left:0;margin-top:5.5pt;width:77.25pt;height:11.25pt;z-index:251734016;mso-position-horizontal-relative:page;mso-position-vertical-relative:page;mso-width-relative:margin;mso-height-relative:margin" coordorigin=",-212" coordsize="121888,187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">
                    <o:lock v:ext="edit" aspectratio="t"/>
                    <v:rect id="Rectangle 203" o:spid="_x0000_s1027" style="position:absolute;top:16431;width:14398;height:2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" fillcolor="#6c3f99" stroked="f"/>
                    <v:shape id="Freeform 6" o:spid="_x0000_s1028" style="position:absolute;top:-212;width:121888;height:12963;visibility:visible;mso-wrap-style:square;v-text-anchor:top" coordsize="4841,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" path="m4214,370v,87,,87,,87c3766,457,3766,457,3766,457v,-436,,-436,,-436c4214,21,4214,21,4214,21v,83,,83,,83c3864,104,3864,104,3864,104v,89,,89,,89c4151,194,4151,194,4151,194v,83,,83,,83c3864,277,3864,277,3864,277v,93,,93,,93l4214,370xm4345,21v,436,,436,,436c4442,457,4442,457,4442,457v,-313,,-313,,-313c4753,457,4753,457,4753,457v88,,88,,88,c4841,21,4841,21,4841,21v-96,,-96,,-96,c4745,319,4745,319,4745,319,4450,21,4450,21,4450,21r-105,xm196,283v179,,179,,179,c283,109,283,109,283,109l196,283xm341,21c572,457,572,457,572,457v-108,,-108,,-108,c418,365,418,365,418,365v-265,,-265,,-265,c107,457,107,457,107,457,,457,,457,,457,231,21,231,21,231,21r110,xm2456,283c2366,106,2366,106,2366,106v-90,177,-90,177,-90,177l2456,283xm2422,21v232,436,232,436,232,436c2546,457,2546,457,2546,457v-47,-92,-47,-92,-47,-92c2234,365,2234,365,2234,365v-46,92,-46,92,-46,92c2081,457,2081,457,2081,457,2312,21,2312,21,2312,21r110,xm1015,325v-22,28,-49,46,-83,53c886,388,841,387,796,372,762,360,735,339,719,306,707,280,704,254,705,226v4,-58,36,-101,92,-121c837,91,879,89,920,96v40,7,73,27,96,60c1018,158,1020,160,1022,163v30,-15,60,-30,91,-46c1106,108,1100,99,1092,92,1051,49,1000,24,942,13,874,,808,6,744,30,683,53,639,93,617,155v-18,49,-19,99,-6,149c630,375,676,422,745,449v65,25,133,28,201,15c998,454,1045,432,1084,395v11,-11,21,-22,30,-36c1083,344,1054,329,1023,314v-3,4,-5,8,-8,11m1582,371v,-350,,-350,,-350c1483,21,1483,21,1483,21v,436,,436,,436c1891,457,1891,457,1891,457v,-86,,-86,,-86l1582,371xm2845,370v,-349,,-349,,-349c2747,21,2747,21,2747,21v,436,,436,,436c3155,457,3155,457,3155,457v,-87,,-87,,-87l2845,370xm3350,370v,-349,,-349,,-349c3253,21,3253,21,3253,21v,436,,436,,436c3660,457,3660,457,3660,457v,-87,,-87,,-87l3350,370xm1233,457v102,,102,,102,c1335,21,1335,21,1335,21v-102,,-102,,-102,l1233,457xe" fillcolor="#000100" stroked="f">
                      <v:path arrowok="t" o:connecttype="custom" o:connectlocs="10610144,1241977;9482156,57071;10610144,282638;9728903,524511;10451521,752795;9728903,1005539;10939980,57071;11184210,1241977;11967256,1241977;12188825,57071;11947113,866938;10939980,57071;944187,769101;493495,769101;1440200,1241977;1052454,991951;269408,1241977;581619,57071;6183796,769101;5730586,769101;6098189,57071;6410400,1241977;5624837,991951;5239609,1241977;6098189,57071;2346619,1027280;1810321,831608;2006712,285356;2558117,423957;2802347,317968;2371798,35330;1553502,421239;1875785,1220235;2729330,1073481;2575742,853349;3983210,1008257;3733945,57071;4761220,1241977;3983210,1008257;7163232,57071;6916485,1241977;7943760,1005539;8434737,1005539;8190508,57071;9215265,1241977;8434737,1005539;3361306,1241977;3104487,57071" o:connectangles="0,0,0,0,0,0,0,0,0,0,0,0,0,0,0,0,0,0,0,0,0,0,0,0,0,0,0,0,0,0,0,0,0,0,0,0,0,0,0,0,0,0,0,0,0,0,0,0"/>
                      <o:lock v:ext="edit" verticies="t"/>
                    </v:shape>
                    <w10:wrap anchorx="page" anchory="page"/>
                    <w10:anchorlock/>
                  </v:group>
                </w:pict>
              </mc:Fallback>
            </mc:AlternateContent>
          </w:r>
        </w:p>
      </w:tc>
      <w:tc>
        <w:tcPr>
          <w:tcW w:w="5181" w:type="dxa"/>
          <w:vAlign w:val="center"/>
        </w:tcPr>
        <w:p w14:paraId="2B4769E5" w14:textId="4904E0CC" w:rsidR="002B32A0" w:rsidRDefault="002B32A0" w:rsidP="004A1654">
          <w:pPr>
            <w:pStyle w:val="Header-CompanyName"/>
          </w:pPr>
        </w:p>
      </w:tc>
    </w:tr>
  </w:tbl>
  <w:p w14:paraId="0640138C" w14:textId="2B7A232E" w:rsidR="002B32A0" w:rsidRPr="008A0C00" w:rsidRDefault="002B32A0" w:rsidP="008A0C00">
    <w:pPr>
      <w:pStyle w:val="Header"/>
    </w:pP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7649C4" w14:textId="77777777" w:rsidR="002B32A0" w:rsidRPr="008A0C00" w:rsidRDefault="002B32A0" w:rsidP="008A0C00">
    <w:pPr>
      <w:pStyle w:val="Header"/>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554FB6" w14:textId="77777777" w:rsidR="002B32A0" w:rsidRPr="009337C5" w:rsidRDefault="002B32A0" w:rsidP="00327E78">
    <w:pPr>
      <w:pStyle w:val="Header"/>
    </w:pP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acTablenolines"/>
      <w:tblW w:w="10348" w:type="dxa"/>
      <w:tblInd w:w="-2412" w:type="dxa"/>
      <w:tblLayout w:type="fixed"/>
      <w:tblLook w:val="04A0" w:firstRow="1" w:lastRow="0" w:firstColumn="1" w:lastColumn="0" w:noHBand="0" w:noVBand="1"/>
    </w:tblPr>
    <w:tblGrid>
      <w:gridCol w:w="5175"/>
      <w:gridCol w:w="5173"/>
    </w:tblGrid>
    <w:tr w:rsidR="002B32A0" w14:paraId="38E13E59" w14:textId="77777777" w:rsidTr="000B0AC7">
      <w:trPr>
        <w:trHeight w:hRule="exact" w:val="356"/>
      </w:trPr>
      <w:tc>
        <w:tcPr>
          <w:tcW w:w="5175" w:type="dxa"/>
          <w:vAlign w:val="center"/>
        </w:tcPr>
        <w:p w14:paraId="71566B0B" w14:textId="77777777" w:rsidR="002B32A0" w:rsidRDefault="002B32A0" w:rsidP="00327E78">
          <w:pPr>
            <w:pStyle w:val="spacer"/>
          </w:pPr>
          <w:r w:rsidRPr="000261B1">
            <w:rPr>
              <w:noProof/>
            </w:rPr>
            <mc:AlternateContent>
              <mc:Choice Requires="wpg">
                <w:drawing>
                  <wp:anchor distT="0" distB="0" distL="114300" distR="114300" simplePos="0" relativeHeight="251714560" behindDoc="0" locked="1" layoutInCell="1" allowOverlap="1" wp14:anchorId="63BD9A02" wp14:editId="7BCA3C27">
                    <wp:simplePos x="0" y="0"/>
                    <wp:positionH relativeFrom="page">
                      <wp:posOffset>0</wp:posOffset>
                    </wp:positionH>
                    <wp:positionV relativeFrom="page">
                      <wp:posOffset>69850</wp:posOffset>
                    </wp:positionV>
                    <wp:extent cx="981075" cy="142875"/>
                    <wp:effectExtent l="0" t="0" r="9525" b="9525"/>
                    <wp:wrapNone/>
                    <wp:docPr id="645" name="Group 6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981075" cy="142875"/>
                              <a:chOff x="0" y="-21209"/>
                              <a:chExt cx="12188825" cy="1878663"/>
                            </a:xfrm>
                          </wpg:grpSpPr>
                          <wps:wsp>
                            <wps:cNvPr id="646" name="Rectangle 646"/>
                            <wps:cNvSpPr>
                              <a:spLocks noChangeArrowheads="1"/>
                            </wps:cNvSpPr>
                            <wps:spPr bwMode="auto">
                              <a:xfrm>
                                <a:off x="0" y="1643143"/>
                                <a:ext cx="1439863" cy="214311"/>
                              </a:xfrm>
                              <a:prstGeom prst="rect">
                                <a:avLst/>
                              </a:prstGeom>
                              <a:solidFill>
                                <a:srgbClr val="6C3F99"/>
                              </a:solid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647" name="Freeform 6"/>
                            <wps:cNvSpPr>
                              <a:spLocks noEditPoints="1"/>
                            </wps:cNvSpPr>
                            <wps:spPr bwMode="auto">
                              <a:xfrm>
                                <a:off x="0" y="-21209"/>
                                <a:ext cx="12188825" cy="1296330"/>
                              </a:xfrm>
                              <a:custGeom>
                                <a:avLst/>
                                <a:gdLst>
                                  <a:gd name="T0" fmla="*/ 4214 w 4841"/>
                                  <a:gd name="T1" fmla="*/ 457 h 477"/>
                                  <a:gd name="T2" fmla="*/ 3766 w 4841"/>
                                  <a:gd name="T3" fmla="*/ 21 h 477"/>
                                  <a:gd name="T4" fmla="*/ 4214 w 4841"/>
                                  <a:gd name="T5" fmla="*/ 104 h 477"/>
                                  <a:gd name="T6" fmla="*/ 3864 w 4841"/>
                                  <a:gd name="T7" fmla="*/ 193 h 477"/>
                                  <a:gd name="T8" fmla="*/ 4151 w 4841"/>
                                  <a:gd name="T9" fmla="*/ 277 h 477"/>
                                  <a:gd name="T10" fmla="*/ 3864 w 4841"/>
                                  <a:gd name="T11" fmla="*/ 370 h 477"/>
                                  <a:gd name="T12" fmla="*/ 4345 w 4841"/>
                                  <a:gd name="T13" fmla="*/ 21 h 477"/>
                                  <a:gd name="T14" fmla="*/ 4442 w 4841"/>
                                  <a:gd name="T15" fmla="*/ 457 h 477"/>
                                  <a:gd name="T16" fmla="*/ 4753 w 4841"/>
                                  <a:gd name="T17" fmla="*/ 457 h 477"/>
                                  <a:gd name="T18" fmla="*/ 4841 w 4841"/>
                                  <a:gd name="T19" fmla="*/ 21 h 477"/>
                                  <a:gd name="T20" fmla="*/ 4745 w 4841"/>
                                  <a:gd name="T21" fmla="*/ 319 h 477"/>
                                  <a:gd name="T22" fmla="*/ 4345 w 4841"/>
                                  <a:gd name="T23" fmla="*/ 21 h 477"/>
                                  <a:gd name="T24" fmla="*/ 375 w 4841"/>
                                  <a:gd name="T25" fmla="*/ 283 h 477"/>
                                  <a:gd name="T26" fmla="*/ 196 w 4841"/>
                                  <a:gd name="T27" fmla="*/ 283 h 477"/>
                                  <a:gd name="T28" fmla="*/ 572 w 4841"/>
                                  <a:gd name="T29" fmla="*/ 457 h 477"/>
                                  <a:gd name="T30" fmla="*/ 418 w 4841"/>
                                  <a:gd name="T31" fmla="*/ 365 h 477"/>
                                  <a:gd name="T32" fmla="*/ 107 w 4841"/>
                                  <a:gd name="T33" fmla="*/ 457 h 477"/>
                                  <a:gd name="T34" fmla="*/ 231 w 4841"/>
                                  <a:gd name="T35" fmla="*/ 21 h 477"/>
                                  <a:gd name="T36" fmla="*/ 2456 w 4841"/>
                                  <a:gd name="T37" fmla="*/ 283 h 477"/>
                                  <a:gd name="T38" fmla="*/ 2276 w 4841"/>
                                  <a:gd name="T39" fmla="*/ 283 h 477"/>
                                  <a:gd name="T40" fmla="*/ 2422 w 4841"/>
                                  <a:gd name="T41" fmla="*/ 21 h 477"/>
                                  <a:gd name="T42" fmla="*/ 2546 w 4841"/>
                                  <a:gd name="T43" fmla="*/ 457 h 477"/>
                                  <a:gd name="T44" fmla="*/ 2234 w 4841"/>
                                  <a:gd name="T45" fmla="*/ 365 h 477"/>
                                  <a:gd name="T46" fmla="*/ 2081 w 4841"/>
                                  <a:gd name="T47" fmla="*/ 457 h 477"/>
                                  <a:gd name="T48" fmla="*/ 2422 w 4841"/>
                                  <a:gd name="T49" fmla="*/ 21 h 477"/>
                                  <a:gd name="T50" fmla="*/ 932 w 4841"/>
                                  <a:gd name="T51" fmla="*/ 378 h 477"/>
                                  <a:gd name="T52" fmla="*/ 719 w 4841"/>
                                  <a:gd name="T53" fmla="*/ 306 h 477"/>
                                  <a:gd name="T54" fmla="*/ 797 w 4841"/>
                                  <a:gd name="T55" fmla="*/ 105 h 477"/>
                                  <a:gd name="T56" fmla="*/ 1016 w 4841"/>
                                  <a:gd name="T57" fmla="*/ 156 h 477"/>
                                  <a:gd name="T58" fmla="*/ 1113 w 4841"/>
                                  <a:gd name="T59" fmla="*/ 117 h 477"/>
                                  <a:gd name="T60" fmla="*/ 942 w 4841"/>
                                  <a:gd name="T61" fmla="*/ 13 h 477"/>
                                  <a:gd name="T62" fmla="*/ 617 w 4841"/>
                                  <a:gd name="T63" fmla="*/ 155 h 477"/>
                                  <a:gd name="T64" fmla="*/ 745 w 4841"/>
                                  <a:gd name="T65" fmla="*/ 449 h 477"/>
                                  <a:gd name="T66" fmla="*/ 1084 w 4841"/>
                                  <a:gd name="T67" fmla="*/ 395 h 477"/>
                                  <a:gd name="T68" fmla="*/ 1023 w 4841"/>
                                  <a:gd name="T69" fmla="*/ 314 h 477"/>
                                  <a:gd name="T70" fmla="*/ 1582 w 4841"/>
                                  <a:gd name="T71" fmla="*/ 371 h 477"/>
                                  <a:gd name="T72" fmla="*/ 1483 w 4841"/>
                                  <a:gd name="T73" fmla="*/ 21 h 477"/>
                                  <a:gd name="T74" fmla="*/ 1891 w 4841"/>
                                  <a:gd name="T75" fmla="*/ 457 h 477"/>
                                  <a:gd name="T76" fmla="*/ 1582 w 4841"/>
                                  <a:gd name="T77" fmla="*/ 371 h 477"/>
                                  <a:gd name="T78" fmla="*/ 2845 w 4841"/>
                                  <a:gd name="T79" fmla="*/ 21 h 477"/>
                                  <a:gd name="T80" fmla="*/ 2747 w 4841"/>
                                  <a:gd name="T81" fmla="*/ 457 h 477"/>
                                  <a:gd name="T82" fmla="*/ 3155 w 4841"/>
                                  <a:gd name="T83" fmla="*/ 370 h 477"/>
                                  <a:gd name="T84" fmla="*/ 3350 w 4841"/>
                                  <a:gd name="T85" fmla="*/ 370 h 477"/>
                                  <a:gd name="T86" fmla="*/ 3253 w 4841"/>
                                  <a:gd name="T87" fmla="*/ 21 h 477"/>
                                  <a:gd name="T88" fmla="*/ 3660 w 4841"/>
                                  <a:gd name="T89" fmla="*/ 457 h 477"/>
                                  <a:gd name="T90" fmla="*/ 3350 w 4841"/>
                                  <a:gd name="T91" fmla="*/ 370 h 477"/>
                                  <a:gd name="T92" fmla="*/ 1335 w 4841"/>
                                  <a:gd name="T93" fmla="*/ 457 h 477"/>
                                  <a:gd name="T94" fmla="*/ 1233 w 4841"/>
                                  <a:gd name="T95" fmla="*/ 21 h 4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4841" h="477">
                                    <a:moveTo>
                                      <a:pt x="4214" y="370"/>
                                    </a:moveTo>
                                    <a:cubicBezTo>
                                      <a:pt x="4214" y="457"/>
                                      <a:pt x="4214" y="457"/>
                                      <a:pt x="4214" y="457"/>
                                    </a:cubicBezTo>
                                    <a:cubicBezTo>
                                      <a:pt x="3766" y="457"/>
                                      <a:pt x="3766" y="457"/>
                                      <a:pt x="3766" y="457"/>
                                    </a:cubicBezTo>
                                    <a:cubicBezTo>
                                      <a:pt x="3766" y="21"/>
                                      <a:pt x="3766" y="21"/>
                                      <a:pt x="3766" y="21"/>
                                    </a:cubicBezTo>
                                    <a:cubicBezTo>
                                      <a:pt x="4214" y="21"/>
                                      <a:pt x="4214" y="21"/>
                                      <a:pt x="4214" y="21"/>
                                    </a:cubicBezTo>
                                    <a:cubicBezTo>
                                      <a:pt x="4214" y="104"/>
                                      <a:pt x="4214" y="104"/>
                                      <a:pt x="4214" y="104"/>
                                    </a:cubicBezTo>
                                    <a:cubicBezTo>
                                      <a:pt x="3864" y="104"/>
                                      <a:pt x="3864" y="104"/>
                                      <a:pt x="3864" y="104"/>
                                    </a:cubicBezTo>
                                    <a:cubicBezTo>
                                      <a:pt x="3864" y="193"/>
                                      <a:pt x="3864" y="193"/>
                                      <a:pt x="3864" y="193"/>
                                    </a:cubicBezTo>
                                    <a:cubicBezTo>
                                      <a:pt x="4151" y="194"/>
                                      <a:pt x="4151" y="194"/>
                                      <a:pt x="4151" y="194"/>
                                    </a:cubicBezTo>
                                    <a:cubicBezTo>
                                      <a:pt x="4151" y="277"/>
                                      <a:pt x="4151" y="277"/>
                                      <a:pt x="4151" y="277"/>
                                    </a:cubicBezTo>
                                    <a:cubicBezTo>
                                      <a:pt x="3864" y="277"/>
                                      <a:pt x="3864" y="277"/>
                                      <a:pt x="3864" y="277"/>
                                    </a:cubicBezTo>
                                    <a:cubicBezTo>
                                      <a:pt x="3864" y="370"/>
                                      <a:pt x="3864" y="370"/>
                                      <a:pt x="3864" y="370"/>
                                    </a:cubicBezTo>
                                    <a:lnTo>
                                      <a:pt x="4214" y="370"/>
                                    </a:lnTo>
                                    <a:close/>
                                    <a:moveTo>
                                      <a:pt x="4345" y="21"/>
                                    </a:moveTo>
                                    <a:cubicBezTo>
                                      <a:pt x="4345" y="457"/>
                                      <a:pt x="4345" y="457"/>
                                      <a:pt x="4345" y="457"/>
                                    </a:cubicBezTo>
                                    <a:cubicBezTo>
                                      <a:pt x="4442" y="457"/>
                                      <a:pt x="4442" y="457"/>
                                      <a:pt x="4442" y="457"/>
                                    </a:cubicBezTo>
                                    <a:cubicBezTo>
                                      <a:pt x="4442" y="144"/>
                                      <a:pt x="4442" y="144"/>
                                      <a:pt x="4442" y="144"/>
                                    </a:cubicBezTo>
                                    <a:cubicBezTo>
                                      <a:pt x="4753" y="457"/>
                                      <a:pt x="4753" y="457"/>
                                      <a:pt x="4753" y="457"/>
                                    </a:cubicBezTo>
                                    <a:cubicBezTo>
                                      <a:pt x="4841" y="457"/>
                                      <a:pt x="4841" y="457"/>
                                      <a:pt x="4841" y="457"/>
                                    </a:cubicBezTo>
                                    <a:cubicBezTo>
                                      <a:pt x="4841" y="21"/>
                                      <a:pt x="4841" y="21"/>
                                      <a:pt x="4841" y="21"/>
                                    </a:cubicBezTo>
                                    <a:cubicBezTo>
                                      <a:pt x="4745" y="21"/>
                                      <a:pt x="4745" y="21"/>
                                      <a:pt x="4745" y="21"/>
                                    </a:cubicBezTo>
                                    <a:cubicBezTo>
                                      <a:pt x="4745" y="319"/>
                                      <a:pt x="4745" y="319"/>
                                      <a:pt x="4745" y="319"/>
                                    </a:cubicBezTo>
                                    <a:cubicBezTo>
                                      <a:pt x="4450" y="21"/>
                                      <a:pt x="4450" y="21"/>
                                      <a:pt x="4450" y="21"/>
                                    </a:cubicBezTo>
                                    <a:lnTo>
                                      <a:pt x="4345" y="21"/>
                                    </a:lnTo>
                                    <a:close/>
                                    <a:moveTo>
                                      <a:pt x="196" y="283"/>
                                    </a:moveTo>
                                    <a:cubicBezTo>
                                      <a:pt x="375" y="283"/>
                                      <a:pt x="375" y="283"/>
                                      <a:pt x="375" y="283"/>
                                    </a:cubicBezTo>
                                    <a:cubicBezTo>
                                      <a:pt x="283" y="109"/>
                                      <a:pt x="283" y="109"/>
                                      <a:pt x="283" y="109"/>
                                    </a:cubicBezTo>
                                    <a:lnTo>
                                      <a:pt x="196" y="283"/>
                                    </a:lnTo>
                                    <a:close/>
                                    <a:moveTo>
                                      <a:pt x="341" y="21"/>
                                    </a:moveTo>
                                    <a:cubicBezTo>
                                      <a:pt x="572" y="457"/>
                                      <a:pt x="572" y="457"/>
                                      <a:pt x="572" y="457"/>
                                    </a:cubicBezTo>
                                    <a:cubicBezTo>
                                      <a:pt x="464" y="457"/>
                                      <a:pt x="464" y="457"/>
                                      <a:pt x="464" y="457"/>
                                    </a:cubicBezTo>
                                    <a:cubicBezTo>
                                      <a:pt x="418" y="365"/>
                                      <a:pt x="418" y="365"/>
                                      <a:pt x="418" y="365"/>
                                    </a:cubicBezTo>
                                    <a:cubicBezTo>
                                      <a:pt x="153" y="365"/>
                                      <a:pt x="153" y="365"/>
                                      <a:pt x="153" y="365"/>
                                    </a:cubicBezTo>
                                    <a:cubicBezTo>
                                      <a:pt x="107" y="457"/>
                                      <a:pt x="107" y="457"/>
                                      <a:pt x="107" y="457"/>
                                    </a:cubicBezTo>
                                    <a:cubicBezTo>
                                      <a:pt x="0" y="457"/>
                                      <a:pt x="0" y="457"/>
                                      <a:pt x="0" y="457"/>
                                    </a:cubicBezTo>
                                    <a:cubicBezTo>
                                      <a:pt x="231" y="21"/>
                                      <a:pt x="231" y="21"/>
                                      <a:pt x="231" y="21"/>
                                    </a:cubicBezTo>
                                    <a:lnTo>
                                      <a:pt x="341" y="21"/>
                                    </a:lnTo>
                                    <a:close/>
                                    <a:moveTo>
                                      <a:pt x="2456" y="283"/>
                                    </a:moveTo>
                                    <a:cubicBezTo>
                                      <a:pt x="2366" y="106"/>
                                      <a:pt x="2366" y="106"/>
                                      <a:pt x="2366" y="106"/>
                                    </a:cubicBezTo>
                                    <a:cubicBezTo>
                                      <a:pt x="2276" y="283"/>
                                      <a:pt x="2276" y="283"/>
                                      <a:pt x="2276" y="283"/>
                                    </a:cubicBezTo>
                                    <a:lnTo>
                                      <a:pt x="2456" y="283"/>
                                    </a:lnTo>
                                    <a:close/>
                                    <a:moveTo>
                                      <a:pt x="2422" y="21"/>
                                    </a:moveTo>
                                    <a:cubicBezTo>
                                      <a:pt x="2654" y="457"/>
                                      <a:pt x="2654" y="457"/>
                                      <a:pt x="2654" y="457"/>
                                    </a:cubicBezTo>
                                    <a:cubicBezTo>
                                      <a:pt x="2546" y="457"/>
                                      <a:pt x="2546" y="457"/>
                                      <a:pt x="2546" y="457"/>
                                    </a:cubicBezTo>
                                    <a:cubicBezTo>
                                      <a:pt x="2499" y="365"/>
                                      <a:pt x="2499" y="365"/>
                                      <a:pt x="2499" y="365"/>
                                    </a:cubicBezTo>
                                    <a:cubicBezTo>
                                      <a:pt x="2234" y="365"/>
                                      <a:pt x="2234" y="365"/>
                                      <a:pt x="2234" y="365"/>
                                    </a:cubicBezTo>
                                    <a:cubicBezTo>
                                      <a:pt x="2188" y="457"/>
                                      <a:pt x="2188" y="457"/>
                                      <a:pt x="2188" y="457"/>
                                    </a:cubicBezTo>
                                    <a:cubicBezTo>
                                      <a:pt x="2081" y="457"/>
                                      <a:pt x="2081" y="457"/>
                                      <a:pt x="2081" y="457"/>
                                    </a:cubicBezTo>
                                    <a:cubicBezTo>
                                      <a:pt x="2312" y="21"/>
                                      <a:pt x="2312" y="21"/>
                                      <a:pt x="2312" y="21"/>
                                    </a:cubicBezTo>
                                    <a:lnTo>
                                      <a:pt x="2422" y="21"/>
                                    </a:lnTo>
                                    <a:close/>
                                    <a:moveTo>
                                      <a:pt x="1015" y="325"/>
                                    </a:moveTo>
                                    <a:cubicBezTo>
                                      <a:pt x="993" y="353"/>
                                      <a:pt x="966" y="371"/>
                                      <a:pt x="932" y="378"/>
                                    </a:cubicBezTo>
                                    <a:cubicBezTo>
                                      <a:pt x="886" y="388"/>
                                      <a:pt x="841" y="387"/>
                                      <a:pt x="796" y="372"/>
                                    </a:cubicBezTo>
                                    <a:cubicBezTo>
                                      <a:pt x="762" y="360"/>
                                      <a:pt x="735" y="339"/>
                                      <a:pt x="719" y="306"/>
                                    </a:cubicBezTo>
                                    <a:cubicBezTo>
                                      <a:pt x="707" y="280"/>
                                      <a:pt x="704" y="254"/>
                                      <a:pt x="705" y="226"/>
                                    </a:cubicBezTo>
                                    <a:cubicBezTo>
                                      <a:pt x="709" y="168"/>
                                      <a:pt x="741" y="125"/>
                                      <a:pt x="797" y="105"/>
                                    </a:cubicBezTo>
                                    <a:cubicBezTo>
                                      <a:pt x="837" y="91"/>
                                      <a:pt x="879" y="89"/>
                                      <a:pt x="920" y="96"/>
                                    </a:cubicBezTo>
                                    <a:cubicBezTo>
                                      <a:pt x="960" y="103"/>
                                      <a:pt x="993" y="123"/>
                                      <a:pt x="1016" y="156"/>
                                    </a:cubicBezTo>
                                    <a:cubicBezTo>
                                      <a:pt x="1018" y="158"/>
                                      <a:pt x="1020" y="160"/>
                                      <a:pt x="1022" y="163"/>
                                    </a:cubicBezTo>
                                    <a:cubicBezTo>
                                      <a:pt x="1052" y="148"/>
                                      <a:pt x="1082" y="133"/>
                                      <a:pt x="1113" y="117"/>
                                    </a:cubicBezTo>
                                    <a:cubicBezTo>
                                      <a:pt x="1106" y="108"/>
                                      <a:pt x="1100" y="99"/>
                                      <a:pt x="1092" y="92"/>
                                    </a:cubicBezTo>
                                    <a:cubicBezTo>
                                      <a:pt x="1051" y="49"/>
                                      <a:pt x="1000" y="24"/>
                                      <a:pt x="942" y="13"/>
                                    </a:cubicBezTo>
                                    <a:cubicBezTo>
                                      <a:pt x="874" y="0"/>
                                      <a:pt x="808" y="6"/>
                                      <a:pt x="744" y="30"/>
                                    </a:cubicBezTo>
                                    <a:cubicBezTo>
                                      <a:pt x="683" y="53"/>
                                      <a:pt x="639" y="93"/>
                                      <a:pt x="617" y="155"/>
                                    </a:cubicBezTo>
                                    <a:cubicBezTo>
                                      <a:pt x="599" y="204"/>
                                      <a:pt x="598" y="254"/>
                                      <a:pt x="611" y="304"/>
                                    </a:cubicBezTo>
                                    <a:cubicBezTo>
                                      <a:pt x="630" y="375"/>
                                      <a:pt x="676" y="422"/>
                                      <a:pt x="745" y="449"/>
                                    </a:cubicBezTo>
                                    <a:cubicBezTo>
                                      <a:pt x="810" y="474"/>
                                      <a:pt x="878" y="477"/>
                                      <a:pt x="946" y="464"/>
                                    </a:cubicBezTo>
                                    <a:cubicBezTo>
                                      <a:pt x="998" y="454"/>
                                      <a:pt x="1045" y="432"/>
                                      <a:pt x="1084" y="395"/>
                                    </a:cubicBezTo>
                                    <a:cubicBezTo>
                                      <a:pt x="1095" y="384"/>
                                      <a:pt x="1105" y="373"/>
                                      <a:pt x="1114" y="359"/>
                                    </a:cubicBezTo>
                                    <a:cubicBezTo>
                                      <a:pt x="1083" y="344"/>
                                      <a:pt x="1054" y="329"/>
                                      <a:pt x="1023" y="314"/>
                                    </a:cubicBezTo>
                                    <a:cubicBezTo>
                                      <a:pt x="1020" y="318"/>
                                      <a:pt x="1018" y="322"/>
                                      <a:pt x="1015" y="325"/>
                                    </a:cubicBezTo>
                                    <a:moveTo>
                                      <a:pt x="1582" y="371"/>
                                    </a:moveTo>
                                    <a:cubicBezTo>
                                      <a:pt x="1582" y="21"/>
                                      <a:pt x="1582" y="21"/>
                                      <a:pt x="1582" y="21"/>
                                    </a:cubicBezTo>
                                    <a:cubicBezTo>
                                      <a:pt x="1483" y="21"/>
                                      <a:pt x="1483" y="21"/>
                                      <a:pt x="1483" y="21"/>
                                    </a:cubicBezTo>
                                    <a:cubicBezTo>
                                      <a:pt x="1483" y="457"/>
                                      <a:pt x="1483" y="457"/>
                                      <a:pt x="1483" y="457"/>
                                    </a:cubicBezTo>
                                    <a:cubicBezTo>
                                      <a:pt x="1891" y="457"/>
                                      <a:pt x="1891" y="457"/>
                                      <a:pt x="1891" y="457"/>
                                    </a:cubicBezTo>
                                    <a:cubicBezTo>
                                      <a:pt x="1891" y="371"/>
                                      <a:pt x="1891" y="371"/>
                                      <a:pt x="1891" y="371"/>
                                    </a:cubicBezTo>
                                    <a:lnTo>
                                      <a:pt x="1582" y="371"/>
                                    </a:lnTo>
                                    <a:close/>
                                    <a:moveTo>
                                      <a:pt x="2845" y="370"/>
                                    </a:moveTo>
                                    <a:cubicBezTo>
                                      <a:pt x="2845" y="21"/>
                                      <a:pt x="2845" y="21"/>
                                      <a:pt x="2845" y="21"/>
                                    </a:cubicBezTo>
                                    <a:cubicBezTo>
                                      <a:pt x="2747" y="21"/>
                                      <a:pt x="2747" y="21"/>
                                      <a:pt x="2747" y="21"/>
                                    </a:cubicBezTo>
                                    <a:cubicBezTo>
                                      <a:pt x="2747" y="457"/>
                                      <a:pt x="2747" y="457"/>
                                      <a:pt x="2747" y="457"/>
                                    </a:cubicBezTo>
                                    <a:cubicBezTo>
                                      <a:pt x="3155" y="457"/>
                                      <a:pt x="3155" y="457"/>
                                      <a:pt x="3155" y="457"/>
                                    </a:cubicBezTo>
                                    <a:cubicBezTo>
                                      <a:pt x="3155" y="370"/>
                                      <a:pt x="3155" y="370"/>
                                      <a:pt x="3155" y="370"/>
                                    </a:cubicBezTo>
                                    <a:lnTo>
                                      <a:pt x="2845" y="370"/>
                                    </a:lnTo>
                                    <a:close/>
                                    <a:moveTo>
                                      <a:pt x="3350" y="370"/>
                                    </a:moveTo>
                                    <a:cubicBezTo>
                                      <a:pt x="3350" y="21"/>
                                      <a:pt x="3350" y="21"/>
                                      <a:pt x="3350" y="21"/>
                                    </a:cubicBezTo>
                                    <a:cubicBezTo>
                                      <a:pt x="3253" y="21"/>
                                      <a:pt x="3253" y="21"/>
                                      <a:pt x="3253" y="21"/>
                                    </a:cubicBezTo>
                                    <a:cubicBezTo>
                                      <a:pt x="3253" y="457"/>
                                      <a:pt x="3253" y="457"/>
                                      <a:pt x="3253" y="457"/>
                                    </a:cubicBezTo>
                                    <a:cubicBezTo>
                                      <a:pt x="3660" y="457"/>
                                      <a:pt x="3660" y="457"/>
                                      <a:pt x="3660" y="457"/>
                                    </a:cubicBezTo>
                                    <a:cubicBezTo>
                                      <a:pt x="3660" y="370"/>
                                      <a:pt x="3660" y="370"/>
                                      <a:pt x="3660" y="370"/>
                                    </a:cubicBezTo>
                                    <a:lnTo>
                                      <a:pt x="3350" y="370"/>
                                    </a:lnTo>
                                    <a:close/>
                                    <a:moveTo>
                                      <a:pt x="1233" y="457"/>
                                    </a:moveTo>
                                    <a:cubicBezTo>
                                      <a:pt x="1335" y="457"/>
                                      <a:pt x="1335" y="457"/>
                                      <a:pt x="1335" y="457"/>
                                    </a:cubicBezTo>
                                    <a:cubicBezTo>
                                      <a:pt x="1335" y="21"/>
                                      <a:pt x="1335" y="21"/>
                                      <a:pt x="1335" y="21"/>
                                    </a:cubicBezTo>
                                    <a:cubicBezTo>
                                      <a:pt x="1233" y="21"/>
                                      <a:pt x="1233" y="21"/>
                                      <a:pt x="1233" y="21"/>
                                    </a:cubicBezTo>
                                    <a:lnTo>
                                      <a:pt x="1233" y="457"/>
                                    </a:lnTo>
                                    <a:close/>
                                  </a:path>
                                </a:pathLst>
                              </a:custGeom>
                              <a:solidFill>
                                <a:srgbClr val="0001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0BD6F3C0" id="Group 645" o:spid="_x0000_s1026" alt="&quot;&quot;" style="position:absolute;margin-left:0;margin-top:5.5pt;width:77.25pt;height:11.25pt;z-index:251714560;mso-position-horizontal-relative:page;mso-position-vertical-relative:page;mso-width-relative:margin;mso-height-relative:margin" coordorigin=",-212" coordsize="121888,187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">
                    <o:lock v:ext="edit" aspectratio="t"/>
                    <v:rect id="Rectangle 646" o:spid="_x0000_s1027" style="position:absolute;top:16431;width:14398;height:2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" fillcolor="#6c3f99" stroked="f"/>
                    <v:shape id="Freeform 6" o:spid="_x0000_s1028" style="position:absolute;top:-212;width:121888;height:12963;visibility:visible;mso-wrap-style:square;v-text-anchor:top" coordsize="4841,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" path="m4214,370v,87,,87,,87c3766,457,3766,457,3766,457v,-436,,-436,,-436c4214,21,4214,21,4214,21v,83,,83,,83c3864,104,3864,104,3864,104v,89,,89,,89c4151,194,4151,194,4151,194v,83,,83,,83c3864,277,3864,277,3864,277v,93,,93,,93l4214,370xm4345,21v,436,,436,,436c4442,457,4442,457,4442,457v,-313,,-313,,-313c4753,457,4753,457,4753,457v88,,88,,88,c4841,21,4841,21,4841,21v-96,,-96,,-96,c4745,319,4745,319,4745,319,4450,21,4450,21,4450,21r-105,xm196,283v179,,179,,179,c283,109,283,109,283,109l196,283xm341,21c572,457,572,457,572,457v-108,,-108,,-108,c418,365,418,365,418,365v-265,,-265,,-265,c107,457,107,457,107,457,,457,,457,,457,231,21,231,21,231,21r110,xm2456,283c2366,106,2366,106,2366,106v-90,177,-90,177,-90,177l2456,283xm2422,21v232,436,232,436,232,436c2546,457,2546,457,2546,457v-47,-92,-47,-92,-47,-92c2234,365,2234,365,2234,365v-46,92,-46,92,-46,92c2081,457,2081,457,2081,457,2312,21,2312,21,2312,21r110,xm1015,325v-22,28,-49,46,-83,53c886,388,841,387,796,372,762,360,735,339,719,306,707,280,704,254,705,226v4,-58,36,-101,92,-121c837,91,879,89,920,96v40,7,73,27,96,60c1018,158,1020,160,1022,163v30,-15,60,-30,91,-46c1106,108,1100,99,1092,92,1051,49,1000,24,942,13,874,,808,6,744,30,683,53,639,93,617,155v-18,49,-19,99,-6,149c630,375,676,422,745,449v65,25,133,28,201,15c998,454,1045,432,1084,395v11,-11,21,-22,30,-36c1083,344,1054,329,1023,314v-3,4,-5,8,-8,11m1582,371v,-350,,-350,,-350c1483,21,1483,21,1483,21v,436,,436,,436c1891,457,1891,457,1891,457v,-86,,-86,,-86l1582,371xm2845,370v,-349,,-349,,-349c2747,21,2747,21,2747,21v,436,,436,,436c3155,457,3155,457,3155,457v,-87,,-87,,-87l2845,370xm3350,370v,-349,,-349,,-349c3253,21,3253,21,3253,21v,436,,436,,436c3660,457,3660,457,3660,457v,-87,,-87,,-87l3350,370xm1233,457v102,,102,,102,c1335,21,1335,21,1335,21v-102,,-102,,-102,l1233,457xe" fillcolor="#000100" stroked="f">
                      <v:path arrowok="t" o:connecttype="custom" o:connectlocs="10610144,1241977;9482156,57071;10610144,282638;9728903,524511;10451521,752795;9728903,1005539;10939980,57071;11184210,1241977;11967256,1241977;12188825,57071;11947113,866938;10939980,57071;944187,769101;493495,769101;1440200,1241977;1052454,991951;269408,1241977;581619,57071;6183796,769101;5730586,769101;6098189,57071;6410400,1241977;5624837,991951;5239609,1241977;6098189,57071;2346619,1027280;1810321,831608;2006712,285356;2558117,423957;2802347,317968;2371798,35330;1553502,421239;1875785,1220235;2729330,1073481;2575742,853349;3983210,1008257;3733945,57071;4761220,1241977;3983210,1008257;7163232,57071;6916485,1241977;7943760,1005539;8434737,1005539;8190508,57071;9215265,1241977;8434737,1005539;3361306,1241977;3104487,57071" o:connectangles="0,0,0,0,0,0,0,0,0,0,0,0,0,0,0,0,0,0,0,0,0,0,0,0,0,0,0,0,0,0,0,0,0,0,0,0,0,0,0,0,0,0,0,0,0,0,0,0"/>
                      <o:lock v:ext="edit" verticies="t"/>
                    </v:shape>
                    <w10:wrap anchorx="page" anchory="page"/>
                    <w10:anchorlock/>
                  </v:group>
                </w:pict>
              </mc:Fallback>
            </mc:AlternateContent>
          </w:r>
        </w:p>
      </w:tc>
      <w:tc>
        <w:tcPr>
          <w:tcW w:w="5173" w:type="dxa"/>
          <w:vAlign w:val="center"/>
        </w:tcPr>
        <w:p w14:paraId="1B5577CA" w14:textId="03E092A0" w:rsidR="002B32A0" w:rsidRDefault="002B32A0" w:rsidP="004A1654">
          <w:pPr>
            <w:pStyle w:val="Header-CompanyName"/>
          </w:pPr>
        </w:p>
      </w:tc>
    </w:tr>
  </w:tbl>
  <w:p w14:paraId="3421BE7D" w14:textId="3F0D4B4B" w:rsidR="002B32A0" w:rsidRPr="009337C5" w:rsidRDefault="002B32A0" w:rsidP="00327E78">
    <w:pPr>
      <w:pStyle w:val="Header"/>
    </w:pP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F010EE" w14:textId="77777777" w:rsidR="002B32A0" w:rsidRPr="009337C5" w:rsidRDefault="002B32A0" w:rsidP="00327E78">
    <w:pPr>
      <w:pStyle w:val="Header"/>
    </w:pP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36F4E1" w14:textId="77777777" w:rsidR="002B32A0" w:rsidRPr="009337C5" w:rsidRDefault="002B32A0" w:rsidP="00327E78">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C24F00" w14:textId="77777777" w:rsidR="002B32A0" w:rsidRPr="00667A67" w:rsidRDefault="002B32A0" w:rsidP="00667A67">
    <w:pPr>
      <w:pStyle w:val="Header"/>
    </w:pP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acTablenolines"/>
      <w:tblW w:w="10348" w:type="dxa"/>
      <w:tblInd w:w="-2412" w:type="dxa"/>
      <w:tblLayout w:type="fixed"/>
      <w:tblLook w:val="04A0" w:firstRow="1" w:lastRow="0" w:firstColumn="1" w:lastColumn="0" w:noHBand="0" w:noVBand="1"/>
    </w:tblPr>
    <w:tblGrid>
      <w:gridCol w:w="5175"/>
      <w:gridCol w:w="5173"/>
    </w:tblGrid>
    <w:tr w:rsidR="002B32A0" w14:paraId="3C1C6530" w14:textId="77777777" w:rsidTr="000B0AC7">
      <w:trPr>
        <w:trHeight w:hRule="exact" w:val="356"/>
      </w:trPr>
      <w:tc>
        <w:tcPr>
          <w:tcW w:w="5175" w:type="dxa"/>
          <w:vAlign w:val="center"/>
        </w:tcPr>
        <w:p w14:paraId="11F05A7A" w14:textId="77777777" w:rsidR="002B32A0" w:rsidRDefault="002B32A0" w:rsidP="00327E78">
          <w:pPr>
            <w:pStyle w:val="spacer"/>
          </w:pPr>
          <w:r w:rsidRPr="000261B1">
            <w:rPr>
              <w:noProof/>
            </w:rPr>
            <mc:AlternateContent>
              <mc:Choice Requires="wpg">
                <w:drawing>
                  <wp:anchor distT="0" distB="0" distL="114300" distR="114300" simplePos="0" relativeHeight="251722752" behindDoc="0" locked="1" layoutInCell="1" allowOverlap="1" wp14:anchorId="3E17AF78" wp14:editId="2DB36B5B">
                    <wp:simplePos x="0" y="0"/>
                    <wp:positionH relativeFrom="page">
                      <wp:posOffset>0</wp:posOffset>
                    </wp:positionH>
                    <wp:positionV relativeFrom="page">
                      <wp:posOffset>69850</wp:posOffset>
                    </wp:positionV>
                    <wp:extent cx="981075" cy="142875"/>
                    <wp:effectExtent l="0" t="0" r="9525" b="9525"/>
                    <wp:wrapNone/>
                    <wp:docPr id="123" name="Group 1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981075" cy="142875"/>
                              <a:chOff x="0" y="-21209"/>
                              <a:chExt cx="12188825" cy="1878663"/>
                            </a:xfrm>
                          </wpg:grpSpPr>
                          <wps:wsp>
                            <wps:cNvPr id="125" name="Rectangle 125"/>
                            <wps:cNvSpPr>
                              <a:spLocks noChangeArrowheads="1"/>
                            </wps:cNvSpPr>
                            <wps:spPr bwMode="auto">
                              <a:xfrm>
                                <a:off x="0" y="1643143"/>
                                <a:ext cx="1439863" cy="214311"/>
                              </a:xfrm>
                              <a:prstGeom prst="rect">
                                <a:avLst/>
                              </a:prstGeom>
                              <a:solidFill>
                                <a:srgbClr val="6C3F99"/>
                              </a:solid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126" name="Freeform 6"/>
                            <wps:cNvSpPr>
                              <a:spLocks noEditPoints="1"/>
                            </wps:cNvSpPr>
                            <wps:spPr bwMode="auto">
                              <a:xfrm>
                                <a:off x="0" y="-21209"/>
                                <a:ext cx="12188825" cy="1296330"/>
                              </a:xfrm>
                              <a:custGeom>
                                <a:avLst/>
                                <a:gdLst>
                                  <a:gd name="T0" fmla="*/ 4214 w 4841"/>
                                  <a:gd name="T1" fmla="*/ 457 h 477"/>
                                  <a:gd name="T2" fmla="*/ 3766 w 4841"/>
                                  <a:gd name="T3" fmla="*/ 21 h 477"/>
                                  <a:gd name="T4" fmla="*/ 4214 w 4841"/>
                                  <a:gd name="T5" fmla="*/ 104 h 477"/>
                                  <a:gd name="T6" fmla="*/ 3864 w 4841"/>
                                  <a:gd name="T7" fmla="*/ 193 h 477"/>
                                  <a:gd name="T8" fmla="*/ 4151 w 4841"/>
                                  <a:gd name="T9" fmla="*/ 277 h 477"/>
                                  <a:gd name="T10" fmla="*/ 3864 w 4841"/>
                                  <a:gd name="T11" fmla="*/ 370 h 477"/>
                                  <a:gd name="T12" fmla="*/ 4345 w 4841"/>
                                  <a:gd name="T13" fmla="*/ 21 h 477"/>
                                  <a:gd name="T14" fmla="*/ 4442 w 4841"/>
                                  <a:gd name="T15" fmla="*/ 457 h 477"/>
                                  <a:gd name="T16" fmla="*/ 4753 w 4841"/>
                                  <a:gd name="T17" fmla="*/ 457 h 477"/>
                                  <a:gd name="T18" fmla="*/ 4841 w 4841"/>
                                  <a:gd name="T19" fmla="*/ 21 h 477"/>
                                  <a:gd name="T20" fmla="*/ 4745 w 4841"/>
                                  <a:gd name="T21" fmla="*/ 319 h 477"/>
                                  <a:gd name="T22" fmla="*/ 4345 w 4841"/>
                                  <a:gd name="T23" fmla="*/ 21 h 477"/>
                                  <a:gd name="T24" fmla="*/ 375 w 4841"/>
                                  <a:gd name="T25" fmla="*/ 283 h 477"/>
                                  <a:gd name="T26" fmla="*/ 196 w 4841"/>
                                  <a:gd name="T27" fmla="*/ 283 h 477"/>
                                  <a:gd name="T28" fmla="*/ 572 w 4841"/>
                                  <a:gd name="T29" fmla="*/ 457 h 477"/>
                                  <a:gd name="T30" fmla="*/ 418 w 4841"/>
                                  <a:gd name="T31" fmla="*/ 365 h 477"/>
                                  <a:gd name="T32" fmla="*/ 107 w 4841"/>
                                  <a:gd name="T33" fmla="*/ 457 h 477"/>
                                  <a:gd name="T34" fmla="*/ 231 w 4841"/>
                                  <a:gd name="T35" fmla="*/ 21 h 477"/>
                                  <a:gd name="T36" fmla="*/ 2456 w 4841"/>
                                  <a:gd name="T37" fmla="*/ 283 h 477"/>
                                  <a:gd name="T38" fmla="*/ 2276 w 4841"/>
                                  <a:gd name="T39" fmla="*/ 283 h 477"/>
                                  <a:gd name="T40" fmla="*/ 2422 w 4841"/>
                                  <a:gd name="T41" fmla="*/ 21 h 477"/>
                                  <a:gd name="T42" fmla="*/ 2546 w 4841"/>
                                  <a:gd name="T43" fmla="*/ 457 h 477"/>
                                  <a:gd name="T44" fmla="*/ 2234 w 4841"/>
                                  <a:gd name="T45" fmla="*/ 365 h 477"/>
                                  <a:gd name="T46" fmla="*/ 2081 w 4841"/>
                                  <a:gd name="T47" fmla="*/ 457 h 477"/>
                                  <a:gd name="T48" fmla="*/ 2422 w 4841"/>
                                  <a:gd name="T49" fmla="*/ 21 h 477"/>
                                  <a:gd name="T50" fmla="*/ 932 w 4841"/>
                                  <a:gd name="T51" fmla="*/ 378 h 477"/>
                                  <a:gd name="T52" fmla="*/ 719 w 4841"/>
                                  <a:gd name="T53" fmla="*/ 306 h 477"/>
                                  <a:gd name="T54" fmla="*/ 797 w 4841"/>
                                  <a:gd name="T55" fmla="*/ 105 h 477"/>
                                  <a:gd name="T56" fmla="*/ 1016 w 4841"/>
                                  <a:gd name="T57" fmla="*/ 156 h 477"/>
                                  <a:gd name="T58" fmla="*/ 1113 w 4841"/>
                                  <a:gd name="T59" fmla="*/ 117 h 477"/>
                                  <a:gd name="T60" fmla="*/ 942 w 4841"/>
                                  <a:gd name="T61" fmla="*/ 13 h 477"/>
                                  <a:gd name="T62" fmla="*/ 617 w 4841"/>
                                  <a:gd name="T63" fmla="*/ 155 h 477"/>
                                  <a:gd name="T64" fmla="*/ 745 w 4841"/>
                                  <a:gd name="T65" fmla="*/ 449 h 477"/>
                                  <a:gd name="T66" fmla="*/ 1084 w 4841"/>
                                  <a:gd name="T67" fmla="*/ 395 h 477"/>
                                  <a:gd name="T68" fmla="*/ 1023 w 4841"/>
                                  <a:gd name="T69" fmla="*/ 314 h 477"/>
                                  <a:gd name="T70" fmla="*/ 1582 w 4841"/>
                                  <a:gd name="T71" fmla="*/ 371 h 477"/>
                                  <a:gd name="T72" fmla="*/ 1483 w 4841"/>
                                  <a:gd name="T73" fmla="*/ 21 h 477"/>
                                  <a:gd name="T74" fmla="*/ 1891 w 4841"/>
                                  <a:gd name="T75" fmla="*/ 457 h 477"/>
                                  <a:gd name="T76" fmla="*/ 1582 w 4841"/>
                                  <a:gd name="T77" fmla="*/ 371 h 477"/>
                                  <a:gd name="T78" fmla="*/ 2845 w 4841"/>
                                  <a:gd name="T79" fmla="*/ 21 h 477"/>
                                  <a:gd name="T80" fmla="*/ 2747 w 4841"/>
                                  <a:gd name="T81" fmla="*/ 457 h 477"/>
                                  <a:gd name="T82" fmla="*/ 3155 w 4841"/>
                                  <a:gd name="T83" fmla="*/ 370 h 477"/>
                                  <a:gd name="T84" fmla="*/ 3350 w 4841"/>
                                  <a:gd name="T85" fmla="*/ 370 h 477"/>
                                  <a:gd name="T86" fmla="*/ 3253 w 4841"/>
                                  <a:gd name="T87" fmla="*/ 21 h 477"/>
                                  <a:gd name="T88" fmla="*/ 3660 w 4841"/>
                                  <a:gd name="T89" fmla="*/ 457 h 477"/>
                                  <a:gd name="T90" fmla="*/ 3350 w 4841"/>
                                  <a:gd name="T91" fmla="*/ 370 h 477"/>
                                  <a:gd name="T92" fmla="*/ 1335 w 4841"/>
                                  <a:gd name="T93" fmla="*/ 457 h 477"/>
                                  <a:gd name="T94" fmla="*/ 1233 w 4841"/>
                                  <a:gd name="T95" fmla="*/ 21 h 4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4841" h="477">
                                    <a:moveTo>
                                      <a:pt x="4214" y="370"/>
                                    </a:moveTo>
                                    <a:cubicBezTo>
                                      <a:pt x="4214" y="457"/>
                                      <a:pt x="4214" y="457"/>
                                      <a:pt x="4214" y="457"/>
                                    </a:cubicBezTo>
                                    <a:cubicBezTo>
                                      <a:pt x="3766" y="457"/>
                                      <a:pt x="3766" y="457"/>
                                      <a:pt x="3766" y="457"/>
                                    </a:cubicBezTo>
                                    <a:cubicBezTo>
                                      <a:pt x="3766" y="21"/>
                                      <a:pt x="3766" y="21"/>
                                      <a:pt x="3766" y="21"/>
                                    </a:cubicBezTo>
                                    <a:cubicBezTo>
                                      <a:pt x="4214" y="21"/>
                                      <a:pt x="4214" y="21"/>
                                      <a:pt x="4214" y="21"/>
                                    </a:cubicBezTo>
                                    <a:cubicBezTo>
                                      <a:pt x="4214" y="104"/>
                                      <a:pt x="4214" y="104"/>
                                      <a:pt x="4214" y="104"/>
                                    </a:cubicBezTo>
                                    <a:cubicBezTo>
                                      <a:pt x="3864" y="104"/>
                                      <a:pt x="3864" y="104"/>
                                      <a:pt x="3864" y="104"/>
                                    </a:cubicBezTo>
                                    <a:cubicBezTo>
                                      <a:pt x="3864" y="193"/>
                                      <a:pt x="3864" y="193"/>
                                      <a:pt x="3864" y="193"/>
                                    </a:cubicBezTo>
                                    <a:cubicBezTo>
                                      <a:pt x="4151" y="194"/>
                                      <a:pt x="4151" y="194"/>
                                      <a:pt x="4151" y="194"/>
                                    </a:cubicBezTo>
                                    <a:cubicBezTo>
                                      <a:pt x="4151" y="277"/>
                                      <a:pt x="4151" y="277"/>
                                      <a:pt x="4151" y="277"/>
                                    </a:cubicBezTo>
                                    <a:cubicBezTo>
                                      <a:pt x="3864" y="277"/>
                                      <a:pt x="3864" y="277"/>
                                      <a:pt x="3864" y="277"/>
                                    </a:cubicBezTo>
                                    <a:cubicBezTo>
                                      <a:pt x="3864" y="370"/>
                                      <a:pt x="3864" y="370"/>
                                      <a:pt x="3864" y="370"/>
                                    </a:cubicBezTo>
                                    <a:lnTo>
                                      <a:pt x="4214" y="370"/>
                                    </a:lnTo>
                                    <a:close/>
                                    <a:moveTo>
                                      <a:pt x="4345" y="21"/>
                                    </a:moveTo>
                                    <a:cubicBezTo>
                                      <a:pt x="4345" y="457"/>
                                      <a:pt x="4345" y="457"/>
                                      <a:pt x="4345" y="457"/>
                                    </a:cubicBezTo>
                                    <a:cubicBezTo>
                                      <a:pt x="4442" y="457"/>
                                      <a:pt x="4442" y="457"/>
                                      <a:pt x="4442" y="457"/>
                                    </a:cubicBezTo>
                                    <a:cubicBezTo>
                                      <a:pt x="4442" y="144"/>
                                      <a:pt x="4442" y="144"/>
                                      <a:pt x="4442" y="144"/>
                                    </a:cubicBezTo>
                                    <a:cubicBezTo>
                                      <a:pt x="4753" y="457"/>
                                      <a:pt x="4753" y="457"/>
                                      <a:pt x="4753" y="457"/>
                                    </a:cubicBezTo>
                                    <a:cubicBezTo>
                                      <a:pt x="4841" y="457"/>
                                      <a:pt x="4841" y="457"/>
                                      <a:pt x="4841" y="457"/>
                                    </a:cubicBezTo>
                                    <a:cubicBezTo>
                                      <a:pt x="4841" y="21"/>
                                      <a:pt x="4841" y="21"/>
                                      <a:pt x="4841" y="21"/>
                                    </a:cubicBezTo>
                                    <a:cubicBezTo>
                                      <a:pt x="4745" y="21"/>
                                      <a:pt x="4745" y="21"/>
                                      <a:pt x="4745" y="21"/>
                                    </a:cubicBezTo>
                                    <a:cubicBezTo>
                                      <a:pt x="4745" y="319"/>
                                      <a:pt x="4745" y="319"/>
                                      <a:pt x="4745" y="319"/>
                                    </a:cubicBezTo>
                                    <a:cubicBezTo>
                                      <a:pt x="4450" y="21"/>
                                      <a:pt x="4450" y="21"/>
                                      <a:pt x="4450" y="21"/>
                                    </a:cubicBezTo>
                                    <a:lnTo>
                                      <a:pt x="4345" y="21"/>
                                    </a:lnTo>
                                    <a:close/>
                                    <a:moveTo>
                                      <a:pt x="196" y="283"/>
                                    </a:moveTo>
                                    <a:cubicBezTo>
                                      <a:pt x="375" y="283"/>
                                      <a:pt x="375" y="283"/>
                                      <a:pt x="375" y="283"/>
                                    </a:cubicBezTo>
                                    <a:cubicBezTo>
                                      <a:pt x="283" y="109"/>
                                      <a:pt x="283" y="109"/>
                                      <a:pt x="283" y="109"/>
                                    </a:cubicBezTo>
                                    <a:lnTo>
                                      <a:pt x="196" y="283"/>
                                    </a:lnTo>
                                    <a:close/>
                                    <a:moveTo>
                                      <a:pt x="341" y="21"/>
                                    </a:moveTo>
                                    <a:cubicBezTo>
                                      <a:pt x="572" y="457"/>
                                      <a:pt x="572" y="457"/>
                                      <a:pt x="572" y="457"/>
                                    </a:cubicBezTo>
                                    <a:cubicBezTo>
                                      <a:pt x="464" y="457"/>
                                      <a:pt x="464" y="457"/>
                                      <a:pt x="464" y="457"/>
                                    </a:cubicBezTo>
                                    <a:cubicBezTo>
                                      <a:pt x="418" y="365"/>
                                      <a:pt x="418" y="365"/>
                                      <a:pt x="418" y="365"/>
                                    </a:cubicBezTo>
                                    <a:cubicBezTo>
                                      <a:pt x="153" y="365"/>
                                      <a:pt x="153" y="365"/>
                                      <a:pt x="153" y="365"/>
                                    </a:cubicBezTo>
                                    <a:cubicBezTo>
                                      <a:pt x="107" y="457"/>
                                      <a:pt x="107" y="457"/>
                                      <a:pt x="107" y="457"/>
                                    </a:cubicBezTo>
                                    <a:cubicBezTo>
                                      <a:pt x="0" y="457"/>
                                      <a:pt x="0" y="457"/>
                                      <a:pt x="0" y="457"/>
                                    </a:cubicBezTo>
                                    <a:cubicBezTo>
                                      <a:pt x="231" y="21"/>
                                      <a:pt x="231" y="21"/>
                                      <a:pt x="231" y="21"/>
                                    </a:cubicBezTo>
                                    <a:lnTo>
                                      <a:pt x="341" y="21"/>
                                    </a:lnTo>
                                    <a:close/>
                                    <a:moveTo>
                                      <a:pt x="2456" y="283"/>
                                    </a:moveTo>
                                    <a:cubicBezTo>
                                      <a:pt x="2366" y="106"/>
                                      <a:pt x="2366" y="106"/>
                                      <a:pt x="2366" y="106"/>
                                    </a:cubicBezTo>
                                    <a:cubicBezTo>
                                      <a:pt x="2276" y="283"/>
                                      <a:pt x="2276" y="283"/>
                                      <a:pt x="2276" y="283"/>
                                    </a:cubicBezTo>
                                    <a:lnTo>
                                      <a:pt x="2456" y="283"/>
                                    </a:lnTo>
                                    <a:close/>
                                    <a:moveTo>
                                      <a:pt x="2422" y="21"/>
                                    </a:moveTo>
                                    <a:cubicBezTo>
                                      <a:pt x="2654" y="457"/>
                                      <a:pt x="2654" y="457"/>
                                      <a:pt x="2654" y="457"/>
                                    </a:cubicBezTo>
                                    <a:cubicBezTo>
                                      <a:pt x="2546" y="457"/>
                                      <a:pt x="2546" y="457"/>
                                      <a:pt x="2546" y="457"/>
                                    </a:cubicBezTo>
                                    <a:cubicBezTo>
                                      <a:pt x="2499" y="365"/>
                                      <a:pt x="2499" y="365"/>
                                      <a:pt x="2499" y="365"/>
                                    </a:cubicBezTo>
                                    <a:cubicBezTo>
                                      <a:pt x="2234" y="365"/>
                                      <a:pt x="2234" y="365"/>
                                      <a:pt x="2234" y="365"/>
                                    </a:cubicBezTo>
                                    <a:cubicBezTo>
                                      <a:pt x="2188" y="457"/>
                                      <a:pt x="2188" y="457"/>
                                      <a:pt x="2188" y="457"/>
                                    </a:cubicBezTo>
                                    <a:cubicBezTo>
                                      <a:pt x="2081" y="457"/>
                                      <a:pt x="2081" y="457"/>
                                      <a:pt x="2081" y="457"/>
                                    </a:cubicBezTo>
                                    <a:cubicBezTo>
                                      <a:pt x="2312" y="21"/>
                                      <a:pt x="2312" y="21"/>
                                      <a:pt x="2312" y="21"/>
                                    </a:cubicBezTo>
                                    <a:lnTo>
                                      <a:pt x="2422" y="21"/>
                                    </a:lnTo>
                                    <a:close/>
                                    <a:moveTo>
                                      <a:pt x="1015" y="325"/>
                                    </a:moveTo>
                                    <a:cubicBezTo>
                                      <a:pt x="993" y="353"/>
                                      <a:pt x="966" y="371"/>
                                      <a:pt x="932" y="378"/>
                                    </a:cubicBezTo>
                                    <a:cubicBezTo>
                                      <a:pt x="886" y="388"/>
                                      <a:pt x="841" y="387"/>
                                      <a:pt x="796" y="372"/>
                                    </a:cubicBezTo>
                                    <a:cubicBezTo>
                                      <a:pt x="762" y="360"/>
                                      <a:pt x="735" y="339"/>
                                      <a:pt x="719" y="306"/>
                                    </a:cubicBezTo>
                                    <a:cubicBezTo>
                                      <a:pt x="707" y="280"/>
                                      <a:pt x="704" y="254"/>
                                      <a:pt x="705" y="226"/>
                                    </a:cubicBezTo>
                                    <a:cubicBezTo>
                                      <a:pt x="709" y="168"/>
                                      <a:pt x="741" y="125"/>
                                      <a:pt x="797" y="105"/>
                                    </a:cubicBezTo>
                                    <a:cubicBezTo>
                                      <a:pt x="837" y="91"/>
                                      <a:pt x="879" y="89"/>
                                      <a:pt x="920" y="96"/>
                                    </a:cubicBezTo>
                                    <a:cubicBezTo>
                                      <a:pt x="960" y="103"/>
                                      <a:pt x="993" y="123"/>
                                      <a:pt x="1016" y="156"/>
                                    </a:cubicBezTo>
                                    <a:cubicBezTo>
                                      <a:pt x="1018" y="158"/>
                                      <a:pt x="1020" y="160"/>
                                      <a:pt x="1022" y="163"/>
                                    </a:cubicBezTo>
                                    <a:cubicBezTo>
                                      <a:pt x="1052" y="148"/>
                                      <a:pt x="1082" y="133"/>
                                      <a:pt x="1113" y="117"/>
                                    </a:cubicBezTo>
                                    <a:cubicBezTo>
                                      <a:pt x="1106" y="108"/>
                                      <a:pt x="1100" y="99"/>
                                      <a:pt x="1092" y="92"/>
                                    </a:cubicBezTo>
                                    <a:cubicBezTo>
                                      <a:pt x="1051" y="49"/>
                                      <a:pt x="1000" y="24"/>
                                      <a:pt x="942" y="13"/>
                                    </a:cubicBezTo>
                                    <a:cubicBezTo>
                                      <a:pt x="874" y="0"/>
                                      <a:pt x="808" y="6"/>
                                      <a:pt x="744" y="30"/>
                                    </a:cubicBezTo>
                                    <a:cubicBezTo>
                                      <a:pt x="683" y="53"/>
                                      <a:pt x="639" y="93"/>
                                      <a:pt x="617" y="155"/>
                                    </a:cubicBezTo>
                                    <a:cubicBezTo>
                                      <a:pt x="599" y="204"/>
                                      <a:pt x="598" y="254"/>
                                      <a:pt x="611" y="304"/>
                                    </a:cubicBezTo>
                                    <a:cubicBezTo>
                                      <a:pt x="630" y="375"/>
                                      <a:pt x="676" y="422"/>
                                      <a:pt x="745" y="449"/>
                                    </a:cubicBezTo>
                                    <a:cubicBezTo>
                                      <a:pt x="810" y="474"/>
                                      <a:pt x="878" y="477"/>
                                      <a:pt x="946" y="464"/>
                                    </a:cubicBezTo>
                                    <a:cubicBezTo>
                                      <a:pt x="998" y="454"/>
                                      <a:pt x="1045" y="432"/>
                                      <a:pt x="1084" y="395"/>
                                    </a:cubicBezTo>
                                    <a:cubicBezTo>
                                      <a:pt x="1095" y="384"/>
                                      <a:pt x="1105" y="373"/>
                                      <a:pt x="1114" y="359"/>
                                    </a:cubicBezTo>
                                    <a:cubicBezTo>
                                      <a:pt x="1083" y="344"/>
                                      <a:pt x="1054" y="329"/>
                                      <a:pt x="1023" y="314"/>
                                    </a:cubicBezTo>
                                    <a:cubicBezTo>
                                      <a:pt x="1020" y="318"/>
                                      <a:pt x="1018" y="322"/>
                                      <a:pt x="1015" y="325"/>
                                    </a:cubicBezTo>
                                    <a:moveTo>
                                      <a:pt x="1582" y="371"/>
                                    </a:moveTo>
                                    <a:cubicBezTo>
                                      <a:pt x="1582" y="21"/>
                                      <a:pt x="1582" y="21"/>
                                      <a:pt x="1582" y="21"/>
                                    </a:cubicBezTo>
                                    <a:cubicBezTo>
                                      <a:pt x="1483" y="21"/>
                                      <a:pt x="1483" y="21"/>
                                      <a:pt x="1483" y="21"/>
                                    </a:cubicBezTo>
                                    <a:cubicBezTo>
                                      <a:pt x="1483" y="457"/>
                                      <a:pt x="1483" y="457"/>
                                      <a:pt x="1483" y="457"/>
                                    </a:cubicBezTo>
                                    <a:cubicBezTo>
                                      <a:pt x="1891" y="457"/>
                                      <a:pt x="1891" y="457"/>
                                      <a:pt x="1891" y="457"/>
                                    </a:cubicBezTo>
                                    <a:cubicBezTo>
                                      <a:pt x="1891" y="371"/>
                                      <a:pt x="1891" y="371"/>
                                      <a:pt x="1891" y="371"/>
                                    </a:cubicBezTo>
                                    <a:lnTo>
                                      <a:pt x="1582" y="371"/>
                                    </a:lnTo>
                                    <a:close/>
                                    <a:moveTo>
                                      <a:pt x="2845" y="370"/>
                                    </a:moveTo>
                                    <a:cubicBezTo>
                                      <a:pt x="2845" y="21"/>
                                      <a:pt x="2845" y="21"/>
                                      <a:pt x="2845" y="21"/>
                                    </a:cubicBezTo>
                                    <a:cubicBezTo>
                                      <a:pt x="2747" y="21"/>
                                      <a:pt x="2747" y="21"/>
                                      <a:pt x="2747" y="21"/>
                                    </a:cubicBezTo>
                                    <a:cubicBezTo>
                                      <a:pt x="2747" y="457"/>
                                      <a:pt x="2747" y="457"/>
                                      <a:pt x="2747" y="457"/>
                                    </a:cubicBezTo>
                                    <a:cubicBezTo>
                                      <a:pt x="3155" y="457"/>
                                      <a:pt x="3155" y="457"/>
                                      <a:pt x="3155" y="457"/>
                                    </a:cubicBezTo>
                                    <a:cubicBezTo>
                                      <a:pt x="3155" y="370"/>
                                      <a:pt x="3155" y="370"/>
                                      <a:pt x="3155" y="370"/>
                                    </a:cubicBezTo>
                                    <a:lnTo>
                                      <a:pt x="2845" y="370"/>
                                    </a:lnTo>
                                    <a:close/>
                                    <a:moveTo>
                                      <a:pt x="3350" y="370"/>
                                    </a:moveTo>
                                    <a:cubicBezTo>
                                      <a:pt x="3350" y="21"/>
                                      <a:pt x="3350" y="21"/>
                                      <a:pt x="3350" y="21"/>
                                    </a:cubicBezTo>
                                    <a:cubicBezTo>
                                      <a:pt x="3253" y="21"/>
                                      <a:pt x="3253" y="21"/>
                                      <a:pt x="3253" y="21"/>
                                    </a:cubicBezTo>
                                    <a:cubicBezTo>
                                      <a:pt x="3253" y="457"/>
                                      <a:pt x="3253" y="457"/>
                                      <a:pt x="3253" y="457"/>
                                    </a:cubicBezTo>
                                    <a:cubicBezTo>
                                      <a:pt x="3660" y="457"/>
                                      <a:pt x="3660" y="457"/>
                                      <a:pt x="3660" y="457"/>
                                    </a:cubicBezTo>
                                    <a:cubicBezTo>
                                      <a:pt x="3660" y="370"/>
                                      <a:pt x="3660" y="370"/>
                                      <a:pt x="3660" y="370"/>
                                    </a:cubicBezTo>
                                    <a:lnTo>
                                      <a:pt x="3350" y="370"/>
                                    </a:lnTo>
                                    <a:close/>
                                    <a:moveTo>
                                      <a:pt x="1233" y="457"/>
                                    </a:moveTo>
                                    <a:cubicBezTo>
                                      <a:pt x="1335" y="457"/>
                                      <a:pt x="1335" y="457"/>
                                      <a:pt x="1335" y="457"/>
                                    </a:cubicBezTo>
                                    <a:cubicBezTo>
                                      <a:pt x="1335" y="21"/>
                                      <a:pt x="1335" y="21"/>
                                      <a:pt x="1335" y="21"/>
                                    </a:cubicBezTo>
                                    <a:cubicBezTo>
                                      <a:pt x="1233" y="21"/>
                                      <a:pt x="1233" y="21"/>
                                      <a:pt x="1233" y="21"/>
                                    </a:cubicBezTo>
                                    <a:lnTo>
                                      <a:pt x="1233" y="457"/>
                                    </a:lnTo>
                                    <a:close/>
                                  </a:path>
                                </a:pathLst>
                              </a:custGeom>
                              <a:solidFill>
                                <a:srgbClr val="0001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41874B23" id="Group 123" o:spid="_x0000_s1026" alt="&quot;&quot;" style="position:absolute;margin-left:0;margin-top:5.5pt;width:77.25pt;height:11.25pt;z-index:251722752;mso-position-horizontal-relative:page;mso-position-vertical-relative:page;mso-width-relative:margin;mso-height-relative:margin" coordorigin=",-212" coordsize="121888,187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">
                    <o:lock v:ext="edit" aspectratio="t"/>
                    <v:rect id="Rectangle 125" o:spid="_x0000_s1027" style="position:absolute;top:16431;width:14398;height:2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" fillcolor="#6c3f99" stroked="f"/>
                    <v:shape id="Freeform 6" o:spid="_x0000_s1028" style="position:absolute;top:-212;width:121888;height:12963;visibility:visible;mso-wrap-style:square;v-text-anchor:top" coordsize="4841,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" path="m4214,370v,87,,87,,87c3766,457,3766,457,3766,457v,-436,,-436,,-436c4214,21,4214,21,4214,21v,83,,83,,83c3864,104,3864,104,3864,104v,89,,89,,89c4151,194,4151,194,4151,194v,83,,83,,83c3864,277,3864,277,3864,277v,93,,93,,93l4214,370xm4345,21v,436,,436,,436c4442,457,4442,457,4442,457v,-313,,-313,,-313c4753,457,4753,457,4753,457v88,,88,,88,c4841,21,4841,21,4841,21v-96,,-96,,-96,c4745,319,4745,319,4745,319,4450,21,4450,21,4450,21r-105,xm196,283v179,,179,,179,c283,109,283,109,283,109l196,283xm341,21c572,457,572,457,572,457v-108,,-108,,-108,c418,365,418,365,418,365v-265,,-265,,-265,c107,457,107,457,107,457,,457,,457,,457,231,21,231,21,231,21r110,xm2456,283c2366,106,2366,106,2366,106v-90,177,-90,177,-90,177l2456,283xm2422,21v232,436,232,436,232,436c2546,457,2546,457,2546,457v-47,-92,-47,-92,-47,-92c2234,365,2234,365,2234,365v-46,92,-46,92,-46,92c2081,457,2081,457,2081,457,2312,21,2312,21,2312,21r110,xm1015,325v-22,28,-49,46,-83,53c886,388,841,387,796,372,762,360,735,339,719,306,707,280,704,254,705,226v4,-58,36,-101,92,-121c837,91,879,89,920,96v40,7,73,27,96,60c1018,158,1020,160,1022,163v30,-15,60,-30,91,-46c1106,108,1100,99,1092,92,1051,49,1000,24,942,13,874,,808,6,744,30,683,53,639,93,617,155v-18,49,-19,99,-6,149c630,375,676,422,745,449v65,25,133,28,201,15c998,454,1045,432,1084,395v11,-11,21,-22,30,-36c1083,344,1054,329,1023,314v-3,4,-5,8,-8,11m1582,371v,-350,,-350,,-350c1483,21,1483,21,1483,21v,436,,436,,436c1891,457,1891,457,1891,457v,-86,,-86,,-86l1582,371xm2845,370v,-349,,-349,,-349c2747,21,2747,21,2747,21v,436,,436,,436c3155,457,3155,457,3155,457v,-87,,-87,,-87l2845,370xm3350,370v,-349,,-349,,-349c3253,21,3253,21,3253,21v,436,,436,,436c3660,457,3660,457,3660,457v,-87,,-87,,-87l3350,370xm1233,457v102,,102,,102,c1335,21,1335,21,1335,21v-102,,-102,,-102,l1233,457xe" fillcolor="#000100" stroked="f">
                      <v:path arrowok="t" o:connecttype="custom" o:connectlocs="10610144,1241977;9482156,57071;10610144,282638;9728903,524511;10451521,752795;9728903,1005539;10939980,57071;11184210,1241977;11967256,1241977;12188825,57071;11947113,866938;10939980,57071;944187,769101;493495,769101;1440200,1241977;1052454,991951;269408,1241977;581619,57071;6183796,769101;5730586,769101;6098189,57071;6410400,1241977;5624837,991951;5239609,1241977;6098189,57071;2346619,1027280;1810321,831608;2006712,285356;2558117,423957;2802347,317968;2371798,35330;1553502,421239;1875785,1220235;2729330,1073481;2575742,853349;3983210,1008257;3733945,57071;4761220,1241977;3983210,1008257;7163232,57071;6916485,1241977;7943760,1005539;8434737,1005539;8190508,57071;9215265,1241977;8434737,1005539;3361306,1241977;3104487,57071" o:connectangles="0,0,0,0,0,0,0,0,0,0,0,0,0,0,0,0,0,0,0,0,0,0,0,0,0,0,0,0,0,0,0,0,0,0,0,0,0,0,0,0,0,0,0,0,0,0,0,0"/>
                      <o:lock v:ext="edit" verticies="t"/>
                    </v:shape>
                    <w10:wrap anchorx="page" anchory="page"/>
                    <w10:anchorlock/>
                  </v:group>
                </w:pict>
              </mc:Fallback>
            </mc:AlternateContent>
          </w:r>
        </w:p>
      </w:tc>
      <w:tc>
        <w:tcPr>
          <w:tcW w:w="5173" w:type="dxa"/>
          <w:vAlign w:val="center"/>
        </w:tcPr>
        <w:p w14:paraId="4CCBA8ED" w14:textId="15D63F25" w:rsidR="002B32A0" w:rsidRDefault="002B32A0" w:rsidP="004A1654">
          <w:pPr>
            <w:pStyle w:val="Header-CompanyName"/>
          </w:pPr>
        </w:p>
      </w:tc>
    </w:tr>
  </w:tbl>
  <w:p w14:paraId="2862BB28" w14:textId="02D01627" w:rsidR="002B32A0" w:rsidRPr="009337C5" w:rsidRDefault="002B32A0" w:rsidP="00327E78">
    <w:pPr>
      <w:pStyle w:val="Header"/>
    </w:pP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B3F085" w14:textId="77777777" w:rsidR="002B32A0" w:rsidRPr="009337C5" w:rsidRDefault="002B32A0" w:rsidP="00327E78">
    <w:pPr>
      <w:pStyle w:val="Header"/>
    </w:pP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6FF940" w14:textId="77777777" w:rsidR="002B32A0" w:rsidRPr="009337C5" w:rsidRDefault="002B32A0" w:rsidP="00327E78">
    <w:pPr>
      <w:pStyle w:val="Header"/>
    </w:pP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acTablenolines"/>
      <w:tblW w:w="10348" w:type="dxa"/>
      <w:tblInd w:w="-2412" w:type="dxa"/>
      <w:tblLayout w:type="fixed"/>
      <w:tblLook w:val="04A0" w:firstRow="1" w:lastRow="0" w:firstColumn="1" w:lastColumn="0" w:noHBand="0" w:noVBand="1"/>
    </w:tblPr>
    <w:tblGrid>
      <w:gridCol w:w="5175"/>
      <w:gridCol w:w="5173"/>
    </w:tblGrid>
    <w:tr w:rsidR="002B32A0" w14:paraId="541147E4" w14:textId="77777777" w:rsidTr="000B0AC7">
      <w:trPr>
        <w:trHeight w:hRule="exact" w:val="356"/>
      </w:trPr>
      <w:tc>
        <w:tcPr>
          <w:tcW w:w="5175" w:type="dxa"/>
          <w:vAlign w:val="center"/>
        </w:tcPr>
        <w:p w14:paraId="2C4A02B6" w14:textId="77777777" w:rsidR="002B32A0" w:rsidRDefault="002B32A0" w:rsidP="00327E78">
          <w:pPr>
            <w:pStyle w:val="spacer"/>
          </w:pPr>
          <w:r w:rsidRPr="000261B1">
            <w:rPr>
              <w:noProof/>
            </w:rPr>
            <mc:AlternateContent>
              <mc:Choice Requires="wpg">
                <w:drawing>
                  <wp:anchor distT="0" distB="0" distL="114300" distR="114300" simplePos="0" relativeHeight="251715584" behindDoc="0" locked="1" layoutInCell="1" allowOverlap="1" wp14:anchorId="1F2B591F" wp14:editId="5D06B11C">
                    <wp:simplePos x="0" y="0"/>
                    <wp:positionH relativeFrom="page">
                      <wp:posOffset>0</wp:posOffset>
                    </wp:positionH>
                    <wp:positionV relativeFrom="page">
                      <wp:posOffset>69850</wp:posOffset>
                    </wp:positionV>
                    <wp:extent cx="981075" cy="142875"/>
                    <wp:effectExtent l="0" t="0" r="9525" b="9525"/>
                    <wp:wrapNone/>
                    <wp:docPr id="663" name="Group 6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981075" cy="142875"/>
                              <a:chOff x="0" y="-21209"/>
                              <a:chExt cx="12188825" cy="1878663"/>
                            </a:xfrm>
                          </wpg:grpSpPr>
                          <wps:wsp>
                            <wps:cNvPr id="664" name="Rectangle 664"/>
                            <wps:cNvSpPr>
                              <a:spLocks noChangeArrowheads="1"/>
                            </wps:cNvSpPr>
                            <wps:spPr bwMode="auto">
                              <a:xfrm>
                                <a:off x="0" y="1643143"/>
                                <a:ext cx="1439863" cy="214311"/>
                              </a:xfrm>
                              <a:prstGeom prst="rect">
                                <a:avLst/>
                              </a:prstGeom>
                              <a:solidFill>
                                <a:srgbClr val="6C3F99"/>
                              </a:solid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665" name="Freeform 6"/>
                            <wps:cNvSpPr>
                              <a:spLocks noEditPoints="1"/>
                            </wps:cNvSpPr>
                            <wps:spPr bwMode="auto">
                              <a:xfrm>
                                <a:off x="0" y="-21209"/>
                                <a:ext cx="12188825" cy="1296330"/>
                              </a:xfrm>
                              <a:custGeom>
                                <a:avLst/>
                                <a:gdLst>
                                  <a:gd name="T0" fmla="*/ 4214 w 4841"/>
                                  <a:gd name="T1" fmla="*/ 457 h 477"/>
                                  <a:gd name="T2" fmla="*/ 3766 w 4841"/>
                                  <a:gd name="T3" fmla="*/ 21 h 477"/>
                                  <a:gd name="T4" fmla="*/ 4214 w 4841"/>
                                  <a:gd name="T5" fmla="*/ 104 h 477"/>
                                  <a:gd name="T6" fmla="*/ 3864 w 4841"/>
                                  <a:gd name="T7" fmla="*/ 193 h 477"/>
                                  <a:gd name="T8" fmla="*/ 4151 w 4841"/>
                                  <a:gd name="T9" fmla="*/ 277 h 477"/>
                                  <a:gd name="T10" fmla="*/ 3864 w 4841"/>
                                  <a:gd name="T11" fmla="*/ 370 h 477"/>
                                  <a:gd name="T12" fmla="*/ 4345 w 4841"/>
                                  <a:gd name="T13" fmla="*/ 21 h 477"/>
                                  <a:gd name="T14" fmla="*/ 4442 w 4841"/>
                                  <a:gd name="T15" fmla="*/ 457 h 477"/>
                                  <a:gd name="T16" fmla="*/ 4753 w 4841"/>
                                  <a:gd name="T17" fmla="*/ 457 h 477"/>
                                  <a:gd name="T18" fmla="*/ 4841 w 4841"/>
                                  <a:gd name="T19" fmla="*/ 21 h 477"/>
                                  <a:gd name="T20" fmla="*/ 4745 w 4841"/>
                                  <a:gd name="T21" fmla="*/ 319 h 477"/>
                                  <a:gd name="T22" fmla="*/ 4345 w 4841"/>
                                  <a:gd name="T23" fmla="*/ 21 h 477"/>
                                  <a:gd name="T24" fmla="*/ 375 w 4841"/>
                                  <a:gd name="T25" fmla="*/ 283 h 477"/>
                                  <a:gd name="T26" fmla="*/ 196 w 4841"/>
                                  <a:gd name="T27" fmla="*/ 283 h 477"/>
                                  <a:gd name="T28" fmla="*/ 572 w 4841"/>
                                  <a:gd name="T29" fmla="*/ 457 h 477"/>
                                  <a:gd name="T30" fmla="*/ 418 w 4841"/>
                                  <a:gd name="T31" fmla="*/ 365 h 477"/>
                                  <a:gd name="T32" fmla="*/ 107 w 4841"/>
                                  <a:gd name="T33" fmla="*/ 457 h 477"/>
                                  <a:gd name="T34" fmla="*/ 231 w 4841"/>
                                  <a:gd name="T35" fmla="*/ 21 h 477"/>
                                  <a:gd name="T36" fmla="*/ 2456 w 4841"/>
                                  <a:gd name="T37" fmla="*/ 283 h 477"/>
                                  <a:gd name="T38" fmla="*/ 2276 w 4841"/>
                                  <a:gd name="T39" fmla="*/ 283 h 477"/>
                                  <a:gd name="T40" fmla="*/ 2422 w 4841"/>
                                  <a:gd name="T41" fmla="*/ 21 h 477"/>
                                  <a:gd name="T42" fmla="*/ 2546 w 4841"/>
                                  <a:gd name="T43" fmla="*/ 457 h 477"/>
                                  <a:gd name="T44" fmla="*/ 2234 w 4841"/>
                                  <a:gd name="T45" fmla="*/ 365 h 477"/>
                                  <a:gd name="T46" fmla="*/ 2081 w 4841"/>
                                  <a:gd name="T47" fmla="*/ 457 h 477"/>
                                  <a:gd name="T48" fmla="*/ 2422 w 4841"/>
                                  <a:gd name="T49" fmla="*/ 21 h 477"/>
                                  <a:gd name="T50" fmla="*/ 932 w 4841"/>
                                  <a:gd name="T51" fmla="*/ 378 h 477"/>
                                  <a:gd name="T52" fmla="*/ 719 w 4841"/>
                                  <a:gd name="T53" fmla="*/ 306 h 477"/>
                                  <a:gd name="T54" fmla="*/ 797 w 4841"/>
                                  <a:gd name="T55" fmla="*/ 105 h 477"/>
                                  <a:gd name="T56" fmla="*/ 1016 w 4841"/>
                                  <a:gd name="T57" fmla="*/ 156 h 477"/>
                                  <a:gd name="T58" fmla="*/ 1113 w 4841"/>
                                  <a:gd name="T59" fmla="*/ 117 h 477"/>
                                  <a:gd name="T60" fmla="*/ 942 w 4841"/>
                                  <a:gd name="T61" fmla="*/ 13 h 477"/>
                                  <a:gd name="T62" fmla="*/ 617 w 4841"/>
                                  <a:gd name="T63" fmla="*/ 155 h 477"/>
                                  <a:gd name="T64" fmla="*/ 745 w 4841"/>
                                  <a:gd name="T65" fmla="*/ 449 h 477"/>
                                  <a:gd name="T66" fmla="*/ 1084 w 4841"/>
                                  <a:gd name="T67" fmla="*/ 395 h 477"/>
                                  <a:gd name="T68" fmla="*/ 1023 w 4841"/>
                                  <a:gd name="T69" fmla="*/ 314 h 477"/>
                                  <a:gd name="T70" fmla="*/ 1582 w 4841"/>
                                  <a:gd name="T71" fmla="*/ 371 h 477"/>
                                  <a:gd name="T72" fmla="*/ 1483 w 4841"/>
                                  <a:gd name="T73" fmla="*/ 21 h 477"/>
                                  <a:gd name="T74" fmla="*/ 1891 w 4841"/>
                                  <a:gd name="T75" fmla="*/ 457 h 477"/>
                                  <a:gd name="T76" fmla="*/ 1582 w 4841"/>
                                  <a:gd name="T77" fmla="*/ 371 h 477"/>
                                  <a:gd name="T78" fmla="*/ 2845 w 4841"/>
                                  <a:gd name="T79" fmla="*/ 21 h 477"/>
                                  <a:gd name="T80" fmla="*/ 2747 w 4841"/>
                                  <a:gd name="T81" fmla="*/ 457 h 477"/>
                                  <a:gd name="T82" fmla="*/ 3155 w 4841"/>
                                  <a:gd name="T83" fmla="*/ 370 h 477"/>
                                  <a:gd name="T84" fmla="*/ 3350 w 4841"/>
                                  <a:gd name="T85" fmla="*/ 370 h 477"/>
                                  <a:gd name="T86" fmla="*/ 3253 w 4841"/>
                                  <a:gd name="T87" fmla="*/ 21 h 477"/>
                                  <a:gd name="T88" fmla="*/ 3660 w 4841"/>
                                  <a:gd name="T89" fmla="*/ 457 h 477"/>
                                  <a:gd name="T90" fmla="*/ 3350 w 4841"/>
                                  <a:gd name="T91" fmla="*/ 370 h 477"/>
                                  <a:gd name="T92" fmla="*/ 1335 w 4841"/>
                                  <a:gd name="T93" fmla="*/ 457 h 477"/>
                                  <a:gd name="T94" fmla="*/ 1233 w 4841"/>
                                  <a:gd name="T95" fmla="*/ 21 h 4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4841" h="477">
                                    <a:moveTo>
                                      <a:pt x="4214" y="370"/>
                                    </a:moveTo>
                                    <a:cubicBezTo>
                                      <a:pt x="4214" y="457"/>
                                      <a:pt x="4214" y="457"/>
                                      <a:pt x="4214" y="457"/>
                                    </a:cubicBezTo>
                                    <a:cubicBezTo>
                                      <a:pt x="3766" y="457"/>
                                      <a:pt x="3766" y="457"/>
                                      <a:pt x="3766" y="457"/>
                                    </a:cubicBezTo>
                                    <a:cubicBezTo>
                                      <a:pt x="3766" y="21"/>
                                      <a:pt x="3766" y="21"/>
                                      <a:pt x="3766" y="21"/>
                                    </a:cubicBezTo>
                                    <a:cubicBezTo>
                                      <a:pt x="4214" y="21"/>
                                      <a:pt x="4214" y="21"/>
                                      <a:pt x="4214" y="21"/>
                                    </a:cubicBezTo>
                                    <a:cubicBezTo>
                                      <a:pt x="4214" y="104"/>
                                      <a:pt x="4214" y="104"/>
                                      <a:pt x="4214" y="104"/>
                                    </a:cubicBezTo>
                                    <a:cubicBezTo>
                                      <a:pt x="3864" y="104"/>
                                      <a:pt x="3864" y="104"/>
                                      <a:pt x="3864" y="104"/>
                                    </a:cubicBezTo>
                                    <a:cubicBezTo>
                                      <a:pt x="3864" y="193"/>
                                      <a:pt x="3864" y="193"/>
                                      <a:pt x="3864" y="193"/>
                                    </a:cubicBezTo>
                                    <a:cubicBezTo>
                                      <a:pt x="4151" y="194"/>
                                      <a:pt x="4151" y="194"/>
                                      <a:pt x="4151" y="194"/>
                                    </a:cubicBezTo>
                                    <a:cubicBezTo>
                                      <a:pt x="4151" y="277"/>
                                      <a:pt x="4151" y="277"/>
                                      <a:pt x="4151" y="277"/>
                                    </a:cubicBezTo>
                                    <a:cubicBezTo>
                                      <a:pt x="3864" y="277"/>
                                      <a:pt x="3864" y="277"/>
                                      <a:pt x="3864" y="277"/>
                                    </a:cubicBezTo>
                                    <a:cubicBezTo>
                                      <a:pt x="3864" y="370"/>
                                      <a:pt x="3864" y="370"/>
                                      <a:pt x="3864" y="370"/>
                                    </a:cubicBezTo>
                                    <a:lnTo>
                                      <a:pt x="4214" y="370"/>
                                    </a:lnTo>
                                    <a:close/>
                                    <a:moveTo>
                                      <a:pt x="4345" y="21"/>
                                    </a:moveTo>
                                    <a:cubicBezTo>
                                      <a:pt x="4345" y="457"/>
                                      <a:pt x="4345" y="457"/>
                                      <a:pt x="4345" y="457"/>
                                    </a:cubicBezTo>
                                    <a:cubicBezTo>
                                      <a:pt x="4442" y="457"/>
                                      <a:pt x="4442" y="457"/>
                                      <a:pt x="4442" y="457"/>
                                    </a:cubicBezTo>
                                    <a:cubicBezTo>
                                      <a:pt x="4442" y="144"/>
                                      <a:pt x="4442" y="144"/>
                                      <a:pt x="4442" y="144"/>
                                    </a:cubicBezTo>
                                    <a:cubicBezTo>
                                      <a:pt x="4753" y="457"/>
                                      <a:pt x="4753" y="457"/>
                                      <a:pt x="4753" y="457"/>
                                    </a:cubicBezTo>
                                    <a:cubicBezTo>
                                      <a:pt x="4841" y="457"/>
                                      <a:pt x="4841" y="457"/>
                                      <a:pt x="4841" y="457"/>
                                    </a:cubicBezTo>
                                    <a:cubicBezTo>
                                      <a:pt x="4841" y="21"/>
                                      <a:pt x="4841" y="21"/>
                                      <a:pt x="4841" y="21"/>
                                    </a:cubicBezTo>
                                    <a:cubicBezTo>
                                      <a:pt x="4745" y="21"/>
                                      <a:pt x="4745" y="21"/>
                                      <a:pt x="4745" y="21"/>
                                    </a:cubicBezTo>
                                    <a:cubicBezTo>
                                      <a:pt x="4745" y="319"/>
                                      <a:pt x="4745" y="319"/>
                                      <a:pt x="4745" y="319"/>
                                    </a:cubicBezTo>
                                    <a:cubicBezTo>
                                      <a:pt x="4450" y="21"/>
                                      <a:pt x="4450" y="21"/>
                                      <a:pt x="4450" y="21"/>
                                    </a:cubicBezTo>
                                    <a:lnTo>
                                      <a:pt x="4345" y="21"/>
                                    </a:lnTo>
                                    <a:close/>
                                    <a:moveTo>
                                      <a:pt x="196" y="283"/>
                                    </a:moveTo>
                                    <a:cubicBezTo>
                                      <a:pt x="375" y="283"/>
                                      <a:pt x="375" y="283"/>
                                      <a:pt x="375" y="283"/>
                                    </a:cubicBezTo>
                                    <a:cubicBezTo>
                                      <a:pt x="283" y="109"/>
                                      <a:pt x="283" y="109"/>
                                      <a:pt x="283" y="109"/>
                                    </a:cubicBezTo>
                                    <a:lnTo>
                                      <a:pt x="196" y="283"/>
                                    </a:lnTo>
                                    <a:close/>
                                    <a:moveTo>
                                      <a:pt x="341" y="21"/>
                                    </a:moveTo>
                                    <a:cubicBezTo>
                                      <a:pt x="572" y="457"/>
                                      <a:pt x="572" y="457"/>
                                      <a:pt x="572" y="457"/>
                                    </a:cubicBezTo>
                                    <a:cubicBezTo>
                                      <a:pt x="464" y="457"/>
                                      <a:pt x="464" y="457"/>
                                      <a:pt x="464" y="457"/>
                                    </a:cubicBezTo>
                                    <a:cubicBezTo>
                                      <a:pt x="418" y="365"/>
                                      <a:pt x="418" y="365"/>
                                      <a:pt x="418" y="365"/>
                                    </a:cubicBezTo>
                                    <a:cubicBezTo>
                                      <a:pt x="153" y="365"/>
                                      <a:pt x="153" y="365"/>
                                      <a:pt x="153" y="365"/>
                                    </a:cubicBezTo>
                                    <a:cubicBezTo>
                                      <a:pt x="107" y="457"/>
                                      <a:pt x="107" y="457"/>
                                      <a:pt x="107" y="457"/>
                                    </a:cubicBezTo>
                                    <a:cubicBezTo>
                                      <a:pt x="0" y="457"/>
                                      <a:pt x="0" y="457"/>
                                      <a:pt x="0" y="457"/>
                                    </a:cubicBezTo>
                                    <a:cubicBezTo>
                                      <a:pt x="231" y="21"/>
                                      <a:pt x="231" y="21"/>
                                      <a:pt x="231" y="21"/>
                                    </a:cubicBezTo>
                                    <a:lnTo>
                                      <a:pt x="341" y="21"/>
                                    </a:lnTo>
                                    <a:close/>
                                    <a:moveTo>
                                      <a:pt x="2456" y="283"/>
                                    </a:moveTo>
                                    <a:cubicBezTo>
                                      <a:pt x="2366" y="106"/>
                                      <a:pt x="2366" y="106"/>
                                      <a:pt x="2366" y="106"/>
                                    </a:cubicBezTo>
                                    <a:cubicBezTo>
                                      <a:pt x="2276" y="283"/>
                                      <a:pt x="2276" y="283"/>
                                      <a:pt x="2276" y="283"/>
                                    </a:cubicBezTo>
                                    <a:lnTo>
                                      <a:pt x="2456" y="283"/>
                                    </a:lnTo>
                                    <a:close/>
                                    <a:moveTo>
                                      <a:pt x="2422" y="21"/>
                                    </a:moveTo>
                                    <a:cubicBezTo>
                                      <a:pt x="2654" y="457"/>
                                      <a:pt x="2654" y="457"/>
                                      <a:pt x="2654" y="457"/>
                                    </a:cubicBezTo>
                                    <a:cubicBezTo>
                                      <a:pt x="2546" y="457"/>
                                      <a:pt x="2546" y="457"/>
                                      <a:pt x="2546" y="457"/>
                                    </a:cubicBezTo>
                                    <a:cubicBezTo>
                                      <a:pt x="2499" y="365"/>
                                      <a:pt x="2499" y="365"/>
                                      <a:pt x="2499" y="365"/>
                                    </a:cubicBezTo>
                                    <a:cubicBezTo>
                                      <a:pt x="2234" y="365"/>
                                      <a:pt x="2234" y="365"/>
                                      <a:pt x="2234" y="365"/>
                                    </a:cubicBezTo>
                                    <a:cubicBezTo>
                                      <a:pt x="2188" y="457"/>
                                      <a:pt x="2188" y="457"/>
                                      <a:pt x="2188" y="457"/>
                                    </a:cubicBezTo>
                                    <a:cubicBezTo>
                                      <a:pt x="2081" y="457"/>
                                      <a:pt x="2081" y="457"/>
                                      <a:pt x="2081" y="457"/>
                                    </a:cubicBezTo>
                                    <a:cubicBezTo>
                                      <a:pt x="2312" y="21"/>
                                      <a:pt x="2312" y="21"/>
                                      <a:pt x="2312" y="21"/>
                                    </a:cubicBezTo>
                                    <a:lnTo>
                                      <a:pt x="2422" y="21"/>
                                    </a:lnTo>
                                    <a:close/>
                                    <a:moveTo>
                                      <a:pt x="1015" y="325"/>
                                    </a:moveTo>
                                    <a:cubicBezTo>
                                      <a:pt x="993" y="353"/>
                                      <a:pt x="966" y="371"/>
                                      <a:pt x="932" y="378"/>
                                    </a:cubicBezTo>
                                    <a:cubicBezTo>
                                      <a:pt x="886" y="388"/>
                                      <a:pt x="841" y="387"/>
                                      <a:pt x="796" y="372"/>
                                    </a:cubicBezTo>
                                    <a:cubicBezTo>
                                      <a:pt x="762" y="360"/>
                                      <a:pt x="735" y="339"/>
                                      <a:pt x="719" y="306"/>
                                    </a:cubicBezTo>
                                    <a:cubicBezTo>
                                      <a:pt x="707" y="280"/>
                                      <a:pt x="704" y="254"/>
                                      <a:pt x="705" y="226"/>
                                    </a:cubicBezTo>
                                    <a:cubicBezTo>
                                      <a:pt x="709" y="168"/>
                                      <a:pt x="741" y="125"/>
                                      <a:pt x="797" y="105"/>
                                    </a:cubicBezTo>
                                    <a:cubicBezTo>
                                      <a:pt x="837" y="91"/>
                                      <a:pt x="879" y="89"/>
                                      <a:pt x="920" y="96"/>
                                    </a:cubicBezTo>
                                    <a:cubicBezTo>
                                      <a:pt x="960" y="103"/>
                                      <a:pt x="993" y="123"/>
                                      <a:pt x="1016" y="156"/>
                                    </a:cubicBezTo>
                                    <a:cubicBezTo>
                                      <a:pt x="1018" y="158"/>
                                      <a:pt x="1020" y="160"/>
                                      <a:pt x="1022" y="163"/>
                                    </a:cubicBezTo>
                                    <a:cubicBezTo>
                                      <a:pt x="1052" y="148"/>
                                      <a:pt x="1082" y="133"/>
                                      <a:pt x="1113" y="117"/>
                                    </a:cubicBezTo>
                                    <a:cubicBezTo>
                                      <a:pt x="1106" y="108"/>
                                      <a:pt x="1100" y="99"/>
                                      <a:pt x="1092" y="92"/>
                                    </a:cubicBezTo>
                                    <a:cubicBezTo>
                                      <a:pt x="1051" y="49"/>
                                      <a:pt x="1000" y="24"/>
                                      <a:pt x="942" y="13"/>
                                    </a:cubicBezTo>
                                    <a:cubicBezTo>
                                      <a:pt x="874" y="0"/>
                                      <a:pt x="808" y="6"/>
                                      <a:pt x="744" y="30"/>
                                    </a:cubicBezTo>
                                    <a:cubicBezTo>
                                      <a:pt x="683" y="53"/>
                                      <a:pt x="639" y="93"/>
                                      <a:pt x="617" y="155"/>
                                    </a:cubicBezTo>
                                    <a:cubicBezTo>
                                      <a:pt x="599" y="204"/>
                                      <a:pt x="598" y="254"/>
                                      <a:pt x="611" y="304"/>
                                    </a:cubicBezTo>
                                    <a:cubicBezTo>
                                      <a:pt x="630" y="375"/>
                                      <a:pt x="676" y="422"/>
                                      <a:pt x="745" y="449"/>
                                    </a:cubicBezTo>
                                    <a:cubicBezTo>
                                      <a:pt x="810" y="474"/>
                                      <a:pt x="878" y="477"/>
                                      <a:pt x="946" y="464"/>
                                    </a:cubicBezTo>
                                    <a:cubicBezTo>
                                      <a:pt x="998" y="454"/>
                                      <a:pt x="1045" y="432"/>
                                      <a:pt x="1084" y="395"/>
                                    </a:cubicBezTo>
                                    <a:cubicBezTo>
                                      <a:pt x="1095" y="384"/>
                                      <a:pt x="1105" y="373"/>
                                      <a:pt x="1114" y="359"/>
                                    </a:cubicBezTo>
                                    <a:cubicBezTo>
                                      <a:pt x="1083" y="344"/>
                                      <a:pt x="1054" y="329"/>
                                      <a:pt x="1023" y="314"/>
                                    </a:cubicBezTo>
                                    <a:cubicBezTo>
                                      <a:pt x="1020" y="318"/>
                                      <a:pt x="1018" y="322"/>
                                      <a:pt x="1015" y="325"/>
                                    </a:cubicBezTo>
                                    <a:moveTo>
                                      <a:pt x="1582" y="371"/>
                                    </a:moveTo>
                                    <a:cubicBezTo>
                                      <a:pt x="1582" y="21"/>
                                      <a:pt x="1582" y="21"/>
                                      <a:pt x="1582" y="21"/>
                                    </a:cubicBezTo>
                                    <a:cubicBezTo>
                                      <a:pt x="1483" y="21"/>
                                      <a:pt x="1483" y="21"/>
                                      <a:pt x="1483" y="21"/>
                                    </a:cubicBezTo>
                                    <a:cubicBezTo>
                                      <a:pt x="1483" y="457"/>
                                      <a:pt x="1483" y="457"/>
                                      <a:pt x="1483" y="457"/>
                                    </a:cubicBezTo>
                                    <a:cubicBezTo>
                                      <a:pt x="1891" y="457"/>
                                      <a:pt x="1891" y="457"/>
                                      <a:pt x="1891" y="457"/>
                                    </a:cubicBezTo>
                                    <a:cubicBezTo>
                                      <a:pt x="1891" y="371"/>
                                      <a:pt x="1891" y="371"/>
                                      <a:pt x="1891" y="371"/>
                                    </a:cubicBezTo>
                                    <a:lnTo>
                                      <a:pt x="1582" y="371"/>
                                    </a:lnTo>
                                    <a:close/>
                                    <a:moveTo>
                                      <a:pt x="2845" y="370"/>
                                    </a:moveTo>
                                    <a:cubicBezTo>
                                      <a:pt x="2845" y="21"/>
                                      <a:pt x="2845" y="21"/>
                                      <a:pt x="2845" y="21"/>
                                    </a:cubicBezTo>
                                    <a:cubicBezTo>
                                      <a:pt x="2747" y="21"/>
                                      <a:pt x="2747" y="21"/>
                                      <a:pt x="2747" y="21"/>
                                    </a:cubicBezTo>
                                    <a:cubicBezTo>
                                      <a:pt x="2747" y="457"/>
                                      <a:pt x="2747" y="457"/>
                                      <a:pt x="2747" y="457"/>
                                    </a:cubicBezTo>
                                    <a:cubicBezTo>
                                      <a:pt x="3155" y="457"/>
                                      <a:pt x="3155" y="457"/>
                                      <a:pt x="3155" y="457"/>
                                    </a:cubicBezTo>
                                    <a:cubicBezTo>
                                      <a:pt x="3155" y="370"/>
                                      <a:pt x="3155" y="370"/>
                                      <a:pt x="3155" y="370"/>
                                    </a:cubicBezTo>
                                    <a:lnTo>
                                      <a:pt x="2845" y="370"/>
                                    </a:lnTo>
                                    <a:close/>
                                    <a:moveTo>
                                      <a:pt x="3350" y="370"/>
                                    </a:moveTo>
                                    <a:cubicBezTo>
                                      <a:pt x="3350" y="21"/>
                                      <a:pt x="3350" y="21"/>
                                      <a:pt x="3350" y="21"/>
                                    </a:cubicBezTo>
                                    <a:cubicBezTo>
                                      <a:pt x="3253" y="21"/>
                                      <a:pt x="3253" y="21"/>
                                      <a:pt x="3253" y="21"/>
                                    </a:cubicBezTo>
                                    <a:cubicBezTo>
                                      <a:pt x="3253" y="457"/>
                                      <a:pt x="3253" y="457"/>
                                      <a:pt x="3253" y="457"/>
                                    </a:cubicBezTo>
                                    <a:cubicBezTo>
                                      <a:pt x="3660" y="457"/>
                                      <a:pt x="3660" y="457"/>
                                      <a:pt x="3660" y="457"/>
                                    </a:cubicBezTo>
                                    <a:cubicBezTo>
                                      <a:pt x="3660" y="370"/>
                                      <a:pt x="3660" y="370"/>
                                      <a:pt x="3660" y="370"/>
                                    </a:cubicBezTo>
                                    <a:lnTo>
                                      <a:pt x="3350" y="370"/>
                                    </a:lnTo>
                                    <a:close/>
                                    <a:moveTo>
                                      <a:pt x="1233" y="457"/>
                                    </a:moveTo>
                                    <a:cubicBezTo>
                                      <a:pt x="1335" y="457"/>
                                      <a:pt x="1335" y="457"/>
                                      <a:pt x="1335" y="457"/>
                                    </a:cubicBezTo>
                                    <a:cubicBezTo>
                                      <a:pt x="1335" y="21"/>
                                      <a:pt x="1335" y="21"/>
                                      <a:pt x="1335" y="21"/>
                                    </a:cubicBezTo>
                                    <a:cubicBezTo>
                                      <a:pt x="1233" y="21"/>
                                      <a:pt x="1233" y="21"/>
                                      <a:pt x="1233" y="21"/>
                                    </a:cubicBezTo>
                                    <a:lnTo>
                                      <a:pt x="1233" y="457"/>
                                    </a:lnTo>
                                    <a:close/>
                                  </a:path>
                                </a:pathLst>
                              </a:custGeom>
                              <a:solidFill>
                                <a:srgbClr val="0001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208FB3C1" id="Group 663" o:spid="_x0000_s1026" alt="&quot;&quot;" style="position:absolute;margin-left:0;margin-top:5.5pt;width:77.25pt;height:11.25pt;z-index:251715584;mso-position-horizontal-relative:page;mso-position-vertical-relative:page;mso-width-relative:margin;mso-height-relative:margin" coordorigin=",-212" coordsize="121888,187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">
                    <o:lock v:ext="edit" aspectratio="t"/>
                    <v:rect id="Rectangle 664" o:spid="_x0000_s1027" style="position:absolute;top:16431;width:14398;height:2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" fillcolor="#6c3f99" stroked="f"/>
                    <v:shape id="Freeform 6" o:spid="_x0000_s1028" style="position:absolute;top:-212;width:121888;height:12963;visibility:visible;mso-wrap-style:square;v-text-anchor:top" coordsize="4841,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" path="m4214,370v,87,,87,,87c3766,457,3766,457,3766,457v,-436,,-436,,-436c4214,21,4214,21,4214,21v,83,,83,,83c3864,104,3864,104,3864,104v,89,,89,,89c4151,194,4151,194,4151,194v,83,,83,,83c3864,277,3864,277,3864,277v,93,,93,,93l4214,370xm4345,21v,436,,436,,436c4442,457,4442,457,4442,457v,-313,,-313,,-313c4753,457,4753,457,4753,457v88,,88,,88,c4841,21,4841,21,4841,21v-96,,-96,,-96,c4745,319,4745,319,4745,319,4450,21,4450,21,4450,21r-105,xm196,283v179,,179,,179,c283,109,283,109,283,109l196,283xm341,21c572,457,572,457,572,457v-108,,-108,,-108,c418,365,418,365,418,365v-265,,-265,,-265,c107,457,107,457,107,457,,457,,457,,457,231,21,231,21,231,21r110,xm2456,283c2366,106,2366,106,2366,106v-90,177,-90,177,-90,177l2456,283xm2422,21v232,436,232,436,232,436c2546,457,2546,457,2546,457v-47,-92,-47,-92,-47,-92c2234,365,2234,365,2234,365v-46,92,-46,92,-46,92c2081,457,2081,457,2081,457,2312,21,2312,21,2312,21r110,xm1015,325v-22,28,-49,46,-83,53c886,388,841,387,796,372,762,360,735,339,719,306,707,280,704,254,705,226v4,-58,36,-101,92,-121c837,91,879,89,920,96v40,7,73,27,96,60c1018,158,1020,160,1022,163v30,-15,60,-30,91,-46c1106,108,1100,99,1092,92,1051,49,1000,24,942,13,874,,808,6,744,30,683,53,639,93,617,155v-18,49,-19,99,-6,149c630,375,676,422,745,449v65,25,133,28,201,15c998,454,1045,432,1084,395v11,-11,21,-22,30,-36c1083,344,1054,329,1023,314v-3,4,-5,8,-8,11m1582,371v,-350,,-350,,-350c1483,21,1483,21,1483,21v,436,,436,,436c1891,457,1891,457,1891,457v,-86,,-86,,-86l1582,371xm2845,370v,-349,,-349,,-349c2747,21,2747,21,2747,21v,436,,436,,436c3155,457,3155,457,3155,457v,-87,,-87,,-87l2845,370xm3350,370v,-349,,-349,,-349c3253,21,3253,21,3253,21v,436,,436,,436c3660,457,3660,457,3660,457v,-87,,-87,,-87l3350,370xm1233,457v102,,102,,102,c1335,21,1335,21,1335,21v-102,,-102,,-102,l1233,457xe" fillcolor="#000100" stroked="f">
                      <v:path arrowok="t" o:connecttype="custom" o:connectlocs="10610144,1241977;9482156,57071;10610144,282638;9728903,524511;10451521,752795;9728903,1005539;10939980,57071;11184210,1241977;11967256,1241977;12188825,57071;11947113,866938;10939980,57071;944187,769101;493495,769101;1440200,1241977;1052454,991951;269408,1241977;581619,57071;6183796,769101;5730586,769101;6098189,57071;6410400,1241977;5624837,991951;5239609,1241977;6098189,57071;2346619,1027280;1810321,831608;2006712,285356;2558117,423957;2802347,317968;2371798,35330;1553502,421239;1875785,1220235;2729330,1073481;2575742,853349;3983210,1008257;3733945,57071;4761220,1241977;3983210,1008257;7163232,57071;6916485,1241977;7943760,1005539;8434737,1005539;8190508,57071;9215265,1241977;8434737,1005539;3361306,1241977;3104487,57071" o:connectangles="0,0,0,0,0,0,0,0,0,0,0,0,0,0,0,0,0,0,0,0,0,0,0,0,0,0,0,0,0,0,0,0,0,0,0,0,0,0,0,0,0,0,0,0,0,0,0,0"/>
                      <o:lock v:ext="edit" verticies="t"/>
                    </v:shape>
                    <w10:wrap anchorx="page" anchory="page"/>
                    <w10:anchorlock/>
                  </v:group>
                </w:pict>
              </mc:Fallback>
            </mc:AlternateContent>
          </w:r>
        </w:p>
      </w:tc>
      <w:tc>
        <w:tcPr>
          <w:tcW w:w="5173" w:type="dxa"/>
          <w:vAlign w:val="center"/>
        </w:tcPr>
        <w:p w14:paraId="2E56D40A" w14:textId="28E64B72" w:rsidR="002B32A0" w:rsidRDefault="002B32A0" w:rsidP="004A1654">
          <w:pPr>
            <w:pStyle w:val="Header-CompanyName"/>
          </w:pPr>
        </w:p>
      </w:tc>
    </w:tr>
  </w:tbl>
  <w:p w14:paraId="35FFE1E0" w14:textId="27B1F95A" w:rsidR="002B32A0" w:rsidRPr="009337C5" w:rsidRDefault="002B32A0" w:rsidP="00327E78">
    <w:pPr>
      <w:pStyle w:val="Header"/>
    </w:pP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02D2FF" w14:textId="77777777" w:rsidR="002B32A0" w:rsidRPr="009337C5" w:rsidRDefault="002B32A0" w:rsidP="00327E78">
    <w:pPr>
      <w:pStyle w:val="Header"/>
    </w:pP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9E8D8D" w14:textId="77777777" w:rsidR="002B32A0" w:rsidRPr="008A0C00" w:rsidRDefault="002B32A0" w:rsidP="008A0C00">
    <w:pPr>
      <w:pStyle w:val="Header"/>
    </w:pP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acTablenolines"/>
      <w:tblW w:w="10052" w:type="dxa"/>
      <w:tblLayout w:type="fixed"/>
      <w:tblLook w:val="04A0" w:firstRow="1" w:lastRow="0" w:firstColumn="1" w:lastColumn="0" w:noHBand="0" w:noVBand="1"/>
    </w:tblPr>
    <w:tblGrid>
      <w:gridCol w:w="5026"/>
      <w:gridCol w:w="5026"/>
    </w:tblGrid>
    <w:tr w:rsidR="002B32A0" w14:paraId="19BA67E1" w14:textId="77777777" w:rsidTr="000B0AC7">
      <w:trPr>
        <w:trHeight w:hRule="exact" w:val="356"/>
      </w:trPr>
      <w:tc>
        <w:tcPr>
          <w:tcW w:w="5026" w:type="dxa"/>
          <w:vAlign w:val="center"/>
        </w:tcPr>
        <w:p w14:paraId="24CF0088" w14:textId="77777777" w:rsidR="002B32A0" w:rsidRDefault="002B32A0" w:rsidP="008A0C00">
          <w:pPr>
            <w:pStyle w:val="spacer"/>
          </w:pPr>
          <w:r w:rsidRPr="000261B1">
            <w:rPr>
              <w:noProof/>
            </w:rPr>
            <mc:AlternateContent>
              <mc:Choice Requires="wpg">
                <w:drawing>
                  <wp:anchor distT="0" distB="0" distL="114300" distR="114300" simplePos="0" relativeHeight="251716608" behindDoc="0" locked="1" layoutInCell="1" allowOverlap="1" wp14:anchorId="319172C4" wp14:editId="33ECA0F2">
                    <wp:simplePos x="0" y="0"/>
                    <wp:positionH relativeFrom="page">
                      <wp:posOffset>0</wp:posOffset>
                    </wp:positionH>
                    <wp:positionV relativeFrom="page">
                      <wp:posOffset>69850</wp:posOffset>
                    </wp:positionV>
                    <wp:extent cx="981075" cy="142875"/>
                    <wp:effectExtent l="0" t="0" r="9525" b="9525"/>
                    <wp:wrapNone/>
                    <wp:docPr id="196" name="Group 1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981075" cy="142875"/>
                              <a:chOff x="0" y="-21209"/>
                              <a:chExt cx="12188825" cy="1878663"/>
                            </a:xfrm>
                          </wpg:grpSpPr>
                          <wps:wsp>
                            <wps:cNvPr id="118" name="Rectangle 197"/>
                            <wps:cNvSpPr>
                              <a:spLocks noChangeArrowheads="1"/>
                            </wps:cNvSpPr>
                            <wps:spPr bwMode="auto">
                              <a:xfrm>
                                <a:off x="0" y="1643143"/>
                                <a:ext cx="1439863" cy="214311"/>
                              </a:xfrm>
                              <a:prstGeom prst="rect">
                                <a:avLst/>
                              </a:prstGeom>
                              <a:solidFill>
                                <a:srgbClr val="6C3F99"/>
                              </a:solid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119" name="Freeform 6"/>
                            <wps:cNvSpPr>
                              <a:spLocks noEditPoints="1"/>
                            </wps:cNvSpPr>
                            <wps:spPr bwMode="auto">
                              <a:xfrm>
                                <a:off x="0" y="-21209"/>
                                <a:ext cx="12188825" cy="1296330"/>
                              </a:xfrm>
                              <a:custGeom>
                                <a:avLst/>
                                <a:gdLst>
                                  <a:gd name="T0" fmla="*/ 4214 w 4841"/>
                                  <a:gd name="T1" fmla="*/ 457 h 477"/>
                                  <a:gd name="T2" fmla="*/ 3766 w 4841"/>
                                  <a:gd name="T3" fmla="*/ 21 h 477"/>
                                  <a:gd name="T4" fmla="*/ 4214 w 4841"/>
                                  <a:gd name="T5" fmla="*/ 104 h 477"/>
                                  <a:gd name="T6" fmla="*/ 3864 w 4841"/>
                                  <a:gd name="T7" fmla="*/ 193 h 477"/>
                                  <a:gd name="T8" fmla="*/ 4151 w 4841"/>
                                  <a:gd name="T9" fmla="*/ 277 h 477"/>
                                  <a:gd name="T10" fmla="*/ 3864 w 4841"/>
                                  <a:gd name="T11" fmla="*/ 370 h 477"/>
                                  <a:gd name="T12" fmla="*/ 4345 w 4841"/>
                                  <a:gd name="T13" fmla="*/ 21 h 477"/>
                                  <a:gd name="T14" fmla="*/ 4442 w 4841"/>
                                  <a:gd name="T15" fmla="*/ 457 h 477"/>
                                  <a:gd name="T16" fmla="*/ 4753 w 4841"/>
                                  <a:gd name="T17" fmla="*/ 457 h 477"/>
                                  <a:gd name="T18" fmla="*/ 4841 w 4841"/>
                                  <a:gd name="T19" fmla="*/ 21 h 477"/>
                                  <a:gd name="T20" fmla="*/ 4745 w 4841"/>
                                  <a:gd name="T21" fmla="*/ 319 h 477"/>
                                  <a:gd name="T22" fmla="*/ 4345 w 4841"/>
                                  <a:gd name="T23" fmla="*/ 21 h 477"/>
                                  <a:gd name="T24" fmla="*/ 375 w 4841"/>
                                  <a:gd name="T25" fmla="*/ 283 h 477"/>
                                  <a:gd name="T26" fmla="*/ 196 w 4841"/>
                                  <a:gd name="T27" fmla="*/ 283 h 477"/>
                                  <a:gd name="T28" fmla="*/ 572 w 4841"/>
                                  <a:gd name="T29" fmla="*/ 457 h 477"/>
                                  <a:gd name="T30" fmla="*/ 418 w 4841"/>
                                  <a:gd name="T31" fmla="*/ 365 h 477"/>
                                  <a:gd name="T32" fmla="*/ 107 w 4841"/>
                                  <a:gd name="T33" fmla="*/ 457 h 477"/>
                                  <a:gd name="T34" fmla="*/ 231 w 4841"/>
                                  <a:gd name="T35" fmla="*/ 21 h 477"/>
                                  <a:gd name="T36" fmla="*/ 2456 w 4841"/>
                                  <a:gd name="T37" fmla="*/ 283 h 477"/>
                                  <a:gd name="T38" fmla="*/ 2276 w 4841"/>
                                  <a:gd name="T39" fmla="*/ 283 h 477"/>
                                  <a:gd name="T40" fmla="*/ 2422 w 4841"/>
                                  <a:gd name="T41" fmla="*/ 21 h 477"/>
                                  <a:gd name="T42" fmla="*/ 2546 w 4841"/>
                                  <a:gd name="T43" fmla="*/ 457 h 477"/>
                                  <a:gd name="T44" fmla="*/ 2234 w 4841"/>
                                  <a:gd name="T45" fmla="*/ 365 h 477"/>
                                  <a:gd name="T46" fmla="*/ 2081 w 4841"/>
                                  <a:gd name="T47" fmla="*/ 457 h 477"/>
                                  <a:gd name="T48" fmla="*/ 2422 w 4841"/>
                                  <a:gd name="T49" fmla="*/ 21 h 477"/>
                                  <a:gd name="T50" fmla="*/ 932 w 4841"/>
                                  <a:gd name="T51" fmla="*/ 378 h 477"/>
                                  <a:gd name="T52" fmla="*/ 719 w 4841"/>
                                  <a:gd name="T53" fmla="*/ 306 h 477"/>
                                  <a:gd name="T54" fmla="*/ 797 w 4841"/>
                                  <a:gd name="T55" fmla="*/ 105 h 477"/>
                                  <a:gd name="T56" fmla="*/ 1016 w 4841"/>
                                  <a:gd name="T57" fmla="*/ 156 h 477"/>
                                  <a:gd name="T58" fmla="*/ 1113 w 4841"/>
                                  <a:gd name="T59" fmla="*/ 117 h 477"/>
                                  <a:gd name="T60" fmla="*/ 942 w 4841"/>
                                  <a:gd name="T61" fmla="*/ 13 h 477"/>
                                  <a:gd name="T62" fmla="*/ 617 w 4841"/>
                                  <a:gd name="T63" fmla="*/ 155 h 477"/>
                                  <a:gd name="T64" fmla="*/ 745 w 4841"/>
                                  <a:gd name="T65" fmla="*/ 449 h 477"/>
                                  <a:gd name="T66" fmla="*/ 1084 w 4841"/>
                                  <a:gd name="T67" fmla="*/ 395 h 477"/>
                                  <a:gd name="T68" fmla="*/ 1023 w 4841"/>
                                  <a:gd name="T69" fmla="*/ 314 h 477"/>
                                  <a:gd name="T70" fmla="*/ 1582 w 4841"/>
                                  <a:gd name="T71" fmla="*/ 371 h 477"/>
                                  <a:gd name="T72" fmla="*/ 1483 w 4841"/>
                                  <a:gd name="T73" fmla="*/ 21 h 477"/>
                                  <a:gd name="T74" fmla="*/ 1891 w 4841"/>
                                  <a:gd name="T75" fmla="*/ 457 h 477"/>
                                  <a:gd name="T76" fmla="*/ 1582 w 4841"/>
                                  <a:gd name="T77" fmla="*/ 371 h 477"/>
                                  <a:gd name="T78" fmla="*/ 2845 w 4841"/>
                                  <a:gd name="T79" fmla="*/ 21 h 477"/>
                                  <a:gd name="T80" fmla="*/ 2747 w 4841"/>
                                  <a:gd name="T81" fmla="*/ 457 h 477"/>
                                  <a:gd name="T82" fmla="*/ 3155 w 4841"/>
                                  <a:gd name="T83" fmla="*/ 370 h 477"/>
                                  <a:gd name="T84" fmla="*/ 3350 w 4841"/>
                                  <a:gd name="T85" fmla="*/ 370 h 477"/>
                                  <a:gd name="T86" fmla="*/ 3253 w 4841"/>
                                  <a:gd name="T87" fmla="*/ 21 h 477"/>
                                  <a:gd name="T88" fmla="*/ 3660 w 4841"/>
                                  <a:gd name="T89" fmla="*/ 457 h 477"/>
                                  <a:gd name="T90" fmla="*/ 3350 w 4841"/>
                                  <a:gd name="T91" fmla="*/ 370 h 477"/>
                                  <a:gd name="T92" fmla="*/ 1335 w 4841"/>
                                  <a:gd name="T93" fmla="*/ 457 h 477"/>
                                  <a:gd name="T94" fmla="*/ 1233 w 4841"/>
                                  <a:gd name="T95" fmla="*/ 21 h 4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4841" h="477">
                                    <a:moveTo>
                                      <a:pt x="4214" y="370"/>
                                    </a:moveTo>
                                    <a:cubicBezTo>
                                      <a:pt x="4214" y="457"/>
                                      <a:pt x="4214" y="457"/>
                                      <a:pt x="4214" y="457"/>
                                    </a:cubicBezTo>
                                    <a:cubicBezTo>
                                      <a:pt x="3766" y="457"/>
                                      <a:pt x="3766" y="457"/>
                                      <a:pt x="3766" y="457"/>
                                    </a:cubicBezTo>
                                    <a:cubicBezTo>
                                      <a:pt x="3766" y="21"/>
                                      <a:pt x="3766" y="21"/>
                                      <a:pt x="3766" y="21"/>
                                    </a:cubicBezTo>
                                    <a:cubicBezTo>
                                      <a:pt x="4214" y="21"/>
                                      <a:pt x="4214" y="21"/>
                                      <a:pt x="4214" y="21"/>
                                    </a:cubicBezTo>
                                    <a:cubicBezTo>
                                      <a:pt x="4214" y="104"/>
                                      <a:pt x="4214" y="104"/>
                                      <a:pt x="4214" y="104"/>
                                    </a:cubicBezTo>
                                    <a:cubicBezTo>
                                      <a:pt x="3864" y="104"/>
                                      <a:pt x="3864" y="104"/>
                                      <a:pt x="3864" y="104"/>
                                    </a:cubicBezTo>
                                    <a:cubicBezTo>
                                      <a:pt x="3864" y="193"/>
                                      <a:pt x="3864" y="193"/>
                                      <a:pt x="3864" y="193"/>
                                    </a:cubicBezTo>
                                    <a:cubicBezTo>
                                      <a:pt x="4151" y="194"/>
                                      <a:pt x="4151" y="194"/>
                                      <a:pt x="4151" y="194"/>
                                    </a:cubicBezTo>
                                    <a:cubicBezTo>
                                      <a:pt x="4151" y="277"/>
                                      <a:pt x="4151" y="277"/>
                                      <a:pt x="4151" y="277"/>
                                    </a:cubicBezTo>
                                    <a:cubicBezTo>
                                      <a:pt x="3864" y="277"/>
                                      <a:pt x="3864" y="277"/>
                                      <a:pt x="3864" y="277"/>
                                    </a:cubicBezTo>
                                    <a:cubicBezTo>
                                      <a:pt x="3864" y="370"/>
                                      <a:pt x="3864" y="370"/>
                                      <a:pt x="3864" y="370"/>
                                    </a:cubicBezTo>
                                    <a:lnTo>
                                      <a:pt x="4214" y="370"/>
                                    </a:lnTo>
                                    <a:close/>
                                    <a:moveTo>
                                      <a:pt x="4345" y="21"/>
                                    </a:moveTo>
                                    <a:cubicBezTo>
                                      <a:pt x="4345" y="457"/>
                                      <a:pt x="4345" y="457"/>
                                      <a:pt x="4345" y="457"/>
                                    </a:cubicBezTo>
                                    <a:cubicBezTo>
                                      <a:pt x="4442" y="457"/>
                                      <a:pt x="4442" y="457"/>
                                      <a:pt x="4442" y="457"/>
                                    </a:cubicBezTo>
                                    <a:cubicBezTo>
                                      <a:pt x="4442" y="144"/>
                                      <a:pt x="4442" y="144"/>
                                      <a:pt x="4442" y="144"/>
                                    </a:cubicBezTo>
                                    <a:cubicBezTo>
                                      <a:pt x="4753" y="457"/>
                                      <a:pt x="4753" y="457"/>
                                      <a:pt x="4753" y="457"/>
                                    </a:cubicBezTo>
                                    <a:cubicBezTo>
                                      <a:pt x="4841" y="457"/>
                                      <a:pt x="4841" y="457"/>
                                      <a:pt x="4841" y="457"/>
                                    </a:cubicBezTo>
                                    <a:cubicBezTo>
                                      <a:pt x="4841" y="21"/>
                                      <a:pt x="4841" y="21"/>
                                      <a:pt x="4841" y="21"/>
                                    </a:cubicBezTo>
                                    <a:cubicBezTo>
                                      <a:pt x="4745" y="21"/>
                                      <a:pt x="4745" y="21"/>
                                      <a:pt x="4745" y="21"/>
                                    </a:cubicBezTo>
                                    <a:cubicBezTo>
                                      <a:pt x="4745" y="319"/>
                                      <a:pt x="4745" y="319"/>
                                      <a:pt x="4745" y="319"/>
                                    </a:cubicBezTo>
                                    <a:cubicBezTo>
                                      <a:pt x="4450" y="21"/>
                                      <a:pt x="4450" y="21"/>
                                      <a:pt x="4450" y="21"/>
                                    </a:cubicBezTo>
                                    <a:lnTo>
                                      <a:pt x="4345" y="21"/>
                                    </a:lnTo>
                                    <a:close/>
                                    <a:moveTo>
                                      <a:pt x="196" y="283"/>
                                    </a:moveTo>
                                    <a:cubicBezTo>
                                      <a:pt x="375" y="283"/>
                                      <a:pt x="375" y="283"/>
                                      <a:pt x="375" y="283"/>
                                    </a:cubicBezTo>
                                    <a:cubicBezTo>
                                      <a:pt x="283" y="109"/>
                                      <a:pt x="283" y="109"/>
                                      <a:pt x="283" y="109"/>
                                    </a:cubicBezTo>
                                    <a:lnTo>
                                      <a:pt x="196" y="283"/>
                                    </a:lnTo>
                                    <a:close/>
                                    <a:moveTo>
                                      <a:pt x="341" y="21"/>
                                    </a:moveTo>
                                    <a:cubicBezTo>
                                      <a:pt x="572" y="457"/>
                                      <a:pt x="572" y="457"/>
                                      <a:pt x="572" y="457"/>
                                    </a:cubicBezTo>
                                    <a:cubicBezTo>
                                      <a:pt x="464" y="457"/>
                                      <a:pt x="464" y="457"/>
                                      <a:pt x="464" y="457"/>
                                    </a:cubicBezTo>
                                    <a:cubicBezTo>
                                      <a:pt x="418" y="365"/>
                                      <a:pt x="418" y="365"/>
                                      <a:pt x="418" y="365"/>
                                    </a:cubicBezTo>
                                    <a:cubicBezTo>
                                      <a:pt x="153" y="365"/>
                                      <a:pt x="153" y="365"/>
                                      <a:pt x="153" y="365"/>
                                    </a:cubicBezTo>
                                    <a:cubicBezTo>
                                      <a:pt x="107" y="457"/>
                                      <a:pt x="107" y="457"/>
                                      <a:pt x="107" y="457"/>
                                    </a:cubicBezTo>
                                    <a:cubicBezTo>
                                      <a:pt x="0" y="457"/>
                                      <a:pt x="0" y="457"/>
                                      <a:pt x="0" y="457"/>
                                    </a:cubicBezTo>
                                    <a:cubicBezTo>
                                      <a:pt x="231" y="21"/>
                                      <a:pt x="231" y="21"/>
                                      <a:pt x="231" y="21"/>
                                    </a:cubicBezTo>
                                    <a:lnTo>
                                      <a:pt x="341" y="21"/>
                                    </a:lnTo>
                                    <a:close/>
                                    <a:moveTo>
                                      <a:pt x="2456" y="283"/>
                                    </a:moveTo>
                                    <a:cubicBezTo>
                                      <a:pt x="2366" y="106"/>
                                      <a:pt x="2366" y="106"/>
                                      <a:pt x="2366" y="106"/>
                                    </a:cubicBezTo>
                                    <a:cubicBezTo>
                                      <a:pt x="2276" y="283"/>
                                      <a:pt x="2276" y="283"/>
                                      <a:pt x="2276" y="283"/>
                                    </a:cubicBezTo>
                                    <a:lnTo>
                                      <a:pt x="2456" y="283"/>
                                    </a:lnTo>
                                    <a:close/>
                                    <a:moveTo>
                                      <a:pt x="2422" y="21"/>
                                    </a:moveTo>
                                    <a:cubicBezTo>
                                      <a:pt x="2654" y="457"/>
                                      <a:pt x="2654" y="457"/>
                                      <a:pt x="2654" y="457"/>
                                    </a:cubicBezTo>
                                    <a:cubicBezTo>
                                      <a:pt x="2546" y="457"/>
                                      <a:pt x="2546" y="457"/>
                                      <a:pt x="2546" y="457"/>
                                    </a:cubicBezTo>
                                    <a:cubicBezTo>
                                      <a:pt x="2499" y="365"/>
                                      <a:pt x="2499" y="365"/>
                                      <a:pt x="2499" y="365"/>
                                    </a:cubicBezTo>
                                    <a:cubicBezTo>
                                      <a:pt x="2234" y="365"/>
                                      <a:pt x="2234" y="365"/>
                                      <a:pt x="2234" y="365"/>
                                    </a:cubicBezTo>
                                    <a:cubicBezTo>
                                      <a:pt x="2188" y="457"/>
                                      <a:pt x="2188" y="457"/>
                                      <a:pt x="2188" y="457"/>
                                    </a:cubicBezTo>
                                    <a:cubicBezTo>
                                      <a:pt x="2081" y="457"/>
                                      <a:pt x="2081" y="457"/>
                                      <a:pt x="2081" y="457"/>
                                    </a:cubicBezTo>
                                    <a:cubicBezTo>
                                      <a:pt x="2312" y="21"/>
                                      <a:pt x="2312" y="21"/>
                                      <a:pt x="2312" y="21"/>
                                    </a:cubicBezTo>
                                    <a:lnTo>
                                      <a:pt x="2422" y="21"/>
                                    </a:lnTo>
                                    <a:close/>
                                    <a:moveTo>
                                      <a:pt x="1015" y="325"/>
                                    </a:moveTo>
                                    <a:cubicBezTo>
                                      <a:pt x="993" y="353"/>
                                      <a:pt x="966" y="371"/>
                                      <a:pt x="932" y="378"/>
                                    </a:cubicBezTo>
                                    <a:cubicBezTo>
                                      <a:pt x="886" y="388"/>
                                      <a:pt x="841" y="387"/>
                                      <a:pt x="796" y="372"/>
                                    </a:cubicBezTo>
                                    <a:cubicBezTo>
                                      <a:pt x="762" y="360"/>
                                      <a:pt x="735" y="339"/>
                                      <a:pt x="719" y="306"/>
                                    </a:cubicBezTo>
                                    <a:cubicBezTo>
                                      <a:pt x="707" y="280"/>
                                      <a:pt x="704" y="254"/>
                                      <a:pt x="705" y="226"/>
                                    </a:cubicBezTo>
                                    <a:cubicBezTo>
                                      <a:pt x="709" y="168"/>
                                      <a:pt x="741" y="125"/>
                                      <a:pt x="797" y="105"/>
                                    </a:cubicBezTo>
                                    <a:cubicBezTo>
                                      <a:pt x="837" y="91"/>
                                      <a:pt x="879" y="89"/>
                                      <a:pt x="920" y="96"/>
                                    </a:cubicBezTo>
                                    <a:cubicBezTo>
                                      <a:pt x="960" y="103"/>
                                      <a:pt x="993" y="123"/>
                                      <a:pt x="1016" y="156"/>
                                    </a:cubicBezTo>
                                    <a:cubicBezTo>
                                      <a:pt x="1018" y="158"/>
                                      <a:pt x="1020" y="160"/>
                                      <a:pt x="1022" y="163"/>
                                    </a:cubicBezTo>
                                    <a:cubicBezTo>
                                      <a:pt x="1052" y="148"/>
                                      <a:pt x="1082" y="133"/>
                                      <a:pt x="1113" y="117"/>
                                    </a:cubicBezTo>
                                    <a:cubicBezTo>
                                      <a:pt x="1106" y="108"/>
                                      <a:pt x="1100" y="99"/>
                                      <a:pt x="1092" y="92"/>
                                    </a:cubicBezTo>
                                    <a:cubicBezTo>
                                      <a:pt x="1051" y="49"/>
                                      <a:pt x="1000" y="24"/>
                                      <a:pt x="942" y="13"/>
                                    </a:cubicBezTo>
                                    <a:cubicBezTo>
                                      <a:pt x="874" y="0"/>
                                      <a:pt x="808" y="6"/>
                                      <a:pt x="744" y="30"/>
                                    </a:cubicBezTo>
                                    <a:cubicBezTo>
                                      <a:pt x="683" y="53"/>
                                      <a:pt x="639" y="93"/>
                                      <a:pt x="617" y="155"/>
                                    </a:cubicBezTo>
                                    <a:cubicBezTo>
                                      <a:pt x="599" y="204"/>
                                      <a:pt x="598" y="254"/>
                                      <a:pt x="611" y="304"/>
                                    </a:cubicBezTo>
                                    <a:cubicBezTo>
                                      <a:pt x="630" y="375"/>
                                      <a:pt x="676" y="422"/>
                                      <a:pt x="745" y="449"/>
                                    </a:cubicBezTo>
                                    <a:cubicBezTo>
                                      <a:pt x="810" y="474"/>
                                      <a:pt x="878" y="477"/>
                                      <a:pt x="946" y="464"/>
                                    </a:cubicBezTo>
                                    <a:cubicBezTo>
                                      <a:pt x="998" y="454"/>
                                      <a:pt x="1045" y="432"/>
                                      <a:pt x="1084" y="395"/>
                                    </a:cubicBezTo>
                                    <a:cubicBezTo>
                                      <a:pt x="1095" y="384"/>
                                      <a:pt x="1105" y="373"/>
                                      <a:pt x="1114" y="359"/>
                                    </a:cubicBezTo>
                                    <a:cubicBezTo>
                                      <a:pt x="1083" y="344"/>
                                      <a:pt x="1054" y="329"/>
                                      <a:pt x="1023" y="314"/>
                                    </a:cubicBezTo>
                                    <a:cubicBezTo>
                                      <a:pt x="1020" y="318"/>
                                      <a:pt x="1018" y="322"/>
                                      <a:pt x="1015" y="325"/>
                                    </a:cubicBezTo>
                                    <a:moveTo>
                                      <a:pt x="1582" y="371"/>
                                    </a:moveTo>
                                    <a:cubicBezTo>
                                      <a:pt x="1582" y="21"/>
                                      <a:pt x="1582" y="21"/>
                                      <a:pt x="1582" y="21"/>
                                    </a:cubicBezTo>
                                    <a:cubicBezTo>
                                      <a:pt x="1483" y="21"/>
                                      <a:pt x="1483" y="21"/>
                                      <a:pt x="1483" y="21"/>
                                    </a:cubicBezTo>
                                    <a:cubicBezTo>
                                      <a:pt x="1483" y="457"/>
                                      <a:pt x="1483" y="457"/>
                                      <a:pt x="1483" y="457"/>
                                    </a:cubicBezTo>
                                    <a:cubicBezTo>
                                      <a:pt x="1891" y="457"/>
                                      <a:pt x="1891" y="457"/>
                                      <a:pt x="1891" y="457"/>
                                    </a:cubicBezTo>
                                    <a:cubicBezTo>
                                      <a:pt x="1891" y="371"/>
                                      <a:pt x="1891" y="371"/>
                                      <a:pt x="1891" y="371"/>
                                    </a:cubicBezTo>
                                    <a:lnTo>
                                      <a:pt x="1582" y="371"/>
                                    </a:lnTo>
                                    <a:close/>
                                    <a:moveTo>
                                      <a:pt x="2845" y="370"/>
                                    </a:moveTo>
                                    <a:cubicBezTo>
                                      <a:pt x="2845" y="21"/>
                                      <a:pt x="2845" y="21"/>
                                      <a:pt x="2845" y="21"/>
                                    </a:cubicBezTo>
                                    <a:cubicBezTo>
                                      <a:pt x="2747" y="21"/>
                                      <a:pt x="2747" y="21"/>
                                      <a:pt x="2747" y="21"/>
                                    </a:cubicBezTo>
                                    <a:cubicBezTo>
                                      <a:pt x="2747" y="457"/>
                                      <a:pt x="2747" y="457"/>
                                      <a:pt x="2747" y="457"/>
                                    </a:cubicBezTo>
                                    <a:cubicBezTo>
                                      <a:pt x="3155" y="457"/>
                                      <a:pt x="3155" y="457"/>
                                      <a:pt x="3155" y="457"/>
                                    </a:cubicBezTo>
                                    <a:cubicBezTo>
                                      <a:pt x="3155" y="370"/>
                                      <a:pt x="3155" y="370"/>
                                      <a:pt x="3155" y="370"/>
                                    </a:cubicBezTo>
                                    <a:lnTo>
                                      <a:pt x="2845" y="370"/>
                                    </a:lnTo>
                                    <a:close/>
                                    <a:moveTo>
                                      <a:pt x="3350" y="370"/>
                                    </a:moveTo>
                                    <a:cubicBezTo>
                                      <a:pt x="3350" y="21"/>
                                      <a:pt x="3350" y="21"/>
                                      <a:pt x="3350" y="21"/>
                                    </a:cubicBezTo>
                                    <a:cubicBezTo>
                                      <a:pt x="3253" y="21"/>
                                      <a:pt x="3253" y="21"/>
                                      <a:pt x="3253" y="21"/>
                                    </a:cubicBezTo>
                                    <a:cubicBezTo>
                                      <a:pt x="3253" y="457"/>
                                      <a:pt x="3253" y="457"/>
                                      <a:pt x="3253" y="457"/>
                                    </a:cubicBezTo>
                                    <a:cubicBezTo>
                                      <a:pt x="3660" y="457"/>
                                      <a:pt x="3660" y="457"/>
                                      <a:pt x="3660" y="457"/>
                                    </a:cubicBezTo>
                                    <a:cubicBezTo>
                                      <a:pt x="3660" y="370"/>
                                      <a:pt x="3660" y="370"/>
                                      <a:pt x="3660" y="370"/>
                                    </a:cubicBezTo>
                                    <a:lnTo>
                                      <a:pt x="3350" y="370"/>
                                    </a:lnTo>
                                    <a:close/>
                                    <a:moveTo>
                                      <a:pt x="1233" y="457"/>
                                    </a:moveTo>
                                    <a:cubicBezTo>
                                      <a:pt x="1335" y="457"/>
                                      <a:pt x="1335" y="457"/>
                                      <a:pt x="1335" y="457"/>
                                    </a:cubicBezTo>
                                    <a:cubicBezTo>
                                      <a:pt x="1335" y="21"/>
                                      <a:pt x="1335" y="21"/>
                                      <a:pt x="1335" y="21"/>
                                    </a:cubicBezTo>
                                    <a:cubicBezTo>
                                      <a:pt x="1233" y="21"/>
                                      <a:pt x="1233" y="21"/>
                                      <a:pt x="1233" y="21"/>
                                    </a:cubicBezTo>
                                    <a:lnTo>
                                      <a:pt x="1233" y="457"/>
                                    </a:lnTo>
                                    <a:close/>
                                  </a:path>
                                </a:pathLst>
                              </a:custGeom>
                              <a:solidFill>
                                <a:srgbClr val="FFFE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287F5971" id="Group 196" o:spid="_x0000_s1026" alt="&quot;&quot;" style="position:absolute;margin-left:0;margin-top:5.5pt;width:77.25pt;height:11.25pt;z-index:251716608;mso-position-horizontal-relative:page;mso-position-vertical-relative:page;mso-width-relative:margin;mso-height-relative:margin" coordorigin=",-212" coordsize="121888,187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">
                    <o:lock v:ext="edit" aspectratio="t"/>
                    <v:rect id="Rectangle 197" o:spid="_x0000_s1027" style="position:absolute;top:16431;width:14398;height:2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" fillcolor="#6c3f99" stroked="f"/>
                    <v:shape id="Freeform 6" o:spid="_x0000_s1028" style="position:absolute;top:-212;width:121888;height:12963;visibility:visible;mso-wrap-style:square;v-text-anchor:top" coordsize="4841,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" path="m4214,370v,87,,87,,87c3766,457,3766,457,3766,457v,-436,,-436,,-436c4214,21,4214,21,4214,21v,83,,83,,83c3864,104,3864,104,3864,104v,89,,89,,89c4151,194,4151,194,4151,194v,83,,83,,83c3864,277,3864,277,3864,277v,93,,93,,93l4214,370xm4345,21v,436,,436,,436c4442,457,4442,457,4442,457v,-313,,-313,,-313c4753,457,4753,457,4753,457v88,,88,,88,c4841,21,4841,21,4841,21v-96,,-96,,-96,c4745,319,4745,319,4745,319,4450,21,4450,21,4450,21r-105,xm196,283v179,,179,,179,c283,109,283,109,283,109l196,283xm341,21c572,457,572,457,572,457v-108,,-108,,-108,c418,365,418,365,418,365v-265,,-265,,-265,c107,457,107,457,107,457,,457,,457,,457,231,21,231,21,231,21r110,xm2456,283c2366,106,2366,106,2366,106v-90,177,-90,177,-90,177l2456,283xm2422,21v232,436,232,436,232,436c2546,457,2546,457,2546,457v-47,-92,-47,-92,-47,-92c2234,365,2234,365,2234,365v-46,92,-46,92,-46,92c2081,457,2081,457,2081,457,2312,21,2312,21,2312,21r110,xm1015,325v-22,28,-49,46,-83,53c886,388,841,387,796,372,762,360,735,339,719,306,707,280,704,254,705,226v4,-58,36,-101,92,-121c837,91,879,89,920,96v40,7,73,27,96,60c1018,158,1020,160,1022,163v30,-15,60,-30,91,-46c1106,108,1100,99,1092,92,1051,49,1000,24,942,13,874,,808,6,744,30,683,53,639,93,617,155v-18,49,-19,99,-6,149c630,375,676,422,745,449v65,25,133,28,201,15c998,454,1045,432,1084,395v11,-11,21,-22,30,-36c1083,344,1054,329,1023,314v-3,4,-5,8,-8,11m1582,371v,-350,,-350,,-350c1483,21,1483,21,1483,21v,436,,436,,436c1891,457,1891,457,1891,457v,-86,,-86,,-86l1582,371xm2845,370v,-349,,-349,,-349c2747,21,2747,21,2747,21v,436,,436,,436c3155,457,3155,457,3155,457v,-87,,-87,,-87l2845,370xm3350,370v,-349,,-349,,-349c3253,21,3253,21,3253,21v,436,,436,,436c3660,457,3660,457,3660,457v,-87,,-87,,-87l3350,370xm1233,457v102,,102,,102,c1335,21,1335,21,1335,21v-102,,-102,,-102,l1233,457xe" fillcolor="#fffeff" stroked="f">
                      <v:path arrowok="t" o:connecttype="custom" o:connectlocs="10610144,1241977;9482156,57071;10610144,282638;9728903,524511;10451521,752795;9728903,1005539;10939980,57071;11184210,1241977;11967256,1241977;12188825,57071;11947113,866938;10939980,57071;944187,769101;493495,769101;1440200,1241977;1052454,991951;269408,1241977;581619,57071;6183796,769101;5730586,769101;6098189,57071;6410400,1241977;5624837,991951;5239609,1241977;6098189,57071;2346619,1027280;1810321,831608;2006712,285356;2558117,423957;2802347,317968;2371798,35330;1553502,421239;1875785,1220235;2729330,1073481;2575742,853349;3983210,1008257;3733945,57071;4761220,1241977;3983210,1008257;7163232,57071;6916485,1241977;7943760,1005539;8434737,1005539;8190508,57071;9215265,1241977;8434737,1005539;3361306,1241977;3104487,57071" o:connectangles="0,0,0,0,0,0,0,0,0,0,0,0,0,0,0,0,0,0,0,0,0,0,0,0,0,0,0,0,0,0,0,0,0,0,0,0,0,0,0,0,0,0,0,0,0,0,0,0"/>
                      <o:lock v:ext="edit" verticies="t"/>
                    </v:shape>
                    <w10:wrap anchorx="page" anchory="page"/>
                    <w10:anchorlock/>
                  </v:group>
                </w:pict>
              </mc:Fallback>
            </mc:AlternateContent>
          </w:r>
        </w:p>
      </w:tc>
      <w:tc>
        <w:tcPr>
          <w:tcW w:w="5026" w:type="dxa"/>
          <w:vAlign w:val="center"/>
        </w:tcPr>
        <w:p w14:paraId="34541BC7" w14:textId="47A8323D" w:rsidR="002B32A0" w:rsidRDefault="002B32A0" w:rsidP="004A1654">
          <w:pPr>
            <w:pStyle w:val="Header-CompanyName"/>
          </w:pPr>
        </w:p>
      </w:tc>
    </w:tr>
  </w:tbl>
  <w:p w14:paraId="1F2FDA43" w14:textId="382A7E1A" w:rsidR="002B32A0" w:rsidRPr="008A0C00" w:rsidRDefault="002B32A0" w:rsidP="008A0C00">
    <w:pPr>
      <w:pStyle w:val="tagpartBanner"/>
    </w:pPr>
    <w:r>
      <w:rPr>
        <w:noProof/>
      </w:rPr>
      <mc:AlternateContent>
        <mc:Choice Requires="wps">
          <w:drawing>
            <wp:anchor distT="0" distB="0" distL="114300" distR="114300" simplePos="0" relativeHeight="251672576" behindDoc="1" locked="1" layoutInCell="1" allowOverlap="1" wp14:anchorId="42E53D23" wp14:editId="6F674958">
              <wp:simplePos x="0" y="0"/>
              <wp:positionH relativeFrom="page">
                <wp:posOffset>0</wp:posOffset>
              </wp:positionH>
              <wp:positionV relativeFrom="page">
                <wp:posOffset>0</wp:posOffset>
              </wp:positionV>
              <wp:extent cx="7560310" cy="10692130"/>
              <wp:effectExtent l="0" t="0" r="2540" b="0"/>
              <wp:wrapNone/>
              <wp:docPr id="195" name="Rectangle 19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0310" cy="10692130"/>
                      </a:xfrm>
                      <a:prstGeom prst="rect">
                        <a:avLst/>
                      </a:prstGeom>
                      <a:solidFill>
                        <a:srgbClr val="14003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5E88D70" id="Rectangle 195" o:spid="_x0000_s1026" alt="&quot;&quot;" style="position:absolute;margin-left:0;margin-top:0;width:595.3pt;height:841.9pt;z-index:-251643904;visibility:visible;mso-wrap-style:square;mso-wrap-distance-left:9pt;mso-wrap-distance-top:0;mso-wrap-distance-right:9pt;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" fillcolor="#140034" stroked="f" strokeweight="1pt">
              <w10:wrap anchorx="page" anchory="page"/>
              <w10:anchorlock/>
            </v:rect>
          </w:pict>
        </mc:Fallback>
      </mc:AlternateContent>
    </w: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7F2BF5" w14:textId="77777777" w:rsidR="002B32A0" w:rsidRPr="008A0C00" w:rsidRDefault="002B32A0" w:rsidP="008A0C00">
    <w:pPr>
      <w:pStyle w:val="Header"/>
    </w:pP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180299" w14:textId="77777777" w:rsidR="002B32A0" w:rsidRDefault="002B32A0">
    <w:pPr>
      <w:pStyle w:val="Header"/>
    </w:pP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acTablenolines"/>
      <w:tblW w:w="10363" w:type="dxa"/>
      <w:tblInd w:w="-2427" w:type="dxa"/>
      <w:tblLayout w:type="fixed"/>
      <w:tblLook w:val="04A0" w:firstRow="1" w:lastRow="0" w:firstColumn="1" w:lastColumn="0" w:noHBand="0" w:noVBand="1"/>
    </w:tblPr>
    <w:tblGrid>
      <w:gridCol w:w="5182"/>
      <w:gridCol w:w="5181"/>
    </w:tblGrid>
    <w:tr w:rsidR="002B32A0" w14:paraId="15C51CC7" w14:textId="77777777" w:rsidTr="000B0AC7">
      <w:trPr>
        <w:trHeight w:hRule="exact" w:val="356"/>
      </w:trPr>
      <w:tc>
        <w:tcPr>
          <w:tcW w:w="5182" w:type="dxa"/>
          <w:vAlign w:val="center"/>
        </w:tcPr>
        <w:p w14:paraId="16A96188" w14:textId="77777777" w:rsidR="002B32A0" w:rsidRDefault="002B32A0" w:rsidP="00026E9C">
          <w:pPr>
            <w:pStyle w:val="spacer"/>
          </w:pPr>
          <w:r w:rsidRPr="000261B1">
            <w:rPr>
              <w:noProof/>
            </w:rPr>
            <mc:AlternateContent>
              <mc:Choice Requires="wpg">
                <w:drawing>
                  <wp:anchor distT="0" distB="0" distL="114300" distR="114300" simplePos="0" relativeHeight="251717632" behindDoc="0" locked="1" layoutInCell="1" allowOverlap="1" wp14:anchorId="3578C834" wp14:editId="75A547C8">
                    <wp:simplePos x="0" y="0"/>
                    <wp:positionH relativeFrom="page">
                      <wp:posOffset>0</wp:posOffset>
                    </wp:positionH>
                    <wp:positionV relativeFrom="page">
                      <wp:posOffset>69850</wp:posOffset>
                    </wp:positionV>
                    <wp:extent cx="981075" cy="142875"/>
                    <wp:effectExtent l="0" t="0" r="9525" b="9525"/>
                    <wp:wrapNone/>
                    <wp:docPr id="608" name="Group 60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981075" cy="142875"/>
                              <a:chOff x="0" y="-21209"/>
                              <a:chExt cx="12188825" cy="1878663"/>
                            </a:xfrm>
                          </wpg:grpSpPr>
                          <wps:wsp>
                            <wps:cNvPr id="660" name="Rectangle 13"/>
                            <wps:cNvSpPr>
                              <a:spLocks noChangeArrowheads="1"/>
                            </wps:cNvSpPr>
                            <wps:spPr bwMode="auto">
                              <a:xfrm>
                                <a:off x="0" y="1643143"/>
                                <a:ext cx="1439863" cy="214311"/>
                              </a:xfrm>
                              <a:prstGeom prst="rect">
                                <a:avLst/>
                              </a:prstGeom>
                              <a:solidFill>
                                <a:srgbClr val="6C3F99"/>
                              </a:solid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661" name="Freeform 6"/>
                            <wps:cNvSpPr>
                              <a:spLocks noEditPoints="1"/>
                            </wps:cNvSpPr>
                            <wps:spPr bwMode="auto">
                              <a:xfrm>
                                <a:off x="0" y="-21209"/>
                                <a:ext cx="12188825" cy="1296330"/>
                              </a:xfrm>
                              <a:custGeom>
                                <a:avLst/>
                                <a:gdLst>
                                  <a:gd name="T0" fmla="*/ 4214 w 4841"/>
                                  <a:gd name="T1" fmla="*/ 457 h 477"/>
                                  <a:gd name="T2" fmla="*/ 3766 w 4841"/>
                                  <a:gd name="T3" fmla="*/ 21 h 477"/>
                                  <a:gd name="T4" fmla="*/ 4214 w 4841"/>
                                  <a:gd name="T5" fmla="*/ 104 h 477"/>
                                  <a:gd name="T6" fmla="*/ 3864 w 4841"/>
                                  <a:gd name="T7" fmla="*/ 193 h 477"/>
                                  <a:gd name="T8" fmla="*/ 4151 w 4841"/>
                                  <a:gd name="T9" fmla="*/ 277 h 477"/>
                                  <a:gd name="T10" fmla="*/ 3864 w 4841"/>
                                  <a:gd name="T11" fmla="*/ 370 h 477"/>
                                  <a:gd name="T12" fmla="*/ 4345 w 4841"/>
                                  <a:gd name="T13" fmla="*/ 21 h 477"/>
                                  <a:gd name="T14" fmla="*/ 4442 w 4841"/>
                                  <a:gd name="T15" fmla="*/ 457 h 477"/>
                                  <a:gd name="T16" fmla="*/ 4753 w 4841"/>
                                  <a:gd name="T17" fmla="*/ 457 h 477"/>
                                  <a:gd name="T18" fmla="*/ 4841 w 4841"/>
                                  <a:gd name="T19" fmla="*/ 21 h 477"/>
                                  <a:gd name="T20" fmla="*/ 4745 w 4841"/>
                                  <a:gd name="T21" fmla="*/ 319 h 477"/>
                                  <a:gd name="T22" fmla="*/ 4345 w 4841"/>
                                  <a:gd name="T23" fmla="*/ 21 h 477"/>
                                  <a:gd name="T24" fmla="*/ 375 w 4841"/>
                                  <a:gd name="T25" fmla="*/ 283 h 477"/>
                                  <a:gd name="T26" fmla="*/ 196 w 4841"/>
                                  <a:gd name="T27" fmla="*/ 283 h 477"/>
                                  <a:gd name="T28" fmla="*/ 572 w 4841"/>
                                  <a:gd name="T29" fmla="*/ 457 h 477"/>
                                  <a:gd name="T30" fmla="*/ 418 w 4841"/>
                                  <a:gd name="T31" fmla="*/ 365 h 477"/>
                                  <a:gd name="T32" fmla="*/ 107 w 4841"/>
                                  <a:gd name="T33" fmla="*/ 457 h 477"/>
                                  <a:gd name="T34" fmla="*/ 231 w 4841"/>
                                  <a:gd name="T35" fmla="*/ 21 h 477"/>
                                  <a:gd name="T36" fmla="*/ 2456 w 4841"/>
                                  <a:gd name="T37" fmla="*/ 283 h 477"/>
                                  <a:gd name="T38" fmla="*/ 2276 w 4841"/>
                                  <a:gd name="T39" fmla="*/ 283 h 477"/>
                                  <a:gd name="T40" fmla="*/ 2422 w 4841"/>
                                  <a:gd name="T41" fmla="*/ 21 h 477"/>
                                  <a:gd name="T42" fmla="*/ 2546 w 4841"/>
                                  <a:gd name="T43" fmla="*/ 457 h 477"/>
                                  <a:gd name="T44" fmla="*/ 2234 w 4841"/>
                                  <a:gd name="T45" fmla="*/ 365 h 477"/>
                                  <a:gd name="T46" fmla="*/ 2081 w 4841"/>
                                  <a:gd name="T47" fmla="*/ 457 h 477"/>
                                  <a:gd name="T48" fmla="*/ 2422 w 4841"/>
                                  <a:gd name="T49" fmla="*/ 21 h 477"/>
                                  <a:gd name="T50" fmla="*/ 932 w 4841"/>
                                  <a:gd name="T51" fmla="*/ 378 h 477"/>
                                  <a:gd name="T52" fmla="*/ 719 w 4841"/>
                                  <a:gd name="T53" fmla="*/ 306 h 477"/>
                                  <a:gd name="T54" fmla="*/ 797 w 4841"/>
                                  <a:gd name="T55" fmla="*/ 105 h 477"/>
                                  <a:gd name="T56" fmla="*/ 1016 w 4841"/>
                                  <a:gd name="T57" fmla="*/ 156 h 477"/>
                                  <a:gd name="T58" fmla="*/ 1113 w 4841"/>
                                  <a:gd name="T59" fmla="*/ 117 h 477"/>
                                  <a:gd name="T60" fmla="*/ 942 w 4841"/>
                                  <a:gd name="T61" fmla="*/ 13 h 477"/>
                                  <a:gd name="T62" fmla="*/ 617 w 4841"/>
                                  <a:gd name="T63" fmla="*/ 155 h 477"/>
                                  <a:gd name="T64" fmla="*/ 745 w 4841"/>
                                  <a:gd name="T65" fmla="*/ 449 h 477"/>
                                  <a:gd name="T66" fmla="*/ 1084 w 4841"/>
                                  <a:gd name="T67" fmla="*/ 395 h 477"/>
                                  <a:gd name="T68" fmla="*/ 1023 w 4841"/>
                                  <a:gd name="T69" fmla="*/ 314 h 477"/>
                                  <a:gd name="T70" fmla="*/ 1582 w 4841"/>
                                  <a:gd name="T71" fmla="*/ 371 h 477"/>
                                  <a:gd name="T72" fmla="*/ 1483 w 4841"/>
                                  <a:gd name="T73" fmla="*/ 21 h 477"/>
                                  <a:gd name="T74" fmla="*/ 1891 w 4841"/>
                                  <a:gd name="T75" fmla="*/ 457 h 477"/>
                                  <a:gd name="T76" fmla="*/ 1582 w 4841"/>
                                  <a:gd name="T77" fmla="*/ 371 h 477"/>
                                  <a:gd name="T78" fmla="*/ 2845 w 4841"/>
                                  <a:gd name="T79" fmla="*/ 21 h 477"/>
                                  <a:gd name="T80" fmla="*/ 2747 w 4841"/>
                                  <a:gd name="T81" fmla="*/ 457 h 477"/>
                                  <a:gd name="T82" fmla="*/ 3155 w 4841"/>
                                  <a:gd name="T83" fmla="*/ 370 h 477"/>
                                  <a:gd name="T84" fmla="*/ 3350 w 4841"/>
                                  <a:gd name="T85" fmla="*/ 370 h 477"/>
                                  <a:gd name="T86" fmla="*/ 3253 w 4841"/>
                                  <a:gd name="T87" fmla="*/ 21 h 477"/>
                                  <a:gd name="T88" fmla="*/ 3660 w 4841"/>
                                  <a:gd name="T89" fmla="*/ 457 h 477"/>
                                  <a:gd name="T90" fmla="*/ 3350 w 4841"/>
                                  <a:gd name="T91" fmla="*/ 370 h 477"/>
                                  <a:gd name="T92" fmla="*/ 1335 w 4841"/>
                                  <a:gd name="T93" fmla="*/ 457 h 477"/>
                                  <a:gd name="T94" fmla="*/ 1233 w 4841"/>
                                  <a:gd name="T95" fmla="*/ 21 h 4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4841" h="477">
                                    <a:moveTo>
                                      <a:pt x="4214" y="370"/>
                                    </a:moveTo>
                                    <a:cubicBezTo>
                                      <a:pt x="4214" y="457"/>
                                      <a:pt x="4214" y="457"/>
                                      <a:pt x="4214" y="457"/>
                                    </a:cubicBezTo>
                                    <a:cubicBezTo>
                                      <a:pt x="3766" y="457"/>
                                      <a:pt x="3766" y="457"/>
                                      <a:pt x="3766" y="457"/>
                                    </a:cubicBezTo>
                                    <a:cubicBezTo>
                                      <a:pt x="3766" y="21"/>
                                      <a:pt x="3766" y="21"/>
                                      <a:pt x="3766" y="21"/>
                                    </a:cubicBezTo>
                                    <a:cubicBezTo>
                                      <a:pt x="4214" y="21"/>
                                      <a:pt x="4214" y="21"/>
                                      <a:pt x="4214" y="21"/>
                                    </a:cubicBezTo>
                                    <a:cubicBezTo>
                                      <a:pt x="4214" y="104"/>
                                      <a:pt x="4214" y="104"/>
                                      <a:pt x="4214" y="104"/>
                                    </a:cubicBezTo>
                                    <a:cubicBezTo>
                                      <a:pt x="3864" y="104"/>
                                      <a:pt x="3864" y="104"/>
                                      <a:pt x="3864" y="104"/>
                                    </a:cubicBezTo>
                                    <a:cubicBezTo>
                                      <a:pt x="3864" y="193"/>
                                      <a:pt x="3864" y="193"/>
                                      <a:pt x="3864" y="193"/>
                                    </a:cubicBezTo>
                                    <a:cubicBezTo>
                                      <a:pt x="4151" y="194"/>
                                      <a:pt x="4151" y="194"/>
                                      <a:pt x="4151" y="194"/>
                                    </a:cubicBezTo>
                                    <a:cubicBezTo>
                                      <a:pt x="4151" y="277"/>
                                      <a:pt x="4151" y="277"/>
                                      <a:pt x="4151" y="277"/>
                                    </a:cubicBezTo>
                                    <a:cubicBezTo>
                                      <a:pt x="3864" y="277"/>
                                      <a:pt x="3864" y="277"/>
                                      <a:pt x="3864" y="277"/>
                                    </a:cubicBezTo>
                                    <a:cubicBezTo>
                                      <a:pt x="3864" y="370"/>
                                      <a:pt x="3864" y="370"/>
                                      <a:pt x="3864" y="370"/>
                                    </a:cubicBezTo>
                                    <a:lnTo>
                                      <a:pt x="4214" y="370"/>
                                    </a:lnTo>
                                    <a:close/>
                                    <a:moveTo>
                                      <a:pt x="4345" y="21"/>
                                    </a:moveTo>
                                    <a:cubicBezTo>
                                      <a:pt x="4345" y="457"/>
                                      <a:pt x="4345" y="457"/>
                                      <a:pt x="4345" y="457"/>
                                    </a:cubicBezTo>
                                    <a:cubicBezTo>
                                      <a:pt x="4442" y="457"/>
                                      <a:pt x="4442" y="457"/>
                                      <a:pt x="4442" y="457"/>
                                    </a:cubicBezTo>
                                    <a:cubicBezTo>
                                      <a:pt x="4442" y="144"/>
                                      <a:pt x="4442" y="144"/>
                                      <a:pt x="4442" y="144"/>
                                    </a:cubicBezTo>
                                    <a:cubicBezTo>
                                      <a:pt x="4753" y="457"/>
                                      <a:pt x="4753" y="457"/>
                                      <a:pt x="4753" y="457"/>
                                    </a:cubicBezTo>
                                    <a:cubicBezTo>
                                      <a:pt x="4841" y="457"/>
                                      <a:pt x="4841" y="457"/>
                                      <a:pt x="4841" y="457"/>
                                    </a:cubicBezTo>
                                    <a:cubicBezTo>
                                      <a:pt x="4841" y="21"/>
                                      <a:pt x="4841" y="21"/>
                                      <a:pt x="4841" y="21"/>
                                    </a:cubicBezTo>
                                    <a:cubicBezTo>
                                      <a:pt x="4745" y="21"/>
                                      <a:pt x="4745" y="21"/>
                                      <a:pt x="4745" y="21"/>
                                    </a:cubicBezTo>
                                    <a:cubicBezTo>
                                      <a:pt x="4745" y="319"/>
                                      <a:pt x="4745" y="319"/>
                                      <a:pt x="4745" y="319"/>
                                    </a:cubicBezTo>
                                    <a:cubicBezTo>
                                      <a:pt x="4450" y="21"/>
                                      <a:pt x="4450" y="21"/>
                                      <a:pt x="4450" y="21"/>
                                    </a:cubicBezTo>
                                    <a:lnTo>
                                      <a:pt x="4345" y="21"/>
                                    </a:lnTo>
                                    <a:close/>
                                    <a:moveTo>
                                      <a:pt x="196" y="283"/>
                                    </a:moveTo>
                                    <a:cubicBezTo>
                                      <a:pt x="375" y="283"/>
                                      <a:pt x="375" y="283"/>
                                      <a:pt x="375" y="283"/>
                                    </a:cubicBezTo>
                                    <a:cubicBezTo>
                                      <a:pt x="283" y="109"/>
                                      <a:pt x="283" y="109"/>
                                      <a:pt x="283" y="109"/>
                                    </a:cubicBezTo>
                                    <a:lnTo>
                                      <a:pt x="196" y="283"/>
                                    </a:lnTo>
                                    <a:close/>
                                    <a:moveTo>
                                      <a:pt x="341" y="21"/>
                                    </a:moveTo>
                                    <a:cubicBezTo>
                                      <a:pt x="572" y="457"/>
                                      <a:pt x="572" y="457"/>
                                      <a:pt x="572" y="457"/>
                                    </a:cubicBezTo>
                                    <a:cubicBezTo>
                                      <a:pt x="464" y="457"/>
                                      <a:pt x="464" y="457"/>
                                      <a:pt x="464" y="457"/>
                                    </a:cubicBezTo>
                                    <a:cubicBezTo>
                                      <a:pt x="418" y="365"/>
                                      <a:pt x="418" y="365"/>
                                      <a:pt x="418" y="365"/>
                                    </a:cubicBezTo>
                                    <a:cubicBezTo>
                                      <a:pt x="153" y="365"/>
                                      <a:pt x="153" y="365"/>
                                      <a:pt x="153" y="365"/>
                                    </a:cubicBezTo>
                                    <a:cubicBezTo>
                                      <a:pt x="107" y="457"/>
                                      <a:pt x="107" y="457"/>
                                      <a:pt x="107" y="457"/>
                                    </a:cubicBezTo>
                                    <a:cubicBezTo>
                                      <a:pt x="0" y="457"/>
                                      <a:pt x="0" y="457"/>
                                      <a:pt x="0" y="457"/>
                                    </a:cubicBezTo>
                                    <a:cubicBezTo>
                                      <a:pt x="231" y="21"/>
                                      <a:pt x="231" y="21"/>
                                      <a:pt x="231" y="21"/>
                                    </a:cubicBezTo>
                                    <a:lnTo>
                                      <a:pt x="341" y="21"/>
                                    </a:lnTo>
                                    <a:close/>
                                    <a:moveTo>
                                      <a:pt x="2456" y="283"/>
                                    </a:moveTo>
                                    <a:cubicBezTo>
                                      <a:pt x="2366" y="106"/>
                                      <a:pt x="2366" y="106"/>
                                      <a:pt x="2366" y="106"/>
                                    </a:cubicBezTo>
                                    <a:cubicBezTo>
                                      <a:pt x="2276" y="283"/>
                                      <a:pt x="2276" y="283"/>
                                      <a:pt x="2276" y="283"/>
                                    </a:cubicBezTo>
                                    <a:lnTo>
                                      <a:pt x="2456" y="283"/>
                                    </a:lnTo>
                                    <a:close/>
                                    <a:moveTo>
                                      <a:pt x="2422" y="21"/>
                                    </a:moveTo>
                                    <a:cubicBezTo>
                                      <a:pt x="2654" y="457"/>
                                      <a:pt x="2654" y="457"/>
                                      <a:pt x="2654" y="457"/>
                                    </a:cubicBezTo>
                                    <a:cubicBezTo>
                                      <a:pt x="2546" y="457"/>
                                      <a:pt x="2546" y="457"/>
                                      <a:pt x="2546" y="457"/>
                                    </a:cubicBezTo>
                                    <a:cubicBezTo>
                                      <a:pt x="2499" y="365"/>
                                      <a:pt x="2499" y="365"/>
                                      <a:pt x="2499" y="365"/>
                                    </a:cubicBezTo>
                                    <a:cubicBezTo>
                                      <a:pt x="2234" y="365"/>
                                      <a:pt x="2234" y="365"/>
                                      <a:pt x="2234" y="365"/>
                                    </a:cubicBezTo>
                                    <a:cubicBezTo>
                                      <a:pt x="2188" y="457"/>
                                      <a:pt x="2188" y="457"/>
                                      <a:pt x="2188" y="457"/>
                                    </a:cubicBezTo>
                                    <a:cubicBezTo>
                                      <a:pt x="2081" y="457"/>
                                      <a:pt x="2081" y="457"/>
                                      <a:pt x="2081" y="457"/>
                                    </a:cubicBezTo>
                                    <a:cubicBezTo>
                                      <a:pt x="2312" y="21"/>
                                      <a:pt x="2312" y="21"/>
                                      <a:pt x="2312" y="21"/>
                                    </a:cubicBezTo>
                                    <a:lnTo>
                                      <a:pt x="2422" y="21"/>
                                    </a:lnTo>
                                    <a:close/>
                                    <a:moveTo>
                                      <a:pt x="1015" y="325"/>
                                    </a:moveTo>
                                    <a:cubicBezTo>
                                      <a:pt x="993" y="353"/>
                                      <a:pt x="966" y="371"/>
                                      <a:pt x="932" y="378"/>
                                    </a:cubicBezTo>
                                    <a:cubicBezTo>
                                      <a:pt x="886" y="388"/>
                                      <a:pt x="841" y="387"/>
                                      <a:pt x="796" y="372"/>
                                    </a:cubicBezTo>
                                    <a:cubicBezTo>
                                      <a:pt x="762" y="360"/>
                                      <a:pt x="735" y="339"/>
                                      <a:pt x="719" y="306"/>
                                    </a:cubicBezTo>
                                    <a:cubicBezTo>
                                      <a:pt x="707" y="280"/>
                                      <a:pt x="704" y="254"/>
                                      <a:pt x="705" y="226"/>
                                    </a:cubicBezTo>
                                    <a:cubicBezTo>
                                      <a:pt x="709" y="168"/>
                                      <a:pt x="741" y="125"/>
                                      <a:pt x="797" y="105"/>
                                    </a:cubicBezTo>
                                    <a:cubicBezTo>
                                      <a:pt x="837" y="91"/>
                                      <a:pt x="879" y="89"/>
                                      <a:pt x="920" y="96"/>
                                    </a:cubicBezTo>
                                    <a:cubicBezTo>
                                      <a:pt x="960" y="103"/>
                                      <a:pt x="993" y="123"/>
                                      <a:pt x="1016" y="156"/>
                                    </a:cubicBezTo>
                                    <a:cubicBezTo>
                                      <a:pt x="1018" y="158"/>
                                      <a:pt x="1020" y="160"/>
                                      <a:pt x="1022" y="163"/>
                                    </a:cubicBezTo>
                                    <a:cubicBezTo>
                                      <a:pt x="1052" y="148"/>
                                      <a:pt x="1082" y="133"/>
                                      <a:pt x="1113" y="117"/>
                                    </a:cubicBezTo>
                                    <a:cubicBezTo>
                                      <a:pt x="1106" y="108"/>
                                      <a:pt x="1100" y="99"/>
                                      <a:pt x="1092" y="92"/>
                                    </a:cubicBezTo>
                                    <a:cubicBezTo>
                                      <a:pt x="1051" y="49"/>
                                      <a:pt x="1000" y="24"/>
                                      <a:pt x="942" y="13"/>
                                    </a:cubicBezTo>
                                    <a:cubicBezTo>
                                      <a:pt x="874" y="0"/>
                                      <a:pt x="808" y="6"/>
                                      <a:pt x="744" y="30"/>
                                    </a:cubicBezTo>
                                    <a:cubicBezTo>
                                      <a:pt x="683" y="53"/>
                                      <a:pt x="639" y="93"/>
                                      <a:pt x="617" y="155"/>
                                    </a:cubicBezTo>
                                    <a:cubicBezTo>
                                      <a:pt x="599" y="204"/>
                                      <a:pt x="598" y="254"/>
                                      <a:pt x="611" y="304"/>
                                    </a:cubicBezTo>
                                    <a:cubicBezTo>
                                      <a:pt x="630" y="375"/>
                                      <a:pt x="676" y="422"/>
                                      <a:pt x="745" y="449"/>
                                    </a:cubicBezTo>
                                    <a:cubicBezTo>
                                      <a:pt x="810" y="474"/>
                                      <a:pt x="878" y="477"/>
                                      <a:pt x="946" y="464"/>
                                    </a:cubicBezTo>
                                    <a:cubicBezTo>
                                      <a:pt x="998" y="454"/>
                                      <a:pt x="1045" y="432"/>
                                      <a:pt x="1084" y="395"/>
                                    </a:cubicBezTo>
                                    <a:cubicBezTo>
                                      <a:pt x="1095" y="384"/>
                                      <a:pt x="1105" y="373"/>
                                      <a:pt x="1114" y="359"/>
                                    </a:cubicBezTo>
                                    <a:cubicBezTo>
                                      <a:pt x="1083" y="344"/>
                                      <a:pt x="1054" y="329"/>
                                      <a:pt x="1023" y="314"/>
                                    </a:cubicBezTo>
                                    <a:cubicBezTo>
                                      <a:pt x="1020" y="318"/>
                                      <a:pt x="1018" y="322"/>
                                      <a:pt x="1015" y="325"/>
                                    </a:cubicBezTo>
                                    <a:moveTo>
                                      <a:pt x="1582" y="371"/>
                                    </a:moveTo>
                                    <a:cubicBezTo>
                                      <a:pt x="1582" y="21"/>
                                      <a:pt x="1582" y="21"/>
                                      <a:pt x="1582" y="21"/>
                                    </a:cubicBezTo>
                                    <a:cubicBezTo>
                                      <a:pt x="1483" y="21"/>
                                      <a:pt x="1483" y="21"/>
                                      <a:pt x="1483" y="21"/>
                                    </a:cubicBezTo>
                                    <a:cubicBezTo>
                                      <a:pt x="1483" y="457"/>
                                      <a:pt x="1483" y="457"/>
                                      <a:pt x="1483" y="457"/>
                                    </a:cubicBezTo>
                                    <a:cubicBezTo>
                                      <a:pt x="1891" y="457"/>
                                      <a:pt x="1891" y="457"/>
                                      <a:pt x="1891" y="457"/>
                                    </a:cubicBezTo>
                                    <a:cubicBezTo>
                                      <a:pt x="1891" y="371"/>
                                      <a:pt x="1891" y="371"/>
                                      <a:pt x="1891" y="371"/>
                                    </a:cubicBezTo>
                                    <a:lnTo>
                                      <a:pt x="1582" y="371"/>
                                    </a:lnTo>
                                    <a:close/>
                                    <a:moveTo>
                                      <a:pt x="2845" y="370"/>
                                    </a:moveTo>
                                    <a:cubicBezTo>
                                      <a:pt x="2845" y="21"/>
                                      <a:pt x="2845" y="21"/>
                                      <a:pt x="2845" y="21"/>
                                    </a:cubicBezTo>
                                    <a:cubicBezTo>
                                      <a:pt x="2747" y="21"/>
                                      <a:pt x="2747" y="21"/>
                                      <a:pt x="2747" y="21"/>
                                    </a:cubicBezTo>
                                    <a:cubicBezTo>
                                      <a:pt x="2747" y="457"/>
                                      <a:pt x="2747" y="457"/>
                                      <a:pt x="2747" y="457"/>
                                    </a:cubicBezTo>
                                    <a:cubicBezTo>
                                      <a:pt x="3155" y="457"/>
                                      <a:pt x="3155" y="457"/>
                                      <a:pt x="3155" y="457"/>
                                    </a:cubicBezTo>
                                    <a:cubicBezTo>
                                      <a:pt x="3155" y="370"/>
                                      <a:pt x="3155" y="370"/>
                                      <a:pt x="3155" y="370"/>
                                    </a:cubicBezTo>
                                    <a:lnTo>
                                      <a:pt x="2845" y="370"/>
                                    </a:lnTo>
                                    <a:close/>
                                    <a:moveTo>
                                      <a:pt x="3350" y="370"/>
                                    </a:moveTo>
                                    <a:cubicBezTo>
                                      <a:pt x="3350" y="21"/>
                                      <a:pt x="3350" y="21"/>
                                      <a:pt x="3350" y="21"/>
                                    </a:cubicBezTo>
                                    <a:cubicBezTo>
                                      <a:pt x="3253" y="21"/>
                                      <a:pt x="3253" y="21"/>
                                      <a:pt x="3253" y="21"/>
                                    </a:cubicBezTo>
                                    <a:cubicBezTo>
                                      <a:pt x="3253" y="457"/>
                                      <a:pt x="3253" y="457"/>
                                      <a:pt x="3253" y="457"/>
                                    </a:cubicBezTo>
                                    <a:cubicBezTo>
                                      <a:pt x="3660" y="457"/>
                                      <a:pt x="3660" y="457"/>
                                      <a:pt x="3660" y="457"/>
                                    </a:cubicBezTo>
                                    <a:cubicBezTo>
                                      <a:pt x="3660" y="370"/>
                                      <a:pt x="3660" y="370"/>
                                      <a:pt x="3660" y="370"/>
                                    </a:cubicBezTo>
                                    <a:lnTo>
                                      <a:pt x="3350" y="370"/>
                                    </a:lnTo>
                                    <a:close/>
                                    <a:moveTo>
                                      <a:pt x="1233" y="457"/>
                                    </a:moveTo>
                                    <a:cubicBezTo>
                                      <a:pt x="1335" y="457"/>
                                      <a:pt x="1335" y="457"/>
                                      <a:pt x="1335" y="457"/>
                                    </a:cubicBezTo>
                                    <a:cubicBezTo>
                                      <a:pt x="1335" y="21"/>
                                      <a:pt x="1335" y="21"/>
                                      <a:pt x="1335" y="21"/>
                                    </a:cubicBezTo>
                                    <a:cubicBezTo>
                                      <a:pt x="1233" y="21"/>
                                      <a:pt x="1233" y="21"/>
                                      <a:pt x="1233" y="21"/>
                                    </a:cubicBezTo>
                                    <a:lnTo>
                                      <a:pt x="1233" y="457"/>
                                    </a:lnTo>
                                    <a:close/>
                                  </a:path>
                                </a:pathLst>
                              </a:custGeom>
                              <a:solidFill>
                                <a:srgbClr val="0001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09DDBE57" id="Group 608" o:spid="_x0000_s1026" alt="&quot;&quot;" style="position:absolute;margin-left:0;margin-top:5.5pt;width:77.25pt;height:11.25pt;z-index:251717632;mso-position-horizontal-relative:page;mso-position-vertical-relative:page;mso-width-relative:margin;mso-height-relative:margin" coordorigin=",-212" coordsize="121888,187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">
                    <o:lock v:ext="edit" aspectratio="t"/>
                    <v:rect id="Rectangle 13" o:spid="_x0000_s1027" style="position:absolute;top:16431;width:14398;height:2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" fillcolor="#6c3f99" stroked="f"/>
                    <v:shape id="Freeform 6" o:spid="_x0000_s1028" style="position:absolute;top:-212;width:121888;height:12963;visibility:visible;mso-wrap-style:square;v-text-anchor:top" coordsize="4841,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" path="m4214,370v,87,,87,,87c3766,457,3766,457,3766,457v,-436,,-436,,-436c4214,21,4214,21,4214,21v,83,,83,,83c3864,104,3864,104,3864,104v,89,,89,,89c4151,194,4151,194,4151,194v,83,,83,,83c3864,277,3864,277,3864,277v,93,,93,,93l4214,370xm4345,21v,436,,436,,436c4442,457,4442,457,4442,457v,-313,,-313,,-313c4753,457,4753,457,4753,457v88,,88,,88,c4841,21,4841,21,4841,21v-96,,-96,,-96,c4745,319,4745,319,4745,319,4450,21,4450,21,4450,21r-105,xm196,283v179,,179,,179,c283,109,283,109,283,109l196,283xm341,21c572,457,572,457,572,457v-108,,-108,,-108,c418,365,418,365,418,365v-265,,-265,,-265,c107,457,107,457,107,457,,457,,457,,457,231,21,231,21,231,21r110,xm2456,283c2366,106,2366,106,2366,106v-90,177,-90,177,-90,177l2456,283xm2422,21v232,436,232,436,232,436c2546,457,2546,457,2546,457v-47,-92,-47,-92,-47,-92c2234,365,2234,365,2234,365v-46,92,-46,92,-46,92c2081,457,2081,457,2081,457,2312,21,2312,21,2312,21r110,xm1015,325v-22,28,-49,46,-83,53c886,388,841,387,796,372,762,360,735,339,719,306,707,280,704,254,705,226v4,-58,36,-101,92,-121c837,91,879,89,920,96v40,7,73,27,96,60c1018,158,1020,160,1022,163v30,-15,60,-30,91,-46c1106,108,1100,99,1092,92,1051,49,1000,24,942,13,874,,808,6,744,30,683,53,639,93,617,155v-18,49,-19,99,-6,149c630,375,676,422,745,449v65,25,133,28,201,15c998,454,1045,432,1084,395v11,-11,21,-22,30,-36c1083,344,1054,329,1023,314v-3,4,-5,8,-8,11m1582,371v,-350,,-350,,-350c1483,21,1483,21,1483,21v,436,,436,,436c1891,457,1891,457,1891,457v,-86,,-86,,-86l1582,371xm2845,370v,-349,,-349,,-349c2747,21,2747,21,2747,21v,436,,436,,436c3155,457,3155,457,3155,457v,-87,,-87,,-87l2845,370xm3350,370v,-349,,-349,,-349c3253,21,3253,21,3253,21v,436,,436,,436c3660,457,3660,457,3660,457v,-87,,-87,,-87l3350,370xm1233,457v102,,102,,102,c1335,21,1335,21,1335,21v-102,,-102,,-102,l1233,457xe" fillcolor="#000100" stroked="f">
                      <v:path arrowok="t" o:connecttype="custom" o:connectlocs="10610144,1241977;9482156,57071;10610144,282638;9728903,524511;10451521,752795;9728903,1005539;10939980,57071;11184210,1241977;11967256,1241977;12188825,57071;11947113,866938;10939980,57071;944187,769101;493495,769101;1440200,1241977;1052454,991951;269408,1241977;581619,57071;6183796,769101;5730586,769101;6098189,57071;6410400,1241977;5624837,991951;5239609,1241977;6098189,57071;2346619,1027280;1810321,831608;2006712,285356;2558117,423957;2802347,317968;2371798,35330;1553502,421239;1875785,1220235;2729330,1073481;2575742,853349;3983210,1008257;3733945,57071;4761220,1241977;3983210,1008257;7163232,57071;6916485,1241977;7943760,1005539;8434737,1005539;8190508,57071;9215265,1241977;8434737,1005539;3361306,1241977;3104487,57071" o:connectangles="0,0,0,0,0,0,0,0,0,0,0,0,0,0,0,0,0,0,0,0,0,0,0,0,0,0,0,0,0,0,0,0,0,0,0,0,0,0,0,0,0,0,0,0,0,0,0,0"/>
                      <o:lock v:ext="edit" verticies="t"/>
                    </v:shape>
                    <w10:wrap anchorx="page" anchory="page"/>
                    <w10:anchorlock/>
                  </v:group>
                </w:pict>
              </mc:Fallback>
            </mc:AlternateContent>
          </w:r>
        </w:p>
      </w:tc>
      <w:tc>
        <w:tcPr>
          <w:tcW w:w="5181" w:type="dxa"/>
          <w:vAlign w:val="center"/>
        </w:tcPr>
        <w:p w14:paraId="7B0F51E1" w14:textId="5F0EA93B" w:rsidR="002B32A0" w:rsidRDefault="002B32A0" w:rsidP="004A1654">
          <w:pPr>
            <w:pStyle w:val="Header-CompanyName"/>
          </w:pPr>
        </w:p>
      </w:tc>
    </w:tr>
  </w:tbl>
  <w:p w14:paraId="45EDB178" w14:textId="01E1BA21" w:rsidR="002B32A0" w:rsidRPr="00026E9C" w:rsidRDefault="002B32A0" w:rsidP="00026E9C">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1A747A" w14:textId="77777777" w:rsidR="002B32A0" w:rsidRPr="000F0EC9" w:rsidRDefault="002B32A0" w:rsidP="000F0EC9">
    <w:pPr>
      <w:pStyle w:val="Header"/>
    </w:pP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2E7F7" w14:textId="77777777" w:rsidR="002B32A0" w:rsidRDefault="002B32A0">
    <w:pPr>
      <w:pStyle w:val="Header"/>
    </w:pP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6BA982" w14:textId="77777777" w:rsidR="002B32A0" w:rsidRPr="00B52181" w:rsidRDefault="002B32A0" w:rsidP="00B52181">
    <w:pPr>
      <w:pStyle w:val="Header"/>
    </w:pP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acTablenolines"/>
      <w:tblW w:w="10363" w:type="dxa"/>
      <w:tblInd w:w="-2427" w:type="dxa"/>
      <w:tblLayout w:type="fixed"/>
      <w:tblLook w:val="04A0" w:firstRow="1" w:lastRow="0" w:firstColumn="1" w:lastColumn="0" w:noHBand="0" w:noVBand="1"/>
    </w:tblPr>
    <w:tblGrid>
      <w:gridCol w:w="5182"/>
      <w:gridCol w:w="5181"/>
    </w:tblGrid>
    <w:tr w:rsidR="002B32A0" w14:paraId="15433874" w14:textId="77777777" w:rsidTr="000B0AC7">
      <w:trPr>
        <w:trHeight w:hRule="exact" w:val="356"/>
      </w:trPr>
      <w:tc>
        <w:tcPr>
          <w:tcW w:w="5182" w:type="dxa"/>
          <w:vAlign w:val="center"/>
        </w:tcPr>
        <w:p w14:paraId="66842D30" w14:textId="77777777" w:rsidR="002B32A0" w:rsidRDefault="002B32A0" w:rsidP="00B52181">
          <w:pPr>
            <w:pStyle w:val="spacer"/>
          </w:pPr>
          <w:r w:rsidRPr="000261B1">
            <w:rPr>
              <w:noProof/>
            </w:rPr>
            <mc:AlternateContent>
              <mc:Choice Requires="wpg">
                <w:drawing>
                  <wp:anchor distT="0" distB="0" distL="114300" distR="114300" simplePos="0" relativeHeight="251718656" behindDoc="0" locked="1" layoutInCell="1" allowOverlap="1" wp14:anchorId="237A1261" wp14:editId="1D1FCC43">
                    <wp:simplePos x="0" y="0"/>
                    <wp:positionH relativeFrom="page">
                      <wp:posOffset>0</wp:posOffset>
                    </wp:positionH>
                    <wp:positionV relativeFrom="page">
                      <wp:posOffset>69850</wp:posOffset>
                    </wp:positionV>
                    <wp:extent cx="981075" cy="142875"/>
                    <wp:effectExtent l="0" t="0" r="9525" b="9525"/>
                    <wp:wrapNone/>
                    <wp:docPr id="662" name="Group 6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981075" cy="142875"/>
                              <a:chOff x="0" y="-21209"/>
                              <a:chExt cx="12188825" cy="1878663"/>
                            </a:xfrm>
                          </wpg:grpSpPr>
                          <wps:wsp>
                            <wps:cNvPr id="672" name="Rectangle 66"/>
                            <wps:cNvSpPr>
                              <a:spLocks noChangeArrowheads="1"/>
                            </wps:cNvSpPr>
                            <wps:spPr bwMode="auto">
                              <a:xfrm>
                                <a:off x="0" y="1643143"/>
                                <a:ext cx="1439863" cy="214311"/>
                              </a:xfrm>
                              <a:prstGeom prst="rect">
                                <a:avLst/>
                              </a:prstGeom>
                              <a:solidFill>
                                <a:srgbClr val="6C3F99"/>
                              </a:solid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698" name="Freeform 6"/>
                            <wps:cNvSpPr>
                              <a:spLocks noEditPoints="1"/>
                            </wps:cNvSpPr>
                            <wps:spPr bwMode="auto">
                              <a:xfrm>
                                <a:off x="0" y="-21209"/>
                                <a:ext cx="12188825" cy="1296330"/>
                              </a:xfrm>
                              <a:custGeom>
                                <a:avLst/>
                                <a:gdLst>
                                  <a:gd name="T0" fmla="*/ 4214 w 4841"/>
                                  <a:gd name="T1" fmla="*/ 457 h 477"/>
                                  <a:gd name="T2" fmla="*/ 3766 w 4841"/>
                                  <a:gd name="T3" fmla="*/ 21 h 477"/>
                                  <a:gd name="T4" fmla="*/ 4214 w 4841"/>
                                  <a:gd name="T5" fmla="*/ 104 h 477"/>
                                  <a:gd name="T6" fmla="*/ 3864 w 4841"/>
                                  <a:gd name="T7" fmla="*/ 193 h 477"/>
                                  <a:gd name="T8" fmla="*/ 4151 w 4841"/>
                                  <a:gd name="T9" fmla="*/ 277 h 477"/>
                                  <a:gd name="T10" fmla="*/ 3864 w 4841"/>
                                  <a:gd name="T11" fmla="*/ 370 h 477"/>
                                  <a:gd name="T12" fmla="*/ 4345 w 4841"/>
                                  <a:gd name="T13" fmla="*/ 21 h 477"/>
                                  <a:gd name="T14" fmla="*/ 4442 w 4841"/>
                                  <a:gd name="T15" fmla="*/ 457 h 477"/>
                                  <a:gd name="T16" fmla="*/ 4753 w 4841"/>
                                  <a:gd name="T17" fmla="*/ 457 h 477"/>
                                  <a:gd name="T18" fmla="*/ 4841 w 4841"/>
                                  <a:gd name="T19" fmla="*/ 21 h 477"/>
                                  <a:gd name="T20" fmla="*/ 4745 w 4841"/>
                                  <a:gd name="T21" fmla="*/ 319 h 477"/>
                                  <a:gd name="T22" fmla="*/ 4345 w 4841"/>
                                  <a:gd name="T23" fmla="*/ 21 h 477"/>
                                  <a:gd name="T24" fmla="*/ 375 w 4841"/>
                                  <a:gd name="T25" fmla="*/ 283 h 477"/>
                                  <a:gd name="T26" fmla="*/ 196 w 4841"/>
                                  <a:gd name="T27" fmla="*/ 283 h 477"/>
                                  <a:gd name="T28" fmla="*/ 572 w 4841"/>
                                  <a:gd name="T29" fmla="*/ 457 h 477"/>
                                  <a:gd name="T30" fmla="*/ 418 w 4841"/>
                                  <a:gd name="T31" fmla="*/ 365 h 477"/>
                                  <a:gd name="T32" fmla="*/ 107 w 4841"/>
                                  <a:gd name="T33" fmla="*/ 457 h 477"/>
                                  <a:gd name="T34" fmla="*/ 231 w 4841"/>
                                  <a:gd name="T35" fmla="*/ 21 h 477"/>
                                  <a:gd name="T36" fmla="*/ 2456 w 4841"/>
                                  <a:gd name="T37" fmla="*/ 283 h 477"/>
                                  <a:gd name="T38" fmla="*/ 2276 w 4841"/>
                                  <a:gd name="T39" fmla="*/ 283 h 477"/>
                                  <a:gd name="T40" fmla="*/ 2422 w 4841"/>
                                  <a:gd name="T41" fmla="*/ 21 h 477"/>
                                  <a:gd name="T42" fmla="*/ 2546 w 4841"/>
                                  <a:gd name="T43" fmla="*/ 457 h 477"/>
                                  <a:gd name="T44" fmla="*/ 2234 w 4841"/>
                                  <a:gd name="T45" fmla="*/ 365 h 477"/>
                                  <a:gd name="T46" fmla="*/ 2081 w 4841"/>
                                  <a:gd name="T47" fmla="*/ 457 h 477"/>
                                  <a:gd name="T48" fmla="*/ 2422 w 4841"/>
                                  <a:gd name="T49" fmla="*/ 21 h 477"/>
                                  <a:gd name="T50" fmla="*/ 932 w 4841"/>
                                  <a:gd name="T51" fmla="*/ 378 h 477"/>
                                  <a:gd name="T52" fmla="*/ 719 w 4841"/>
                                  <a:gd name="T53" fmla="*/ 306 h 477"/>
                                  <a:gd name="T54" fmla="*/ 797 w 4841"/>
                                  <a:gd name="T55" fmla="*/ 105 h 477"/>
                                  <a:gd name="T56" fmla="*/ 1016 w 4841"/>
                                  <a:gd name="T57" fmla="*/ 156 h 477"/>
                                  <a:gd name="T58" fmla="*/ 1113 w 4841"/>
                                  <a:gd name="T59" fmla="*/ 117 h 477"/>
                                  <a:gd name="T60" fmla="*/ 942 w 4841"/>
                                  <a:gd name="T61" fmla="*/ 13 h 477"/>
                                  <a:gd name="T62" fmla="*/ 617 w 4841"/>
                                  <a:gd name="T63" fmla="*/ 155 h 477"/>
                                  <a:gd name="T64" fmla="*/ 745 w 4841"/>
                                  <a:gd name="T65" fmla="*/ 449 h 477"/>
                                  <a:gd name="T66" fmla="*/ 1084 w 4841"/>
                                  <a:gd name="T67" fmla="*/ 395 h 477"/>
                                  <a:gd name="T68" fmla="*/ 1023 w 4841"/>
                                  <a:gd name="T69" fmla="*/ 314 h 477"/>
                                  <a:gd name="T70" fmla="*/ 1582 w 4841"/>
                                  <a:gd name="T71" fmla="*/ 371 h 477"/>
                                  <a:gd name="T72" fmla="*/ 1483 w 4841"/>
                                  <a:gd name="T73" fmla="*/ 21 h 477"/>
                                  <a:gd name="T74" fmla="*/ 1891 w 4841"/>
                                  <a:gd name="T75" fmla="*/ 457 h 477"/>
                                  <a:gd name="T76" fmla="*/ 1582 w 4841"/>
                                  <a:gd name="T77" fmla="*/ 371 h 477"/>
                                  <a:gd name="T78" fmla="*/ 2845 w 4841"/>
                                  <a:gd name="T79" fmla="*/ 21 h 477"/>
                                  <a:gd name="T80" fmla="*/ 2747 w 4841"/>
                                  <a:gd name="T81" fmla="*/ 457 h 477"/>
                                  <a:gd name="T82" fmla="*/ 3155 w 4841"/>
                                  <a:gd name="T83" fmla="*/ 370 h 477"/>
                                  <a:gd name="T84" fmla="*/ 3350 w 4841"/>
                                  <a:gd name="T85" fmla="*/ 370 h 477"/>
                                  <a:gd name="T86" fmla="*/ 3253 w 4841"/>
                                  <a:gd name="T87" fmla="*/ 21 h 477"/>
                                  <a:gd name="T88" fmla="*/ 3660 w 4841"/>
                                  <a:gd name="T89" fmla="*/ 457 h 477"/>
                                  <a:gd name="T90" fmla="*/ 3350 w 4841"/>
                                  <a:gd name="T91" fmla="*/ 370 h 477"/>
                                  <a:gd name="T92" fmla="*/ 1335 w 4841"/>
                                  <a:gd name="T93" fmla="*/ 457 h 477"/>
                                  <a:gd name="T94" fmla="*/ 1233 w 4841"/>
                                  <a:gd name="T95" fmla="*/ 21 h 4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4841" h="477">
                                    <a:moveTo>
                                      <a:pt x="4214" y="370"/>
                                    </a:moveTo>
                                    <a:cubicBezTo>
                                      <a:pt x="4214" y="457"/>
                                      <a:pt x="4214" y="457"/>
                                      <a:pt x="4214" y="457"/>
                                    </a:cubicBezTo>
                                    <a:cubicBezTo>
                                      <a:pt x="3766" y="457"/>
                                      <a:pt x="3766" y="457"/>
                                      <a:pt x="3766" y="457"/>
                                    </a:cubicBezTo>
                                    <a:cubicBezTo>
                                      <a:pt x="3766" y="21"/>
                                      <a:pt x="3766" y="21"/>
                                      <a:pt x="3766" y="21"/>
                                    </a:cubicBezTo>
                                    <a:cubicBezTo>
                                      <a:pt x="4214" y="21"/>
                                      <a:pt x="4214" y="21"/>
                                      <a:pt x="4214" y="21"/>
                                    </a:cubicBezTo>
                                    <a:cubicBezTo>
                                      <a:pt x="4214" y="104"/>
                                      <a:pt x="4214" y="104"/>
                                      <a:pt x="4214" y="104"/>
                                    </a:cubicBezTo>
                                    <a:cubicBezTo>
                                      <a:pt x="3864" y="104"/>
                                      <a:pt x="3864" y="104"/>
                                      <a:pt x="3864" y="104"/>
                                    </a:cubicBezTo>
                                    <a:cubicBezTo>
                                      <a:pt x="3864" y="193"/>
                                      <a:pt x="3864" y="193"/>
                                      <a:pt x="3864" y="193"/>
                                    </a:cubicBezTo>
                                    <a:cubicBezTo>
                                      <a:pt x="4151" y="194"/>
                                      <a:pt x="4151" y="194"/>
                                      <a:pt x="4151" y="194"/>
                                    </a:cubicBezTo>
                                    <a:cubicBezTo>
                                      <a:pt x="4151" y="277"/>
                                      <a:pt x="4151" y="277"/>
                                      <a:pt x="4151" y="277"/>
                                    </a:cubicBezTo>
                                    <a:cubicBezTo>
                                      <a:pt x="3864" y="277"/>
                                      <a:pt x="3864" y="277"/>
                                      <a:pt x="3864" y="277"/>
                                    </a:cubicBezTo>
                                    <a:cubicBezTo>
                                      <a:pt x="3864" y="370"/>
                                      <a:pt x="3864" y="370"/>
                                      <a:pt x="3864" y="370"/>
                                    </a:cubicBezTo>
                                    <a:lnTo>
                                      <a:pt x="4214" y="370"/>
                                    </a:lnTo>
                                    <a:close/>
                                    <a:moveTo>
                                      <a:pt x="4345" y="21"/>
                                    </a:moveTo>
                                    <a:cubicBezTo>
                                      <a:pt x="4345" y="457"/>
                                      <a:pt x="4345" y="457"/>
                                      <a:pt x="4345" y="457"/>
                                    </a:cubicBezTo>
                                    <a:cubicBezTo>
                                      <a:pt x="4442" y="457"/>
                                      <a:pt x="4442" y="457"/>
                                      <a:pt x="4442" y="457"/>
                                    </a:cubicBezTo>
                                    <a:cubicBezTo>
                                      <a:pt x="4442" y="144"/>
                                      <a:pt x="4442" y="144"/>
                                      <a:pt x="4442" y="144"/>
                                    </a:cubicBezTo>
                                    <a:cubicBezTo>
                                      <a:pt x="4753" y="457"/>
                                      <a:pt x="4753" y="457"/>
                                      <a:pt x="4753" y="457"/>
                                    </a:cubicBezTo>
                                    <a:cubicBezTo>
                                      <a:pt x="4841" y="457"/>
                                      <a:pt x="4841" y="457"/>
                                      <a:pt x="4841" y="457"/>
                                    </a:cubicBezTo>
                                    <a:cubicBezTo>
                                      <a:pt x="4841" y="21"/>
                                      <a:pt x="4841" y="21"/>
                                      <a:pt x="4841" y="21"/>
                                    </a:cubicBezTo>
                                    <a:cubicBezTo>
                                      <a:pt x="4745" y="21"/>
                                      <a:pt x="4745" y="21"/>
                                      <a:pt x="4745" y="21"/>
                                    </a:cubicBezTo>
                                    <a:cubicBezTo>
                                      <a:pt x="4745" y="319"/>
                                      <a:pt x="4745" y="319"/>
                                      <a:pt x="4745" y="319"/>
                                    </a:cubicBezTo>
                                    <a:cubicBezTo>
                                      <a:pt x="4450" y="21"/>
                                      <a:pt x="4450" y="21"/>
                                      <a:pt x="4450" y="21"/>
                                    </a:cubicBezTo>
                                    <a:lnTo>
                                      <a:pt x="4345" y="21"/>
                                    </a:lnTo>
                                    <a:close/>
                                    <a:moveTo>
                                      <a:pt x="196" y="283"/>
                                    </a:moveTo>
                                    <a:cubicBezTo>
                                      <a:pt x="375" y="283"/>
                                      <a:pt x="375" y="283"/>
                                      <a:pt x="375" y="283"/>
                                    </a:cubicBezTo>
                                    <a:cubicBezTo>
                                      <a:pt x="283" y="109"/>
                                      <a:pt x="283" y="109"/>
                                      <a:pt x="283" y="109"/>
                                    </a:cubicBezTo>
                                    <a:lnTo>
                                      <a:pt x="196" y="283"/>
                                    </a:lnTo>
                                    <a:close/>
                                    <a:moveTo>
                                      <a:pt x="341" y="21"/>
                                    </a:moveTo>
                                    <a:cubicBezTo>
                                      <a:pt x="572" y="457"/>
                                      <a:pt x="572" y="457"/>
                                      <a:pt x="572" y="457"/>
                                    </a:cubicBezTo>
                                    <a:cubicBezTo>
                                      <a:pt x="464" y="457"/>
                                      <a:pt x="464" y="457"/>
                                      <a:pt x="464" y="457"/>
                                    </a:cubicBezTo>
                                    <a:cubicBezTo>
                                      <a:pt x="418" y="365"/>
                                      <a:pt x="418" y="365"/>
                                      <a:pt x="418" y="365"/>
                                    </a:cubicBezTo>
                                    <a:cubicBezTo>
                                      <a:pt x="153" y="365"/>
                                      <a:pt x="153" y="365"/>
                                      <a:pt x="153" y="365"/>
                                    </a:cubicBezTo>
                                    <a:cubicBezTo>
                                      <a:pt x="107" y="457"/>
                                      <a:pt x="107" y="457"/>
                                      <a:pt x="107" y="457"/>
                                    </a:cubicBezTo>
                                    <a:cubicBezTo>
                                      <a:pt x="0" y="457"/>
                                      <a:pt x="0" y="457"/>
                                      <a:pt x="0" y="457"/>
                                    </a:cubicBezTo>
                                    <a:cubicBezTo>
                                      <a:pt x="231" y="21"/>
                                      <a:pt x="231" y="21"/>
                                      <a:pt x="231" y="21"/>
                                    </a:cubicBezTo>
                                    <a:lnTo>
                                      <a:pt x="341" y="21"/>
                                    </a:lnTo>
                                    <a:close/>
                                    <a:moveTo>
                                      <a:pt x="2456" y="283"/>
                                    </a:moveTo>
                                    <a:cubicBezTo>
                                      <a:pt x="2366" y="106"/>
                                      <a:pt x="2366" y="106"/>
                                      <a:pt x="2366" y="106"/>
                                    </a:cubicBezTo>
                                    <a:cubicBezTo>
                                      <a:pt x="2276" y="283"/>
                                      <a:pt x="2276" y="283"/>
                                      <a:pt x="2276" y="283"/>
                                    </a:cubicBezTo>
                                    <a:lnTo>
                                      <a:pt x="2456" y="283"/>
                                    </a:lnTo>
                                    <a:close/>
                                    <a:moveTo>
                                      <a:pt x="2422" y="21"/>
                                    </a:moveTo>
                                    <a:cubicBezTo>
                                      <a:pt x="2654" y="457"/>
                                      <a:pt x="2654" y="457"/>
                                      <a:pt x="2654" y="457"/>
                                    </a:cubicBezTo>
                                    <a:cubicBezTo>
                                      <a:pt x="2546" y="457"/>
                                      <a:pt x="2546" y="457"/>
                                      <a:pt x="2546" y="457"/>
                                    </a:cubicBezTo>
                                    <a:cubicBezTo>
                                      <a:pt x="2499" y="365"/>
                                      <a:pt x="2499" y="365"/>
                                      <a:pt x="2499" y="365"/>
                                    </a:cubicBezTo>
                                    <a:cubicBezTo>
                                      <a:pt x="2234" y="365"/>
                                      <a:pt x="2234" y="365"/>
                                      <a:pt x="2234" y="365"/>
                                    </a:cubicBezTo>
                                    <a:cubicBezTo>
                                      <a:pt x="2188" y="457"/>
                                      <a:pt x="2188" y="457"/>
                                      <a:pt x="2188" y="457"/>
                                    </a:cubicBezTo>
                                    <a:cubicBezTo>
                                      <a:pt x="2081" y="457"/>
                                      <a:pt x="2081" y="457"/>
                                      <a:pt x="2081" y="457"/>
                                    </a:cubicBezTo>
                                    <a:cubicBezTo>
                                      <a:pt x="2312" y="21"/>
                                      <a:pt x="2312" y="21"/>
                                      <a:pt x="2312" y="21"/>
                                    </a:cubicBezTo>
                                    <a:lnTo>
                                      <a:pt x="2422" y="21"/>
                                    </a:lnTo>
                                    <a:close/>
                                    <a:moveTo>
                                      <a:pt x="1015" y="325"/>
                                    </a:moveTo>
                                    <a:cubicBezTo>
                                      <a:pt x="993" y="353"/>
                                      <a:pt x="966" y="371"/>
                                      <a:pt x="932" y="378"/>
                                    </a:cubicBezTo>
                                    <a:cubicBezTo>
                                      <a:pt x="886" y="388"/>
                                      <a:pt x="841" y="387"/>
                                      <a:pt x="796" y="372"/>
                                    </a:cubicBezTo>
                                    <a:cubicBezTo>
                                      <a:pt x="762" y="360"/>
                                      <a:pt x="735" y="339"/>
                                      <a:pt x="719" y="306"/>
                                    </a:cubicBezTo>
                                    <a:cubicBezTo>
                                      <a:pt x="707" y="280"/>
                                      <a:pt x="704" y="254"/>
                                      <a:pt x="705" y="226"/>
                                    </a:cubicBezTo>
                                    <a:cubicBezTo>
                                      <a:pt x="709" y="168"/>
                                      <a:pt x="741" y="125"/>
                                      <a:pt x="797" y="105"/>
                                    </a:cubicBezTo>
                                    <a:cubicBezTo>
                                      <a:pt x="837" y="91"/>
                                      <a:pt x="879" y="89"/>
                                      <a:pt x="920" y="96"/>
                                    </a:cubicBezTo>
                                    <a:cubicBezTo>
                                      <a:pt x="960" y="103"/>
                                      <a:pt x="993" y="123"/>
                                      <a:pt x="1016" y="156"/>
                                    </a:cubicBezTo>
                                    <a:cubicBezTo>
                                      <a:pt x="1018" y="158"/>
                                      <a:pt x="1020" y="160"/>
                                      <a:pt x="1022" y="163"/>
                                    </a:cubicBezTo>
                                    <a:cubicBezTo>
                                      <a:pt x="1052" y="148"/>
                                      <a:pt x="1082" y="133"/>
                                      <a:pt x="1113" y="117"/>
                                    </a:cubicBezTo>
                                    <a:cubicBezTo>
                                      <a:pt x="1106" y="108"/>
                                      <a:pt x="1100" y="99"/>
                                      <a:pt x="1092" y="92"/>
                                    </a:cubicBezTo>
                                    <a:cubicBezTo>
                                      <a:pt x="1051" y="49"/>
                                      <a:pt x="1000" y="24"/>
                                      <a:pt x="942" y="13"/>
                                    </a:cubicBezTo>
                                    <a:cubicBezTo>
                                      <a:pt x="874" y="0"/>
                                      <a:pt x="808" y="6"/>
                                      <a:pt x="744" y="30"/>
                                    </a:cubicBezTo>
                                    <a:cubicBezTo>
                                      <a:pt x="683" y="53"/>
                                      <a:pt x="639" y="93"/>
                                      <a:pt x="617" y="155"/>
                                    </a:cubicBezTo>
                                    <a:cubicBezTo>
                                      <a:pt x="599" y="204"/>
                                      <a:pt x="598" y="254"/>
                                      <a:pt x="611" y="304"/>
                                    </a:cubicBezTo>
                                    <a:cubicBezTo>
                                      <a:pt x="630" y="375"/>
                                      <a:pt x="676" y="422"/>
                                      <a:pt x="745" y="449"/>
                                    </a:cubicBezTo>
                                    <a:cubicBezTo>
                                      <a:pt x="810" y="474"/>
                                      <a:pt x="878" y="477"/>
                                      <a:pt x="946" y="464"/>
                                    </a:cubicBezTo>
                                    <a:cubicBezTo>
                                      <a:pt x="998" y="454"/>
                                      <a:pt x="1045" y="432"/>
                                      <a:pt x="1084" y="395"/>
                                    </a:cubicBezTo>
                                    <a:cubicBezTo>
                                      <a:pt x="1095" y="384"/>
                                      <a:pt x="1105" y="373"/>
                                      <a:pt x="1114" y="359"/>
                                    </a:cubicBezTo>
                                    <a:cubicBezTo>
                                      <a:pt x="1083" y="344"/>
                                      <a:pt x="1054" y="329"/>
                                      <a:pt x="1023" y="314"/>
                                    </a:cubicBezTo>
                                    <a:cubicBezTo>
                                      <a:pt x="1020" y="318"/>
                                      <a:pt x="1018" y="322"/>
                                      <a:pt x="1015" y="325"/>
                                    </a:cubicBezTo>
                                    <a:moveTo>
                                      <a:pt x="1582" y="371"/>
                                    </a:moveTo>
                                    <a:cubicBezTo>
                                      <a:pt x="1582" y="21"/>
                                      <a:pt x="1582" y="21"/>
                                      <a:pt x="1582" y="21"/>
                                    </a:cubicBezTo>
                                    <a:cubicBezTo>
                                      <a:pt x="1483" y="21"/>
                                      <a:pt x="1483" y="21"/>
                                      <a:pt x="1483" y="21"/>
                                    </a:cubicBezTo>
                                    <a:cubicBezTo>
                                      <a:pt x="1483" y="457"/>
                                      <a:pt x="1483" y="457"/>
                                      <a:pt x="1483" y="457"/>
                                    </a:cubicBezTo>
                                    <a:cubicBezTo>
                                      <a:pt x="1891" y="457"/>
                                      <a:pt x="1891" y="457"/>
                                      <a:pt x="1891" y="457"/>
                                    </a:cubicBezTo>
                                    <a:cubicBezTo>
                                      <a:pt x="1891" y="371"/>
                                      <a:pt x="1891" y="371"/>
                                      <a:pt x="1891" y="371"/>
                                    </a:cubicBezTo>
                                    <a:lnTo>
                                      <a:pt x="1582" y="371"/>
                                    </a:lnTo>
                                    <a:close/>
                                    <a:moveTo>
                                      <a:pt x="2845" y="370"/>
                                    </a:moveTo>
                                    <a:cubicBezTo>
                                      <a:pt x="2845" y="21"/>
                                      <a:pt x="2845" y="21"/>
                                      <a:pt x="2845" y="21"/>
                                    </a:cubicBezTo>
                                    <a:cubicBezTo>
                                      <a:pt x="2747" y="21"/>
                                      <a:pt x="2747" y="21"/>
                                      <a:pt x="2747" y="21"/>
                                    </a:cubicBezTo>
                                    <a:cubicBezTo>
                                      <a:pt x="2747" y="457"/>
                                      <a:pt x="2747" y="457"/>
                                      <a:pt x="2747" y="457"/>
                                    </a:cubicBezTo>
                                    <a:cubicBezTo>
                                      <a:pt x="3155" y="457"/>
                                      <a:pt x="3155" y="457"/>
                                      <a:pt x="3155" y="457"/>
                                    </a:cubicBezTo>
                                    <a:cubicBezTo>
                                      <a:pt x="3155" y="370"/>
                                      <a:pt x="3155" y="370"/>
                                      <a:pt x="3155" y="370"/>
                                    </a:cubicBezTo>
                                    <a:lnTo>
                                      <a:pt x="2845" y="370"/>
                                    </a:lnTo>
                                    <a:close/>
                                    <a:moveTo>
                                      <a:pt x="3350" y="370"/>
                                    </a:moveTo>
                                    <a:cubicBezTo>
                                      <a:pt x="3350" y="21"/>
                                      <a:pt x="3350" y="21"/>
                                      <a:pt x="3350" y="21"/>
                                    </a:cubicBezTo>
                                    <a:cubicBezTo>
                                      <a:pt x="3253" y="21"/>
                                      <a:pt x="3253" y="21"/>
                                      <a:pt x="3253" y="21"/>
                                    </a:cubicBezTo>
                                    <a:cubicBezTo>
                                      <a:pt x="3253" y="457"/>
                                      <a:pt x="3253" y="457"/>
                                      <a:pt x="3253" y="457"/>
                                    </a:cubicBezTo>
                                    <a:cubicBezTo>
                                      <a:pt x="3660" y="457"/>
                                      <a:pt x="3660" y="457"/>
                                      <a:pt x="3660" y="457"/>
                                    </a:cubicBezTo>
                                    <a:cubicBezTo>
                                      <a:pt x="3660" y="370"/>
                                      <a:pt x="3660" y="370"/>
                                      <a:pt x="3660" y="370"/>
                                    </a:cubicBezTo>
                                    <a:lnTo>
                                      <a:pt x="3350" y="370"/>
                                    </a:lnTo>
                                    <a:close/>
                                    <a:moveTo>
                                      <a:pt x="1233" y="457"/>
                                    </a:moveTo>
                                    <a:cubicBezTo>
                                      <a:pt x="1335" y="457"/>
                                      <a:pt x="1335" y="457"/>
                                      <a:pt x="1335" y="457"/>
                                    </a:cubicBezTo>
                                    <a:cubicBezTo>
                                      <a:pt x="1335" y="21"/>
                                      <a:pt x="1335" y="21"/>
                                      <a:pt x="1335" y="21"/>
                                    </a:cubicBezTo>
                                    <a:cubicBezTo>
                                      <a:pt x="1233" y="21"/>
                                      <a:pt x="1233" y="21"/>
                                      <a:pt x="1233" y="21"/>
                                    </a:cubicBezTo>
                                    <a:lnTo>
                                      <a:pt x="1233" y="457"/>
                                    </a:lnTo>
                                    <a:close/>
                                  </a:path>
                                </a:pathLst>
                              </a:custGeom>
                              <a:solidFill>
                                <a:srgbClr val="0001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5A95220A" id="Group 662" o:spid="_x0000_s1026" alt="&quot;&quot;" style="position:absolute;margin-left:0;margin-top:5.5pt;width:77.25pt;height:11.25pt;z-index:251718656;mso-position-horizontal-relative:page;mso-position-vertical-relative:page;mso-width-relative:margin;mso-height-relative:margin" coordorigin=",-212" coordsize="121888,187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">
                    <o:lock v:ext="edit" aspectratio="t"/>
                    <v:rect id="Rectangle 66" o:spid="_x0000_s1027" style="position:absolute;top:16431;width:14398;height:2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" fillcolor="#6c3f99" stroked="f"/>
                    <v:shape id="Freeform 6" o:spid="_x0000_s1028" style="position:absolute;top:-212;width:121888;height:12963;visibility:visible;mso-wrap-style:square;v-text-anchor:top" coordsize="4841,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" path="m4214,370v,87,,87,,87c3766,457,3766,457,3766,457v,-436,,-436,,-436c4214,21,4214,21,4214,21v,83,,83,,83c3864,104,3864,104,3864,104v,89,,89,,89c4151,194,4151,194,4151,194v,83,,83,,83c3864,277,3864,277,3864,277v,93,,93,,93l4214,370xm4345,21v,436,,436,,436c4442,457,4442,457,4442,457v,-313,,-313,,-313c4753,457,4753,457,4753,457v88,,88,,88,c4841,21,4841,21,4841,21v-96,,-96,,-96,c4745,319,4745,319,4745,319,4450,21,4450,21,4450,21r-105,xm196,283v179,,179,,179,c283,109,283,109,283,109l196,283xm341,21c572,457,572,457,572,457v-108,,-108,,-108,c418,365,418,365,418,365v-265,,-265,,-265,c107,457,107,457,107,457,,457,,457,,457,231,21,231,21,231,21r110,xm2456,283c2366,106,2366,106,2366,106v-90,177,-90,177,-90,177l2456,283xm2422,21v232,436,232,436,232,436c2546,457,2546,457,2546,457v-47,-92,-47,-92,-47,-92c2234,365,2234,365,2234,365v-46,92,-46,92,-46,92c2081,457,2081,457,2081,457,2312,21,2312,21,2312,21r110,xm1015,325v-22,28,-49,46,-83,53c886,388,841,387,796,372,762,360,735,339,719,306,707,280,704,254,705,226v4,-58,36,-101,92,-121c837,91,879,89,920,96v40,7,73,27,96,60c1018,158,1020,160,1022,163v30,-15,60,-30,91,-46c1106,108,1100,99,1092,92,1051,49,1000,24,942,13,874,,808,6,744,30,683,53,639,93,617,155v-18,49,-19,99,-6,149c630,375,676,422,745,449v65,25,133,28,201,15c998,454,1045,432,1084,395v11,-11,21,-22,30,-36c1083,344,1054,329,1023,314v-3,4,-5,8,-8,11m1582,371v,-350,,-350,,-350c1483,21,1483,21,1483,21v,436,,436,,436c1891,457,1891,457,1891,457v,-86,,-86,,-86l1582,371xm2845,370v,-349,,-349,,-349c2747,21,2747,21,2747,21v,436,,436,,436c3155,457,3155,457,3155,457v,-87,,-87,,-87l2845,370xm3350,370v,-349,,-349,,-349c3253,21,3253,21,3253,21v,436,,436,,436c3660,457,3660,457,3660,457v,-87,,-87,,-87l3350,370xm1233,457v102,,102,,102,c1335,21,1335,21,1335,21v-102,,-102,,-102,l1233,457xe" fillcolor="#000100" stroked="f">
                      <v:path arrowok="t" o:connecttype="custom" o:connectlocs="10610144,1241977;9482156,57071;10610144,282638;9728903,524511;10451521,752795;9728903,1005539;10939980,57071;11184210,1241977;11967256,1241977;12188825,57071;11947113,866938;10939980,57071;944187,769101;493495,769101;1440200,1241977;1052454,991951;269408,1241977;581619,57071;6183796,769101;5730586,769101;6098189,57071;6410400,1241977;5624837,991951;5239609,1241977;6098189,57071;2346619,1027280;1810321,831608;2006712,285356;2558117,423957;2802347,317968;2371798,35330;1553502,421239;1875785,1220235;2729330,1073481;2575742,853349;3983210,1008257;3733945,57071;4761220,1241977;3983210,1008257;7163232,57071;6916485,1241977;7943760,1005539;8434737,1005539;8190508,57071;9215265,1241977;8434737,1005539;3361306,1241977;3104487,57071" o:connectangles="0,0,0,0,0,0,0,0,0,0,0,0,0,0,0,0,0,0,0,0,0,0,0,0,0,0,0,0,0,0,0,0,0,0,0,0,0,0,0,0,0,0,0,0,0,0,0,0"/>
                      <o:lock v:ext="edit" verticies="t"/>
                    </v:shape>
                    <w10:wrap anchorx="page" anchory="page"/>
                    <w10:anchorlock/>
                  </v:group>
                </w:pict>
              </mc:Fallback>
            </mc:AlternateContent>
          </w:r>
        </w:p>
      </w:tc>
      <w:tc>
        <w:tcPr>
          <w:tcW w:w="5181" w:type="dxa"/>
          <w:vAlign w:val="center"/>
        </w:tcPr>
        <w:p w14:paraId="77C680AC" w14:textId="3DF5CE39" w:rsidR="002B32A0" w:rsidRDefault="002B32A0" w:rsidP="004A1654">
          <w:pPr>
            <w:pStyle w:val="Header-CompanyName"/>
          </w:pPr>
        </w:p>
      </w:tc>
    </w:tr>
  </w:tbl>
  <w:p w14:paraId="4ED97841" w14:textId="6F304B26" w:rsidR="002B32A0" w:rsidRPr="00B52181" w:rsidRDefault="002B32A0" w:rsidP="00B52181">
    <w:pPr>
      <w:pStyle w:val="Header"/>
    </w:pP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941655" w14:textId="77777777" w:rsidR="002B32A0" w:rsidRPr="00B52181" w:rsidRDefault="002B32A0" w:rsidP="00B52181">
    <w:pPr>
      <w:pStyle w:val="Header"/>
    </w:pP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E8F02C" w14:textId="77777777" w:rsidR="002B32A0" w:rsidRPr="00B52181" w:rsidRDefault="002B32A0" w:rsidP="00B52181">
    <w:pPr>
      <w:pStyle w:val="Header"/>
    </w:pP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acTablenolines"/>
      <w:tblW w:w="10363" w:type="dxa"/>
      <w:tblInd w:w="-2427" w:type="dxa"/>
      <w:tblLayout w:type="fixed"/>
      <w:tblLook w:val="04A0" w:firstRow="1" w:lastRow="0" w:firstColumn="1" w:lastColumn="0" w:noHBand="0" w:noVBand="1"/>
    </w:tblPr>
    <w:tblGrid>
      <w:gridCol w:w="5182"/>
      <w:gridCol w:w="5181"/>
    </w:tblGrid>
    <w:tr w:rsidR="002B32A0" w14:paraId="6B296393" w14:textId="77777777" w:rsidTr="000B0AC7">
      <w:trPr>
        <w:trHeight w:hRule="exact" w:val="356"/>
      </w:trPr>
      <w:tc>
        <w:tcPr>
          <w:tcW w:w="5182" w:type="dxa"/>
          <w:vAlign w:val="center"/>
        </w:tcPr>
        <w:p w14:paraId="0CB27D5D" w14:textId="77777777" w:rsidR="002B32A0" w:rsidRDefault="002B32A0" w:rsidP="00B52181">
          <w:pPr>
            <w:pStyle w:val="spacer"/>
          </w:pPr>
          <w:r w:rsidRPr="000261B1">
            <w:rPr>
              <w:noProof/>
            </w:rPr>
            <mc:AlternateContent>
              <mc:Choice Requires="wpg">
                <w:drawing>
                  <wp:anchor distT="0" distB="0" distL="114300" distR="114300" simplePos="0" relativeHeight="251719680" behindDoc="0" locked="1" layoutInCell="1" allowOverlap="1" wp14:anchorId="1EA6A780" wp14:editId="7A74AB8B">
                    <wp:simplePos x="0" y="0"/>
                    <wp:positionH relativeFrom="page">
                      <wp:posOffset>0</wp:posOffset>
                    </wp:positionH>
                    <wp:positionV relativeFrom="page">
                      <wp:posOffset>69850</wp:posOffset>
                    </wp:positionV>
                    <wp:extent cx="981075" cy="142875"/>
                    <wp:effectExtent l="0" t="0" r="9525" b="9525"/>
                    <wp:wrapNone/>
                    <wp:docPr id="818" name="Group 8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981075" cy="142875"/>
                              <a:chOff x="0" y="-21209"/>
                              <a:chExt cx="12188825" cy="1878663"/>
                            </a:xfrm>
                          </wpg:grpSpPr>
                          <wps:wsp>
                            <wps:cNvPr id="819" name="Rectangle 46"/>
                            <wps:cNvSpPr>
                              <a:spLocks noChangeArrowheads="1"/>
                            </wps:cNvSpPr>
                            <wps:spPr bwMode="auto">
                              <a:xfrm>
                                <a:off x="0" y="1643143"/>
                                <a:ext cx="1439863" cy="214311"/>
                              </a:xfrm>
                              <a:prstGeom prst="rect">
                                <a:avLst/>
                              </a:prstGeom>
                              <a:solidFill>
                                <a:srgbClr val="6C3F99"/>
                              </a:solid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820" name="Freeform 6"/>
                            <wps:cNvSpPr>
                              <a:spLocks noEditPoints="1"/>
                            </wps:cNvSpPr>
                            <wps:spPr bwMode="auto">
                              <a:xfrm>
                                <a:off x="0" y="-21209"/>
                                <a:ext cx="12188825" cy="1296330"/>
                              </a:xfrm>
                              <a:custGeom>
                                <a:avLst/>
                                <a:gdLst>
                                  <a:gd name="T0" fmla="*/ 4214 w 4841"/>
                                  <a:gd name="T1" fmla="*/ 457 h 477"/>
                                  <a:gd name="T2" fmla="*/ 3766 w 4841"/>
                                  <a:gd name="T3" fmla="*/ 21 h 477"/>
                                  <a:gd name="T4" fmla="*/ 4214 w 4841"/>
                                  <a:gd name="T5" fmla="*/ 104 h 477"/>
                                  <a:gd name="T6" fmla="*/ 3864 w 4841"/>
                                  <a:gd name="T7" fmla="*/ 193 h 477"/>
                                  <a:gd name="T8" fmla="*/ 4151 w 4841"/>
                                  <a:gd name="T9" fmla="*/ 277 h 477"/>
                                  <a:gd name="T10" fmla="*/ 3864 w 4841"/>
                                  <a:gd name="T11" fmla="*/ 370 h 477"/>
                                  <a:gd name="T12" fmla="*/ 4345 w 4841"/>
                                  <a:gd name="T13" fmla="*/ 21 h 477"/>
                                  <a:gd name="T14" fmla="*/ 4442 w 4841"/>
                                  <a:gd name="T15" fmla="*/ 457 h 477"/>
                                  <a:gd name="T16" fmla="*/ 4753 w 4841"/>
                                  <a:gd name="T17" fmla="*/ 457 h 477"/>
                                  <a:gd name="T18" fmla="*/ 4841 w 4841"/>
                                  <a:gd name="T19" fmla="*/ 21 h 477"/>
                                  <a:gd name="T20" fmla="*/ 4745 w 4841"/>
                                  <a:gd name="T21" fmla="*/ 319 h 477"/>
                                  <a:gd name="T22" fmla="*/ 4345 w 4841"/>
                                  <a:gd name="T23" fmla="*/ 21 h 477"/>
                                  <a:gd name="T24" fmla="*/ 375 w 4841"/>
                                  <a:gd name="T25" fmla="*/ 283 h 477"/>
                                  <a:gd name="T26" fmla="*/ 196 w 4841"/>
                                  <a:gd name="T27" fmla="*/ 283 h 477"/>
                                  <a:gd name="T28" fmla="*/ 572 w 4841"/>
                                  <a:gd name="T29" fmla="*/ 457 h 477"/>
                                  <a:gd name="T30" fmla="*/ 418 w 4841"/>
                                  <a:gd name="T31" fmla="*/ 365 h 477"/>
                                  <a:gd name="T32" fmla="*/ 107 w 4841"/>
                                  <a:gd name="T33" fmla="*/ 457 h 477"/>
                                  <a:gd name="T34" fmla="*/ 231 w 4841"/>
                                  <a:gd name="T35" fmla="*/ 21 h 477"/>
                                  <a:gd name="T36" fmla="*/ 2456 w 4841"/>
                                  <a:gd name="T37" fmla="*/ 283 h 477"/>
                                  <a:gd name="T38" fmla="*/ 2276 w 4841"/>
                                  <a:gd name="T39" fmla="*/ 283 h 477"/>
                                  <a:gd name="T40" fmla="*/ 2422 w 4841"/>
                                  <a:gd name="T41" fmla="*/ 21 h 477"/>
                                  <a:gd name="T42" fmla="*/ 2546 w 4841"/>
                                  <a:gd name="T43" fmla="*/ 457 h 477"/>
                                  <a:gd name="T44" fmla="*/ 2234 w 4841"/>
                                  <a:gd name="T45" fmla="*/ 365 h 477"/>
                                  <a:gd name="T46" fmla="*/ 2081 w 4841"/>
                                  <a:gd name="T47" fmla="*/ 457 h 477"/>
                                  <a:gd name="T48" fmla="*/ 2422 w 4841"/>
                                  <a:gd name="T49" fmla="*/ 21 h 477"/>
                                  <a:gd name="T50" fmla="*/ 932 w 4841"/>
                                  <a:gd name="T51" fmla="*/ 378 h 477"/>
                                  <a:gd name="T52" fmla="*/ 719 w 4841"/>
                                  <a:gd name="T53" fmla="*/ 306 h 477"/>
                                  <a:gd name="T54" fmla="*/ 797 w 4841"/>
                                  <a:gd name="T55" fmla="*/ 105 h 477"/>
                                  <a:gd name="T56" fmla="*/ 1016 w 4841"/>
                                  <a:gd name="T57" fmla="*/ 156 h 477"/>
                                  <a:gd name="T58" fmla="*/ 1113 w 4841"/>
                                  <a:gd name="T59" fmla="*/ 117 h 477"/>
                                  <a:gd name="T60" fmla="*/ 942 w 4841"/>
                                  <a:gd name="T61" fmla="*/ 13 h 477"/>
                                  <a:gd name="T62" fmla="*/ 617 w 4841"/>
                                  <a:gd name="T63" fmla="*/ 155 h 477"/>
                                  <a:gd name="T64" fmla="*/ 745 w 4841"/>
                                  <a:gd name="T65" fmla="*/ 449 h 477"/>
                                  <a:gd name="T66" fmla="*/ 1084 w 4841"/>
                                  <a:gd name="T67" fmla="*/ 395 h 477"/>
                                  <a:gd name="T68" fmla="*/ 1023 w 4841"/>
                                  <a:gd name="T69" fmla="*/ 314 h 477"/>
                                  <a:gd name="T70" fmla="*/ 1582 w 4841"/>
                                  <a:gd name="T71" fmla="*/ 371 h 477"/>
                                  <a:gd name="T72" fmla="*/ 1483 w 4841"/>
                                  <a:gd name="T73" fmla="*/ 21 h 477"/>
                                  <a:gd name="T74" fmla="*/ 1891 w 4841"/>
                                  <a:gd name="T75" fmla="*/ 457 h 477"/>
                                  <a:gd name="T76" fmla="*/ 1582 w 4841"/>
                                  <a:gd name="T77" fmla="*/ 371 h 477"/>
                                  <a:gd name="T78" fmla="*/ 2845 w 4841"/>
                                  <a:gd name="T79" fmla="*/ 21 h 477"/>
                                  <a:gd name="T80" fmla="*/ 2747 w 4841"/>
                                  <a:gd name="T81" fmla="*/ 457 h 477"/>
                                  <a:gd name="T82" fmla="*/ 3155 w 4841"/>
                                  <a:gd name="T83" fmla="*/ 370 h 477"/>
                                  <a:gd name="T84" fmla="*/ 3350 w 4841"/>
                                  <a:gd name="T85" fmla="*/ 370 h 477"/>
                                  <a:gd name="T86" fmla="*/ 3253 w 4841"/>
                                  <a:gd name="T87" fmla="*/ 21 h 477"/>
                                  <a:gd name="T88" fmla="*/ 3660 w 4841"/>
                                  <a:gd name="T89" fmla="*/ 457 h 477"/>
                                  <a:gd name="T90" fmla="*/ 3350 w 4841"/>
                                  <a:gd name="T91" fmla="*/ 370 h 477"/>
                                  <a:gd name="T92" fmla="*/ 1335 w 4841"/>
                                  <a:gd name="T93" fmla="*/ 457 h 477"/>
                                  <a:gd name="T94" fmla="*/ 1233 w 4841"/>
                                  <a:gd name="T95" fmla="*/ 21 h 4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4841" h="477">
                                    <a:moveTo>
                                      <a:pt x="4214" y="370"/>
                                    </a:moveTo>
                                    <a:cubicBezTo>
                                      <a:pt x="4214" y="457"/>
                                      <a:pt x="4214" y="457"/>
                                      <a:pt x="4214" y="457"/>
                                    </a:cubicBezTo>
                                    <a:cubicBezTo>
                                      <a:pt x="3766" y="457"/>
                                      <a:pt x="3766" y="457"/>
                                      <a:pt x="3766" y="457"/>
                                    </a:cubicBezTo>
                                    <a:cubicBezTo>
                                      <a:pt x="3766" y="21"/>
                                      <a:pt x="3766" y="21"/>
                                      <a:pt x="3766" y="21"/>
                                    </a:cubicBezTo>
                                    <a:cubicBezTo>
                                      <a:pt x="4214" y="21"/>
                                      <a:pt x="4214" y="21"/>
                                      <a:pt x="4214" y="21"/>
                                    </a:cubicBezTo>
                                    <a:cubicBezTo>
                                      <a:pt x="4214" y="104"/>
                                      <a:pt x="4214" y="104"/>
                                      <a:pt x="4214" y="104"/>
                                    </a:cubicBezTo>
                                    <a:cubicBezTo>
                                      <a:pt x="3864" y="104"/>
                                      <a:pt x="3864" y="104"/>
                                      <a:pt x="3864" y="104"/>
                                    </a:cubicBezTo>
                                    <a:cubicBezTo>
                                      <a:pt x="3864" y="193"/>
                                      <a:pt x="3864" y="193"/>
                                      <a:pt x="3864" y="193"/>
                                    </a:cubicBezTo>
                                    <a:cubicBezTo>
                                      <a:pt x="4151" y="194"/>
                                      <a:pt x="4151" y="194"/>
                                      <a:pt x="4151" y="194"/>
                                    </a:cubicBezTo>
                                    <a:cubicBezTo>
                                      <a:pt x="4151" y="277"/>
                                      <a:pt x="4151" y="277"/>
                                      <a:pt x="4151" y="277"/>
                                    </a:cubicBezTo>
                                    <a:cubicBezTo>
                                      <a:pt x="3864" y="277"/>
                                      <a:pt x="3864" y="277"/>
                                      <a:pt x="3864" y="277"/>
                                    </a:cubicBezTo>
                                    <a:cubicBezTo>
                                      <a:pt x="3864" y="370"/>
                                      <a:pt x="3864" y="370"/>
                                      <a:pt x="3864" y="370"/>
                                    </a:cubicBezTo>
                                    <a:lnTo>
                                      <a:pt x="4214" y="370"/>
                                    </a:lnTo>
                                    <a:close/>
                                    <a:moveTo>
                                      <a:pt x="4345" y="21"/>
                                    </a:moveTo>
                                    <a:cubicBezTo>
                                      <a:pt x="4345" y="457"/>
                                      <a:pt x="4345" y="457"/>
                                      <a:pt x="4345" y="457"/>
                                    </a:cubicBezTo>
                                    <a:cubicBezTo>
                                      <a:pt x="4442" y="457"/>
                                      <a:pt x="4442" y="457"/>
                                      <a:pt x="4442" y="457"/>
                                    </a:cubicBezTo>
                                    <a:cubicBezTo>
                                      <a:pt x="4442" y="144"/>
                                      <a:pt x="4442" y="144"/>
                                      <a:pt x="4442" y="144"/>
                                    </a:cubicBezTo>
                                    <a:cubicBezTo>
                                      <a:pt x="4753" y="457"/>
                                      <a:pt x="4753" y="457"/>
                                      <a:pt x="4753" y="457"/>
                                    </a:cubicBezTo>
                                    <a:cubicBezTo>
                                      <a:pt x="4841" y="457"/>
                                      <a:pt x="4841" y="457"/>
                                      <a:pt x="4841" y="457"/>
                                    </a:cubicBezTo>
                                    <a:cubicBezTo>
                                      <a:pt x="4841" y="21"/>
                                      <a:pt x="4841" y="21"/>
                                      <a:pt x="4841" y="21"/>
                                    </a:cubicBezTo>
                                    <a:cubicBezTo>
                                      <a:pt x="4745" y="21"/>
                                      <a:pt x="4745" y="21"/>
                                      <a:pt x="4745" y="21"/>
                                    </a:cubicBezTo>
                                    <a:cubicBezTo>
                                      <a:pt x="4745" y="319"/>
                                      <a:pt x="4745" y="319"/>
                                      <a:pt x="4745" y="319"/>
                                    </a:cubicBezTo>
                                    <a:cubicBezTo>
                                      <a:pt x="4450" y="21"/>
                                      <a:pt x="4450" y="21"/>
                                      <a:pt x="4450" y="21"/>
                                    </a:cubicBezTo>
                                    <a:lnTo>
                                      <a:pt x="4345" y="21"/>
                                    </a:lnTo>
                                    <a:close/>
                                    <a:moveTo>
                                      <a:pt x="196" y="283"/>
                                    </a:moveTo>
                                    <a:cubicBezTo>
                                      <a:pt x="375" y="283"/>
                                      <a:pt x="375" y="283"/>
                                      <a:pt x="375" y="283"/>
                                    </a:cubicBezTo>
                                    <a:cubicBezTo>
                                      <a:pt x="283" y="109"/>
                                      <a:pt x="283" y="109"/>
                                      <a:pt x="283" y="109"/>
                                    </a:cubicBezTo>
                                    <a:lnTo>
                                      <a:pt x="196" y="283"/>
                                    </a:lnTo>
                                    <a:close/>
                                    <a:moveTo>
                                      <a:pt x="341" y="21"/>
                                    </a:moveTo>
                                    <a:cubicBezTo>
                                      <a:pt x="572" y="457"/>
                                      <a:pt x="572" y="457"/>
                                      <a:pt x="572" y="457"/>
                                    </a:cubicBezTo>
                                    <a:cubicBezTo>
                                      <a:pt x="464" y="457"/>
                                      <a:pt x="464" y="457"/>
                                      <a:pt x="464" y="457"/>
                                    </a:cubicBezTo>
                                    <a:cubicBezTo>
                                      <a:pt x="418" y="365"/>
                                      <a:pt x="418" y="365"/>
                                      <a:pt x="418" y="365"/>
                                    </a:cubicBezTo>
                                    <a:cubicBezTo>
                                      <a:pt x="153" y="365"/>
                                      <a:pt x="153" y="365"/>
                                      <a:pt x="153" y="365"/>
                                    </a:cubicBezTo>
                                    <a:cubicBezTo>
                                      <a:pt x="107" y="457"/>
                                      <a:pt x="107" y="457"/>
                                      <a:pt x="107" y="457"/>
                                    </a:cubicBezTo>
                                    <a:cubicBezTo>
                                      <a:pt x="0" y="457"/>
                                      <a:pt x="0" y="457"/>
                                      <a:pt x="0" y="457"/>
                                    </a:cubicBezTo>
                                    <a:cubicBezTo>
                                      <a:pt x="231" y="21"/>
                                      <a:pt x="231" y="21"/>
                                      <a:pt x="231" y="21"/>
                                    </a:cubicBezTo>
                                    <a:lnTo>
                                      <a:pt x="341" y="21"/>
                                    </a:lnTo>
                                    <a:close/>
                                    <a:moveTo>
                                      <a:pt x="2456" y="283"/>
                                    </a:moveTo>
                                    <a:cubicBezTo>
                                      <a:pt x="2366" y="106"/>
                                      <a:pt x="2366" y="106"/>
                                      <a:pt x="2366" y="106"/>
                                    </a:cubicBezTo>
                                    <a:cubicBezTo>
                                      <a:pt x="2276" y="283"/>
                                      <a:pt x="2276" y="283"/>
                                      <a:pt x="2276" y="283"/>
                                    </a:cubicBezTo>
                                    <a:lnTo>
                                      <a:pt x="2456" y="283"/>
                                    </a:lnTo>
                                    <a:close/>
                                    <a:moveTo>
                                      <a:pt x="2422" y="21"/>
                                    </a:moveTo>
                                    <a:cubicBezTo>
                                      <a:pt x="2654" y="457"/>
                                      <a:pt x="2654" y="457"/>
                                      <a:pt x="2654" y="457"/>
                                    </a:cubicBezTo>
                                    <a:cubicBezTo>
                                      <a:pt x="2546" y="457"/>
                                      <a:pt x="2546" y="457"/>
                                      <a:pt x="2546" y="457"/>
                                    </a:cubicBezTo>
                                    <a:cubicBezTo>
                                      <a:pt x="2499" y="365"/>
                                      <a:pt x="2499" y="365"/>
                                      <a:pt x="2499" y="365"/>
                                    </a:cubicBezTo>
                                    <a:cubicBezTo>
                                      <a:pt x="2234" y="365"/>
                                      <a:pt x="2234" y="365"/>
                                      <a:pt x="2234" y="365"/>
                                    </a:cubicBezTo>
                                    <a:cubicBezTo>
                                      <a:pt x="2188" y="457"/>
                                      <a:pt x="2188" y="457"/>
                                      <a:pt x="2188" y="457"/>
                                    </a:cubicBezTo>
                                    <a:cubicBezTo>
                                      <a:pt x="2081" y="457"/>
                                      <a:pt x="2081" y="457"/>
                                      <a:pt x="2081" y="457"/>
                                    </a:cubicBezTo>
                                    <a:cubicBezTo>
                                      <a:pt x="2312" y="21"/>
                                      <a:pt x="2312" y="21"/>
                                      <a:pt x="2312" y="21"/>
                                    </a:cubicBezTo>
                                    <a:lnTo>
                                      <a:pt x="2422" y="21"/>
                                    </a:lnTo>
                                    <a:close/>
                                    <a:moveTo>
                                      <a:pt x="1015" y="325"/>
                                    </a:moveTo>
                                    <a:cubicBezTo>
                                      <a:pt x="993" y="353"/>
                                      <a:pt x="966" y="371"/>
                                      <a:pt x="932" y="378"/>
                                    </a:cubicBezTo>
                                    <a:cubicBezTo>
                                      <a:pt x="886" y="388"/>
                                      <a:pt x="841" y="387"/>
                                      <a:pt x="796" y="372"/>
                                    </a:cubicBezTo>
                                    <a:cubicBezTo>
                                      <a:pt x="762" y="360"/>
                                      <a:pt x="735" y="339"/>
                                      <a:pt x="719" y="306"/>
                                    </a:cubicBezTo>
                                    <a:cubicBezTo>
                                      <a:pt x="707" y="280"/>
                                      <a:pt x="704" y="254"/>
                                      <a:pt x="705" y="226"/>
                                    </a:cubicBezTo>
                                    <a:cubicBezTo>
                                      <a:pt x="709" y="168"/>
                                      <a:pt x="741" y="125"/>
                                      <a:pt x="797" y="105"/>
                                    </a:cubicBezTo>
                                    <a:cubicBezTo>
                                      <a:pt x="837" y="91"/>
                                      <a:pt x="879" y="89"/>
                                      <a:pt x="920" y="96"/>
                                    </a:cubicBezTo>
                                    <a:cubicBezTo>
                                      <a:pt x="960" y="103"/>
                                      <a:pt x="993" y="123"/>
                                      <a:pt x="1016" y="156"/>
                                    </a:cubicBezTo>
                                    <a:cubicBezTo>
                                      <a:pt x="1018" y="158"/>
                                      <a:pt x="1020" y="160"/>
                                      <a:pt x="1022" y="163"/>
                                    </a:cubicBezTo>
                                    <a:cubicBezTo>
                                      <a:pt x="1052" y="148"/>
                                      <a:pt x="1082" y="133"/>
                                      <a:pt x="1113" y="117"/>
                                    </a:cubicBezTo>
                                    <a:cubicBezTo>
                                      <a:pt x="1106" y="108"/>
                                      <a:pt x="1100" y="99"/>
                                      <a:pt x="1092" y="92"/>
                                    </a:cubicBezTo>
                                    <a:cubicBezTo>
                                      <a:pt x="1051" y="49"/>
                                      <a:pt x="1000" y="24"/>
                                      <a:pt x="942" y="13"/>
                                    </a:cubicBezTo>
                                    <a:cubicBezTo>
                                      <a:pt x="874" y="0"/>
                                      <a:pt x="808" y="6"/>
                                      <a:pt x="744" y="30"/>
                                    </a:cubicBezTo>
                                    <a:cubicBezTo>
                                      <a:pt x="683" y="53"/>
                                      <a:pt x="639" y="93"/>
                                      <a:pt x="617" y="155"/>
                                    </a:cubicBezTo>
                                    <a:cubicBezTo>
                                      <a:pt x="599" y="204"/>
                                      <a:pt x="598" y="254"/>
                                      <a:pt x="611" y="304"/>
                                    </a:cubicBezTo>
                                    <a:cubicBezTo>
                                      <a:pt x="630" y="375"/>
                                      <a:pt x="676" y="422"/>
                                      <a:pt x="745" y="449"/>
                                    </a:cubicBezTo>
                                    <a:cubicBezTo>
                                      <a:pt x="810" y="474"/>
                                      <a:pt x="878" y="477"/>
                                      <a:pt x="946" y="464"/>
                                    </a:cubicBezTo>
                                    <a:cubicBezTo>
                                      <a:pt x="998" y="454"/>
                                      <a:pt x="1045" y="432"/>
                                      <a:pt x="1084" y="395"/>
                                    </a:cubicBezTo>
                                    <a:cubicBezTo>
                                      <a:pt x="1095" y="384"/>
                                      <a:pt x="1105" y="373"/>
                                      <a:pt x="1114" y="359"/>
                                    </a:cubicBezTo>
                                    <a:cubicBezTo>
                                      <a:pt x="1083" y="344"/>
                                      <a:pt x="1054" y="329"/>
                                      <a:pt x="1023" y="314"/>
                                    </a:cubicBezTo>
                                    <a:cubicBezTo>
                                      <a:pt x="1020" y="318"/>
                                      <a:pt x="1018" y="322"/>
                                      <a:pt x="1015" y="325"/>
                                    </a:cubicBezTo>
                                    <a:moveTo>
                                      <a:pt x="1582" y="371"/>
                                    </a:moveTo>
                                    <a:cubicBezTo>
                                      <a:pt x="1582" y="21"/>
                                      <a:pt x="1582" y="21"/>
                                      <a:pt x="1582" y="21"/>
                                    </a:cubicBezTo>
                                    <a:cubicBezTo>
                                      <a:pt x="1483" y="21"/>
                                      <a:pt x="1483" y="21"/>
                                      <a:pt x="1483" y="21"/>
                                    </a:cubicBezTo>
                                    <a:cubicBezTo>
                                      <a:pt x="1483" y="457"/>
                                      <a:pt x="1483" y="457"/>
                                      <a:pt x="1483" y="457"/>
                                    </a:cubicBezTo>
                                    <a:cubicBezTo>
                                      <a:pt x="1891" y="457"/>
                                      <a:pt x="1891" y="457"/>
                                      <a:pt x="1891" y="457"/>
                                    </a:cubicBezTo>
                                    <a:cubicBezTo>
                                      <a:pt x="1891" y="371"/>
                                      <a:pt x="1891" y="371"/>
                                      <a:pt x="1891" y="371"/>
                                    </a:cubicBezTo>
                                    <a:lnTo>
                                      <a:pt x="1582" y="371"/>
                                    </a:lnTo>
                                    <a:close/>
                                    <a:moveTo>
                                      <a:pt x="2845" y="370"/>
                                    </a:moveTo>
                                    <a:cubicBezTo>
                                      <a:pt x="2845" y="21"/>
                                      <a:pt x="2845" y="21"/>
                                      <a:pt x="2845" y="21"/>
                                    </a:cubicBezTo>
                                    <a:cubicBezTo>
                                      <a:pt x="2747" y="21"/>
                                      <a:pt x="2747" y="21"/>
                                      <a:pt x="2747" y="21"/>
                                    </a:cubicBezTo>
                                    <a:cubicBezTo>
                                      <a:pt x="2747" y="457"/>
                                      <a:pt x="2747" y="457"/>
                                      <a:pt x="2747" y="457"/>
                                    </a:cubicBezTo>
                                    <a:cubicBezTo>
                                      <a:pt x="3155" y="457"/>
                                      <a:pt x="3155" y="457"/>
                                      <a:pt x="3155" y="457"/>
                                    </a:cubicBezTo>
                                    <a:cubicBezTo>
                                      <a:pt x="3155" y="370"/>
                                      <a:pt x="3155" y="370"/>
                                      <a:pt x="3155" y="370"/>
                                    </a:cubicBezTo>
                                    <a:lnTo>
                                      <a:pt x="2845" y="370"/>
                                    </a:lnTo>
                                    <a:close/>
                                    <a:moveTo>
                                      <a:pt x="3350" y="370"/>
                                    </a:moveTo>
                                    <a:cubicBezTo>
                                      <a:pt x="3350" y="21"/>
                                      <a:pt x="3350" y="21"/>
                                      <a:pt x="3350" y="21"/>
                                    </a:cubicBezTo>
                                    <a:cubicBezTo>
                                      <a:pt x="3253" y="21"/>
                                      <a:pt x="3253" y="21"/>
                                      <a:pt x="3253" y="21"/>
                                    </a:cubicBezTo>
                                    <a:cubicBezTo>
                                      <a:pt x="3253" y="457"/>
                                      <a:pt x="3253" y="457"/>
                                      <a:pt x="3253" y="457"/>
                                    </a:cubicBezTo>
                                    <a:cubicBezTo>
                                      <a:pt x="3660" y="457"/>
                                      <a:pt x="3660" y="457"/>
                                      <a:pt x="3660" y="457"/>
                                    </a:cubicBezTo>
                                    <a:cubicBezTo>
                                      <a:pt x="3660" y="370"/>
                                      <a:pt x="3660" y="370"/>
                                      <a:pt x="3660" y="370"/>
                                    </a:cubicBezTo>
                                    <a:lnTo>
                                      <a:pt x="3350" y="370"/>
                                    </a:lnTo>
                                    <a:close/>
                                    <a:moveTo>
                                      <a:pt x="1233" y="457"/>
                                    </a:moveTo>
                                    <a:cubicBezTo>
                                      <a:pt x="1335" y="457"/>
                                      <a:pt x="1335" y="457"/>
                                      <a:pt x="1335" y="457"/>
                                    </a:cubicBezTo>
                                    <a:cubicBezTo>
                                      <a:pt x="1335" y="21"/>
                                      <a:pt x="1335" y="21"/>
                                      <a:pt x="1335" y="21"/>
                                    </a:cubicBezTo>
                                    <a:cubicBezTo>
                                      <a:pt x="1233" y="21"/>
                                      <a:pt x="1233" y="21"/>
                                      <a:pt x="1233" y="21"/>
                                    </a:cubicBezTo>
                                    <a:lnTo>
                                      <a:pt x="1233" y="457"/>
                                    </a:lnTo>
                                    <a:close/>
                                  </a:path>
                                </a:pathLst>
                              </a:custGeom>
                              <a:solidFill>
                                <a:srgbClr val="0001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1906DDD8" id="Group 818" o:spid="_x0000_s1026" alt="&quot;&quot;" style="position:absolute;margin-left:0;margin-top:5.5pt;width:77.25pt;height:11.25pt;z-index:251719680;mso-position-horizontal-relative:page;mso-position-vertical-relative:page;mso-width-relative:margin;mso-height-relative:margin" coordorigin=",-212" coordsize="121888,187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">
                    <o:lock v:ext="edit" aspectratio="t"/>
                    <v:rect id="Rectangle 46" o:spid="_x0000_s1027" style="position:absolute;top:16431;width:14398;height:2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" fillcolor="#6c3f99" stroked="f"/>
                    <v:shape id="Freeform 6" o:spid="_x0000_s1028" style="position:absolute;top:-212;width:121888;height:12963;visibility:visible;mso-wrap-style:square;v-text-anchor:top" coordsize="4841,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" path="m4214,370v,87,,87,,87c3766,457,3766,457,3766,457v,-436,,-436,,-436c4214,21,4214,21,4214,21v,83,,83,,83c3864,104,3864,104,3864,104v,89,,89,,89c4151,194,4151,194,4151,194v,83,,83,,83c3864,277,3864,277,3864,277v,93,,93,,93l4214,370xm4345,21v,436,,436,,436c4442,457,4442,457,4442,457v,-313,,-313,,-313c4753,457,4753,457,4753,457v88,,88,,88,c4841,21,4841,21,4841,21v-96,,-96,,-96,c4745,319,4745,319,4745,319,4450,21,4450,21,4450,21r-105,xm196,283v179,,179,,179,c283,109,283,109,283,109l196,283xm341,21c572,457,572,457,572,457v-108,,-108,,-108,c418,365,418,365,418,365v-265,,-265,,-265,c107,457,107,457,107,457,,457,,457,,457,231,21,231,21,231,21r110,xm2456,283c2366,106,2366,106,2366,106v-90,177,-90,177,-90,177l2456,283xm2422,21v232,436,232,436,232,436c2546,457,2546,457,2546,457v-47,-92,-47,-92,-47,-92c2234,365,2234,365,2234,365v-46,92,-46,92,-46,92c2081,457,2081,457,2081,457,2312,21,2312,21,2312,21r110,xm1015,325v-22,28,-49,46,-83,53c886,388,841,387,796,372,762,360,735,339,719,306,707,280,704,254,705,226v4,-58,36,-101,92,-121c837,91,879,89,920,96v40,7,73,27,96,60c1018,158,1020,160,1022,163v30,-15,60,-30,91,-46c1106,108,1100,99,1092,92,1051,49,1000,24,942,13,874,,808,6,744,30,683,53,639,93,617,155v-18,49,-19,99,-6,149c630,375,676,422,745,449v65,25,133,28,201,15c998,454,1045,432,1084,395v11,-11,21,-22,30,-36c1083,344,1054,329,1023,314v-3,4,-5,8,-8,11m1582,371v,-350,,-350,,-350c1483,21,1483,21,1483,21v,436,,436,,436c1891,457,1891,457,1891,457v,-86,,-86,,-86l1582,371xm2845,370v,-349,,-349,,-349c2747,21,2747,21,2747,21v,436,,436,,436c3155,457,3155,457,3155,457v,-87,,-87,,-87l2845,370xm3350,370v,-349,,-349,,-349c3253,21,3253,21,3253,21v,436,,436,,436c3660,457,3660,457,3660,457v,-87,,-87,,-87l3350,370xm1233,457v102,,102,,102,c1335,21,1335,21,1335,21v-102,,-102,,-102,l1233,457xe" fillcolor="#000100" stroked="f">
                      <v:path arrowok="t" o:connecttype="custom" o:connectlocs="10610144,1241977;9482156,57071;10610144,282638;9728903,524511;10451521,752795;9728903,1005539;10939980,57071;11184210,1241977;11967256,1241977;12188825,57071;11947113,866938;10939980,57071;944187,769101;493495,769101;1440200,1241977;1052454,991951;269408,1241977;581619,57071;6183796,769101;5730586,769101;6098189,57071;6410400,1241977;5624837,991951;5239609,1241977;6098189,57071;2346619,1027280;1810321,831608;2006712,285356;2558117,423957;2802347,317968;2371798,35330;1553502,421239;1875785,1220235;2729330,1073481;2575742,853349;3983210,1008257;3733945,57071;4761220,1241977;3983210,1008257;7163232,57071;6916485,1241977;7943760,1005539;8434737,1005539;8190508,57071;9215265,1241977;8434737,1005539;3361306,1241977;3104487,57071" o:connectangles="0,0,0,0,0,0,0,0,0,0,0,0,0,0,0,0,0,0,0,0,0,0,0,0,0,0,0,0,0,0,0,0,0,0,0,0,0,0,0,0,0,0,0,0,0,0,0,0"/>
                      <o:lock v:ext="edit" verticies="t"/>
                    </v:shape>
                    <w10:wrap anchorx="page" anchory="page"/>
                    <w10:anchorlock/>
                  </v:group>
                </w:pict>
              </mc:Fallback>
            </mc:AlternateContent>
          </w:r>
        </w:p>
      </w:tc>
      <w:tc>
        <w:tcPr>
          <w:tcW w:w="5181" w:type="dxa"/>
          <w:vAlign w:val="center"/>
        </w:tcPr>
        <w:p w14:paraId="3680181A" w14:textId="68BDD145" w:rsidR="002B32A0" w:rsidRDefault="002B32A0" w:rsidP="004A1654">
          <w:pPr>
            <w:pStyle w:val="Header-CompanyName"/>
          </w:pPr>
        </w:p>
      </w:tc>
    </w:tr>
  </w:tbl>
  <w:p w14:paraId="2DDDFF35" w14:textId="615A5166" w:rsidR="002B32A0" w:rsidRPr="00B52181" w:rsidRDefault="002B32A0" w:rsidP="00B52181">
    <w:pPr>
      <w:pStyle w:val="Header"/>
    </w:pP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D6D7D6" w14:textId="77777777" w:rsidR="002B32A0" w:rsidRPr="00B52181" w:rsidRDefault="002B32A0" w:rsidP="00B52181">
    <w:pPr>
      <w:pStyle w:val="Header"/>
    </w:pP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A532D1" w14:textId="77777777" w:rsidR="002B32A0" w:rsidRDefault="002B32A0">
    <w:pPr>
      <w:pStyle w:val="Header"/>
    </w:pP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acTablenolines"/>
      <w:tblW w:w="10363" w:type="dxa"/>
      <w:tblInd w:w="-2427" w:type="dxa"/>
      <w:tblLayout w:type="fixed"/>
      <w:tblLook w:val="04A0" w:firstRow="1" w:lastRow="0" w:firstColumn="1" w:lastColumn="0" w:noHBand="0" w:noVBand="1"/>
    </w:tblPr>
    <w:tblGrid>
      <w:gridCol w:w="5182"/>
      <w:gridCol w:w="5181"/>
    </w:tblGrid>
    <w:tr w:rsidR="002B32A0" w14:paraId="6586F5C9" w14:textId="77777777" w:rsidTr="000B0AC7">
      <w:trPr>
        <w:trHeight w:hRule="exact" w:val="356"/>
      </w:trPr>
      <w:tc>
        <w:tcPr>
          <w:tcW w:w="5182" w:type="dxa"/>
          <w:vAlign w:val="center"/>
        </w:tcPr>
        <w:p w14:paraId="6D1727D1" w14:textId="77777777" w:rsidR="002B32A0" w:rsidRDefault="002B32A0" w:rsidP="002B32A0">
          <w:pPr>
            <w:pStyle w:val="spacer"/>
          </w:pPr>
          <w:r w:rsidRPr="000261B1">
            <w:rPr>
              <w:noProof/>
            </w:rPr>
            <mc:AlternateContent>
              <mc:Choice Requires="wpg">
                <w:drawing>
                  <wp:anchor distT="0" distB="0" distL="114300" distR="114300" simplePos="0" relativeHeight="251737088" behindDoc="0" locked="1" layoutInCell="1" allowOverlap="1" wp14:anchorId="0367F0F2" wp14:editId="45932A03">
                    <wp:simplePos x="0" y="0"/>
                    <wp:positionH relativeFrom="page">
                      <wp:posOffset>0</wp:posOffset>
                    </wp:positionH>
                    <wp:positionV relativeFrom="page">
                      <wp:posOffset>69850</wp:posOffset>
                    </wp:positionV>
                    <wp:extent cx="981075" cy="142875"/>
                    <wp:effectExtent l="0" t="0" r="9525" b="9525"/>
                    <wp:wrapNone/>
                    <wp:docPr id="942579551" name="Group 9425795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981075" cy="142875"/>
                              <a:chOff x="0" y="-21209"/>
                              <a:chExt cx="12188825" cy="1878663"/>
                            </a:xfrm>
                          </wpg:grpSpPr>
                          <wps:wsp>
                            <wps:cNvPr id="1187928724" name="Rectangle 16"/>
                            <wps:cNvSpPr>
                              <a:spLocks noChangeArrowheads="1"/>
                            </wps:cNvSpPr>
                            <wps:spPr bwMode="auto">
                              <a:xfrm>
                                <a:off x="0" y="1643143"/>
                                <a:ext cx="1439863" cy="214311"/>
                              </a:xfrm>
                              <a:prstGeom prst="rect">
                                <a:avLst/>
                              </a:prstGeom>
                              <a:solidFill>
                                <a:srgbClr val="6C3F99"/>
                              </a:solid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572416977" name="Freeform 6"/>
                            <wps:cNvSpPr>
                              <a:spLocks noEditPoints="1"/>
                            </wps:cNvSpPr>
                            <wps:spPr bwMode="auto">
                              <a:xfrm>
                                <a:off x="0" y="-21209"/>
                                <a:ext cx="12188825" cy="1296330"/>
                              </a:xfrm>
                              <a:custGeom>
                                <a:avLst/>
                                <a:gdLst>
                                  <a:gd name="T0" fmla="*/ 4214 w 4841"/>
                                  <a:gd name="T1" fmla="*/ 457 h 477"/>
                                  <a:gd name="T2" fmla="*/ 3766 w 4841"/>
                                  <a:gd name="T3" fmla="*/ 21 h 477"/>
                                  <a:gd name="T4" fmla="*/ 4214 w 4841"/>
                                  <a:gd name="T5" fmla="*/ 104 h 477"/>
                                  <a:gd name="T6" fmla="*/ 3864 w 4841"/>
                                  <a:gd name="T7" fmla="*/ 193 h 477"/>
                                  <a:gd name="T8" fmla="*/ 4151 w 4841"/>
                                  <a:gd name="T9" fmla="*/ 277 h 477"/>
                                  <a:gd name="T10" fmla="*/ 3864 w 4841"/>
                                  <a:gd name="T11" fmla="*/ 370 h 477"/>
                                  <a:gd name="T12" fmla="*/ 4345 w 4841"/>
                                  <a:gd name="T13" fmla="*/ 21 h 477"/>
                                  <a:gd name="T14" fmla="*/ 4442 w 4841"/>
                                  <a:gd name="T15" fmla="*/ 457 h 477"/>
                                  <a:gd name="T16" fmla="*/ 4753 w 4841"/>
                                  <a:gd name="T17" fmla="*/ 457 h 477"/>
                                  <a:gd name="T18" fmla="*/ 4841 w 4841"/>
                                  <a:gd name="T19" fmla="*/ 21 h 477"/>
                                  <a:gd name="T20" fmla="*/ 4745 w 4841"/>
                                  <a:gd name="T21" fmla="*/ 319 h 477"/>
                                  <a:gd name="T22" fmla="*/ 4345 w 4841"/>
                                  <a:gd name="T23" fmla="*/ 21 h 477"/>
                                  <a:gd name="T24" fmla="*/ 375 w 4841"/>
                                  <a:gd name="T25" fmla="*/ 283 h 477"/>
                                  <a:gd name="T26" fmla="*/ 196 w 4841"/>
                                  <a:gd name="T27" fmla="*/ 283 h 477"/>
                                  <a:gd name="T28" fmla="*/ 572 w 4841"/>
                                  <a:gd name="T29" fmla="*/ 457 h 477"/>
                                  <a:gd name="T30" fmla="*/ 418 w 4841"/>
                                  <a:gd name="T31" fmla="*/ 365 h 477"/>
                                  <a:gd name="T32" fmla="*/ 107 w 4841"/>
                                  <a:gd name="T33" fmla="*/ 457 h 477"/>
                                  <a:gd name="T34" fmla="*/ 231 w 4841"/>
                                  <a:gd name="T35" fmla="*/ 21 h 477"/>
                                  <a:gd name="T36" fmla="*/ 2456 w 4841"/>
                                  <a:gd name="T37" fmla="*/ 283 h 477"/>
                                  <a:gd name="T38" fmla="*/ 2276 w 4841"/>
                                  <a:gd name="T39" fmla="*/ 283 h 477"/>
                                  <a:gd name="T40" fmla="*/ 2422 w 4841"/>
                                  <a:gd name="T41" fmla="*/ 21 h 477"/>
                                  <a:gd name="T42" fmla="*/ 2546 w 4841"/>
                                  <a:gd name="T43" fmla="*/ 457 h 477"/>
                                  <a:gd name="T44" fmla="*/ 2234 w 4841"/>
                                  <a:gd name="T45" fmla="*/ 365 h 477"/>
                                  <a:gd name="T46" fmla="*/ 2081 w 4841"/>
                                  <a:gd name="T47" fmla="*/ 457 h 477"/>
                                  <a:gd name="T48" fmla="*/ 2422 w 4841"/>
                                  <a:gd name="T49" fmla="*/ 21 h 477"/>
                                  <a:gd name="T50" fmla="*/ 932 w 4841"/>
                                  <a:gd name="T51" fmla="*/ 378 h 477"/>
                                  <a:gd name="T52" fmla="*/ 719 w 4841"/>
                                  <a:gd name="T53" fmla="*/ 306 h 477"/>
                                  <a:gd name="T54" fmla="*/ 797 w 4841"/>
                                  <a:gd name="T55" fmla="*/ 105 h 477"/>
                                  <a:gd name="T56" fmla="*/ 1016 w 4841"/>
                                  <a:gd name="T57" fmla="*/ 156 h 477"/>
                                  <a:gd name="T58" fmla="*/ 1113 w 4841"/>
                                  <a:gd name="T59" fmla="*/ 117 h 477"/>
                                  <a:gd name="T60" fmla="*/ 942 w 4841"/>
                                  <a:gd name="T61" fmla="*/ 13 h 477"/>
                                  <a:gd name="T62" fmla="*/ 617 w 4841"/>
                                  <a:gd name="T63" fmla="*/ 155 h 477"/>
                                  <a:gd name="T64" fmla="*/ 745 w 4841"/>
                                  <a:gd name="T65" fmla="*/ 449 h 477"/>
                                  <a:gd name="T66" fmla="*/ 1084 w 4841"/>
                                  <a:gd name="T67" fmla="*/ 395 h 477"/>
                                  <a:gd name="T68" fmla="*/ 1023 w 4841"/>
                                  <a:gd name="T69" fmla="*/ 314 h 477"/>
                                  <a:gd name="T70" fmla="*/ 1582 w 4841"/>
                                  <a:gd name="T71" fmla="*/ 371 h 477"/>
                                  <a:gd name="T72" fmla="*/ 1483 w 4841"/>
                                  <a:gd name="T73" fmla="*/ 21 h 477"/>
                                  <a:gd name="T74" fmla="*/ 1891 w 4841"/>
                                  <a:gd name="T75" fmla="*/ 457 h 477"/>
                                  <a:gd name="T76" fmla="*/ 1582 w 4841"/>
                                  <a:gd name="T77" fmla="*/ 371 h 477"/>
                                  <a:gd name="T78" fmla="*/ 2845 w 4841"/>
                                  <a:gd name="T79" fmla="*/ 21 h 477"/>
                                  <a:gd name="T80" fmla="*/ 2747 w 4841"/>
                                  <a:gd name="T81" fmla="*/ 457 h 477"/>
                                  <a:gd name="T82" fmla="*/ 3155 w 4841"/>
                                  <a:gd name="T83" fmla="*/ 370 h 477"/>
                                  <a:gd name="T84" fmla="*/ 3350 w 4841"/>
                                  <a:gd name="T85" fmla="*/ 370 h 477"/>
                                  <a:gd name="T86" fmla="*/ 3253 w 4841"/>
                                  <a:gd name="T87" fmla="*/ 21 h 477"/>
                                  <a:gd name="T88" fmla="*/ 3660 w 4841"/>
                                  <a:gd name="T89" fmla="*/ 457 h 477"/>
                                  <a:gd name="T90" fmla="*/ 3350 w 4841"/>
                                  <a:gd name="T91" fmla="*/ 370 h 477"/>
                                  <a:gd name="T92" fmla="*/ 1335 w 4841"/>
                                  <a:gd name="T93" fmla="*/ 457 h 477"/>
                                  <a:gd name="T94" fmla="*/ 1233 w 4841"/>
                                  <a:gd name="T95" fmla="*/ 21 h 4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4841" h="477">
                                    <a:moveTo>
                                      <a:pt x="4214" y="370"/>
                                    </a:moveTo>
                                    <a:cubicBezTo>
                                      <a:pt x="4214" y="457"/>
                                      <a:pt x="4214" y="457"/>
                                      <a:pt x="4214" y="457"/>
                                    </a:cubicBezTo>
                                    <a:cubicBezTo>
                                      <a:pt x="3766" y="457"/>
                                      <a:pt x="3766" y="457"/>
                                      <a:pt x="3766" y="457"/>
                                    </a:cubicBezTo>
                                    <a:cubicBezTo>
                                      <a:pt x="3766" y="21"/>
                                      <a:pt x="3766" y="21"/>
                                      <a:pt x="3766" y="21"/>
                                    </a:cubicBezTo>
                                    <a:cubicBezTo>
                                      <a:pt x="4214" y="21"/>
                                      <a:pt x="4214" y="21"/>
                                      <a:pt x="4214" y="21"/>
                                    </a:cubicBezTo>
                                    <a:cubicBezTo>
                                      <a:pt x="4214" y="104"/>
                                      <a:pt x="4214" y="104"/>
                                      <a:pt x="4214" y="104"/>
                                    </a:cubicBezTo>
                                    <a:cubicBezTo>
                                      <a:pt x="3864" y="104"/>
                                      <a:pt x="3864" y="104"/>
                                      <a:pt x="3864" y="104"/>
                                    </a:cubicBezTo>
                                    <a:cubicBezTo>
                                      <a:pt x="3864" y="193"/>
                                      <a:pt x="3864" y="193"/>
                                      <a:pt x="3864" y="193"/>
                                    </a:cubicBezTo>
                                    <a:cubicBezTo>
                                      <a:pt x="4151" y="194"/>
                                      <a:pt x="4151" y="194"/>
                                      <a:pt x="4151" y="194"/>
                                    </a:cubicBezTo>
                                    <a:cubicBezTo>
                                      <a:pt x="4151" y="277"/>
                                      <a:pt x="4151" y="277"/>
                                      <a:pt x="4151" y="277"/>
                                    </a:cubicBezTo>
                                    <a:cubicBezTo>
                                      <a:pt x="3864" y="277"/>
                                      <a:pt x="3864" y="277"/>
                                      <a:pt x="3864" y="277"/>
                                    </a:cubicBezTo>
                                    <a:cubicBezTo>
                                      <a:pt x="3864" y="370"/>
                                      <a:pt x="3864" y="370"/>
                                      <a:pt x="3864" y="370"/>
                                    </a:cubicBezTo>
                                    <a:lnTo>
                                      <a:pt x="4214" y="370"/>
                                    </a:lnTo>
                                    <a:close/>
                                    <a:moveTo>
                                      <a:pt x="4345" y="21"/>
                                    </a:moveTo>
                                    <a:cubicBezTo>
                                      <a:pt x="4345" y="457"/>
                                      <a:pt x="4345" y="457"/>
                                      <a:pt x="4345" y="457"/>
                                    </a:cubicBezTo>
                                    <a:cubicBezTo>
                                      <a:pt x="4442" y="457"/>
                                      <a:pt x="4442" y="457"/>
                                      <a:pt x="4442" y="457"/>
                                    </a:cubicBezTo>
                                    <a:cubicBezTo>
                                      <a:pt x="4442" y="144"/>
                                      <a:pt x="4442" y="144"/>
                                      <a:pt x="4442" y="144"/>
                                    </a:cubicBezTo>
                                    <a:cubicBezTo>
                                      <a:pt x="4753" y="457"/>
                                      <a:pt x="4753" y="457"/>
                                      <a:pt x="4753" y="457"/>
                                    </a:cubicBezTo>
                                    <a:cubicBezTo>
                                      <a:pt x="4841" y="457"/>
                                      <a:pt x="4841" y="457"/>
                                      <a:pt x="4841" y="457"/>
                                    </a:cubicBezTo>
                                    <a:cubicBezTo>
                                      <a:pt x="4841" y="21"/>
                                      <a:pt x="4841" y="21"/>
                                      <a:pt x="4841" y="21"/>
                                    </a:cubicBezTo>
                                    <a:cubicBezTo>
                                      <a:pt x="4745" y="21"/>
                                      <a:pt x="4745" y="21"/>
                                      <a:pt x="4745" y="21"/>
                                    </a:cubicBezTo>
                                    <a:cubicBezTo>
                                      <a:pt x="4745" y="319"/>
                                      <a:pt x="4745" y="319"/>
                                      <a:pt x="4745" y="319"/>
                                    </a:cubicBezTo>
                                    <a:cubicBezTo>
                                      <a:pt x="4450" y="21"/>
                                      <a:pt x="4450" y="21"/>
                                      <a:pt x="4450" y="21"/>
                                    </a:cubicBezTo>
                                    <a:lnTo>
                                      <a:pt x="4345" y="21"/>
                                    </a:lnTo>
                                    <a:close/>
                                    <a:moveTo>
                                      <a:pt x="196" y="283"/>
                                    </a:moveTo>
                                    <a:cubicBezTo>
                                      <a:pt x="375" y="283"/>
                                      <a:pt x="375" y="283"/>
                                      <a:pt x="375" y="283"/>
                                    </a:cubicBezTo>
                                    <a:cubicBezTo>
                                      <a:pt x="283" y="109"/>
                                      <a:pt x="283" y="109"/>
                                      <a:pt x="283" y="109"/>
                                    </a:cubicBezTo>
                                    <a:lnTo>
                                      <a:pt x="196" y="283"/>
                                    </a:lnTo>
                                    <a:close/>
                                    <a:moveTo>
                                      <a:pt x="341" y="21"/>
                                    </a:moveTo>
                                    <a:cubicBezTo>
                                      <a:pt x="572" y="457"/>
                                      <a:pt x="572" y="457"/>
                                      <a:pt x="572" y="457"/>
                                    </a:cubicBezTo>
                                    <a:cubicBezTo>
                                      <a:pt x="464" y="457"/>
                                      <a:pt x="464" y="457"/>
                                      <a:pt x="464" y="457"/>
                                    </a:cubicBezTo>
                                    <a:cubicBezTo>
                                      <a:pt x="418" y="365"/>
                                      <a:pt x="418" y="365"/>
                                      <a:pt x="418" y="365"/>
                                    </a:cubicBezTo>
                                    <a:cubicBezTo>
                                      <a:pt x="153" y="365"/>
                                      <a:pt x="153" y="365"/>
                                      <a:pt x="153" y="365"/>
                                    </a:cubicBezTo>
                                    <a:cubicBezTo>
                                      <a:pt x="107" y="457"/>
                                      <a:pt x="107" y="457"/>
                                      <a:pt x="107" y="457"/>
                                    </a:cubicBezTo>
                                    <a:cubicBezTo>
                                      <a:pt x="0" y="457"/>
                                      <a:pt x="0" y="457"/>
                                      <a:pt x="0" y="457"/>
                                    </a:cubicBezTo>
                                    <a:cubicBezTo>
                                      <a:pt x="231" y="21"/>
                                      <a:pt x="231" y="21"/>
                                      <a:pt x="231" y="21"/>
                                    </a:cubicBezTo>
                                    <a:lnTo>
                                      <a:pt x="341" y="21"/>
                                    </a:lnTo>
                                    <a:close/>
                                    <a:moveTo>
                                      <a:pt x="2456" y="283"/>
                                    </a:moveTo>
                                    <a:cubicBezTo>
                                      <a:pt x="2366" y="106"/>
                                      <a:pt x="2366" y="106"/>
                                      <a:pt x="2366" y="106"/>
                                    </a:cubicBezTo>
                                    <a:cubicBezTo>
                                      <a:pt x="2276" y="283"/>
                                      <a:pt x="2276" y="283"/>
                                      <a:pt x="2276" y="283"/>
                                    </a:cubicBezTo>
                                    <a:lnTo>
                                      <a:pt x="2456" y="283"/>
                                    </a:lnTo>
                                    <a:close/>
                                    <a:moveTo>
                                      <a:pt x="2422" y="21"/>
                                    </a:moveTo>
                                    <a:cubicBezTo>
                                      <a:pt x="2654" y="457"/>
                                      <a:pt x="2654" y="457"/>
                                      <a:pt x="2654" y="457"/>
                                    </a:cubicBezTo>
                                    <a:cubicBezTo>
                                      <a:pt x="2546" y="457"/>
                                      <a:pt x="2546" y="457"/>
                                      <a:pt x="2546" y="457"/>
                                    </a:cubicBezTo>
                                    <a:cubicBezTo>
                                      <a:pt x="2499" y="365"/>
                                      <a:pt x="2499" y="365"/>
                                      <a:pt x="2499" y="365"/>
                                    </a:cubicBezTo>
                                    <a:cubicBezTo>
                                      <a:pt x="2234" y="365"/>
                                      <a:pt x="2234" y="365"/>
                                      <a:pt x="2234" y="365"/>
                                    </a:cubicBezTo>
                                    <a:cubicBezTo>
                                      <a:pt x="2188" y="457"/>
                                      <a:pt x="2188" y="457"/>
                                      <a:pt x="2188" y="457"/>
                                    </a:cubicBezTo>
                                    <a:cubicBezTo>
                                      <a:pt x="2081" y="457"/>
                                      <a:pt x="2081" y="457"/>
                                      <a:pt x="2081" y="457"/>
                                    </a:cubicBezTo>
                                    <a:cubicBezTo>
                                      <a:pt x="2312" y="21"/>
                                      <a:pt x="2312" y="21"/>
                                      <a:pt x="2312" y="21"/>
                                    </a:cubicBezTo>
                                    <a:lnTo>
                                      <a:pt x="2422" y="21"/>
                                    </a:lnTo>
                                    <a:close/>
                                    <a:moveTo>
                                      <a:pt x="1015" y="325"/>
                                    </a:moveTo>
                                    <a:cubicBezTo>
                                      <a:pt x="993" y="353"/>
                                      <a:pt x="966" y="371"/>
                                      <a:pt x="932" y="378"/>
                                    </a:cubicBezTo>
                                    <a:cubicBezTo>
                                      <a:pt x="886" y="388"/>
                                      <a:pt x="841" y="387"/>
                                      <a:pt x="796" y="372"/>
                                    </a:cubicBezTo>
                                    <a:cubicBezTo>
                                      <a:pt x="762" y="360"/>
                                      <a:pt x="735" y="339"/>
                                      <a:pt x="719" y="306"/>
                                    </a:cubicBezTo>
                                    <a:cubicBezTo>
                                      <a:pt x="707" y="280"/>
                                      <a:pt x="704" y="254"/>
                                      <a:pt x="705" y="226"/>
                                    </a:cubicBezTo>
                                    <a:cubicBezTo>
                                      <a:pt x="709" y="168"/>
                                      <a:pt x="741" y="125"/>
                                      <a:pt x="797" y="105"/>
                                    </a:cubicBezTo>
                                    <a:cubicBezTo>
                                      <a:pt x="837" y="91"/>
                                      <a:pt x="879" y="89"/>
                                      <a:pt x="920" y="96"/>
                                    </a:cubicBezTo>
                                    <a:cubicBezTo>
                                      <a:pt x="960" y="103"/>
                                      <a:pt x="993" y="123"/>
                                      <a:pt x="1016" y="156"/>
                                    </a:cubicBezTo>
                                    <a:cubicBezTo>
                                      <a:pt x="1018" y="158"/>
                                      <a:pt x="1020" y="160"/>
                                      <a:pt x="1022" y="163"/>
                                    </a:cubicBezTo>
                                    <a:cubicBezTo>
                                      <a:pt x="1052" y="148"/>
                                      <a:pt x="1082" y="133"/>
                                      <a:pt x="1113" y="117"/>
                                    </a:cubicBezTo>
                                    <a:cubicBezTo>
                                      <a:pt x="1106" y="108"/>
                                      <a:pt x="1100" y="99"/>
                                      <a:pt x="1092" y="92"/>
                                    </a:cubicBezTo>
                                    <a:cubicBezTo>
                                      <a:pt x="1051" y="49"/>
                                      <a:pt x="1000" y="24"/>
                                      <a:pt x="942" y="13"/>
                                    </a:cubicBezTo>
                                    <a:cubicBezTo>
                                      <a:pt x="874" y="0"/>
                                      <a:pt x="808" y="6"/>
                                      <a:pt x="744" y="30"/>
                                    </a:cubicBezTo>
                                    <a:cubicBezTo>
                                      <a:pt x="683" y="53"/>
                                      <a:pt x="639" y="93"/>
                                      <a:pt x="617" y="155"/>
                                    </a:cubicBezTo>
                                    <a:cubicBezTo>
                                      <a:pt x="599" y="204"/>
                                      <a:pt x="598" y="254"/>
                                      <a:pt x="611" y="304"/>
                                    </a:cubicBezTo>
                                    <a:cubicBezTo>
                                      <a:pt x="630" y="375"/>
                                      <a:pt x="676" y="422"/>
                                      <a:pt x="745" y="449"/>
                                    </a:cubicBezTo>
                                    <a:cubicBezTo>
                                      <a:pt x="810" y="474"/>
                                      <a:pt x="878" y="477"/>
                                      <a:pt x="946" y="464"/>
                                    </a:cubicBezTo>
                                    <a:cubicBezTo>
                                      <a:pt x="998" y="454"/>
                                      <a:pt x="1045" y="432"/>
                                      <a:pt x="1084" y="395"/>
                                    </a:cubicBezTo>
                                    <a:cubicBezTo>
                                      <a:pt x="1095" y="384"/>
                                      <a:pt x="1105" y="373"/>
                                      <a:pt x="1114" y="359"/>
                                    </a:cubicBezTo>
                                    <a:cubicBezTo>
                                      <a:pt x="1083" y="344"/>
                                      <a:pt x="1054" y="329"/>
                                      <a:pt x="1023" y="314"/>
                                    </a:cubicBezTo>
                                    <a:cubicBezTo>
                                      <a:pt x="1020" y="318"/>
                                      <a:pt x="1018" y="322"/>
                                      <a:pt x="1015" y="325"/>
                                    </a:cubicBezTo>
                                    <a:moveTo>
                                      <a:pt x="1582" y="371"/>
                                    </a:moveTo>
                                    <a:cubicBezTo>
                                      <a:pt x="1582" y="21"/>
                                      <a:pt x="1582" y="21"/>
                                      <a:pt x="1582" y="21"/>
                                    </a:cubicBezTo>
                                    <a:cubicBezTo>
                                      <a:pt x="1483" y="21"/>
                                      <a:pt x="1483" y="21"/>
                                      <a:pt x="1483" y="21"/>
                                    </a:cubicBezTo>
                                    <a:cubicBezTo>
                                      <a:pt x="1483" y="457"/>
                                      <a:pt x="1483" y="457"/>
                                      <a:pt x="1483" y="457"/>
                                    </a:cubicBezTo>
                                    <a:cubicBezTo>
                                      <a:pt x="1891" y="457"/>
                                      <a:pt x="1891" y="457"/>
                                      <a:pt x="1891" y="457"/>
                                    </a:cubicBezTo>
                                    <a:cubicBezTo>
                                      <a:pt x="1891" y="371"/>
                                      <a:pt x="1891" y="371"/>
                                      <a:pt x="1891" y="371"/>
                                    </a:cubicBezTo>
                                    <a:lnTo>
                                      <a:pt x="1582" y="371"/>
                                    </a:lnTo>
                                    <a:close/>
                                    <a:moveTo>
                                      <a:pt x="2845" y="370"/>
                                    </a:moveTo>
                                    <a:cubicBezTo>
                                      <a:pt x="2845" y="21"/>
                                      <a:pt x="2845" y="21"/>
                                      <a:pt x="2845" y="21"/>
                                    </a:cubicBezTo>
                                    <a:cubicBezTo>
                                      <a:pt x="2747" y="21"/>
                                      <a:pt x="2747" y="21"/>
                                      <a:pt x="2747" y="21"/>
                                    </a:cubicBezTo>
                                    <a:cubicBezTo>
                                      <a:pt x="2747" y="457"/>
                                      <a:pt x="2747" y="457"/>
                                      <a:pt x="2747" y="457"/>
                                    </a:cubicBezTo>
                                    <a:cubicBezTo>
                                      <a:pt x="3155" y="457"/>
                                      <a:pt x="3155" y="457"/>
                                      <a:pt x="3155" y="457"/>
                                    </a:cubicBezTo>
                                    <a:cubicBezTo>
                                      <a:pt x="3155" y="370"/>
                                      <a:pt x="3155" y="370"/>
                                      <a:pt x="3155" y="370"/>
                                    </a:cubicBezTo>
                                    <a:lnTo>
                                      <a:pt x="2845" y="370"/>
                                    </a:lnTo>
                                    <a:close/>
                                    <a:moveTo>
                                      <a:pt x="3350" y="370"/>
                                    </a:moveTo>
                                    <a:cubicBezTo>
                                      <a:pt x="3350" y="21"/>
                                      <a:pt x="3350" y="21"/>
                                      <a:pt x="3350" y="21"/>
                                    </a:cubicBezTo>
                                    <a:cubicBezTo>
                                      <a:pt x="3253" y="21"/>
                                      <a:pt x="3253" y="21"/>
                                      <a:pt x="3253" y="21"/>
                                    </a:cubicBezTo>
                                    <a:cubicBezTo>
                                      <a:pt x="3253" y="457"/>
                                      <a:pt x="3253" y="457"/>
                                      <a:pt x="3253" y="457"/>
                                    </a:cubicBezTo>
                                    <a:cubicBezTo>
                                      <a:pt x="3660" y="457"/>
                                      <a:pt x="3660" y="457"/>
                                      <a:pt x="3660" y="457"/>
                                    </a:cubicBezTo>
                                    <a:cubicBezTo>
                                      <a:pt x="3660" y="370"/>
                                      <a:pt x="3660" y="370"/>
                                      <a:pt x="3660" y="370"/>
                                    </a:cubicBezTo>
                                    <a:lnTo>
                                      <a:pt x="3350" y="370"/>
                                    </a:lnTo>
                                    <a:close/>
                                    <a:moveTo>
                                      <a:pt x="1233" y="457"/>
                                    </a:moveTo>
                                    <a:cubicBezTo>
                                      <a:pt x="1335" y="457"/>
                                      <a:pt x="1335" y="457"/>
                                      <a:pt x="1335" y="457"/>
                                    </a:cubicBezTo>
                                    <a:cubicBezTo>
                                      <a:pt x="1335" y="21"/>
                                      <a:pt x="1335" y="21"/>
                                      <a:pt x="1335" y="21"/>
                                    </a:cubicBezTo>
                                    <a:cubicBezTo>
                                      <a:pt x="1233" y="21"/>
                                      <a:pt x="1233" y="21"/>
                                      <a:pt x="1233" y="21"/>
                                    </a:cubicBezTo>
                                    <a:lnTo>
                                      <a:pt x="1233" y="457"/>
                                    </a:lnTo>
                                    <a:close/>
                                  </a:path>
                                </a:pathLst>
                              </a:custGeom>
                              <a:solidFill>
                                <a:srgbClr val="0001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220DDA4A" id="Group 942579551" o:spid="_x0000_s1026" alt="&quot;&quot;" style="position:absolute;margin-left:0;margin-top:5.5pt;width:77.25pt;height:11.25pt;z-index:251737088;mso-position-horizontal-relative:page;mso-position-vertical-relative:page;mso-width-relative:margin;mso-height-relative:margin" coordorigin=",-212" coordsize="121888,187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">
                    <o:lock v:ext="edit" aspectratio="t"/>
                    <v:rect id="Rectangle 16" o:spid="_x0000_s1027" style="position:absolute;top:16431;width:14398;height:2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" fillcolor="#6c3f99" stroked="f"/>
                    <v:shape id="Freeform 6" o:spid="_x0000_s1028" style="position:absolute;top:-212;width:121888;height:12963;visibility:visible;mso-wrap-style:square;v-text-anchor:top" coordsize="4841,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" path="m4214,370v,87,,87,,87c3766,457,3766,457,3766,457v,-436,,-436,,-436c4214,21,4214,21,4214,21v,83,,83,,83c3864,104,3864,104,3864,104v,89,,89,,89c4151,194,4151,194,4151,194v,83,,83,,83c3864,277,3864,277,3864,277v,93,,93,,93l4214,370xm4345,21v,436,,436,,436c4442,457,4442,457,4442,457v,-313,,-313,,-313c4753,457,4753,457,4753,457v88,,88,,88,c4841,21,4841,21,4841,21v-96,,-96,,-96,c4745,319,4745,319,4745,319,4450,21,4450,21,4450,21r-105,xm196,283v179,,179,,179,c283,109,283,109,283,109l196,283xm341,21c572,457,572,457,572,457v-108,,-108,,-108,c418,365,418,365,418,365v-265,,-265,,-265,c107,457,107,457,107,457,,457,,457,,457,231,21,231,21,231,21r110,xm2456,283c2366,106,2366,106,2366,106v-90,177,-90,177,-90,177l2456,283xm2422,21v232,436,232,436,232,436c2546,457,2546,457,2546,457v-47,-92,-47,-92,-47,-92c2234,365,2234,365,2234,365v-46,92,-46,92,-46,92c2081,457,2081,457,2081,457,2312,21,2312,21,2312,21r110,xm1015,325v-22,28,-49,46,-83,53c886,388,841,387,796,372,762,360,735,339,719,306,707,280,704,254,705,226v4,-58,36,-101,92,-121c837,91,879,89,920,96v40,7,73,27,96,60c1018,158,1020,160,1022,163v30,-15,60,-30,91,-46c1106,108,1100,99,1092,92,1051,49,1000,24,942,13,874,,808,6,744,30,683,53,639,93,617,155v-18,49,-19,99,-6,149c630,375,676,422,745,449v65,25,133,28,201,15c998,454,1045,432,1084,395v11,-11,21,-22,30,-36c1083,344,1054,329,1023,314v-3,4,-5,8,-8,11m1582,371v,-350,,-350,,-350c1483,21,1483,21,1483,21v,436,,436,,436c1891,457,1891,457,1891,457v,-86,,-86,,-86l1582,371xm2845,370v,-349,,-349,,-349c2747,21,2747,21,2747,21v,436,,436,,436c3155,457,3155,457,3155,457v,-87,,-87,,-87l2845,370xm3350,370v,-349,,-349,,-349c3253,21,3253,21,3253,21v,436,,436,,436c3660,457,3660,457,3660,457v,-87,,-87,,-87l3350,370xm1233,457v102,,102,,102,c1335,21,1335,21,1335,21v-102,,-102,,-102,l1233,457xe" fillcolor="#000100" stroked="f">
                      <v:path arrowok="t" o:connecttype="custom" o:connectlocs="10610144,1241977;9482156,57071;10610144,282638;9728903,524511;10451521,752795;9728903,1005539;10939980,57071;11184210,1241977;11967256,1241977;12188825,57071;11947113,866938;10939980,57071;944187,769101;493495,769101;1440200,1241977;1052454,991951;269408,1241977;581619,57071;6183796,769101;5730586,769101;6098189,57071;6410400,1241977;5624837,991951;5239609,1241977;6098189,57071;2346619,1027280;1810321,831608;2006712,285356;2558117,423957;2802347,317968;2371798,35330;1553502,421239;1875785,1220235;2729330,1073481;2575742,853349;3983210,1008257;3733945,57071;4761220,1241977;3983210,1008257;7163232,57071;6916485,1241977;7943760,1005539;8434737,1005539;8190508,57071;9215265,1241977;8434737,1005539;3361306,1241977;3104487,57071" o:connectangles="0,0,0,0,0,0,0,0,0,0,0,0,0,0,0,0,0,0,0,0,0,0,0,0,0,0,0,0,0,0,0,0,0,0,0,0,0,0,0,0,0,0,0,0,0,0,0,0"/>
                      <o:lock v:ext="edit" verticies="t"/>
                    </v:shape>
                    <w10:wrap anchorx="page" anchory="page"/>
                    <w10:anchorlock/>
                  </v:group>
                </w:pict>
              </mc:Fallback>
            </mc:AlternateContent>
          </w:r>
        </w:p>
      </w:tc>
      <w:tc>
        <w:tcPr>
          <w:tcW w:w="5181" w:type="dxa"/>
          <w:vAlign w:val="center"/>
        </w:tcPr>
        <w:p w14:paraId="2C5F77E2" w14:textId="2E86A851" w:rsidR="002B32A0" w:rsidRDefault="002B32A0" w:rsidP="002B32A0">
          <w:pPr>
            <w:pStyle w:val="Header-CompanyName"/>
          </w:pPr>
        </w:p>
      </w:tc>
    </w:tr>
  </w:tbl>
  <w:p w14:paraId="05901450" w14:textId="3E676A49" w:rsidR="002B32A0" w:rsidRPr="00026E9C" w:rsidRDefault="002B32A0" w:rsidP="002B32A0">
    <w:pPr>
      <w:pStyle w:val="Header"/>
    </w:pPr>
  </w:p>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4CA40E" w14:textId="77777777" w:rsidR="002B32A0" w:rsidRDefault="002B32A0">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acTablenolines"/>
      <w:tblW w:w="10363" w:type="dxa"/>
      <w:tblInd w:w="-2427" w:type="dxa"/>
      <w:tblLayout w:type="fixed"/>
      <w:tblLook w:val="04A0" w:firstRow="1" w:lastRow="0" w:firstColumn="1" w:lastColumn="0" w:noHBand="0" w:noVBand="1"/>
    </w:tblPr>
    <w:tblGrid>
      <w:gridCol w:w="5182"/>
      <w:gridCol w:w="5181"/>
    </w:tblGrid>
    <w:tr w:rsidR="002B32A0" w14:paraId="0878DE50" w14:textId="77777777" w:rsidTr="000B0AC7">
      <w:trPr>
        <w:trHeight w:hRule="exact" w:val="356"/>
      </w:trPr>
      <w:tc>
        <w:tcPr>
          <w:tcW w:w="5182" w:type="dxa"/>
          <w:vAlign w:val="center"/>
        </w:tcPr>
        <w:p w14:paraId="67D7BB96" w14:textId="77777777" w:rsidR="002B32A0" w:rsidRDefault="002B32A0" w:rsidP="000F0EC9">
          <w:pPr>
            <w:pStyle w:val="spacer"/>
          </w:pPr>
          <w:r w:rsidRPr="000261B1">
            <w:rPr>
              <w:noProof/>
            </w:rPr>
            <mc:AlternateContent>
              <mc:Choice Requires="wpg">
                <w:drawing>
                  <wp:anchor distT="0" distB="0" distL="114300" distR="114300" simplePos="0" relativeHeight="251703296" behindDoc="0" locked="1" layoutInCell="1" allowOverlap="1" wp14:anchorId="4CA7B85D" wp14:editId="5958AC90">
                    <wp:simplePos x="0" y="0"/>
                    <wp:positionH relativeFrom="page">
                      <wp:posOffset>0</wp:posOffset>
                    </wp:positionH>
                    <wp:positionV relativeFrom="page">
                      <wp:posOffset>69850</wp:posOffset>
                    </wp:positionV>
                    <wp:extent cx="981075" cy="142875"/>
                    <wp:effectExtent l="0" t="0" r="9525" b="9525"/>
                    <wp:wrapNone/>
                    <wp:docPr id="543" name="Group 5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981075" cy="142875"/>
                              <a:chOff x="0" y="-21209"/>
                              <a:chExt cx="12188825" cy="1878663"/>
                            </a:xfrm>
                          </wpg:grpSpPr>
                          <wps:wsp>
                            <wps:cNvPr id="544" name="Rectangle 544"/>
                            <wps:cNvSpPr>
                              <a:spLocks noChangeArrowheads="1"/>
                            </wps:cNvSpPr>
                            <wps:spPr bwMode="auto">
                              <a:xfrm>
                                <a:off x="0" y="1643143"/>
                                <a:ext cx="1439863" cy="214311"/>
                              </a:xfrm>
                              <a:prstGeom prst="rect">
                                <a:avLst/>
                              </a:prstGeom>
                              <a:solidFill>
                                <a:srgbClr val="6C3F99"/>
                              </a:solidFill>
                              <a:ln>
                                <a:noFill/>
                              </a:ln>
                              <a:extLs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547" name="Freeform 6"/>
                            <wps:cNvSpPr>
                              <a:spLocks noEditPoints="1"/>
                            </wps:cNvSpPr>
                            <wps:spPr bwMode="auto">
                              <a:xfrm>
                                <a:off x="0" y="-21209"/>
                                <a:ext cx="12188825" cy="1296330"/>
                              </a:xfrm>
                              <a:custGeom>
                                <a:avLst/>
                                <a:gdLst>
                                  <a:gd name="T0" fmla="*/ 4214 w 4841"/>
                                  <a:gd name="T1" fmla="*/ 457 h 477"/>
                                  <a:gd name="T2" fmla="*/ 3766 w 4841"/>
                                  <a:gd name="T3" fmla="*/ 21 h 477"/>
                                  <a:gd name="T4" fmla="*/ 4214 w 4841"/>
                                  <a:gd name="T5" fmla="*/ 104 h 477"/>
                                  <a:gd name="T6" fmla="*/ 3864 w 4841"/>
                                  <a:gd name="T7" fmla="*/ 193 h 477"/>
                                  <a:gd name="T8" fmla="*/ 4151 w 4841"/>
                                  <a:gd name="T9" fmla="*/ 277 h 477"/>
                                  <a:gd name="T10" fmla="*/ 3864 w 4841"/>
                                  <a:gd name="T11" fmla="*/ 370 h 477"/>
                                  <a:gd name="T12" fmla="*/ 4345 w 4841"/>
                                  <a:gd name="T13" fmla="*/ 21 h 477"/>
                                  <a:gd name="T14" fmla="*/ 4442 w 4841"/>
                                  <a:gd name="T15" fmla="*/ 457 h 477"/>
                                  <a:gd name="T16" fmla="*/ 4753 w 4841"/>
                                  <a:gd name="T17" fmla="*/ 457 h 477"/>
                                  <a:gd name="T18" fmla="*/ 4841 w 4841"/>
                                  <a:gd name="T19" fmla="*/ 21 h 477"/>
                                  <a:gd name="T20" fmla="*/ 4745 w 4841"/>
                                  <a:gd name="T21" fmla="*/ 319 h 477"/>
                                  <a:gd name="T22" fmla="*/ 4345 w 4841"/>
                                  <a:gd name="T23" fmla="*/ 21 h 477"/>
                                  <a:gd name="T24" fmla="*/ 375 w 4841"/>
                                  <a:gd name="T25" fmla="*/ 283 h 477"/>
                                  <a:gd name="T26" fmla="*/ 196 w 4841"/>
                                  <a:gd name="T27" fmla="*/ 283 h 477"/>
                                  <a:gd name="T28" fmla="*/ 572 w 4841"/>
                                  <a:gd name="T29" fmla="*/ 457 h 477"/>
                                  <a:gd name="T30" fmla="*/ 418 w 4841"/>
                                  <a:gd name="T31" fmla="*/ 365 h 477"/>
                                  <a:gd name="T32" fmla="*/ 107 w 4841"/>
                                  <a:gd name="T33" fmla="*/ 457 h 477"/>
                                  <a:gd name="T34" fmla="*/ 231 w 4841"/>
                                  <a:gd name="T35" fmla="*/ 21 h 477"/>
                                  <a:gd name="T36" fmla="*/ 2456 w 4841"/>
                                  <a:gd name="T37" fmla="*/ 283 h 477"/>
                                  <a:gd name="T38" fmla="*/ 2276 w 4841"/>
                                  <a:gd name="T39" fmla="*/ 283 h 477"/>
                                  <a:gd name="T40" fmla="*/ 2422 w 4841"/>
                                  <a:gd name="T41" fmla="*/ 21 h 477"/>
                                  <a:gd name="T42" fmla="*/ 2546 w 4841"/>
                                  <a:gd name="T43" fmla="*/ 457 h 477"/>
                                  <a:gd name="T44" fmla="*/ 2234 w 4841"/>
                                  <a:gd name="T45" fmla="*/ 365 h 477"/>
                                  <a:gd name="T46" fmla="*/ 2081 w 4841"/>
                                  <a:gd name="T47" fmla="*/ 457 h 477"/>
                                  <a:gd name="T48" fmla="*/ 2422 w 4841"/>
                                  <a:gd name="T49" fmla="*/ 21 h 477"/>
                                  <a:gd name="T50" fmla="*/ 932 w 4841"/>
                                  <a:gd name="T51" fmla="*/ 378 h 477"/>
                                  <a:gd name="T52" fmla="*/ 719 w 4841"/>
                                  <a:gd name="T53" fmla="*/ 306 h 477"/>
                                  <a:gd name="T54" fmla="*/ 797 w 4841"/>
                                  <a:gd name="T55" fmla="*/ 105 h 477"/>
                                  <a:gd name="T56" fmla="*/ 1016 w 4841"/>
                                  <a:gd name="T57" fmla="*/ 156 h 477"/>
                                  <a:gd name="T58" fmla="*/ 1113 w 4841"/>
                                  <a:gd name="T59" fmla="*/ 117 h 477"/>
                                  <a:gd name="T60" fmla="*/ 942 w 4841"/>
                                  <a:gd name="T61" fmla="*/ 13 h 477"/>
                                  <a:gd name="T62" fmla="*/ 617 w 4841"/>
                                  <a:gd name="T63" fmla="*/ 155 h 477"/>
                                  <a:gd name="T64" fmla="*/ 745 w 4841"/>
                                  <a:gd name="T65" fmla="*/ 449 h 477"/>
                                  <a:gd name="T66" fmla="*/ 1084 w 4841"/>
                                  <a:gd name="T67" fmla="*/ 395 h 477"/>
                                  <a:gd name="T68" fmla="*/ 1023 w 4841"/>
                                  <a:gd name="T69" fmla="*/ 314 h 477"/>
                                  <a:gd name="T70" fmla="*/ 1582 w 4841"/>
                                  <a:gd name="T71" fmla="*/ 371 h 477"/>
                                  <a:gd name="T72" fmla="*/ 1483 w 4841"/>
                                  <a:gd name="T73" fmla="*/ 21 h 477"/>
                                  <a:gd name="T74" fmla="*/ 1891 w 4841"/>
                                  <a:gd name="T75" fmla="*/ 457 h 477"/>
                                  <a:gd name="T76" fmla="*/ 1582 w 4841"/>
                                  <a:gd name="T77" fmla="*/ 371 h 477"/>
                                  <a:gd name="T78" fmla="*/ 2845 w 4841"/>
                                  <a:gd name="T79" fmla="*/ 21 h 477"/>
                                  <a:gd name="T80" fmla="*/ 2747 w 4841"/>
                                  <a:gd name="T81" fmla="*/ 457 h 477"/>
                                  <a:gd name="T82" fmla="*/ 3155 w 4841"/>
                                  <a:gd name="T83" fmla="*/ 370 h 477"/>
                                  <a:gd name="T84" fmla="*/ 3350 w 4841"/>
                                  <a:gd name="T85" fmla="*/ 370 h 477"/>
                                  <a:gd name="T86" fmla="*/ 3253 w 4841"/>
                                  <a:gd name="T87" fmla="*/ 21 h 477"/>
                                  <a:gd name="T88" fmla="*/ 3660 w 4841"/>
                                  <a:gd name="T89" fmla="*/ 457 h 477"/>
                                  <a:gd name="T90" fmla="*/ 3350 w 4841"/>
                                  <a:gd name="T91" fmla="*/ 370 h 477"/>
                                  <a:gd name="T92" fmla="*/ 1335 w 4841"/>
                                  <a:gd name="T93" fmla="*/ 457 h 477"/>
                                  <a:gd name="T94" fmla="*/ 1233 w 4841"/>
                                  <a:gd name="T95" fmla="*/ 21 h 4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4841" h="477">
                                    <a:moveTo>
                                      <a:pt x="4214" y="370"/>
                                    </a:moveTo>
                                    <a:cubicBezTo>
                                      <a:pt x="4214" y="457"/>
                                      <a:pt x="4214" y="457"/>
                                      <a:pt x="4214" y="457"/>
                                    </a:cubicBezTo>
                                    <a:cubicBezTo>
                                      <a:pt x="3766" y="457"/>
                                      <a:pt x="3766" y="457"/>
                                      <a:pt x="3766" y="457"/>
                                    </a:cubicBezTo>
                                    <a:cubicBezTo>
                                      <a:pt x="3766" y="21"/>
                                      <a:pt x="3766" y="21"/>
                                      <a:pt x="3766" y="21"/>
                                    </a:cubicBezTo>
                                    <a:cubicBezTo>
                                      <a:pt x="4214" y="21"/>
                                      <a:pt x="4214" y="21"/>
                                      <a:pt x="4214" y="21"/>
                                    </a:cubicBezTo>
                                    <a:cubicBezTo>
                                      <a:pt x="4214" y="104"/>
                                      <a:pt x="4214" y="104"/>
                                      <a:pt x="4214" y="104"/>
                                    </a:cubicBezTo>
                                    <a:cubicBezTo>
                                      <a:pt x="3864" y="104"/>
                                      <a:pt x="3864" y="104"/>
                                      <a:pt x="3864" y="104"/>
                                    </a:cubicBezTo>
                                    <a:cubicBezTo>
                                      <a:pt x="3864" y="193"/>
                                      <a:pt x="3864" y="193"/>
                                      <a:pt x="3864" y="193"/>
                                    </a:cubicBezTo>
                                    <a:cubicBezTo>
                                      <a:pt x="4151" y="194"/>
                                      <a:pt x="4151" y="194"/>
                                      <a:pt x="4151" y="194"/>
                                    </a:cubicBezTo>
                                    <a:cubicBezTo>
                                      <a:pt x="4151" y="277"/>
                                      <a:pt x="4151" y="277"/>
                                      <a:pt x="4151" y="277"/>
                                    </a:cubicBezTo>
                                    <a:cubicBezTo>
                                      <a:pt x="3864" y="277"/>
                                      <a:pt x="3864" y="277"/>
                                      <a:pt x="3864" y="277"/>
                                    </a:cubicBezTo>
                                    <a:cubicBezTo>
                                      <a:pt x="3864" y="370"/>
                                      <a:pt x="3864" y="370"/>
                                      <a:pt x="3864" y="370"/>
                                    </a:cubicBezTo>
                                    <a:lnTo>
                                      <a:pt x="4214" y="370"/>
                                    </a:lnTo>
                                    <a:close/>
                                    <a:moveTo>
                                      <a:pt x="4345" y="21"/>
                                    </a:moveTo>
                                    <a:cubicBezTo>
                                      <a:pt x="4345" y="457"/>
                                      <a:pt x="4345" y="457"/>
                                      <a:pt x="4345" y="457"/>
                                    </a:cubicBezTo>
                                    <a:cubicBezTo>
                                      <a:pt x="4442" y="457"/>
                                      <a:pt x="4442" y="457"/>
                                      <a:pt x="4442" y="457"/>
                                    </a:cubicBezTo>
                                    <a:cubicBezTo>
                                      <a:pt x="4442" y="144"/>
                                      <a:pt x="4442" y="144"/>
                                      <a:pt x="4442" y="144"/>
                                    </a:cubicBezTo>
                                    <a:cubicBezTo>
                                      <a:pt x="4753" y="457"/>
                                      <a:pt x="4753" y="457"/>
                                      <a:pt x="4753" y="457"/>
                                    </a:cubicBezTo>
                                    <a:cubicBezTo>
                                      <a:pt x="4841" y="457"/>
                                      <a:pt x="4841" y="457"/>
                                      <a:pt x="4841" y="457"/>
                                    </a:cubicBezTo>
                                    <a:cubicBezTo>
                                      <a:pt x="4841" y="21"/>
                                      <a:pt x="4841" y="21"/>
                                      <a:pt x="4841" y="21"/>
                                    </a:cubicBezTo>
                                    <a:cubicBezTo>
                                      <a:pt x="4745" y="21"/>
                                      <a:pt x="4745" y="21"/>
                                      <a:pt x="4745" y="21"/>
                                    </a:cubicBezTo>
                                    <a:cubicBezTo>
                                      <a:pt x="4745" y="319"/>
                                      <a:pt x="4745" y="319"/>
                                      <a:pt x="4745" y="319"/>
                                    </a:cubicBezTo>
                                    <a:cubicBezTo>
                                      <a:pt x="4450" y="21"/>
                                      <a:pt x="4450" y="21"/>
                                      <a:pt x="4450" y="21"/>
                                    </a:cubicBezTo>
                                    <a:lnTo>
                                      <a:pt x="4345" y="21"/>
                                    </a:lnTo>
                                    <a:close/>
                                    <a:moveTo>
                                      <a:pt x="196" y="283"/>
                                    </a:moveTo>
                                    <a:cubicBezTo>
                                      <a:pt x="375" y="283"/>
                                      <a:pt x="375" y="283"/>
                                      <a:pt x="375" y="283"/>
                                    </a:cubicBezTo>
                                    <a:cubicBezTo>
                                      <a:pt x="283" y="109"/>
                                      <a:pt x="283" y="109"/>
                                      <a:pt x="283" y="109"/>
                                    </a:cubicBezTo>
                                    <a:lnTo>
                                      <a:pt x="196" y="283"/>
                                    </a:lnTo>
                                    <a:close/>
                                    <a:moveTo>
                                      <a:pt x="341" y="21"/>
                                    </a:moveTo>
                                    <a:cubicBezTo>
                                      <a:pt x="572" y="457"/>
                                      <a:pt x="572" y="457"/>
                                      <a:pt x="572" y="457"/>
                                    </a:cubicBezTo>
                                    <a:cubicBezTo>
                                      <a:pt x="464" y="457"/>
                                      <a:pt x="464" y="457"/>
                                      <a:pt x="464" y="457"/>
                                    </a:cubicBezTo>
                                    <a:cubicBezTo>
                                      <a:pt x="418" y="365"/>
                                      <a:pt x="418" y="365"/>
                                      <a:pt x="418" y="365"/>
                                    </a:cubicBezTo>
                                    <a:cubicBezTo>
                                      <a:pt x="153" y="365"/>
                                      <a:pt x="153" y="365"/>
                                      <a:pt x="153" y="365"/>
                                    </a:cubicBezTo>
                                    <a:cubicBezTo>
                                      <a:pt x="107" y="457"/>
                                      <a:pt x="107" y="457"/>
                                      <a:pt x="107" y="457"/>
                                    </a:cubicBezTo>
                                    <a:cubicBezTo>
                                      <a:pt x="0" y="457"/>
                                      <a:pt x="0" y="457"/>
                                      <a:pt x="0" y="457"/>
                                    </a:cubicBezTo>
                                    <a:cubicBezTo>
                                      <a:pt x="231" y="21"/>
                                      <a:pt x="231" y="21"/>
                                      <a:pt x="231" y="21"/>
                                    </a:cubicBezTo>
                                    <a:lnTo>
                                      <a:pt x="341" y="21"/>
                                    </a:lnTo>
                                    <a:close/>
                                    <a:moveTo>
                                      <a:pt x="2456" y="283"/>
                                    </a:moveTo>
                                    <a:cubicBezTo>
                                      <a:pt x="2366" y="106"/>
                                      <a:pt x="2366" y="106"/>
                                      <a:pt x="2366" y="106"/>
                                    </a:cubicBezTo>
                                    <a:cubicBezTo>
                                      <a:pt x="2276" y="283"/>
                                      <a:pt x="2276" y="283"/>
                                      <a:pt x="2276" y="283"/>
                                    </a:cubicBezTo>
                                    <a:lnTo>
                                      <a:pt x="2456" y="283"/>
                                    </a:lnTo>
                                    <a:close/>
                                    <a:moveTo>
                                      <a:pt x="2422" y="21"/>
                                    </a:moveTo>
                                    <a:cubicBezTo>
                                      <a:pt x="2654" y="457"/>
                                      <a:pt x="2654" y="457"/>
                                      <a:pt x="2654" y="457"/>
                                    </a:cubicBezTo>
                                    <a:cubicBezTo>
                                      <a:pt x="2546" y="457"/>
                                      <a:pt x="2546" y="457"/>
                                      <a:pt x="2546" y="457"/>
                                    </a:cubicBezTo>
                                    <a:cubicBezTo>
                                      <a:pt x="2499" y="365"/>
                                      <a:pt x="2499" y="365"/>
                                      <a:pt x="2499" y="365"/>
                                    </a:cubicBezTo>
                                    <a:cubicBezTo>
                                      <a:pt x="2234" y="365"/>
                                      <a:pt x="2234" y="365"/>
                                      <a:pt x="2234" y="365"/>
                                    </a:cubicBezTo>
                                    <a:cubicBezTo>
                                      <a:pt x="2188" y="457"/>
                                      <a:pt x="2188" y="457"/>
                                      <a:pt x="2188" y="457"/>
                                    </a:cubicBezTo>
                                    <a:cubicBezTo>
                                      <a:pt x="2081" y="457"/>
                                      <a:pt x="2081" y="457"/>
                                      <a:pt x="2081" y="457"/>
                                    </a:cubicBezTo>
                                    <a:cubicBezTo>
                                      <a:pt x="2312" y="21"/>
                                      <a:pt x="2312" y="21"/>
                                      <a:pt x="2312" y="21"/>
                                    </a:cubicBezTo>
                                    <a:lnTo>
                                      <a:pt x="2422" y="21"/>
                                    </a:lnTo>
                                    <a:close/>
                                    <a:moveTo>
                                      <a:pt x="1015" y="325"/>
                                    </a:moveTo>
                                    <a:cubicBezTo>
                                      <a:pt x="993" y="353"/>
                                      <a:pt x="966" y="371"/>
                                      <a:pt x="932" y="378"/>
                                    </a:cubicBezTo>
                                    <a:cubicBezTo>
                                      <a:pt x="886" y="388"/>
                                      <a:pt x="841" y="387"/>
                                      <a:pt x="796" y="372"/>
                                    </a:cubicBezTo>
                                    <a:cubicBezTo>
                                      <a:pt x="762" y="360"/>
                                      <a:pt x="735" y="339"/>
                                      <a:pt x="719" y="306"/>
                                    </a:cubicBezTo>
                                    <a:cubicBezTo>
                                      <a:pt x="707" y="280"/>
                                      <a:pt x="704" y="254"/>
                                      <a:pt x="705" y="226"/>
                                    </a:cubicBezTo>
                                    <a:cubicBezTo>
                                      <a:pt x="709" y="168"/>
                                      <a:pt x="741" y="125"/>
                                      <a:pt x="797" y="105"/>
                                    </a:cubicBezTo>
                                    <a:cubicBezTo>
                                      <a:pt x="837" y="91"/>
                                      <a:pt x="879" y="89"/>
                                      <a:pt x="920" y="96"/>
                                    </a:cubicBezTo>
                                    <a:cubicBezTo>
                                      <a:pt x="960" y="103"/>
                                      <a:pt x="993" y="123"/>
                                      <a:pt x="1016" y="156"/>
                                    </a:cubicBezTo>
                                    <a:cubicBezTo>
                                      <a:pt x="1018" y="158"/>
                                      <a:pt x="1020" y="160"/>
                                      <a:pt x="1022" y="163"/>
                                    </a:cubicBezTo>
                                    <a:cubicBezTo>
                                      <a:pt x="1052" y="148"/>
                                      <a:pt x="1082" y="133"/>
                                      <a:pt x="1113" y="117"/>
                                    </a:cubicBezTo>
                                    <a:cubicBezTo>
                                      <a:pt x="1106" y="108"/>
                                      <a:pt x="1100" y="99"/>
                                      <a:pt x="1092" y="92"/>
                                    </a:cubicBezTo>
                                    <a:cubicBezTo>
                                      <a:pt x="1051" y="49"/>
                                      <a:pt x="1000" y="24"/>
                                      <a:pt x="942" y="13"/>
                                    </a:cubicBezTo>
                                    <a:cubicBezTo>
                                      <a:pt x="874" y="0"/>
                                      <a:pt x="808" y="6"/>
                                      <a:pt x="744" y="30"/>
                                    </a:cubicBezTo>
                                    <a:cubicBezTo>
                                      <a:pt x="683" y="53"/>
                                      <a:pt x="639" y="93"/>
                                      <a:pt x="617" y="155"/>
                                    </a:cubicBezTo>
                                    <a:cubicBezTo>
                                      <a:pt x="599" y="204"/>
                                      <a:pt x="598" y="254"/>
                                      <a:pt x="611" y="304"/>
                                    </a:cubicBezTo>
                                    <a:cubicBezTo>
                                      <a:pt x="630" y="375"/>
                                      <a:pt x="676" y="422"/>
                                      <a:pt x="745" y="449"/>
                                    </a:cubicBezTo>
                                    <a:cubicBezTo>
                                      <a:pt x="810" y="474"/>
                                      <a:pt x="878" y="477"/>
                                      <a:pt x="946" y="464"/>
                                    </a:cubicBezTo>
                                    <a:cubicBezTo>
                                      <a:pt x="998" y="454"/>
                                      <a:pt x="1045" y="432"/>
                                      <a:pt x="1084" y="395"/>
                                    </a:cubicBezTo>
                                    <a:cubicBezTo>
                                      <a:pt x="1095" y="384"/>
                                      <a:pt x="1105" y="373"/>
                                      <a:pt x="1114" y="359"/>
                                    </a:cubicBezTo>
                                    <a:cubicBezTo>
                                      <a:pt x="1083" y="344"/>
                                      <a:pt x="1054" y="329"/>
                                      <a:pt x="1023" y="314"/>
                                    </a:cubicBezTo>
                                    <a:cubicBezTo>
                                      <a:pt x="1020" y="318"/>
                                      <a:pt x="1018" y="322"/>
                                      <a:pt x="1015" y="325"/>
                                    </a:cubicBezTo>
                                    <a:moveTo>
                                      <a:pt x="1582" y="371"/>
                                    </a:moveTo>
                                    <a:cubicBezTo>
                                      <a:pt x="1582" y="21"/>
                                      <a:pt x="1582" y="21"/>
                                      <a:pt x="1582" y="21"/>
                                    </a:cubicBezTo>
                                    <a:cubicBezTo>
                                      <a:pt x="1483" y="21"/>
                                      <a:pt x="1483" y="21"/>
                                      <a:pt x="1483" y="21"/>
                                    </a:cubicBezTo>
                                    <a:cubicBezTo>
                                      <a:pt x="1483" y="457"/>
                                      <a:pt x="1483" y="457"/>
                                      <a:pt x="1483" y="457"/>
                                    </a:cubicBezTo>
                                    <a:cubicBezTo>
                                      <a:pt x="1891" y="457"/>
                                      <a:pt x="1891" y="457"/>
                                      <a:pt x="1891" y="457"/>
                                    </a:cubicBezTo>
                                    <a:cubicBezTo>
                                      <a:pt x="1891" y="371"/>
                                      <a:pt x="1891" y="371"/>
                                      <a:pt x="1891" y="371"/>
                                    </a:cubicBezTo>
                                    <a:lnTo>
                                      <a:pt x="1582" y="371"/>
                                    </a:lnTo>
                                    <a:close/>
                                    <a:moveTo>
                                      <a:pt x="2845" y="370"/>
                                    </a:moveTo>
                                    <a:cubicBezTo>
                                      <a:pt x="2845" y="21"/>
                                      <a:pt x="2845" y="21"/>
                                      <a:pt x="2845" y="21"/>
                                    </a:cubicBezTo>
                                    <a:cubicBezTo>
                                      <a:pt x="2747" y="21"/>
                                      <a:pt x="2747" y="21"/>
                                      <a:pt x="2747" y="21"/>
                                    </a:cubicBezTo>
                                    <a:cubicBezTo>
                                      <a:pt x="2747" y="457"/>
                                      <a:pt x="2747" y="457"/>
                                      <a:pt x="2747" y="457"/>
                                    </a:cubicBezTo>
                                    <a:cubicBezTo>
                                      <a:pt x="3155" y="457"/>
                                      <a:pt x="3155" y="457"/>
                                      <a:pt x="3155" y="457"/>
                                    </a:cubicBezTo>
                                    <a:cubicBezTo>
                                      <a:pt x="3155" y="370"/>
                                      <a:pt x="3155" y="370"/>
                                      <a:pt x="3155" y="370"/>
                                    </a:cubicBezTo>
                                    <a:lnTo>
                                      <a:pt x="2845" y="370"/>
                                    </a:lnTo>
                                    <a:close/>
                                    <a:moveTo>
                                      <a:pt x="3350" y="370"/>
                                    </a:moveTo>
                                    <a:cubicBezTo>
                                      <a:pt x="3350" y="21"/>
                                      <a:pt x="3350" y="21"/>
                                      <a:pt x="3350" y="21"/>
                                    </a:cubicBezTo>
                                    <a:cubicBezTo>
                                      <a:pt x="3253" y="21"/>
                                      <a:pt x="3253" y="21"/>
                                      <a:pt x="3253" y="21"/>
                                    </a:cubicBezTo>
                                    <a:cubicBezTo>
                                      <a:pt x="3253" y="457"/>
                                      <a:pt x="3253" y="457"/>
                                      <a:pt x="3253" y="457"/>
                                    </a:cubicBezTo>
                                    <a:cubicBezTo>
                                      <a:pt x="3660" y="457"/>
                                      <a:pt x="3660" y="457"/>
                                      <a:pt x="3660" y="457"/>
                                    </a:cubicBezTo>
                                    <a:cubicBezTo>
                                      <a:pt x="3660" y="370"/>
                                      <a:pt x="3660" y="370"/>
                                      <a:pt x="3660" y="370"/>
                                    </a:cubicBezTo>
                                    <a:lnTo>
                                      <a:pt x="3350" y="370"/>
                                    </a:lnTo>
                                    <a:close/>
                                    <a:moveTo>
                                      <a:pt x="1233" y="457"/>
                                    </a:moveTo>
                                    <a:cubicBezTo>
                                      <a:pt x="1335" y="457"/>
                                      <a:pt x="1335" y="457"/>
                                      <a:pt x="1335" y="457"/>
                                    </a:cubicBezTo>
                                    <a:cubicBezTo>
                                      <a:pt x="1335" y="21"/>
                                      <a:pt x="1335" y="21"/>
                                      <a:pt x="1335" y="21"/>
                                    </a:cubicBezTo>
                                    <a:cubicBezTo>
                                      <a:pt x="1233" y="21"/>
                                      <a:pt x="1233" y="21"/>
                                      <a:pt x="1233" y="21"/>
                                    </a:cubicBezTo>
                                    <a:lnTo>
                                      <a:pt x="1233" y="457"/>
                                    </a:lnTo>
                                    <a:close/>
                                  </a:path>
                                </a:pathLst>
                              </a:custGeom>
                              <a:solidFill>
                                <a:srgbClr val="0001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6BFC08EA" id="Group 543" o:spid="_x0000_s1026" alt="&quot;&quot;" style="position:absolute;margin-left:0;margin-top:5.5pt;width:77.25pt;height:11.25pt;z-index:251703296;mso-position-horizontal-relative:page;mso-position-vertical-relative:page;mso-width-relative:margin;mso-height-relative:margin" coordorigin=",-212" coordsize="121888,187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">
                    <o:lock v:ext="edit" aspectratio="t"/>
                    <v:rect id="Rectangle 544" o:spid="_x0000_s1027" style="position:absolute;top:16431;width:14398;height:2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" fillcolor="#6c3f99" stroked="f"/>
                    <v:shape id="Freeform 6" o:spid="_x0000_s1028" style="position:absolute;top:-212;width:121888;height:12963;visibility:visible;mso-wrap-style:square;v-text-anchor:top" coordsize="4841,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" path="m4214,370v,87,,87,,87c3766,457,3766,457,3766,457v,-436,,-436,,-436c4214,21,4214,21,4214,21v,83,,83,,83c3864,104,3864,104,3864,104v,89,,89,,89c4151,194,4151,194,4151,194v,83,,83,,83c3864,277,3864,277,3864,277v,93,,93,,93l4214,370xm4345,21v,436,,436,,436c4442,457,4442,457,4442,457v,-313,,-313,,-313c4753,457,4753,457,4753,457v88,,88,,88,c4841,21,4841,21,4841,21v-96,,-96,,-96,c4745,319,4745,319,4745,319,4450,21,4450,21,4450,21r-105,xm196,283v179,,179,,179,c283,109,283,109,283,109l196,283xm341,21c572,457,572,457,572,457v-108,,-108,,-108,c418,365,418,365,418,365v-265,,-265,,-265,c107,457,107,457,107,457,,457,,457,,457,231,21,231,21,231,21r110,xm2456,283c2366,106,2366,106,2366,106v-90,177,-90,177,-90,177l2456,283xm2422,21v232,436,232,436,232,436c2546,457,2546,457,2546,457v-47,-92,-47,-92,-47,-92c2234,365,2234,365,2234,365v-46,92,-46,92,-46,92c2081,457,2081,457,2081,457,2312,21,2312,21,2312,21r110,xm1015,325v-22,28,-49,46,-83,53c886,388,841,387,796,372,762,360,735,339,719,306,707,280,704,254,705,226v4,-58,36,-101,92,-121c837,91,879,89,920,96v40,7,73,27,96,60c1018,158,1020,160,1022,163v30,-15,60,-30,91,-46c1106,108,1100,99,1092,92,1051,49,1000,24,942,13,874,,808,6,744,30,683,53,639,93,617,155v-18,49,-19,99,-6,149c630,375,676,422,745,449v65,25,133,28,201,15c998,454,1045,432,1084,395v11,-11,21,-22,30,-36c1083,344,1054,329,1023,314v-3,4,-5,8,-8,11m1582,371v,-350,,-350,,-350c1483,21,1483,21,1483,21v,436,,436,,436c1891,457,1891,457,1891,457v,-86,,-86,,-86l1582,371xm2845,370v,-349,,-349,,-349c2747,21,2747,21,2747,21v,436,,436,,436c3155,457,3155,457,3155,457v,-87,,-87,,-87l2845,370xm3350,370v,-349,,-349,,-349c3253,21,3253,21,3253,21v,436,,436,,436c3660,457,3660,457,3660,457v,-87,,-87,,-87l3350,370xm1233,457v102,,102,,102,c1335,21,1335,21,1335,21v-102,,-102,,-102,l1233,457xe" fillcolor="#000100" stroked="f">
                      <v:path arrowok="t" o:connecttype="custom" o:connectlocs="10610144,1241977;9482156,57071;10610144,282638;9728903,524511;10451521,752795;9728903,1005539;10939980,57071;11184210,1241977;11967256,1241977;12188825,57071;11947113,866938;10939980,57071;944187,769101;493495,769101;1440200,1241977;1052454,991951;269408,1241977;581619,57071;6183796,769101;5730586,769101;6098189,57071;6410400,1241977;5624837,991951;5239609,1241977;6098189,57071;2346619,1027280;1810321,831608;2006712,285356;2558117,423957;2802347,317968;2371798,35330;1553502,421239;1875785,1220235;2729330,1073481;2575742,853349;3983210,1008257;3733945,57071;4761220,1241977;3983210,1008257;7163232,57071;6916485,1241977;7943760,1005539;8434737,1005539;8190508,57071;9215265,1241977;8434737,1005539;3361306,1241977;3104487,57071" o:connectangles="0,0,0,0,0,0,0,0,0,0,0,0,0,0,0,0,0,0,0,0,0,0,0,0,0,0,0,0,0,0,0,0,0,0,0,0,0,0,0,0,0,0,0,0,0,0,0,0"/>
                      <o:lock v:ext="edit" verticies="t"/>
                    </v:shape>
                    <w10:wrap anchorx="page" anchory="page"/>
                    <w10:anchorlock/>
                  </v:group>
                </w:pict>
              </mc:Fallback>
            </mc:AlternateContent>
          </w:r>
        </w:p>
      </w:tc>
      <w:tc>
        <w:tcPr>
          <w:tcW w:w="5181" w:type="dxa"/>
          <w:vAlign w:val="center"/>
        </w:tcPr>
        <w:p w14:paraId="5A444787" w14:textId="4F9AF50B" w:rsidR="002B32A0" w:rsidRDefault="002B32A0" w:rsidP="004A1654">
          <w:pPr>
            <w:pStyle w:val="Header-CompanyName"/>
          </w:pPr>
        </w:p>
      </w:tc>
    </w:tr>
  </w:tbl>
  <w:p w14:paraId="1FF5557E" w14:textId="2DCC908D" w:rsidR="002B32A0" w:rsidRPr="000F0EC9" w:rsidRDefault="002B32A0" w:rsidP="000F0EC9">
    <w:pPr>
      <w:pStyle w:val="Header"/>
    </w:pPr>
  </w:p>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EBB1DA" w14:textId="77777777" w:rsidR="0093618B" w:rsidRDefault="0093618B">
    <w:pPr>
      <w:pStyle w:val="Header"/>
    </w:pPr>
  </w:p>
</w:hdr>
</file>

<file path=word/header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acTablenolines"/>
      <w:tblW w:w="10053" w:type="dxa"/>
      <w:tblLayout w:type="fixed"/>
      <w:tblLook w:val="04A0" w:firstRow="1" w:lastRow="0" w:firstColumn="1" w:lastColumn="0" w:noHBand="0" w:noVBand="1"/>
    </w:tblPr>
    <w:tblGrid>
      <w:gridCol w:w="5027"/>
      <w:gridCol w:w="5026"/>
    </w:tblGrid>
    <w:tr w:rsidR="0093618B" w14:paraId="401B7854" w14:textId="77777777" w:rsidTr="000B0AC7">
      <w:trPr>
        <w:trHeight w:hRule="exact" w:val="356"/>
      </w:trPr>
      <w:tc>
        <w:tcPr>
          <w:tcW w:w="5027" w:type="dxa"/>
          <w:vAlign w:val="center"/>
        </w:tcPr>
        <w:p w14:paraId="1198E8B8" w14:textId="77777777" w:rsidR="0093618B" w:rsidRDefault="0093618B" w:rsidP="0093618B">
          <w:pPr>
            <w:pStyle w:val="spacer"/>
          </w:pPr>
        </w:p>
      </w:tc>
      <w:tc>
        <w:tcPr>
          <w:tcW w:w="5026" w:type="dxa"/>
          <w:vAlign w:val="center"/>
        </w:tcPr>
        <w:p w14:paraId="322492AB" w14:textId="77777777" w:rsidR="0093618B" w:rsidRDefault="0093618B" w:rsidP="0093618B">
          <w:pPr>
            <w:pStyle w:val="Header-CompanyName"/>
          </w:pPr>
        </w:p>
      </w:tc>
    </w:tr>
  </w:tbl>
  <w:p w14:paraId="018ACDBD" w14:textId="77DAB4CC" w:rsidR="0093618B" w:rsidRPr="0093618B" w:rsidRDefault="0093618B" w:rsidP="0093618B">
    <w:pPr>
      <w:pStyle w:val="Header"/>
    </w:pPr>
  </w:p>
</w:hdr>
</file>

<file path=word/header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aacTablenolines"/>
      <w:tblW w:w="10053" w:type="dxa"/>
      <w:tblLayout w:type="fixed"/>
      <w:tblLook w:val="04A0" w:firstRow="1" w:lastRow="0" w:firstColumn="1" w:lastColumn="0" w:noHBand="0" w:noVBand="1"/>
    </w:tblPr>
    <w:tblGrid>
      <w:gridCol w:w="5027"/>
      <w:gridCol w:w="5026"/>
    </w:tblGrid>
    <w:tr w:rsidR="0093618B" w14:paraId="03EE7C12" w14:textId="77777777" w:rsidTr="000B0AC7">
      <w:trPr>
        <w:trHeight w:hRule="exact" w:val="356"/>
      </w:trPr>
      <w:tc>
        <w:tcPr>
          <w:tcW w:w="5027" w:type="dxa"/>
          <w:vAlign w:val="center"/>
        </w:tcPr>
        <w:p w14:paraId="5983B0D8" w14:textId="77777777" w:rsidR="0093618B" w:rsidRDefault="0093618B" w:rsidP="0093618B">
          <w:pPr>
            <w:pStyle w:val="spacer"/>
          </w:pPr>
        </w:p>
      </w:tc>
      <w:tc>
        <w:tcPr>
          <w:tcW w:w="5026" w:type="dxa"/>
          <w:vAlign w:val="center"/>
        </w:tcPr>
        <w:p w14:paraId="2C243413" w14:textId="77777777" w:rsidR="0093618B" w:rsidRDefault="0093618B" w:rsidP="0093618B">
          <w:pPr>
            <w:pStyle w:val="Header-CompanyName"/>
          </w:pPr>
        </w:p>
      </w:tc>
    </w:tr>
  </w:tbl>
  <w:p w14:paraId="6984E343" w14:textId="498A0E38" w:rsidR="0093618B" w:rsidRPr="0093618B" w:rsidRDefault="0093618B" w:rsidP="0093618B">
    <w:pPr>
      <w:pStyle w:val="tagcontactsPage-Back"/>
    </w:pPr>
    <w:r>
      <w:rPr>
        <w:noProof/>
      </w:rPr>
      <mc:AlternateContent>
        <mc:Choice Requires="wps">
          <w:drawing>
            <wp:anchor distT="0" distB="0" distL="114300" distR="114300" simplePos="0" relativeHeight="251671551" behindDoc="1" locked="1" layoutInCell="1" allowOverlap="1" wp14:anchorId="50505DD9" wp14:editId="1A02A133">
              <wp:simplePos x="0" y="0"/>
              <wp:positionH relativeFrom="page">
                <wp:posOffset>0</wp:posOffset>
              </wp:positionH>
              <wp:positionV relativeFrom="page">
                <wp:posOffset>0</wp:posOffset>
              </wp:positionV>
              <wp:extent cx="7560945" cy="10692765"/>
              <wp:effectExtent l="152400" t="152400" r="173355" b="165735"/>
              <wp:wrapNone/>
              <wp:docPr id="465823758" name="aac_BackColour">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0945" cy="10692765"/>
                      </a:xfrm>
                      <a:prstGeom prst="rect">
                        <a:avLst/>
                      </a:prstGeom>
                      <a:solidFill>
                        <a:srgbClr val="C4ACDD"/>
                      </a:solidFill>
                      <a:ln w="317500" cmpd="sng">
                        <a:solidFill>
                          <a:srgbClr val="14003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AA3E378" id="aac_BackColour" o:spid="_x0000_s1026" alt="&quot;&quot;" style="position:absolute;margin-left:0;margin-top:0;width:595.35pt;height:841.95pt;z-index:-251644929;visibility:visible;mso-wrap-style:square;mso-wrap-distance-left:9pt;mso-wrap-distance-top:0;mso-wrap-distance-right:9pt;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" fillcolor="#c4acdd" strokecolor="#140034" strokeweight="25pt">
              <w10:wrap anchorx="page" anchory="page"/>
              <w10:anchorlock/>
            </v:rect>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B4577A" w14:textId="77777777" w:rsidR="002B32A0" w:rsidRPr="000F0EC9" w:rsidRDefault="002B32A0" w:rsidP="000F0EC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B666E3A0"/>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6DD8699E"/>
    <w:lvl w:ilvl="0">
      <w:start w:val="1"/>
      <w:numFmt w:val="decimal"/>
      <w:pStyle w:val="ListNumber4"/>
      <w:lvlText w:val="%1."/>
      <w:lvlJc w:val="left"/>
      <w:pPr>
        <w:tabs>
          <w:tab w:val="num" w:pos="1209"/>
        </w:tabs>
        <w:ind w:left="1209" w:hanging="360"/>
      </w:pPr>
    </w:lvl>
  </w:abstractNum>
  <w:abstractNum w:abstractNumId="2" w15:restartNumberingAfterBreak="0">
    <w:nsid w:val="FFFFFF80"/>
    <w:multiLevelType w:val="singleLevel"/>
    <w:tmpl w:val="AA04D6F2"/>
    <w:lvl w:ilvl="0">
      <w:start w:val="1"/>
      <w:numFmt w:val="bullet"/>
      <w:pStyle w:val="ListBullet5"/>
      <w:lvlText w:val=""/>
      <w:lvlJc w:val="left"/>
      <w:pPr>
        <w:tabs>
          <w:tab w:val="num" w:pos="1492"/>
        </w:tabs>
        <w:ind w:left="1492" w:hanging="360"/>
      </w:pPr>
      <w:rPr>
        <w:rFonts w:ascii="Symbol" w:hAnsi="Symbol" w:hint="default"/>
      </w:rPr>
    </w:lvl>
  </w:abstractNum>
  <w:abstractNum w:abstractNumId="3" w15:restartNumberingAfterBreak="0">
    <w:nsid w:val="FFFFFF81"/>
    <w:multiLevelType w:val="singleLevel"/>
    <w:tmpl w:val="A0E27DFA"/>
    <w:lvl w:ilvl="0">
      <w:start w:val="1"/>
      <w:numFmt w:val="bullet"/>
      <w:pStyle w:val="ListBullet4"/>
      <w:lvlText w:val=""/>
      <w:lvlJc w:val="left"/>
      <w:pPr>
        <w:tabs>
          <w:tab w:val="num" w:pos="1209"/>
        </w:tabs>
        <w:ind w:left="1209" w:hanging="360"/>
      </w:pPr>
      <w:rPr>
        <w:rFonts w:ascii="Symbol" w:hAnsi="Symbol" w:hint="default"/>
      </w:rPr>
    </w:lvl>
  </w:abstractNum>
  <w:abstractNum w:abstractNumId="4" w15:restartNumberingAfterBreak="0">
    <w:nsid w:val="FFFFFF83"/>
    <w:multiLevelType w:val="singleLevel"/>
    <w:tmpl w:val="6E0E9E5C"/>
    <w:lvl w:ilvl="0">
      <w:start w:val="1"/>
      <w:numFmt w:val="bullet"/>
      <w:lvlText w:val=""/>
      <w:lvlJc w:val="left"/>
      <w:pPr>
        <w:tabs>
          <w:tab w:val="num" w:pos="643"/>
        </w:tabs>
        <w:ind w:left="643" w:hanging="360"/>
      </w:pPr>
      <w:rPr>
        <w:rFonts w:ascii="Symbol" w:hAnsi="Symbol" w:hint="default"/>
      </w:rPr>
    </w:lvl>
  </w:abstractNum>
  <w:abstractNum w:abstractNumId="5" w15:restartNumberingAfterBreak="0">
    <w:nsid w:val="FFFFFF89"/>
    <w:multiLevelType w:val="singleLevel"/>
    <w:tmpl w:val="41FA7A56"/>
    <w:lvl w:ilvl="0">
      <w:start w:val="1"/>
      <w:numFmt w:val="bullet"/>
      <w:lvlText w:val=""/>
      <w:lvlJc w:val="left"/>
      <w:pPr>
        <w:tabs>
          <w:tab w:val="num" w:pos="360"/>
        </w:tabs>
        <w:ind w:left="360" w:hanging="360"/>
      </w:pPr>
      <w:rPr>
        <w:rFonts w:ascii="Symbol" w:hAnsi="Symbol" w:hint="default"/>
      </w:rPr>
    </w:lvl>
  </w:abstractNum>
  <w:abstractNum w:abstractNumId="6" w15:restartNumberingAfterBreak="0">
    <w:nsid w:val="01F01497"/>
    <w:multiLevelType w:val="multilevel"/>
    <w:tmpl w:val="55DAED7E"/>
    <w:numStyleLink w:val="aaTableListBullets"/>
  </w:abstractNum>
  <w:abstractNum w:abstractNumId="7" w15:restartNumberingAfterBreak="0">
    <w:nsid w:val="03F56B14"/>
    <w:multiLevelType w:val="hybridMultilevel"/>
    <w:tmpl w:val="9E86285C"/>
    <w:lvl w:ilvl="0" w:tplc="2E6E950A">
      <w:start w:val="1"/>
      <w:numFmt w:val="decimal"/>
      <w:pStyle w:val="MBPoint"/>
      <w:lvlText w:val="%1."/>
      <w:lvlJc w:val="left"/>
      <w:pPr>
        <w:ind w:left="417" w:hanging="360"/>
      </w:pPr>
      <w:rPr>
        <w:rFonts w:hint="default"/>
      </w:rPr>
    </w:lvl>
    <w:lvl w:ilvl="1" w:tplc="0C090019">
      <w:start w:val="1"/>
      <w:numFmt w:val="lowerLetter"/>
      <w:lvlText w:val="%2."/>
      <w:lvlJc w:val="left"/>
      <w:pPr>
        <w:ind w:left="1137" w:hanging="360"/>
      </w:pPr>
    </w:lvl>
    <w:lvl w:ilvl="2" w:tplc="0C09001B" w:tentative="1">
      <w:start w:val="1"/>
      <w:numFmt w:val="lowerRoman"/>
      <w:lvlText w:val="%3."/>
      <w:lvlJc w:val="right"/>
      <w:pPr>
        <w:ind w:left="1857" w:hanging="180"/>
      </w:pPr>
    </w:lvl>
    <w:lvl w:ilvl="3" w:tplc="0C09000F" w:tentative="1">
      <w:start w:val="1"/>
      <w:numFmt w:val="decimal"/>
      <w:lvlText w:val="%4."/>
      <w:lvlJc w:val="left"/>
      <w:pPr>
        <w:ind w:left="2577" w:hanging="360"/>
      </w:pPr>
    </w:lvl>
    <w:lvl w:ilvl="4" w:tplc="0C090019" w:tentative="1">
      <w:start w:val="1"/>
      <w:numFmt w:val="lowerLetter"/>
      <w:lvlText w:val="%5."/>
      <w:lvlJc w:val="left"/>
      <w:pPr>
        <w:ind w:left="3297" w:hanging="360"/>
      </w:pPr>
    </w:lvl>
    <w:lvl w:ilvl="5" w:tplc="0C09001B" w:tentative="1">
      <w:start w:val="1"/>
      <w:numFmt w:val="lowerRoman"/>
      <w:lvlText w:val="%6."/>
      <w:lvlJc w:val="right"/>
      <w:pPr>
        <w:ind w:left="4017" w:hanging="180"/>
      </w:pPr>
    </w:lvl>
    <w:lvl w:ilvl="6" w:tplc="0C09000F" w:tentative="1">
      <w:start w:val="1"/>
      <w:numFmt w:val="decimal"/>
      <w:lvlText w:val="%7."/>
      <w:lvlJc w:val="left"/>
      <w:pPr>
        <w:ind w:left="4737" w:hanging="360"/>
      </w:pPr>
    </w:lvl>
    <w:lvl w:ilvl="7" w:tplc="0C090019" w:tentative="1">
      <w:start w:val="1"/>
      <w:numFmt w:val="lowerLetter"/>
      <w:lvlText w:val="%8."/>
      <w:lvlJc w:val="left"/>
      <w:pPr>
        <w:ind w:left="5457" w:hanging="360"/>
      </w:pPr>
    </w:lvl>
    <w:lvl w:ilvl="8" w:tplc="0C09001B" w:tentative="1">
      <w:start w:val="1"/>
      <w:numFmt w:val="lowerRoman"/>
      <w:lvlText w:val="%9."/>
      <w:lvlJc w:val="right"/>
      <w:pPr>
        <w:ind w:left="6177" w:hanging="180"/>
      </w:pPr>
    </w:lvl>
  </w:abstractNum>
  <w:abstractNum w:abstractNumId="8" w15:restartNumberingAfterBreak="0">
    <w:nsid w:val="05177354"/>
    <w:multiLevelType w:val="multilevel"/>
    <w:tmpl w:val="9D541EDA"/>
    <w:styleLink w:val="aaclstStyleAppendices"/>
    <w:lvl w:ilvl="0">
      <w:start w:val="1"/>
      <w:numFmt w:val="upperLetter"/>
      <w:lvlText w:val="%1"/>
      <w:lvlJc w:val="right"/>
      <w:pPr>
        <w:ind w:left="0" w:hanging="136"/>
      </w:pPr>
      <w:rPr>
        <w:rFonts w:ascii="Arial" w:eastAsia="Yu Gothic Medium" w:hAnsi="Arial" w:cs="Arial" w:hint="eastAsia"/>
        <w:color w:val="000000"/>
      </w:rPr>
    </w:lvl>
    <w:lvl w:ilvl="1">
      <w:start w:val="1"/>
      <w:numFmt w:val="none"/>
      <w:lvlText w:val=""/>
      <w:lvlJc w:val="right"/>
      <w:pPr>
        <w:ind w:left="0" w:hanging="136"/>
      </w:pPr>
      <w:rPr>
        <w:rFonts w:ascii="Arial Narrow" w:hAnsi="Arial Narrow" w:hint="default"/>
      </w:rPr>
    </w:lvl>
    <w:lvl w:ilvl="2">
      <w:start w:val="1"/>
      <w:numFmt w:val="none"/>
      <w:lvlText w:val=""/>
      <w:lvlJc w:val="left"/>
      <w:pPr>
        <w:ind w:left="320" w:hanging="320"/>
      </w:pPr>
      <w:rPr>
        <w:rFonts w:ascii="Arial Narrow" w:hAnsi="Arial Narrow" w:hint="default"/>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9" w15:restartNumberingAfterBreak="0">
    <w:nsid w:val="06D55B15"/>
    <w:multiLevelType w:val="multilevel"/>
    <w:tmpl w:val="C1127ADE"/>
    <w:styleLink w:val="aaHeadingnonumberList"/>
    <w:lvl w:ilvl="0">
      <w:start w:val="1"/>
      <w:numFmt w:val="none"/>
      <w:suff w:val="nothing"/>
      <w:lvlText w:val="%1"/>
      <w:lvlJc w:val="left"/>
      <w:pPr>
        <w:ind w:left="0" w:firstLine="0"/>
      </w:pPr>
      <w:rPr>
        <w:rFonts w:ascii="Arial" w:hAnsi="Arial" w:cs="Arial" w:hint="default"/>
        <w:color w:val="000000"/>
      </w:rPr>
    </w:lvl>
    <w:lvl w:ilvl="1">
      <w:start w:val="1"/>
      <w:numFmt w:val="none"/>
      <w:suff w:val="nothing"/>
      <w:lvlText w:val="%2"/>
      <w:lvlJc w:val="left"/>
      <w:pPr>
        <w:ind w:left="0" w:firstLine="0"/>
      </w:pPr>
      <w:rPr>
        <w:rFonts w:hint="default"/>
      </w:rPr>
    </w:lvl>
    <w:lvl w:ilvl="2">
      <w:start w:val="1"/>
      <w:numFmt w:val="none"/>
      <w:suff w:val="nothing"/>
      <w:lvlText w:val="%3"/>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7"/>
      <w:lvlJc w:val="left"/>
      <w:pPr>
        <w:ind w:left="0" w:firstLine="0"/>
      </w:pPr>
      <w:rPr>
        <w:rFonts w:hint="default"/>
      </w:rPr>
    </w:lvl>
    <w:lvl w:ilvl="7">
      <w:start w:val="1"/>
      <w:numFmt w:val="none"/>
      <w:suff w:val="nothing"/>
      <w:lvlText w:val="%8"/>
      <w:lvlJc w:val="left"/>
      <w:pPr>
        <w:ind w:left="0" w:firstLine="0"/>
      </w:pPr>
      <w:rPr>
        <w:rFonts w:hint="default"/>
      </w:rPr>
    </w:lvl>
    <w:lvl w:ilvl="8">
      <w:start w:val="1"/>
      <w:numFmt w:val="none"/>
      <w:suff w:val="nothing"/>
      <w:lvlText w:val="%9"/>
      <w:lvlJc w:val="left"/>
      <w:pPr>
        <w:ind w:left="0" w:firstLine="0"/>
      </w:pPr>
      <w:rPr>
        <w:rFonts w:hint="default"/>
      </w:rPr>
    </w:lvl>
  </w:abstractNum>
  <w:abstractNum w:abstractNumId="10" w15:restartNumberingAfterBreak="0">
    <w:nsid w:val="07877F50"/>
    <w:multiLevelType w:val="multilevel"/>
    <w:tmpl w:val="C958DAD4"/>
    <w:styleLink w:val="aaAppendixNumbering"/>
    <w:lvl w:ilvl="0">
      <w:start w:val="1"/>
      <w:numFmt w:val="upperLetter"/>
      <w:lvlText w:val="%1."/>
      <w:lvlJc w:val="right"/>
      <w:pPr>
        <w:tabs>
          <w:tab w:val="num" w:pos="248"/>
        </w:tabs>
        <w:ind w:left="248" w:hanging="384"/>
      </w:pPr>
      <w:rPr>
        <w:rFonts w:ascii="Arial" w:hAnsi="Arial" w:cs="Arial" w:hint="default"/>
        <w:color w:val="000000"/>
      </w:rPr>
    </w:lvl>
    <w:lvl w:ilvl="1">
      <w:start w:val="1"/>
      <w:numFmt w:val="decimal"/>
      <w:lvlText w:val="%1.%2"/>
      <w:lvlJc w:val="right"/>
      <w:pPr>
        <w:tabs>
          <w:tab w:val="num" w:pos="0"/>
        </w:tabs>
        <w:ind w:left="0" w:hanging="136"/>
      </w:pPr>
      <w:rPr>
        <w:rFonts w:hint="default"/>
      </w:rPr>
    </w:lvl>
    <w:lvl w:ilvl="2">
      <w:start w:val="1"/>
      <w:numFmt w:val="decimal"/>
      <w:lvlText w:val="%1.%2.%3"/>
      <w:lvlJc w:val="left"/>
      <w:pPr>
        <w:tabs>
          <w:tab w:val="num" w:pos="320"/>
        </w:tabs>
        <w:ind w:left="320" w:hanging="32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7"/>
      <w:lvlJc w:val="left"/>
      <w:pPr>
        <w:ind w:left="0" w:firstLine="0"/>
      </w:pPr>
      <w:rPr>
        <w:rFonts w:hint="default"/>
      </w:rPr>
    </w:lvl>
    <w:lvl w:ilvl="7">
      <w:start w:val="1"/>
      <w:numFmt w:val="none"/>
      <w:suff w:val="nothing"/>
      <w:lvlText w:val="%8"/>
      <w:lvlJc w:val="left"/>
      <w:pPr>
        <w:ind w:left="0" w:firstLine="0"/>
      </w:pPr>
      <w:rPr>
        <w:rFonts w:hint="default"/>
      </w:rPr>
    </w:lvl>
    <w:lvl w:ilvl="8">
      <w:start w:val="1"/>
      <w:numFmt w:val="none"/>
      <w:suff w:val="nothing"/>
      <w:lvlText w:val="%9"/>
      <w:lvlJc w:val="left"/>
      <w:pPr>
        <w:ind w:left="0" w:firstLine="0"/>
      </w:pPr>
      <w:rPr>
        <w:rFonts w:hint="default"/>
      </w:rPr>
    </w:lvl>
  </w:abstractNum>
  <w:abstractNum w:abstractNumId="11" w15:restartNumberingAfterBreak="0">
    <w:nsid w:val="08CE7DC7"/>
    <w:multiLevelType w:val="multilevel"/>
    <w:tmpl w:val="0409001F"/>
    <w:styleLink w:val="111111"/>
    <w:lvl w:ilvl="0">
      <w:start w:val="1"/>
      <w:numFmt w:val="decimal"/>
      <w:lvlText w:val="%1."/>
      <w:lvlJc w:val="left"/>
      <w:pPr>
        <w:ind w:left="360" w:hanging="360"/>
      </w:pPr>
      <w:rPr>
        <w:rFonts w:ascii="Arial" w:hAnsi="Arial" w:cs="Arial"/>
        <w:color w:val="000000"/>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0C3176F7"/>
    <w:multiLevelType w:val="hybridMultilevel"/>
    <w:tmpl w:val="712298FC"/>
    <w:lvl w:ilvl="0" w:tplc="767857A4">
      <w:numFmt w:val="bullet"/>
      <w:lvlText w:val="—"/>
      <w:lvlJc w:val="left"/>
      <w:pPr>
        <w:ind w:left="360" w:hanging="360"/>
      </w:pPr>
      <w:rPr>
        <w:rFonts w:ascii="Calibri" w:eastAsiaTheme="minorHAnsi" w:hAnsi="Calibri" w:cs="Calibri"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 w15:restartNumberingAfterBreak="0">
    <w:nsid w:val="0D442B7F"/>
    <w:multiLevelType w:val="multilevel"/>
    <w:tmpl w:val="837A80A6"/>
    <w:lvl w:ilvl="0">
      <w:start w:val="1"/>
      <w:numFmt w:val="decimal"/>
      <w:pStyle w:val="NumberedList1"/>
      <w:lvlText w:val="%1)"/>
      <w:lvlJc w:val="left"/>
      <w:pPr>
        <w:tabs>
          <w:tab w:val="num" w:pos="850"/>
        </w:tabs>
        <w:ind w:left="850" w:hanging="425"/>
      </w:pPr>
    </w:lvl>
    <w:lvl w:ilvl="1">
      <w:start w:val="1"/>
      <w:numFmt w:val="decimal"/>
      <w:pStyle w:val="NumberedList11"/>
      <w:lvlText w:val="%2)"/>
      <w:lvlJc w:val="left"/>
      <w:pPr>
        <w:tabs>
          <w:tab w:val="num" w:pos="850"/>
        </w:tabs>
        <w:ind w:left="850" w:hanging="425"/>
      </w:pPr>
    </w:lvl>
    <w:lvl w:ilvl="2">
      <w:start w:val="1"/>
      <w:numFmt w:val="decimal"/>
      <w:pStyle w:val="NumberedList12"/>
      <w:lvlText w:val="%3)"/>
      <w:lvlJc w:val="left"/>
      <w:pPr>
        <w:tabs>
          <w:tab w:val="num" w:pos="1276"/>
        </w:tabs>
        <w:ind w:left="1276" w:hanging="426"/>
      </w:pPr>
    </w:lvl>
    <w:lvl w:ilvl="3">
      <w:start w:val="1"/>
      <w:numFmt w:val="decimal"/>
      <w:pStyle w:val="NumberedList13"/>
      <w:lvlText w:val="%4)"/>
      <w:lvlJc w:val="left"/>
      <w:pPr>
        <w:tabs>
          <w:tab w:val="num" w:pos="1701"/>
        </w:tabs>
        <w:ind w:left="1701" w:hanging="425"/>
      </w:pPr>
    </w:lvl>
    <w:lvl w:ilvl="4">
      <w:start w:val="1"/>
      <w:numFmt w:val="decimal"/>
      <w:pStyle w:val="NumberedList14"/>
      <w:lvlText w:val="%5)"/>
      <w:lvlJc w:val="left"/>
      <w:pPr>
        <w:tabs>
          <w:tab w:val="num" w:pos="2126"/>
        </w:tabs>
        <w:ind w:left="2126" w:hanging="425"/>
      </w:pPr>
    </w:lvl>
    <w:lvl w:ilvl="5">
      <w:start w:val="1"/>
      <w:numFmt w:val="decimal"/>
      <w:pStyle w:val="NumberedList15"/>
      <w:lvlText w:val="%6)"/>
      <w:lvlJc w:val="left"/>
      <w:pPr>
        <w:tabs>
          <w:tab w:val="num" w:pos="2551"/>
        </w:tabs>
        <w:ind w:left="2551" w:hanging="425"/>
      </w:pPr>
    </w:lvl>
    <w:lvl w:ilvl="6">
      <w:start w:val="1"/>
      <w:numFmt w:val="decimal"/>
      <w:pStyle w:val="NumberedList16"/>
      <w:lvlText w:val="%7)"/>
      <w:lvlJc w:val="left"/>
      <w:pPr>
        <w:tabs>
          <w:tab w:val="num" w:pos="2976"/>
        </w:tabs>
        <w:ind w:left="2976" w:hanging="425"/>
      </w:pPr>
    </w:lvl>
    <w:lvl w:ilvl="7">
      <w:start w:val="1"/>
      <w:numFmt w:val="decimal"/>
      <w:pStyle w:val="NumberedList17"/>
      <w:lvlText w:val="%8)"/>
      <w:lvlJc w:val="left"/>
      <w:pPr>
        <w:tabs>
          <w:tab w:val="num" w:pos="3402"/>
        </w:tabs>
        <w:ind w:left="3402" w:hanging="426"/>
      </w:pPr>
    </w:lvl>
    <w:lvl w:ilvl="8">
      <w:start w:val="1"/>
      <w:numFmt w:val="decimal"/>
      <w:pStyle w:val="NumberedList18"/>
      <w:lvlText w:val="%9)"/>
      <w:lvlJc w:val="left"/>
      <w:pPr>
        <w:tabs>
          <w:tab w:val="num" w:pos="3827"/>
        </w:tabs>
        <w:ind w:left="3827" w:hanging="425"/>
      </w:pPr>
    </w:lvl>
  </w:abstractNum>
  <w:abstractNum w:abstractNumId="14" w15:restartNumberingAfterBreak="0">
    <w:nsid w:val="0FBC535B"/>
    <w:multiLevelType w:val="multilevel"/>
    <w:tmpl w:val="CC5C7C98"/>
    <w:styleLink w:val="ACILAllenDashedList"/>
    <w:lvl w:ilvl="0">
      <w:start w:val="1"/>
      <w:numFmt w:val="bullet"/>
      <w:pStyle w:val="ListDash"/>
      <w:lvlText w:val=""/>
      <w:lvlJc w:val="left"/>
      <w:pPr>
        <w:ind w:left="284" w:hanging="284"/>
      </w:pPr>
      <w:rPr>
        <w:rFonts w:ascii="Arial" w:hAnsi="Arial" w:cs="Arial" w:hint="default"/>
        <w:color w:val="000000"/>
      </w:rPr>
    </w:lvl>
    <w:lvl w:ilvl="1">
      <w:start w:val="1"/>
      <w:numFmt w:val="bullet"/>
      <w:pStyle w:val="ListDash2"/>
      <w:lvlText w:val=""/>
      <w:lvlJc w:val="left"/>
      <w:pPr>
        <w:ind w:left="851" w:hanging="284"/>
      </w:pPr>
      <w:rPr>
        <w:rFonts w:ascii="Symbol" w:hAnsi="Symbol" w:hint="default"/>
      </w:rPr>
    </w:lvl>
    <w:lvl w:ilvl="2">
      <w:start w:val="1"/>
      <w:numFmt w:val="bullet"/>
      <w:pStyle w:val="ListDash3"/>
      <w:lvlText w:val=""/>
      <w:lvlJc w:val="left"/>
      <w:pPr>
        <w:ind w:left="1418" w:hanging="284"/>
      </w:pPr>
      <w:rPr>
        <w:rFonts w:ascii="Symbol" w:hAnsi="Symbol" w:hint="default"/>
      </w:rPr>
    </w:lvl>
    <w:lvl w:ilvl="3">
      <w:start w:val="1"/>
      <w:numFmt w:val="none"/>
      <w:suff w:val="nothing"/>
      <w:lvlText w:val=""/>
      <w:lvlJc w:val="left"/>
      <w:pPr>
        <w:ind w:left="4320" w:hanging="360"/>
      </w:pPr>
      <w:rPr>
        <w:rFonts w:hint="default"/>
      </w:rPr>
    </w:lvl>
    <w:lvl w:ilvl="4">
      <w:start w:val="1"/>
      <w:numFmt w:val="none"/>
      <w:suff w:val="nothing"/>
      <w:lvlText w:val=""/>
      <w:lvlJc w:val="left"/>
      <w:pPr>
        <w:ind w:left="5040" w:hanging="360"/>
      </w:pPr>
      <w:rPr>
        <w:rFonts w:hint="default"/>
      </w:rPr>
    </w:lvl>
    <w:lvl w:ilvl="5">
      <w:start w:val="1"/>
      <w:numFmt w:val="none"/>
      <w:suff w:val="nothing"/>
      <w:lvlText w:val=""/>
      <w:lvlJc w:val="left"/>
      <w:pPr>
        <w:ind w:left="5760" w:hanging="360"/>
      </w:pPr>
      <w:rPr>
        <w:rFonts w:hint="default"/>
      </w:rPr>
    </w:lvl>
    <w:lvl w:ilvl="6">
      <w:start w:val="1"/>
      <w:numFmt w:val="none"/>
      <w:suff w:val="nothing"/>
      <w:lvlText w:val=""/>
      <w:lvlJc w:val="left"/>
      <w:pPr>
        <w:ind w:left="6480" w:hanging="360"/>
      </w:pPr>
      <w:rPr>
        <w:rFonts w:hint="default"/>
      </w:rPr>
    </w:lvl>
    <w:lvl w:ilvl="7">
      <w:start w:val="1"/>
      <w:numFmt w:val="none"/>
      <w:suff w:val="nothing"/>
      <w:lvlText w:val=""/>
      <w:lvlJc w:val="left"/>
      <w:pPr>
        <w:ind w:left="7200" w:hanging="360"/>
      </w:pPr>
      <w:rPr>
        <w:rFonts w:hint="default"/>
      </w:rPr>
    </w:lvl>
    <w:lvl w:ilvl="8">
      <w:start w:val="1"/>
      <w:numFmt w:val="none"/>
      <w:suff w:val="nothing"/>
      <w:lvlText w:val=""/>
      <w:lvlJc w:val="left"/>
      <w:pPr>
        <w:ind w:left="7920" w:hanging="360"/>
      </w:pPr>
      <w:rPr>
        <w:rFonts w:hint="default"/>
      </w:rPr>
    </w:lvl>
  </w:abstractNum>
  <w:abstractNum w:abstractNumId="15" w15:restartNumberingAfterBreak="0">
    <w:nsid w:val="12E04B43"/>
    <w:multiLevelType w:val="multilevel"/>
    <w:tmpl w:val="298403DA"/>
    <w:lvl w:ilvl="0">
      <w:start w:val="1"/>
      <w:numFmt w:val="none"/>
      <w:lvlText w:val="%1"/>
      <w:lvlJc w:val="left"/>
      <w:pPr>
        <w:ind w:left="0" w:firstLine="0"/>
      </w:pPr>
      <w:rPr>
        <w:rFonts w:ascii="Yu Gothic Medium" w:hAnsi="Yu Gothic Medium" w:hint="default"/>
        <w:sz w:val="20"/>
      </w:rPr>
    </w:lvl>
    <w:lvl w:ilvl="1">
      <w:start w:val="1"/>
      <w:numFmt w:val="none"/>
      <w:suff w:val="nothing"/>
      <w:lvlText w:val="%2"/>
      <w:lvlJc w:val="right"/>
      <w:pPr>
        <w:ind w:left="567" w:hanging="567"/>
      </w:pPr>
      <w:rPr>
        <w:rFonts w:hint="default"/>
      </w:rPr>
    </w:lvl>
    <w:lvl w:ilvl="2">
      <w:start w:val="1"/>
      <w:numFmt w:val="none"/>
      <w:suff w:val="nothing"/>
      <w:lvlText w:val="%3"/>
      <w:lvlJc w:val="right"/>
      <w:pPr>
        <w:ind w:left="1134" w:hanging="567"/>
      </w:pPr>
      <w:rPr>
        <w:rFonts w:hint="default"/>
      </w:rPr>
    </w:lvl>
    <w:lvl w:ilvl="3">
      <w:start w:val="1"/>
      <w:numFmt w:val="none"/>
      <w:lvlText w:val=""/>
      <w:lvlJc w:val="left"/>
      <w:pPr>
        <w:ind w:left="1701" w:hanging="567"/>
      </w:pPr>
      <w:rPr>
        <w:rFonts w:hint="default"/>
      </w:rPr>
    </w:lvl>
    <w:lvl w:ilvl="4">
      <w:start w:val="1"/>
      <w:numFmt w:val="lowerLetter"/>
      <w:lvlText w:val="(%5)"/>
      <w:lvlJc w:val="left"/>
      <w:pPr>
        <w:ind w:left="336" w:hanging="336"/>
      </w:pPr>
      <w:rPr>
        <w:rFonts w:hint="default"/>
      </w:rPr>
    </w:lvl>
    <w:lvl w:ilvl="5">
      <w:start w:val="1"/>
      <w:numFmt w:val="none"/>
      <w:pStyle w:val="TOC6"/>
      <w:lvlText w:val=""/>
      <w:lvlJc w:val="left"/>
      <w:pPr>
        <w:ind w:left="336" w:hanging="336"/>
      </w:pPr>
      <w:rPr>
        <w:rFonts w:hint="default"/>
      </w:rPr>
    </w:lvl>
    <w:lvl w:ilvl="6">
      <w:start w:val="1"/>
      <w:numFmt w:val="none"/>
      <w:pStyle w:val="TOC7"/>
      <w:lvlText w:val="%7"/>
      <w:lvlJc w:val="left"/>
      <w:pPr>
        <w:ind w:left="0" w:firstLine="0"/>
      </w:pPr>
      <w:rPr>
        <w:rFonts w:hint="default"/>
        <w:color w:val="FFFEFF"/>
      </w:rPr>
    </w:lvl>
    <w:lvl w:ilvl="7">
      <w:start w:val="1"/>
      <w:numFmt w:val="lowerLetter"/>
      <w:lvlText w:val="%8."/>
      <w:lvlJc w:val="left"/>
      <w:pPr>
        <w:ind w:left="336" w:hanging="336"/>
      </w:pPr>
      <w:rPr>
        <w:rFonts w:hint="default"/>
      </w:rPr>
    </w:lvl>
    <w:lvl w:ilvl="8">
      <w:start w:val="1"/>
      <w:numFmt w:val="lowerRoman"/>
      <w:lvlText w:val="%9."/>
      <w:lvlJc w:val="left"/>
      <w:pPr>
        <w:ind w:left="336" w:hanging="336"/>
      </w:pPr>
      <w:rPr>
        <w:rFonts w:hint="default"/>
      </w:rPr>
    </w:lvl>
  </w:abstractNum>
  <w:abstractNum w:abstractNumId="16" w15:restartNumberingAfterBreak="0">
    <w:nsid w:val="132B14F7"/>
    <w:multiLevelType w:val="multilevel"/>
    <w:tmpl w:val="4D96EFB6"/>
    <w:styleLink w:val="aacTableListBulletssmall"/>
    <w:lvl w:ilvl="0">
      <w:start w:val="1"/>
      <w:numFmt w:val="bullet"/>
      <w:pStyle w:val="Tablelistbulletsmall"/>
      <w:lvlText w:val="–"/>
      <w:lvlJc w:val="left"/>
      <w:pPr>
        <w:ind w:left="278" w:hanging="278"/>
      </w:pPr>
      <w:rPr>
        <w:rFonts w:ascii="Arial" w:hAnsi="Arial" w:cs="Arial" w:hint="default"/>
        <w:color w:val="000000"/>
      </w:rPr>
    </w:lvl>
    <w:lvl w:ilvl="1">
      <w:start w:val="1"/>
      <w:numFmt w:val="bullet"/>
      <w:pStyle w:val="Tablelistbullet2small"/>
      <w:lvlText w:val="–"/>
      <w:lvlJc w:val="left"/>
      <w:pPr>
        <w:tabs>
          <w:tab w:val="num" w:pos="278"/>
        </w:tabs>
        <w:ind w:left="522" w:hanging="244"/>
      </w:pPr>
      <w:rPr>
        <w:rFonts w:ascii="Arial Narrow" w:hAnsi="Arial Narrow" w:hint="default"/>
      </w:rPr>
    </w:lvl>
    <w:lvl w:ilvl="2">
      <w:start w:val="1"/>
      <w:numFmt w:val="bullet"/>
      <w:pStyle w:val="Tablelistbullet3small"/>
      <w:lvlText w:val="–"/>
      <w:lvlJc w:val="left"/>
      <w:pPr>
        <w:ind w:left="760" w:hanging="238"/>
      </w:pPr>
      <w:rPr>
        <w:rFonts w:ascii="Arial Narrow" w:hAnsi="Arial Narrow" w:hint="default"/>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17" w15:restartNumberingAfterBreak="0">
    <w:nsid w:val="168E676F"/>
    <w:multiLevelType w:val="multilevel"/>
    <w:tmpl w:val="E938B7C8"/>
    <w:styleLink w:val="aacTableListNumberssmall"/>
    <w:lvl w:ilvl="0">
      <w:start w:val="1"/>
      <w:numFmt w:val="decimal"/>
      <w:pStyle w:val="Tablelistnumbersmall"/>
      <w:lvlText w:val="%1."/>
      <w:lvlJc w:val="left"/>
      <w:pPr>
        <w:ind w:left="340" w:hanging="340"/>
      </w:pPr>
      <w:rPr>
        <w:rFonts w:ascii="Arial" w:hAnsi="Arial" w:cs="Arial" w:hint="default"/>
        <w:color w:val="000000"/>
      </w:rPr>
    </w:lvl>
    <w:lvl w:ilvl="1">
      <w:start w:val="1"/>
      <w:numFmt w:val="lowerLetter"/>
      <w:pStyle w:val="Tablelistnumber2small"/>
      <w:lvlText w:val="%2)"/>
      <w:lvlJc w:val="left"/>
      <w:pPr>
        <w:ind w:left="567" w:hanging="227"/>
      </w:pPr>
      <w:rPr>
        <w:rFonts w:ascii="Arial Narrow" w:hAnsi="Arial Narrow" w:hint="default"/>
      </w:rPr>
    </w:lvl>
    <w:lvl w:ilvl="2">
      <w:start w:val="1"/>
      <w:numFmt w:val="lowerRoman"/>
      <w:pStyle w:val="Tablelistnumber3small"/>
      <w:lvlText w:val="%3)"/>
      <w:lvlJc w:val="left"/>
      <w:pPr>
        <w:ind w:left="794" w:hanging="227"/>
      </w:pPr>
      <w:rPr>
        <w:rFonts w:ascii="Arial Narrow" w:hAnsi="Arial Narrow" w:hint="default"/>
      </w:rPr>
    </w:lvl>
    <w:lvl w:ilvl="3">
      <w:start w:val="1"/>
      <w:numFmt w:val="none"/>
      <w:lvlText w:val=""/>
      <w:lvlJc w:val="left"/>
      <w:pPr>
        <w:ind w:left="1021" w:hanging="340"/>
      </w:pPr>
      <w:rPr>
        <w:rFonts w:hint="default"/>
      </w:rPr>
    </w:lvl>
    <w:lvl w:ilvl="4">
      <w:start w:val="1"/>
      <w:numFmt w:val="none"/>
      <w:lvlText w:val=""/>
      <w:lvlJc w:val="left"/>
      <w:pPr>
        <w:ind w:left="1248" w:hanging="340"/>
      </w:pPr>
      <w:rPr>
        <w:rFonts w:hint="default"/>
      </w:rPr>
    </w:lvl>
    <w:lvl w:ilvl="5">
      <w:start w:val="1"/>
      <w:numFmt w:val="none"/>
      <w:lvlText w:val=""/>
      <w:lvlJc w:val="left"/>
      <w:pPr>
        <w:ind w:left="1475" w:hanging="340"/>
      </w:pPr>
      <w:rPr>
        <w:rFonts w:hint="default"/>
      </w:rPr>
    </w:lvl>
    <w:lvl w:ilvl="6">
      <w:start w:val="1"/>
      <w:numFmt w:val="none"/>
      <w:lvlText w:val=""/>
      <w:lvlJc w:val="left"/>
      <w:pPr>
        <w:ind w:left="1702" w:hanging="340"/>
      </w:pPr>
      <w:rPr>
        <w:rFonts w:hint="default"/>
      </w:rPr>
    </w:lvl>
    <w:lvl w:ilvl="7">
      <w:start w:val="1"/>
      <w:numFmt w:val="none"/>
      <w:lvlText w:val=""/>
      <w:lvlJc w:val="left"/>
      <w:pPr>
        <w:ind w:left="1929" w:hanging="340"/>
      </w:pPr>
      <w:rPr>
        <w:rFonts w:hint="default"/>
      </w:rPr>
    </w:lvl>
    <w:lvl w:ilvl="8">
      <w:start w:val="1"/>
      <w:numFmt w:val="none"/>
      <w:lvlText w:val=""/>
      <w:lvlJc w:val="left"/>
      <w:pPr>
        <w:ind w:left="2156" w:hanging="340"/>
      </w:pPr>
      <w:rPr>
        <w:rFonts w:hint="default"/>
      </w:rPr>
    </w:lvl>
  </w:abstractNum>
  <w:abstractNum w:abstractNumId="18" w15:restartNumberingAfterBreak="0">
    <w:nsid w:val="16CC3DFF"/>
    <w:multiLevelType w:val="multilevel"/>
    <w:tmpl w:val="AB0EE45E"/>
    <w:styleLink w:val="BoxListBullets"/>
    <w:lvl w:ilvl="0">
      <w:start w:val="1"/>
      <w:numFmt w:val="bullet"/>
      <w:lvlText w:val="—"/>
      <w:lvlJc w:val="left"/>
      <w:pPr>
        <w:ind w:left="446" w:hanging="446"/>
      </w:pPr>
      <w:rPr>
        <w:rFonts w:ascii="Arial" w:hAnsi="Arial" w:cs="Arial" w:hint="default"/>
        <w:color w:val="000000"/>
      </w:rPr>
    </w:lvl>
    <w:lvl w:ilvl="1">
      <w:start w:val="1"/>
      <w:numFmt w:val="bullet"/>
      <w:lvlText w:val="–"/>
      <w:lvlJc w:val="left"/>
      <w:pPr>
        <w:ind w:left="726" w:hanging="280"/>
      </w:pPr>
      <w:rPr>
        <w:rFonts w:ascii="Arial Narrow" w:hAnsi="Arial Narrow" w:hint="default"/>
        <w:sz w:val="16"/>
      </w:rPr>
    </w:lvl>
    <w:lvl w:ilvl="2">
      <w:start w:val="1"/>
      <w:numFmt w:val="bullet"/>
      <w:lvlText w:val="–"/>
      <w:lvlJc w:val="left"/>
      <w:pPr>
        <w:ind w:left="966" w:hanging="240"/>
      </w:pPr>
      <w:rPr>
        <w:rFonts w:ascii="Arial Narrow" w:hAnsi="Arial Narrow" w:hint="default"/>
      </w:rPr>
    </w:lvl>
    <w:lvl w:ilvl="3">
      <w:start w:val="1"/>
      <w:numFmt w:val="decimal"/>
      <w:lvlText w:val="(%4)"/>
      <w:lvlJc w:val="left"/>
      <w:pPr>
        <w:ind w:left="1166" w:hanging="446"/>
      </w:pPr>
      <w:rPr>
        <w:rFonts w:hint="default"/>
      </w:rPr>
    </w:lvl>
    <w:lvl w:ilvl="4">
      <w:start w:val="1"/>
      <w:numFmt w:val="lowerLetter"/>
      <w:lvlText w:val="(%5)"/>
      <w:lvlJc w:val="left"/>
      <w:pPr>
        <w:ind w:left="1406" w:hanging="446"/>
      </w:pPr>
      <w:rPr>
        <w:rFonts w:hint="default"/>
      </w:rPr>
    </w:lvl>
    <w:lvl w:ilvl="5">
      <w:start w:val="1"/>
      <w:numFmt w:val="lowerRoman"/>
      <w:lvlText w:val="(%6)"/>
      <w:lvlJc w:val="left"/>
      <w:pPr>
        <w:ind w:left="1646" w:hanging="446"/>
      </w:pPr>
      <w:rPr>
        <w:rFonts w:hint="default"/>
      </w:rPr>
    </w:lvl>
    <w:lvl w:ilvl="6">
      <w:start w:val="1"/>
      <w:numFmt w:val="decimal"/>
      <w:lvlText w:val="%7."/>
      <w:lvlJc w:val="left"/>
      <w:pPr>
        <w:ind w:left="1886" w:hanging="446"/>
      </w:pPr>
      <w:rPr>
        <w:rFonts w:hint="default"/>
      </w:rPr>
    </w:lvl>
    <w:lvl w:ilvl="7">
      <w:start w:val="1"/>
      <w:numFmt w:val="lowerLetter"/>
      <w:lvlText w:val="%8."/>
      <w:lvlJc w:val="left"/>
      <w:pPr>
        <w:ind w:left="2126" w:hanging="446"/>
      </w:pPr>
      <w:rPr>
        <w:rFonts w:hint="default"/>
      </w:rPr>
    </w:lvl>
    <w:lvl w:ilvl="8">
      <w:start w:val="1"/>
      <w:numFmt w:val="lowerRoman"/>
      <w:lvlText w:val="%9."/>
      <w:lvlJc w:val="left"/>
      <w:pPr>
        <w:ind w:left="2366" w:hanging="446"/>
      </w:pPr>
      <w:rPr>
        <w:rFonts w:hint="default"/>
      </w:rPr>
    </w:lvl>
  </w:abstractNum>
  <w:abstractNum w:abstractNumId="19" w15:restartNumberingAfterBreak="0">
    <w:nsid w:val="184A0171"/>
    <w:multiLevelType w:val="multilevel"/>
    <w:tmpl w:val="CC5C7C98"/>
    <w:numStyleLink w:val="ACILAllenDashedList"/>
  </w:abstractNum>
  <w:abstractNum w:abstractNumId="20" w15:restartNumberingAfterBreak="0">
    <w:nsid w:val="1877449B"/>
    <w:multiLevelType w:val="multilevel"/>
    <w:tmpl w:val="145205FC"/>
    <w:styleLink w:val="aaReportListDash"/>
    <w:lvl w:ilvl="0">
      <w:start w:val="1"/>
      <w:numFmt w:val="bullet"/>
      <w:lvlText w:val="—"/>
      <w:lvlJc w:val="left"/>
      <w:pPr>
        <w:ind w:left="0" w:hanging="448"/>
      </w:pPr>
      <w:rPr>
        <w:rFonts w:ascii="Arial" w:hAnsi="Arial" w:cs="Arial" w:hint="default"/>
        <w:color w:val="000000"/>
      </w:rPr>
    </w:lvl>
    <w:lvl w:ilvl="1">
      <w:start w:val="1"/>
      <w:numFmt w:val="bullet"/>
      <w:lvlText w:val="–"/>
      <w:lvlJc w:val="left"/>
      <w:pPr>
        <w:ind w:left="238" w:hanging="238"/>
      </w:pPr>
      <w:rPr>
        <w:rFonts w:ascii="Arial Narrow" w:hAnsi="Arial Narrow" w:hint="default"/>
      </w:rPr>
    </w:lvl>
    <w:lvl w:ilvl="2">
      <w:start w:val="1"/>
      <w:numFmt w:val="bullet"/>
      <w:lvlText w:val="−"/>
      <w:lvlJc w:val="left"/>
      <w:pPr>
        <w:ind w:left="482" w:hanging="244"/>
      </w:pPr>
      <w:rPr>
        <w:rFonts w:ascii="Arial Narrow" w:hAnsi="Arial Narrow" w:hint="default"/>
        <w:position w:val="-2"/>
      </w:rPr>
    </w:lvl>
    <w:lvl w:ilvl="3">
      <w:start w:val="1"/>
      <w:numFmt w:val="bullet"/>
      <w:lvlText w:val="−"/>
      <w:lvlJc w:val="left"/>
      <w:pPr>
        <w:ind w:left="0" w:hanging="448"/>
      </w:pPr>
      <w:rPr>
        <w:rFonts w:ascii="Calibri" w:hAnsi="Calibri" w:hint="default"/>
      </w:rPr>
    </w:lvl>
    <w:lvl w:ilvl="4">
      <w:start w:val="1"/>
      <w:numFmt w:val="bullet"/>
      <w:lvlText w:val="−"/>
      <w:lvlJc w:val="left"/>
      <w:pPr>
        <w:ind w:left="0" w:hanging="448"/>
      </w:pPr>
      <w:rPr>
        <w:rFonts w:ascii="Calibri" w:hAnsi="Calibri" w:hint="default"/>
      </w:rPr>
    </w:lvl>
    <w:lvl w:ilvl="5">
      <w:start w:val="1"/>
      <w:numFmt w:val="bullet"/>
      <w:lvlText w:val="−"/>
      <w:lvlJc w:val="left"/>
      <w:pPr>
        <w:ind w:left="0" w:hanging="448"/>
      </w:pPr>
      <w:rPr>
        <w:rFonts w:ascii="Calibri" w:hAnsi="Calibri" w:hint="default"/>
      </w:rPr>
    </w:lvl>
    <w:lvl w:ilvl="6">
      <w:start w:val="1"/>
      <w:numFmt w:val="bullet"/>
      <w:lvlText w:val="−"/>
      <w:lvlJc w:val="left"/>
      <w:pPr>
        <w:ind w:left="0" w:hanging="448"/>
      </w:pPr>
      <w:rPr>
        <w:rFonts w:ascii="Calibri" w:hAnsi="Calibri" w:hint="default"/>
      </w:rPr>
    </w:lvl>
    <w:lvl w:ilvl="7">
      <w:start w:val="1"/>
      <w:numFmt w:val="bullet"/>
      <w:lvlText w:val="−"/>
      <w:lvlJc w:val="left"/>
      <w:pPr>
        <w:ind w:left="0" w:hanging="448"/>
      </w:pPr>
      <w:rPr>
        <w:rFonts w:ascii="Calibri" w:hAnsi="Calibri" w:hint="default"/>
      </w:rPr>
    </w:lvl>
    <w:lvl w:ilvl="8">
      <w:start w:val="1"/>
      <w:numFmt w:val="bullet"/>
      <w:lvlText w:val="−"/>
      <w:lvlJc w:val="left"/>
      <w:pPr>
        <w:ind w:left="0" w:hanging="448"/>
      </w:pPr>
      <w:rPr>
        <w:rFonts w:ascii="Calibri" w:hAnsi="Calibri" w:hint="default"/>
      </w:rPr>
    </w:lvl>
  </w:abstractNum>
  <w:abstractNum w:abstractNumId="21" w15:restartNumberingAfterBreak="0">
    <w:nsid w:val="1BB100B0"/>
    <w:multiLevelType w:val="multilevel"/>
    <w:tmpl w:val="75081F48"/>
    <w:styleLink w:val="aaSideNotesBullets"/>
    <w:lvl w:ilvl="0">
      <w:start w:val="1"/>
      <w:numFmt w:val="bullet"/>
      <w:lvlText w:val="–"/>
      <w:lvlJc w:val="left"/>
      <w:pPr>
        <w:tabs>
          <w:tab w:val="num" w:pos="60"/>
        </w:tabs>
        <w:ind w:left="220" w:hanging="220"/>
      </w:pPr>
      <w:rPr>
        <w:rFonts w:ascii="Arial" w:hAnsi="Arial" w:cs="Arial" w:hint="default"/>
        <w:color w:val="000000"/>
      </w:rPr>
    </w:lvl>
    <w:lvl w:ilvl="1">
      <w:start w:val="1"/>
      <w:numFmt w:val="bullet"/>
      <w:lvlText w:val="•"/>
      <w:lvlJc w:val="left"/>
      <w:pPr>
        <w:ind w:left="220" w:hanging="220"/>
      </w:pPr>
      <w:rPr>
        <w:rFonts w:ascii="Arial Narrow" w:hAnsi="Arial Narrow" w:hint="default"/>
        <w:sz w:val="16"/>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15:restartNumberingAfterBreak="0">
    <w:nsid w:val="1C662060"/>
    <w:multiLevelType w:val="multilevel"/>
    <w:tmpl w:val="41AE1EF0"/>
    <w:styleLink w:val="aaclstStyleHeadingApp"/>
    <w:lvl w:ilvl="0">
      <w:start w:val="1"/>
      <w:numFmt w:val="upperLetter"/>
      <w:lvlRestart w:val="0"/>
      <w:pStyle w:val="Heading9"/>
      <w:lvlText w:val="%1"/>
      <w:lvlJc w:val="right"/>
      <w:pPr>
        <w:ind w:left="248" w:hanging="384"/>
      </w:pPr>
      <w:rPr>
        <w:rFonts w:ascii="Arial" w:hAnsi="Arial" w:cs="Arial" w:hint="default"/>
        <w:color w:val="000000"/>
      </w:rPr>
    </w:lvl>
    <w:lvl w:ilvl="1">
      <w:start w:val="1"/>
      <w:numFmt w:val="decimal"/>
      <w:pStyle w:val="Heading2AP"/>
      <w:lvlText w:val="%1.%2"/>
      <w:lvlJc w:val="right"/>
      <w:pPr>
        <w:ind w:left="0" w:hanging="136"/>
      </w:pPr>
      <w:rPr>
        <w:rFonts w:hint="default"/>
      </w:rPr>
    </w:lvl>
    <w:lvl w:ilvl="2">
      <w:start w:val="1"/>
      <w:numFmt w:val="decimal"/>
      <w:pStyle w:val="Heading3AP"/>
      <w:lvlText w:val="%1.%2.%3"/>
      <w:lvlJc w:val="left"/>
      <w:pPr>
        <w:ind w:left="320" w:hanging="320"/>
      </w:pPr>
      <w:rPr>
        <w:rFonts w:hint="default"/>
      </w:rPr>
    </w:lvl>
    <w:lvl w:ilvl="3">
      <w:start w:val="1"/>
      <w:numFmt w:val="none"/>
      <w:pStyle w:val="Heading4AP"/>
      <w:lvlText w:val=""/>
      <w:lvlJc w:val="left"/>
      <w:pPr>
        <w:ind w:left="0" w:firstLine="0"/>
      </w:pPr>
      <w:rPr>
        <w:rFonts w:hint="default"/>
      </w:rPr>
    </w:lvl>
    <w:lvl w:ilvl="4">
      <w:start w:val="1"/>
      <w:numFmt w:val="none"/>
      <w:pStyle w:val="Heading5AP"/>
      <w:lvlText w:val=""/>
      <w:lvlJc w:val="left"/>
      <w:pPr>
        <w:ind w:left="0" w:firstLine="0"/>
      </w:pPr>
      <w:rPr>
        <w:rFonts w:hint="default"/>
      </w:rPr>
    </w:lvl>
    <w:lvl w:ilvl="5">
      <w:start w:val="1"/>
      <w:numFmt w:val="none"/>
      <w:pStyle w:val="Heading6AP"/>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23" w15:restartNumberingAfterBreak="0">
    <w:nsid w:val="1F5A7EF8"/>
    <w:multiLevelType w:val="hybridMultilevel"/>
    <w:tmpl w:val="AA4C97A0"/>
    <w:lvl w:ilvl="0" w:tplc="82800CE2">
      <w:start w:val="1"/>
      <w:numFmt w:val="bullet"/>
      <w:pStyle w:val="TableQuoteBullet"/>
      <w:lvlText w:val="–"/>
      <w:lvlJc w:val="left"/>
      <w:pPr>
        <w:ind w:left="460" w:hanging="360"/>
      </w:pPr>
      <w:rPr>
        <w:rFonts w:ascii="Arial Narrow" w:hAnsi="Arial Narrow" w:hint="default"/>
        <w:sz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0010423"/>
    <w:multiLevelType w:val="multilevel"/>
    <w:tmpl w:val="29E0E8DA"/>
    <w:styleLink w:val="aaTableListNumbers"/>
    <w:lvl w:ilvl="0">
      <w:start w:val="1"/>
      <w:numFmt w:val="decimal"/>
      <w:lvlText w:val="%1."/>
      <w:lvlJc w:val="left"/>
      <w:pPr>
        <w:ind w:left="340" w:hanging="340"/>
      </w:pPr>
      <w:rPr>
        <w:rFonts w:ascii="Arial" w:hAnsi="Arial" w:cs="Arial" w:hint="default"/>
        <w:color w:val="000000"/>
      </w:rPr>
    </w:lvl>
    <w:lvl w:ilvl="1">
      <w:start w:val="1"/>
      <w:numFmt w:val="lowerLetter"/>
      <w:lvlText w:val="%2)"/>
      <w:lvlJc w:val="left"/>
      <w:pPr>
        <w:ind w:left="680" w:hanging="340"/>
      </w:pPr>
      <w:rPr>
        <w:rFonts w:hint="default"/>
      </w:rPr>
    </w:lvl>
    <w:lvl w:ilvl="2">
      <w:start w:val="1"/>
      <w:numFmt w:val="lowerRoman"/>
      <w:lvlText w:val="%3)"/>
      <w:lvlJc w:val="left"/>
      <w:pPr>
        <w:ind w:left="907" w:hanging="227"/>
      </w:pPr>
      <w:rPr>
        <w:rFonts w:hint="default"/>
      </w:rPr>
    </w:lvl>
    <w:lvl w:ilvl="3">
      <w:start w:val="1"/>
      <w:numFmt w:val="decimal"/>
      <w:lvlText w:val="(%4)"/>
      <w:lvlJc w:val="left"/>
      <w:pPr>
        <w:ind w:left="960" w:hanging="240"/>
      </w:pPr>
      <w:rPr>
        <w:rFonts w:hint="default"/>
      </w:rPr>
    </w:lvl>
    <w:lvl w:ilvl="4">
      <w:start w:val="1"/>
      <w:numFmt w:val="lowerLetter"/>
      <w:lvlText w:val="(%5)"/>
      <w:lvlJc w:val="left"/>
      <w:pPr>
        <w:ind w:left="1200" w:hanging="240"/>
      </w:pPr>
      <w:rPr>
        <w:rFonts w:hint="default"/>
      </w:rPr>
    </w:lvl>
    <w:lvl w:ilvl="5">
      <w:start w:val="1"/>
      <w:numFmt w:val="lowerRoman"/>
      <w:lvlText w:val="(%6)"/>
      <w:lvlJc w:val="left"/>
      <w:pPr>
        <w:ind w:left="1440" w:hanging="240"/>
      </w:pPr>
      <w:rPr>
        <w:rFonts w:hint="default"/>
      </w:rPr>
    </w:lvl>
    <w:lvl w:ilvl="6">
      <w:start w:val="1"/>
      <w:numFmt w:val="decimal"/>
      <w:lvlText w:val="%7."/>
      <w:lvlJc w:val="left"/>
      <w:pPr>
        <w:ind w:left="1680" w:hanging="240"/>
      </w:pPr>
      <w:rPr>
        <w:rFonts w:hint="default"/>
      </w:rPr>
    </w:lvl>
    <w:lvl w:ilvl="7">
      <w:start w:val="1"/>
      <w:numFmt w:val="lowerLetter"/>
      <w:lvlText w:val="%8."/>
      <w:lvlJc w:val="left"/>
      <w:pPr>
        <w:ind w:left="1920" w:hanging="240"/>
      </w:pPr>
      <w:rPr>
        <w:rFonts w:hint="default"/>
      </w:rPr>
    </w:lvl>
    <w:lvl w:ilvl="8">
      <w:start w:val="1"/>
      <w:numFmt w:val="lowerRoman"/>
      <w:lvlText w:val="%9."/>
      <w:lvlJc w:val="left"/>
      <w:pPr>
        <w:ind w:left="2160" w:hanging="240"/>
      </w:pPr>
      <w:rPr>
        <w:rFonts w:hint="default"/>
      </w:rPr>
    </w:lvl>
  </w:abstractNum>
  <w:abstractNum w:abstractNumId="25" w15:restartNumberingAfterBreak="0">
    <w:nsid w:val="2073059B"/>
    <w:multiLevelType w:val="multilevel"/>
    <w:tmpl w:val="306ACCA8"/>
    <w:styleLink w:val="aaclstStyleBoxListNumbers"/>
    <w:lvl w:ilvl="0">
      <w:start w:val="1"/>
      <w:numFmt w:val="decimal"/>
      <w:pStyle w:val="BoxListNumber"/>
      <w:lvlText w:val="%1."/>
      <w:lvlJc w:val="left"/>
      <w:pPr>
        <w:ind w:left="564" w:hanging="312"/>
      </w:pPr>
      <w:rPr>
        <w:rFonts w:ascii="Arial" w:hAnsi="Arial" w:cs="Arial" w:hint="default"/>
        <w:color w:val="000000"/>
        <w:sz w:val="20"/>
      </w:rPr>
    </w:lvl>
    <w:lvl w:ilvl="1">
      <w:start w:val="1"/>
      <w:numFmt w:val="lowerLetter"/>
      <w:pStyle w:val="BoxListNumber2"/>
      <w:lvlText w:val="%2)"/>
      <w:lvlJc w:val="left"/>
      <w:pPr>
        <w:ind w:left="844" w:hanging="280"/>
      </w:pPr>
      <w:rPr>
        <w:rFonts w:ascii="Arial Narrow" w:hAnsi="Arial Narrow" w:hint="default"/>
      </w:rPr>
    </w:lvl>
    <w:lvl w:ilvl="2">
      <w:start w:val="1"/>
      <w:numFmt w:val="lowerRoman"/>
      <w:pStyle w:val="BoxListNumber3"/>
      <w:lvlText w:val="%3)"/>
      <w:lvlJc w:val="left"/>
      <w:pPr>
        <w:ind w:left="1084" w:hanging="240"/>
      </w:pPr>
      <w:rPr>
        <w:rFonts w:ascii="Arial Narrow" w:hAnsi="Arial Narrow"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6" w15:restartNumberingAfterBreak="0">
    <w:nsid w:val="226C33D2"/>
    <w:multiLevelType w:val="multilevel"/>
    <w:tmpl w:val="41AE1EF0"/>
    <w:numStyleLink w:val="aaclstStyleHeadingApp"/>
  </w:abstractNum>
  <w:abstractNum w:abstractNumId="27" w15:restartNumberingAfterBreak="0">
    <w:nsid w:val="24103F2B"/>
    <w:multiLevelType w:val="multilevel"/>
    <w:tmpl w:val="475CFF34"/>
    <w:styleLink w:val="aaReportListBullets"/>
    <w:lvl w:ilvl="0">
      <w:start w:val="1"/>
      <w:numFmt w:val="bullet"/>
      <w:lvlText w:val="—"/>
      <w:lvlJc w:val="left"/>
      <w:pPr>
        <w:ind w:left="0" w:hanging="446"/>
      </w:pPr>
      <w:rPr>
        <w:rFonts w:ascii="Arial" w:hAnsi="Arial" w:cs="Arial" w:hint="default"/>
        <w:color w:val="000000"/>
        <w:sz w:val="20"/>
      </w:rPr>
    </w:lvl>
    <w:lvl w:ilvl="1">
      <w:start w:val="1"/>
      <w:numFmt w:val="bullet"/>
      <w:lvlText w:val="―"/>
      <w:lvlJc w:val="left"/>
      <w:pPr>
        <w:ind w:left="240" w:hanging="240"/>
      </w:pPr>
      <w:rPr>
        <w:rFonts w:ascii="Arial Narrow" w:hAnsi="Arial Narrow" w:hint="default"/>
        <w:sz w:val="16"/>
      </w:rPr>
    </w:lvl>
    <w:lvl w:ilvl="2">
      <w:start w:val="1"/>
      <w:numFmt w:val="bullet"/>
      <w:lvlText w:val="−"/>
      <w:lvlJc w:val="left"/>
      <w:pPr>
        <w:ind w:left="480" w:hanging="240"/>
      </w:pPr>
      <w:rPr>
        <w:rFonts w:ascii="Arial Narrow" w:hAnsi="Arial Narrow" w:hint="default"/>
        <w:position w:val="0"/>
        <w:sz w:val="16"/>
      </w:rPr>
    </w:lvl>
    <w:lvl w:ilvl="3">
      <w:start w:val="1"/>
      <w:numFmt w:val="bullet"/>
      <w:lvlText w:val="–"/>
      <w:lvlJc w:val="left"/>
      <w:pPr>
        <w:ind w:left="480" w:hanging="240"/>
      </w:pPr>
      <w:rPr>
        <w:rFonts w:ascii="HelveticaNeueLT Std Lt Cn" w:hAnsi="HelveticaNeueLT Std Lt Cn" w:hint="default"/>
      </w:rPr>
    </w:lvl>
    <w:lvl w:ilvl="4">
      <w:start w:val="1"/>
      <w:numFmt w:val="lowerLetter"/>
      <w:lvlText w:val="(%5)"/>
      <w:lvlJc w:val="left"/>
      <w:pPr>
        <w:ind w:left="960" w:hanging="446"/>
      </w:pPr>
      <w:rPr>
        <w:rFonts w:hint="default"/>
      </w:rPr>
    </w:lvl>
    <w:lvl w:ilvl="5">
      <w:start w:val="1"/>
      <w:numFmt w:val="lowerRoman"/>
      <w:lvlText w:val="(%6)"/>
      <w:lvlJc w:val="left"/>
      <w:pPr>
        <w:ind w:left="1200" w:hanging="446"/>
      </w:pPr>
      <w:rPr>
        <w:rFonts w:hint="default"/>
      </w:rPr>
    </w:lvl>
    <w:lvl w:ilvl="6">
      <w:start w:val="1"/>
      <w:numFmt w:val="decimal"/>
      <w:lvlText w:val="%7."/>
      <w:lvlJc w:val="left"/>
      <w:pPr>
        <w:ind w:left="1440" w:hanging="446"/>
      </w:pPr>
      <w:rPr>
        <w:rFonts w:hint="default"/>
      </w:rPr>
    </w:lvl>
    <w:lvl w:ilvl="7">
      <w:start w:val="1"/>
      <w:numFmt w:val="lowerLetter"/>
      <w:lvlText w:val="%8."/>
      <w:lvlJc w:val="left"/>
      <w:pPr>
        <w:ind w:left="1680" w:hanging="446"/>
      </w:pPr>
      <w:rPr>
        <w:rFonts w:hint="default"/>
      </w:rPr>
    </w:lvl>
    <w:lvl w:ilvl="8">
      <w:start w:val="1"/>
      <w:numFmt w:val="lowerRoman"/>
      <w:lvlText w:val="%9."/>
      <w:lvlJc w:val="left"/>
      <w:pPr>
        <w:ind w:left="1920" w:hanging="446"/>
      </w:pPr>
      <w:rPr>
        <w:rFonts w:hint="default"/>
      </w:rPr>
    </w:lvl>
  </w:abstractNum>
  <w:abstractNum w:abstractNumId="28" w15:restartNumberingAfterBreak="0">
    <w:nsid w:val="24602A3A"/>
    <w:multiLevelType w:val="multilevel"/>
    <w:tmpl w:val="55DAED7E"/>
    <w:styleLink w:val="aaTableListBullets"/>
    <w:lvl w:ilvl="0">
      <w:start w:val="1"/>
      <w:numFmt w:val="bullet"/>
      <w:lvlText w:val="–"/>
      <w:lvlJc w:val="left"/>
      <w:pPr>
        <w:ind w:left="280" w:hanging="280"/>
      </w:pPr>
      <w:rPr>
        <w:rFonts w:ascii="Arial" w:hAnsi="Arial" w:cs="Arial" w:hint="default"/>
        <w:color w:val="000000"/>
      </w:rPr>
    </w:lvl>
    <w:lvl w:ilvl="1">
      <w:start w:val="1"/>
      <w:numFmt w:val="bullet"/>
      <w:lvlText w:val="–"/>
      <w:lvlJc w:val="left"/>
      <w:pPr>
        <w:ind w:left="520" w:hanging="240"/>
      </w:pPr>
      <w:rPr>
        <w:rFonts w:ascii="Arial Narrow" w:hAnsi="Arial Narrow" w:hint="default"/>
        <w:color w:val="000100"/>
      </w:rPr>
    </w:lvl>
    <w:lvl w:ilvl="2">
      <w:start w:val="1"/>
      <w:numFmt w:val="bullet"/>
      <w:lvlText w:val="–"/>
      <w:lvlJc w:val="left"/>
      <w:pPr>
        <w:ind w:left="760" w:hanging="240"/>
      </w:pPr>
      <w:rPr>
        <w:rFonts w:ascii="Arial Narrow" w:hAnsi="Arial Narrow" w:hint="default"/>
      </w:rPr>
    </w:lvl>
    <w:lvl w:ilvl="3">
      <w:start w:val="1"/>
      <w:numFmt w:val="decimal"/>
      <w:lvlText w:val="(%4)"/>
      <w:lvlJc w:val="left"/>
      <w:pPr>
        <w:ind w:left="960" w:hanging="240"/>
      </w:pPr>
      <w:rPr>
        <w:rFonts w:ascii="Arial Narrow" w:hAnsi="Arial Narrow" w:hint="default"/>
      </w:rPr>
    </w:lvl>
    <w:lvl w:ilvl="4">
      <w:start w:val="1"/>
      <w:numFmt w:val="lowerLetter"/>
      <w:lvlText w:val="(%5)"/>
      <w:lvlJc w:val="left"/>
      <w:pPr>
        <w:ind w:left="1200" w:hanging="240"/>
      </w:pPr>
      <w:rPr>
        <w:rFonts w:hint="default"/>
      </w:rPr>
    </w:lvl>
    <w:lvl w:ilvl="5">
      <w:start w:val="1"/>
      <w:numFmt w:val="lowerRoman"/>
      <w:lvlText w:val="(%6)"/>
      <w:lvlJc w:val="left"/>
      <w:pPr>
        <w:ind w:left="1440" w:hanging="240"/>
      </w:pPr>
      <w:rPr>
        <w:rFonts w:hint="default"/>
      </w:rPr>
    </w:lvl>
    <w:lvl w:ilvl="6">
      <w:start w:val="1"/>
      <w:numFmt w:val="decimal"/>
      <w:lvlText w:val="%7."/>
      <w:lvlJc w:val="left"/>
      <w:pPr>
        <w:ind w:left="1680" w:hanging="240"/>
      </w:pPr>
      <w:rPr>
        <w:rFonts w:hint="default"/>
      </w:rPr>
    </w:lvl>
    <w:lvl w:ilvl="7">
      <w:start w:val="1"/>
      <w:numFmt w:val="lowerLetter"/>
      <w:lvlText w:val="%8."/>
      <w:lvlJc w:val="left"/>
      <w:pPr>
        <w:ind w:left="1920" w:hanging="240"/>
      </w:pPr>
      <w:rPr>
        <w:rFonts w:hint="default"/>
      </w:rPr>
    </w:lvl>
    <w:lvl w:ilvl="8">
      <w:start w:val="1"/>
      <w:numFmt w:val="lowerRoman"/>
      <w:lvlText w:val="%9."/>
      <w:lvlJc w:val="left"/>
      <w:pPr>
        <w:ind w:left="2160" w:hanging="240"/>
      </w:pPr>
      <w:rPr>
        <w:rFonts w:hint="default"/>
      </w:rPr>
    </w:lvl>
  </w:abstractNum>
  <w:abstractNum w:abstractNumId="29" w15:restartNumberingAfterBreak="0">
    <w:nsid w:val="24FE551B"/>
    <w:multiLevelType w:val="multilevel"/>
    <w:tmpl w:val="55DAED7E"/>
    <w:numStyleLink w:val="aacTableListBullets"/>
  </w:abstractNum>
  <w:abstractNum w:abstractNumId="30" w15:restartNumberingAfterBreak="0">
    <w:nsid w:val="25124F0F"/>
    <w:multiLevelType w:val="multilevel"/>
    <w:tmpl w:val="29E0E8DA"/>
    <w:styleLink w:val="aacTableListNumbers"/>
    <w:lvl w:ilvl="0">
      <w:start w:val="1"/>
      <w:numFmt w:val="decimal"/>
      <w:pStyle w:val="Tablelistnumber"/>
      <w:lvlText w:val="%1."/>
      <w:lvlJc w:val="left"/>
      <w:pPr>
        <w:ind w:left="340" w:hanging="340"/>
      </w:pPr>
      <w:rPr>
        <w:rFonts w:ascii="Arial" w:hAnsi="Arial" w:cs="Arial" w:hint="default"/>
        <w:color w:val="000000"/>
      </w:rPr>
    </w:lvl>
    <w:lvl w:ilvl="1">
      <w:start w:val="1"/>
      <w:numFmt w:val="lowerLetter"/>
      <w:pStyle w:val="Tablelistnumber2"/>
      <w:lvlText w:val="%2)"/>
      <w:lvlJc w:val="left"/>
      <w:pPr>
        <w:ind w:left="680" w:hanging="340"/>
      </w:pPr>
      <w:rPr>
        <w:rFonts w:hint="default"/>
      </w:rPr>
    </w:lvl>
    <w:lvl w:ilvl="2">
      <w:start w:val="1"/>
      <w:numFmt w:val="lowerRoman"/>
      <w:pStyle w:val="Tablelistnumber3"/>
      <w:lvlText w:val="%3)"/>
      <w:lvlJc w:val="left"/>
      <w:pPr>
        <w:ind w:left="907" w:hanging="227"/>
      </w:pPr>
      <w:rPr>
        <w:rFonts w:hint="default"/>
      </w:rPr>
    </w:lvl>
    <w:lvl w:ilvl="3">
      <w:start w:val="1"/>
      <w:numFmt w:val="decimal"/>
      <w:lvlText w:val="(%4)"/>
      <w:lvlJc w:val="left"/>
      <w:pPr>
        <w:ind w:left="960" w:hanging="240"/>
      </w:pPr>
      <w:rPr>
        <w:rFonts w:hint="default"/>
      </w:rPr>
    </w:lvl>
    <w:lvl w:ilvl="4">
      <w:start w:val="1"/>
      <w:numFmt w:val="lowerLetter"/>
      <w:lvlText w:val="(%5)"/>
      <w:lvlJc w:val="left"/>
      <w:pPr>
        <w:ind w:left="1200" w:hanging="240"/>
      </w:pPr>
      <w:rPr>
        <w:rFonts w:hint="default"/>
      </w:rPr>
    </w:lvl>
    <w:lvl w:ilvl="5">
      <w:start w:val="1"/>
      <w:numFmt w:val="lowerRoman"/>
      <w:lvlText w:val="(%6)"/>
      <w:lvlJc w:val="left"/>
      <w:pPr>
        <w:ind w:left="1440" w:hanging="240"/>
      </w:pPr>
      <w:rPr>
        <w:rFonts w:hint="default"/>
      </w:rPr>
    </w:lvl>
    <w:lvl w:ilvl="6">
      <w:start w:val="1"/>
      <w:numFmt w:val="decimal"/>
      <w:lvlText w:val="%7."/>
      <w:lvlJc w:val="left"/>
      <w:pPr>
        <w:ind w:left="1680" w:hanging="240"/>
      </w:pPr>
      <w:rPr>
        <w:rFonts w:hint="default"/>
      </w:rPr>
    </w:lvl>
    <w:lvl w:ilvl="7">
      <w:start w:val="1"/>
      <w:numFmt w:val="lowerLetter"/>
      <w:lvlText w:val="%8."/>
      <w:lvlJc w:val="left"/>
      <w:pPr>
        <w:ind w:left="1920" w:hanging="240"/>
      </w:pPr>
      <w:rPr>
        <w:rFonts w:hint="default"/>
      </w:rPr>
    </w:lvl>
    <w:lvl w:ilvl="8">
      <w:start w:val="1"/>
      <w:numFmt w:val="lowerRoman"/>
      <w:lvlText w:val="%9."/>
      <w:lvlJc w:val="left"/>
      <w:pPr>
        <w:ind w:left="2160" w:hanging="240"/>
      </w:pPr>
      <w:rPr>
        <w:rFonts w:hint="default"/>
      </w:rPr>
    </w:lvl>
  </w:abstractNum>
  <w:abstractNum w:abstractNumId="31" w15:restartNumberingAfterBreak="0">
    <w:nsid w:val="264D0593"/>
    <w:multiLevelType w:val="multilevel"/>
    <w:tmpl w:val="CE66BE7A"/>
    <w:styleLink w:val="lstStyleListNumber"/>
    <w:lvl w:ilvl="0">
      <w:start w:val="1"/>
      <w:numFmt w:val="decimal"/>
      <w:lvlText w:val="%1."/>
      <w:lvlJc w:val="left"/>
      <w:pPr>
        <w:ind w:left="420" w:hanging="420"/>
      </w:pPr>
      <w:rPr>
        <w:rFonts w:ascii="Arial" w:hAnsi="Arial" w:cs="Arial" w:hint="default"/>
        <w:color w:val="000000"/>
      </w:rPr>
    </w:lvl>
    <w:lvl w:ilvl="1">
      <w:start w:val="1"/>
      <w:numFmt w:val="lowerLetter"/>
      <w:lvlText w:val="%2)"/>
      <w:lvlJc w:val="left"/>
      <w:pPr>
        <w:ind w:left="780" w:hanging="360"/>
      </w:pPr>
      <w:rPr>
        <w:rFonts w:ascii="Arial Narrow" w:hAnsi="Arial Narrow" w:hint="default"/>
      </w:rPr>
    </w:lvl>
    <w:lvl w:ilvl="2">
      <w:start w:val="1"/>
      <w:numFmt w:val="lowerRoman"/>
      <w:lvlText w:val="%3)"/>
      <w:lvlJc w:val="left"/>
      <w:pPr>
        <w:ind w:left="1140" w:hanging="360"/>
      </w:pPr>
      <w:rPr>
        <w:rFonts w:ascii="Arial Narrow" w:hAnsi="Arial Narrow" w:hint="default"/>
      </w:rPr>
    </w:lvl>
    <w:lvl w:ilvl="3">
      <w:start w:val="1"/>
      <w:numFmt w:val="none"/>
      <w:lvlText w:val=""/>
      <w:lvlJc w:val="left"/>
      <w:pPr>
        <w:ind w:left="1428" w:hanging="357"/>
      </w:pPr>
      <w:rPr>
        <w:rFonts w:hint="default"/>
      </w:rPr>
    </w:lvl>
    <w:lvl w:ilvl="4">
      <w:start w:val="1"/>
      <w:numFmt w:val="none"/>
      <w:lvlText w:val=""/>
      <w:lvlJc w:val="left"/>
      <w:pPr>
        <w:ind w:left="1785" w:hanging="357"/>
      </w:pPr>
      <w:rPr>
        <w:rFonts w:hint="default"/>
      </w:rPr>
    </w:lvl>
    <w:lvl w:ilvl="5">
      <w:start w:val="1"/>
      <w:numFmt w:val="none"/>
      <w:lvlText w:val=""/>
      <w:lvlJc w:val="left"/>
      <w:pPr>
        <w:ind w:left="2142" w:hanging="357"/>
      </w:pPr>
      <w:rPr>
        <w:rFonts w:hint="default"/>
      </w:rPr>
    </w:lvl>
    <w:lvl w:ilvl="6">
      <w:start w:val="1"/>
      <w:numFmt w:val="none"/>
      <w:lvlText w:val=""/>
      <w:lvlJc w:val="left"/>
      <w:pPr>
        <w:ind w:left="2499" w:hanging="357"/>
      </w:pPr>
      <w:rPr>
        <w:rFonts w:hint="default"/>
      </w:rPr>
    </w:lvl>
    <w:lvl w:ilvl="7">
      <w:start w:val="1"/>
      <w:numFmt w:val="none"/>
      <w:lvlText w:val=""/>
      <w:lvlJc w:val="left"/>
      <w:pPr>
        <w:ind w:left="2856" w:hanging="357"/>
      </w:pPr>
      <w:rPr>
        <w:rFonts w:hint="default"/>
      </w:rPr>
    </w:lvl>
    <w:lvl w:ilvl="8">
      <w:start w:val="1"/>
      <w:numFmt w:val="none"/>
      <w:lvlText w:val=""/>
      <w:lvlJc w:val="left"/>
      <w:pPr>
        <w:ind w:left="3213" w:hanging="357"/>
      </w:pPr>
      <w:rPr>
        <w:rFonts w:hint="default"/>
      </w:rPr>
    </w:lvl>
  </w:abstractNum>
  <w:abstractNum w:abstractNumId="32" w15:restartNumberingAfterBreak="0">
    <w:nsid w:val="267D48F2"/>
    <w:multiLevelType w:val="multilevel"/>
    <w:tmpl w:val="3DD0AEC8"/>
    <w:styleLink w:val="aaclstStyleHeadingsES"/>
    <w:lvl w:ilvl="0">
      <w:start w:val="1"/>
      <w:numFmt w:val="none"/>
      <w:pStyle w:val="Heading1ES"/>
      <w:lvlText w:val=""/>
      <w:lvlJc w:val="left"/>
      <w:pPr>
        <w:ind w:left="248" w:firstLine="0"/>
      </w:pPr>
      <w:rPr>
        <w:rFonts w:ascii="Arial" w:hAnsi="Arial" w:cs="Arial" w:hint="default"/>
        <w:color w:val="000000"/>
      </w:rPr>
    </w:lvl>
    <w:lvl w:ilvl="1">
      <w:start w:val="1"/>
      <w:numFmt w:val="none"/>
      <w:pStyle w:val="Heading2ES"/>
      <w:lvlText w:val=""/>
      <w:lvlJc w:val="left"/>
      <w:pPr>
        <w:ind w:left="0" w:firstLine="0"/>
      </w:pPr>
      <w:rPr>
        <w:rFonts w:hint="default"/>
      </w:rPr>
    </w:lvl>
    <w:lvl w:ilvl="2">
      <w:start w:val="1"/>
      <w:numFmt w:val="none"/>
      <w:pStyle w:val="Heading3ES"/>
      <w:lvlText w:val=""/>
      <w:lvlJc w:val="left"/>
      <w:pPr>
        <w:ind w:left="0" w:firstLine="0"/>
      </w:pPr>
      <w:rPr>
        <w:rFonts w:hint="default"/>
      </w:rPr>
    </w:lvl>
    <w:lvl w:ilvl="3">
      <w:start w:val="1"/>
      <w:numFmt w:val="none"/>
      <w:pStyle w:val="Heading4ES"/>
      <w:lvlText w:val=""/>
      <w:lvlJc w:val="left"/>
      <w:pPr>
        <w:ind w:left="0" w:firstLine="0"/>
      </w:pPr>
      <w:rPr>
        <w:rFonts w:hint="default"/>
      </w:rPr>
    </w:lvl>
    <w:lvl w:ilvl="4">
      <w:start w:val="1"/>
      <w:numFmt w:val="none"/>
      <w:pStyle w:val="Heading5ES"/>
      <w:lvlText w:val=""/>
      <w:lvlJc w:val="left"/>
      <w:pPr>
        <w:ind w:left="0" w:firstLine="0"/>
      </w:pPr>
      <w:rPr>
        <w:rFonts w:hint="default"/>
      </w:rPr>
    </w:lvl>
    <w:lvl w:ilvl="5">
      <w:start w:val="1"/>
      <w:numFmt w:val="none"/>
      <w:lvlRestart w:val="0"/>
      <w:pStyle w:val="Heading6ES"/>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33" w15:restartNumberingAfterBreak="0">
    <w:nsid w:val="27843433"/>
    <w:multiLevelType w:val="multilevel"/>
    <w:tmpl w:val="165C0818"/>
    <w:numStyleLink w:val="aaclstStyleHeadingNumbered"/>
  </w:abstractNum>
  <w:abstractNum w:abstractNumId="34" w15:restartNumberingAfterBreak="0">
    <w:nsid w:val="297D6AEC"/>
    <w:multiLevelType w:val="multilevel"/>
    <w:tmpl w:val="5E28A05C"/>
    <w:lvl w:ilvl="0">
      <w:start w:val="1"/>
      <w:numFmt w:val="upperLetter"/>
      <w:pStyle w:val="App-Heading1"/>
      <w:suff w:val="nothing"/>
      <w:lvlText w:val="%1"/>
      <w:lvlJc w:val="left"/>
      <w:pPr>
        <w:ind w:left="1080" w:hanging="1080"/>
      </w:pPr>
      <w:rPr>
        <w:rFonts w:hint="default"/>
      </w:rPr>
    </w:lvl>
    <w:lvl w:ilvl="1">
      <w:start w:val="1"/>
      <w:numFmt w:val="decimal"/>
      <w:pStyle w:val="App-Heading2"/>
      <w:lvlText w:val="%1.%2"/>
      <w:lvlJc w:val="right"/>
      <w:pPr>
        <w:ind w:left="1361" w:hanging="119"/>
      </w:pPr>
      <w:rPr>
        <w:rFonts w:hint="default"/>
      </w:rPr>
    </w:lvl>
    <w:lvl w:ilvl="2">
      <w:start w:val="1"/>
      <w:numFmt w:val="decimal"/>
      <w:lvlText w:val="%1.%2.%3"/>
      <w:lvlJc w:val="left"/>
      <w:pPr>
        <w:ind w:left="1800" w:hanging="360"/>
      </w:pPr>
      <w:rPr>
        <w:rFonts w:hint="default"/>
      </w:rPr>
    </w:lvl>
    <w:lvl w:ilvl="3">
      <w:start w:val="1"/>
      <w:numFmt w:val="decimal"/>
      <w:lvlText w:val="(%4)"/>
      <w:lvlJc w:val="left"/>
      <w:pPr>
        <w:ind w:left="2160" w:hanging="36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35" w15:restartNumberingAfterBreak="0">
    <w:nsid w:val="2AD9720E"/>
    <w:multiLevelType w:val="multilevel"/>
    <w:tmpl w:val="30BE6EB8"/>
    <w:styleLink w:val="aaTOCList"/>
    <w:lvl w:ilvl="0">
      <w:start w:val="1"/>
      <w:numFmt w:val="none"/>
      <w:lvlText w:val="%1"/>
      <w:lvlJc w:val="left"/>
      <w:pPr>
        <w:ind w:left="336" w:hanging="336"/>
      </w:pPr>
      <w:rPr>
        <w:rFonts w:ascii="Arial" w:hAnsi="Arial" w:cs="Arial" w:hint="default"/>
        <w:color w:val="000000"/>
        <w:sz w:val="20"/>
      </w:rPr>
    </w:lvl>
    <w:lvl w:ilvl="1">
      <w:start w:val="1"/>
      <w:numFmt w:val="none"/>
      <w:lvlText w:val="%2"/>
      <w:lvlJc w:val="left"/>
      <w:pPr>
        <w:ind w:left="336" w:hanging="336"/>
      </w:pPr>
      <w:rPr>
        <w:rFonts w:hint="default"/>
      </w:rPr>
    </w:lvl>
    <w:lvl w:ilvl="2">
      <w:start w:val="1"/>
      <w:numFmt w:val="none"/>
      <w:lvlText w:val="%3"/>
      <w:lvlJc w:val="left"/>
      <w:pPr>
        <w:tabs>
          <w:tab w:val="num" w:pos="336"/>
        </w:tabs>
        <w:ind w:left="336" w:hanging="336"/>
      </w:pPr>
      <w:rPr>
        <w:rFonts w:hint="default"/>
      </w:rPr>
    </w:lvl>
    <w:lvl w:ilvl="3">
      <w:start w:val="1"/>
      <w:numFmt w:val="none"/>
      <w:lvlText w:val=""/>
      <w:lvlJc w:val="left"/>
      <w:pPr>
        <w:tabs>
          <w:tab w:val="num" w:pos="454"/>
        </w:tabs>
        <w:ind w:left="454" w:hanging="454"/>
      </w:pPr>
      <w:rPr>
        <w:rFonts w:hint="default"/>
      </w:rPr>
    </w:lvl>
    <w:lvl w:ilvl="4">
      <w:start w:val="1"/>
      <w:numFmt w:val="lowerLetter"/>
      <w:lvlText w:val="(%5)"/>
      <w:lvlJc w:val="left"/>
      <w:pPr>
        <w:ind w:left="336" w:hanging="336"/>
      </w:pPr>
      <w:rPr>
        <w:rFonts w:hint="default"/>
      </w:rPr>
    </w:lvl>
    <w:lvl w:ilvl="5">
      <w:start w:val="1"/>
      <w:numFmt w:val="none"/>
      <w:lvlText w:val=""/>
      <w:lvlJc w:val="left"/>
      <w:pPr>
        <w:tabs>
          <w:tab w:val="num" w:pos="336"/>
        </w:tabs>
        <w:ind w:left="336" w:hanging="336"/>
      </w:pPr>
      <w:rPr>
        <w:rFonts w:hint="default"/>
      </w:rPr>
    </w:lvl>
    <w:lvl w:ilvl="6">
      <w:start w:val="1"/>
      <w:numFmt w:val="none"/>
      <w:lvlText w:val="%7"/>
      <w:lvlJc w:val="left"/>
      <w:pPr>
        <w:tabs>
          <w:tab w:val="num" w:pos="335"/>
        </w:tabs>
        <w:ind w:left="335" w:hanging="335"/>
      </w:pPr>
      <w:rPr>
        <w:rFonts w:hint="default"/>
        <w:color w:val="FFFEFF"/>
      </w:rPr>
    </w:lvl>
    <w:lvl w:ilvl="7">
      <w:start w:val="1"/>
      <w:numFmt w:val="lowerLetter"/>
      <w:lvlText w:val="%8."/>
      <w:lvlJc w:val="left"/>
      <w:pPr>
        <w:ind w:left="336" w:hanging="336"/>
      </w:pPr>
      <w:rPr>
        <w:rFonts w:hint="default"/>
      </w:rPr>
    </w:lvl>
    <w:lvl w:ilvl="8">
      <w:start w:val="1"/>
      <w:numFmt w:val="lowerRoman"/>
      <w:lvlText w:val="%9."/>
      <w:lvlJc w:val="left"/>
      <w:pPr>
        <w:ind w:left="336" w:hanging="336"/>
      </w:pPr>
      <w:rPr>
        <w:rFonts w:hint="default"/>
      </w:rPr>
    </w:lvl>
  </w:abstractNum>
  <w:abstractNum w:abstractNumId="36" w15:restartNumberingAfterBreak="0">
    <w:nsid w:val="2BA93FA8"/>
    <w:multiLevelType w:val="multilevel"/>
    <w:tmpl w:val="306ACCA8"/>
    <w:numStyleLink w:val="aaclstStyleBoxListNumbers"/>
  </w:abstractNum>
  <w:abstractNum w:abstractNumId="37" w15:restartNumberingAfterBreak="0">
    <w:nsid w:val="31AB2891"/>
    <w:multiLevelType w:val="multilevel"/>
    <w:tmpl w:val="6248E440"/>
    <w:styleLink w:val="TOCList"/>
    <w:lvl w:ilvl="0">
      <w:start w:val="1"/>
      <w:numFmt w:val="none"/>
      <w:suff w:val="nothing"/>
      <w:lvlText w:val="%1"/>
      <w:lvlJc w:val="left"/>
      <w:pPr>
        <w:ind w:left="0" w:firstLine="0"/>
      </w:pPr>
      <w:rPr>
        <w:rFonts w:ascii="Arial" w:hAnsi="Arial" w:cs="Arial" w:hint="default"/>
        <w:color w:val="000000"/>
        <w:sz w:val="20"/>
      </w:rPr>
    </w:lvl>
    <w:lvl w:ilvl="1">
      <w:start w:val="1"/>
      <w:numFmt w:val="none"/>
      <w:lvlRestart w:val="0"/>
      <w:suff w:val="nothing"/>
      <w:lvlText w:val="%2"/>
      <w:lvlJc w:val="left"/>
      <w:pPr>
        <w:ind w:left="560" w:hanging="560"/>
      </w:pPr>
      <w:rPr>
        <w:rFonts w:hint="default"/>
      </w:rPr>
    </w:lvl>
    <w:lvl w:ilvl="2">
      <w:start w:val="1"/>
      <w:numFmt w:val="none"/>
      <w:lvlRestart w:val="0"/>
      <w:suff w:val="nothing"/>
      <w:lvlText w:val="%3"/>
      <w:lvlJc w:val="left"/>
      <w:pPr>
        <w:ind w:left="1120" w:hanging="560"/>
      </w:pPr>
      <w:rPr>
        <w:rFonts w:hint="default"/>
      </w:rPr>
    </w:lvl>
    <w:lvl w:ilvl="3">
      <w:start w:val="1"/>
      <w:numFmt w:val="none"/>
      <w:lvlRestart w:val="0"/>
      <w:suff w:val="nothing"/>
      <w:lvlText w:val=""/>
      <w:lvlJc w:val="left"/>
      <w:pPr>
        <w:ind w:left="1680" w:hanging="560"/>
      </w:pPr>
      <w:rPr>
        <w:rFonts w:hint="default"/>
      </w:rPr>
    </w:lvl>
    <w:lvl w:ilvl="4">
      <w:start w:val="1"/>
      <w:numFmt w:val="none"/>
      <w:lvlRestart w:val="0"/>
      <w:suff w:val="nothing"/>
      <w:lvlText w:val=""/>
      <w:lvlJc w:val="left"/>
      <w:pPr>
        <w:ind w:left="0" w:firstLine="0"/>
      </w:pPr>
      <w:rPr>
        <w:rFonts w:hint="default"/>
      </w:rPr>
    </w:lvl>
    <w:lvl w:ilvl="5">
      <w:start w:val="1"/>
      <w:numFmt w:val="none"/>
      <w:lvlRestart w:val="0"/>
      <w:suff w:val="nothing"/>
      <w:lvlText w:val=""/>
      <w:lvlJc w:val="left"/>
      <w:pPr>
        <w:ind w:left="0" w:firstLine="0"/>
      </w:pPr>
      <w:rPr>
        <w:rFonts w:hint="default"/>
      </w:rPr>
    </w:lvl>
    <w:lvl w:ilvl="6">
      <w:start w:val="1"/>
      <w:numFmt w:val="none"/>
      <w:lvlRestart w:val="0"/>
      <w:suff w:val="nothing"/>
      <w:lvlText w:val=""/>
      <w:lvlJc w:val="left"/>
      <w:pPr>
        <w:ind w:left="0" w:firstLine="0"/>
      </w:pPr>
      <w:rPr>
        <w:rFonts w:hint="default"/>
      </w:rPr>
    </w:lvl>
    <w:lvl w:ilvl="7">
      <w:start w:val="1"/>
      <w:numFmt w:val="none"/>
      <w:lvlRestart w:val="0"/>
      <w:suff w:val="nothing"/>
      <w:lvlText w:val=""/>
      <w:lvlJc w:val="left"/>
      <w:pPr>
        <w:ind w:left="0" w:firstLine="0"/>
      </w:pPr>
      <w:rPr>
        <w:rFonts w:hint="default"/>
      </w:rPr>
    </w:lvl>
    <w:lvl w:ilvl="8">
      <w:start w:val="1"/>
      <w:numFmt w:val="none"/>
      <w:lvlRestart w:val="0"/>
      <w:suff w:val="nothing"/>
      <w:lvlText w:val=""/>
      <w:lvlJc w:val="left"/>
      <w:pPr>
        <w:ind w:left="0" w:firstLine="0"/>
      </w:pPr>
      <w:rPr>
        <w:rFonts w:hint="default"/>
      </w:rPr>
    </w:lvl>
  </w:abstractNum>
  <w:abstractNum w:abstractNumId="38" w15:restartNumberingAfterBreak="0">
    <w:nsid w:val="3333768D"/>
    <w:multiLevelType w:val="multilevel"/>
    <w:tmpl w:val="65D86914"/>
    <w:styleLink w:val="BoxList"/>
    <w:lvl w:ilvl="0">
      <w:start w:val="1"/>
      <w:numFmt w:val="decimal"/>
      <w:lvlText w:val="%1."/>
      <w:lvlJc w:val="left"/>
      <w:pPr>
        <w:ind w:left="446" w:hanging="446"/>
      </w:pPr>
      <w:rPr>
        <w:rFonts w:ascii="Arial" w:hAnsi="Arial" w:cs="Arial" w:hint="default"/>
        <w:color w:val="000000"/>
        <w:sz w:val="20"/>
      </w:rPr>
    </w:lvl>
    <w:lvl w:ilvl="1">
      <w:start w:val="1"/>
      <w:numFmt w:val="lowerLetter"/>
      <w:lvlText w:val="%2)"/>
      <w:lvlJc w:val="left"/>
      <w:pPr>
        <w:ind w:left="800" w:hanging="354"/>
      </w:pPr>
      <w:rPr>
        <w:rFonts w:ascii="Arial Narrow" w:hAnsi="Arial Narrow" w:hint="default"/>
      </w:rPr>
    </w:lvl>
    <w:lvl w:ilvl="2">
      <w:start w:val="1"/>
      <w:numFmt w:val="lowerRoman"/>
      <w:lvlText w:val="%3)"/>
      <w:lvlJc w:val="left"/>
      <w:pPr>
        <w:ind w:left="1160" w:hanging="360"/>
      </w:pPr>
      <w:rPr>
        <w:rFonts w:ascii="Arial Narrow" w:hAnsi="Arial Narrow"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9" w15:restartNumberingAfterBreak="0">
    <w:nsid w:val="336313F1"/>
    <w:multiLevelType w:val="multilevel"/>
    <w:tmpl w:val="2D56811A"/>
    <w:numStyleLink w:val="aaclstStyleBoxListBullets"/>
  </w:abstractNum>
  <w:abstractNum w:abstractNumId="40" w15:restartNumberingAfterBreak="0">
    <w:nsid w:val="33DF3DD1"/>
    <w:multiLevelType w:val="multilevel"/>
    <w:tmpl w:val="4D96EFB6"/>
    <w:numStyleLink w:val="aacTableListBulletssmall"/>
  </w:abstractNum>
  <w:abstractNum w:abstractNumId="41" w15:restartNumberingAfterBreak="0">
    <w:nsid w:val="372E3154"/>
    <w:multiLevelType w:val="hybridMultilevel"/>
    <w:tmpl w:val="32009940"/>
    <w:lvl w:ilvl="0" w:tplc="767857A4">
      <w:numFmt w:val="bullet"/>
      <w:lvlText w:val="—"/>
      <w:lvlJc w:val="left"/>
      <w:pPr>
        <w:ind w:left="360" w:hanging="360"/>
      </w:pPr>
      <w:rPr>
        <w:rFonts w:ascii="Calibri" w:eastAsiaTheme="minorHAnsi" w:hAnsi="Calibri" w:cs="Calibri"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2" w15:restartNumberingAfterBreak="0">
    <w:nsid w:val="3B3E682E"/>
    <w:multiLevelType w:val="multilevel"/>
    <w:tmpl w:val="D4E4AEA8"/>
    <w:styleLink w:val="aaReportHeadings"/>
    <w:lvl w:ilvl="0">
      <w:start w:val="1"/>
      <w:numFmt w:val="decimal"/>
      <w:lvlText w:val="%1"/>
      <w:lvlJc w:val="right"/>
      <w:pPr>
        <w:tabs>
          <w:tab w:val="num" w:pos="248"/>
        </w:tabs>
        <w:ind w:left="248" w:hanging="384"/>
      </w:pPr>
      <w:rPr>
        <w:rFonts w:ascii="Arial" w:hAnsi="Arial" w:cs="Arial" w:hint="default"/>
        <w:color w:val="000000"/>
      </w:rPr>
    </w:lvl>
    <w:lvl w:ilvl="1">
      <w:start w:val="1"/>
      <w:numFmt w:val="decimal"/>
      <w:lvlText w:val="%1.%2"/>
      <w:lvlJc w:val="right"/>
      <w:pPr>
        <w:ind w:left="0" w:hanging="136"/>
      </w:pPr>
      <w:rPr>
        <w:rFonts w:hint="default"/>
      </w:rPr>
    </w:lvl>
    <w:lvl w:ilvl="2">
      <w:start w:val="1"/>
      <w:numFmt w:val="decimal"/>
      <w:lvlText w:val="%1.%2.%3"/>
      <w:lvlJc w:val="left"/>
      <w:pPr>
        <w:ind w:left="320" w:hanging="32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lvlText w:val="%7"/>
      <w:lvlJc w:val="left"/>
      <w:pPr>
        <w:ind w:left="0" w:firstLine="0"/>
      </w:pPr>
      <w:rPr>
        <w:rFonts w:hint="default"/>
      </w:rPr>
    </w:lvl>
    <w:lvl w:ilvl="7">
      <w:start w:val="1"/>
      <w:numFmt w:val="none"/>
      <w:lvlText w:val="%8"/>
      <w:lvlJc w:val="left"/>
      <w:pPr>
        <w:ind w:left="0" w:firstLine="0"/>
      </w:pPr>
      <w:rPr>
        <w:rFonts w:hint="default"/>
      </w:rPr>
    </w:lvl>
    <w:lvl w:ilvl="8">
      <w:start w:val="1"/>
      <w:numFmt w:val="none"/>
      <w:lvlText w:val="%9"/>
      <w:lvlJc w:val="left"/>
      <w:pPr>
        <w:ind w:left="0" w:firstLine="0"/>
      </w:pPr>
      <w:rPr>
        <w:rFonts w:hint="default"/>
      </w:rPr>
    </w:lvl>
  </w:abstractNum>
  <w:abstractNum w:abstractNumId="43" w15:restartNumberingAfterBreak="0">
    <w:nsid w:val="3CD62D95"/>
    <w:multiLevelType w:val="multilevel"/>
    <w:tmpl w:val="55DAED7E"/>
    <w:styleLink w:val="aacTableListBullets"/>
    <w:lvl w:ilvl="0">
      <w:start w:val="1"/>
      <w:numFmt w:val="bullet"/>
      <w:pStyle w:val="Tablelistbullet"/>
      <w:lvlText w:val="–"/>
      <w:lvlJc w:val="left"/>
      <w:pPr>
        <w:ind w:left="280" w:hanging="280"/>
      </w:pPr>
      <w:rPr>
        <w:rFonts w:ascii="Arial" w:hAnsi="Arial" w:cs="Arial" w:hint="default"/>
        <w:color w:val="000000"/>
      </w:rPr>
    </w:lvl>
    <w:lvl w:ilvl="1">
      <w:start w:val="1"/>
      <w:numFmt w:val="bullet"/>
      <w:pStyle w:val="Tablelistbullet2"/>
      <w:lvlText w:val="–"/>
      <w:lvlJc w:val="left"/>
      <w:pPr>
        <w:ind w:left="520" w:hanging="240"/>
      </w:pPr>
      <w:rPr>
        <w:rFonts w:ascii="Arial Narrow" w:hAnsi="Arial Narrow" w:hint="default"/>
        <w:color w:val="000100"/>
      </w:rPr>
    </w:lvl>
    <w:lvl w:ilvl="2">
      <w:start w:val="1"/>
      <w:numFmt w:val="bullet"/>
      <w:pStyle w:val="Tablelistbullet3"/>
      <w:lvlText w:val="–"/>
      <w:lvlJc w:val="left"/>
      <w:pPr>
        <w:ind w:left="760" w:hanging="240"/>
      </w:pPr>
      <w:rPr>
        <w:rFonts w:ascii="Arial Narrow" w:hAnsi="Arial Narrow" w:hint="default"/>
      </w:rPr>
    </w:lvl>
    <w:lvl w:ilvl="3">
      <w:start w:val="1"/>
      <w:numFmt w:val="decimal"/>
      <w:lvlText w:val="(%4)"/>
      <w:lvlJc w:val="left"/>
      <w:pPr>
        <w:ind w:left="960" w:hanging="240"/>
      </w:pPr>
      <w:rPr>
        <w:rFonts w:ascii="Arial Narrow" w:hAnsi="Arial Narrow" w:hint="default"/>
      </w:rPr>
    </w:lvl>
    <w:lvl w:ilvl="4">
      <w:start w:val="1"/>
      <w:numFmt w:val="lowerLetter"/>
      <w:lvlText w:val="(%5)"/>
      <w:lvlJc w:val="left"/>
      <w:pPr>
        <w:ind w:left="1200" w:hanging="240"/>
      </w:pPr>
      <w:rPr>
        <w:rFonts w:hint="default"/>
      </w:rPr>
    </w:lvl>
    <w:lvl w:ilvl="5">
      <w:start w:val="1"/>
      <w:numFmt w:val="lowerRoman"/>
      <w:lvlText w:val="(%6)"/>
      <w:lvlJc w:val="left"/>
      <w:pPr>
        <w:ind w:left="1440" w:hanging="240"/>
      </w:pPr>
      <w:rPr>
        <w:rFonts w:hint="default"/>
      </w:rPr>
    </w:lvl>
    <w:lvl w:ilvl="6">
      <w:start w:val="1"/>
      <w:numFmt w:val="decimal"/>
      <w:lvlText w:val="%7."/>
      <w:lvlJc w:val="left"/>
      <w:pPr>
        <w:ind w:left="1680" w:hanging="240"/>
      </w:pPr>
      <w:rPr>
        <w:rFonts w:hint="default"/>
      </w:rPr>
    </w:lvl>
    <w:lvl w:ilvl="7">
      <w:start w:val="1"/>
      <w:numFmt w:val="lowerLetter"/>
      <w:lvlText w:val="%8."/>
      <w:lvlJc w:val="left"/>
      <w:pPr>
        <w:ind w:left="1920" w:hanging="240"/>
      </w:pPr>
      <w:rPr>
        <w:rFonts w:hint="default"/>
      </w:rPr>
    </w:lvl>
    <w:lvl w:ilvl="8">
      <w:start w:val="1"/>
      <w:numFmt w:val="lowerRoman"/>
      <w:lvlText w:val="%9."/>
      <w:lvlJc w:val="left"/>
      <w:pPr>
        <w:ind w:left="2160" w:hanging="240"/>
      </w:pPr>
      <w:rPr>
        <w:rFonts w:hint="default"/>
      </w:rPr>
    </w:lvl>
  </w:abstractNum>
  <w:abstractNum w:abstractNumId="44" w15:restartNumberingAfterBreak="0">
    <w:nsid w:val="3EA6263C"/>
    <w:multiLevelType w:val="hybridMultilevel"/>
    <w:tmpl w:val="18F60C46"/>
    <w:lvl w:ilvl="0" w:tplc="767857A4">
      <w:numFmt w:val="bullet"/>
      <w:lvlText w:val="—"/>
      <w:lvlJc w:val="left"/>
      <w:pPr>
        <w:ind w:left="360" w:hanging="360"/>
      </w:pPr>
      <w:rPr>
        <w:rFonts w:ascii="Calibri" w:eastAsiaTheme="minorHAnsi" w:hAnsi="Calibri" w:cs="Calibri" w:hint="default"/>
      </w:r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45" w15:restartNumberingAfterBreak="0">
    <w:nsid w:val="3F6C5F04"/>
    <w:multiLevelType w:val="multilevel"/>
    <w:tmpl w:val="E938B7C8"/>
    <w:styleLink w:val="aaTableListNumberssmall"/>
    <w:lvl w:ilvl="0">
      <w:start w:val="1"/>
      <w:numFmt w:val="decimal"/>
      <w:lvlText w:val="%1."/>
      <w:lvlJc w:val="left"/>
      <w:pPr>
        <w:ind w:left="340" w:hanging="340"/>
      </w:pPr>
      <w:rPr>
        <w:rFonts w:ascii="Arial" w:hAnsi="Arial" w:cs="Arial" w:hint="default"/>
        <w:color w:val="000000"/>
      </w:rPr>
    </w:lvl>
    <w:lvl w:ilvl="1">
      <w:start w:val="1"/>
      <w:numFmt w:val="lowerLetter"/>
      <w:lvlText w:val="%2)"/>
      <w:lvlJc w:val="left"/>
      <w:pPr>
        <w:ind w:left="567" w:hanging="227"/>
      </w:pPr>
      <w:rPr>
        <w:rFonts w:ascii="Arial Narrow" w:hAnsi="Arial Narrow" w:hint="default"/>
      </w:rPr>
    </w:lvl>
    <w:lvl w:ilvl="2">
      <w:start w:val="1"/>
      <w:numFmt w:val="lowerRoman"/>
      <w:lvlText w:val="%3)"/>
      <w:lvlJc w:val="left"/>
      <w:pPr>
        <w:ind w:left="794" w:hanging="227"/>
      </w:pPr>
      <w:rPr>
        <w:rFonts w:ascii="Arial Narrow" w:hAnsi="Arial Narrow" w:hint="default"/>
      </w:rPr>
    </w:lvl>
    <w:lvl w:ilvl="3">
      <w:start w:val="1"/>
      <w:numFmt w:val="none"/>
      <w:lvlText w:val=""/>
      <w:lvlJc w:val="left"/>
      <w:pPr>
        <w:ind w:left="1021" w:hanging="340"/>
      </w:pPr>
      <w:rPr>
        <w:rFonts w:hint="default"/>
      </w:rPr>
    </w:lvl>
    <w:lvl w:ilvl="4">
      <w:start w:val="1"/>
      <w:numFmt w:val="none"/>
      <w:lvlText w:val=""/>
      <w:lvlJc w:val="left"/>
      <w:pPr>
        <w:ind w:left="1248" w:hanging="340"/>
      </w:pPr>
      <w:rPr>
        <w:rFonts w:hint="default"/>
      </w:rPr>
    </w:lvl>
    <w:lvl w:ilvl="5">
      <w:start w:val="1"/>
      <w:numFmt w:val="none"/>
      <w:lvlText w:val=""/>
      <w:lvlJc w:val="left"/>
      <w:pPr>
        <w:ind w:left="1475" w:hanging="340"/>
      </w:pPr>
      <w:rPr>
        <w:rFonts w:hint="default"/>
      </w:rPr>
    </w:lvl>
    <w:lvl w:ilvl="6">
      <w:start w:val="1"/>
      <w:numFmt w:val="none"/>
      <w:lvlText w:val=""/>
      <w:lvlJc w:val="left"/>
      <w:pPr>
        <w:ind w:left="1702" w:hanging="340"/>
      </w:pPr>
      <w:rPr>
        <w:rFonts w:hint="default"/>
      </w:rPr>
    </w:lvl>
    <w:lvl w:ilvl="7">
      <w:start w:val="1"/>
      <w:numFmt w:val="none"/>
      <w:lvlText w:val=""/>
      <w:lvlJc w:val="left"/>
      <w:pPr>
        <w:ind w:left="1929" w:hanging="340"/>
      </w:pPr>
      <w:rPr>
        <w:rFonts w:hint="default"/>
      </w:rPr>
    </w:lvl>
    <w:lvl w:ilvl="8">
      <w:start w:val="1"/>
      <w:numFmt w:val="none"/>
      <w:lvlText w:val=""/>
      <w:lvlJc w:val="left"/>
      <w:pPr>
        <w:ind w:left="2156" w:hanging="340"/>
      </w:pPr>
      <w:rPr>
        <w:rFonts w:hint="default"/>
      </w:rPr>
    </w:lvl>
  </w:abstractNum>
  <w:abstractNum w:abstractNumId="46" w15:restartNumberingAfterBreak="0">
    <w:nsid w:val="44083225"/>
    <w:multiLevelType w:val="multilevel"/>
    <w:tmpl w:val="2D56811A"/>
    <w:styleLink w:val="aaclstStyleBoxListBullets"/>
    <w:lvl w:ilvl="0">
      <w:start w:val="1"/>
      <w:numFmt w:val="bullet"/>
      <w:pStyle w:val="BoxListBullet"/>
      <w:lvlText w:val="—"/>
      <w:lvlJc w:val="left"/>
      <w:pPr>
        <w:ind w:left="564" w:hanging="312"/>
      </w:pPr>
      <w:rPr>
        <w:rFonts w:ascii="Arial" w:hAnsi="Arial" w:cs="Arial" w:hint="default"/>
        <w:color w:val="000000"/>
      </w:rPr>
    </w:lvl>
    <w:lvl w:ilvl="1">
      <w:start w:val="1"/>
      <w:numFmt w:val="bullet"/>
      <w:pStyle w:val="BoxListBullet2"/>
      <w:lvlText w:val="―"/>
      <w:lvlJc w:val="left"/>
      <w:pPr>
        <w:ind w:left="844" w:hanging="280"/>
      </w:pPr>
      <w:rPr>
        <w:rFonts w:ascii="Arial Narrow" w:hAnsi="Arial Narrow" w:hint="default"/>
        <w:sz w:val="16"/>
      </w:rPr>
    </w:lvl>
    <w:lvl w:ilvl="2">
      <w:start w:val="1"/>
      <w:numFmt w:val="bullet"/>
      <w:pStyle w:val="BoxListBullet3"/>
      <w:lvlText w:val="–"/>
      <w:lvlJc w:val="left"/>
      <w:pPr>
        <w:ind w:left="1084" w:hanging="240"/>
      </w:pPr>
      <w:rPr>
        <w:rFonts w:ascii="Arial Narrow" w:hAnsi="Arial Narrow" w:hint="default"/>
      </w:rPr>
    </w:lvl>
    <w:lvl w:ilvl="3">
      <w:start w:val="1"/>
      <w:numFmt w:val="none"/>
      <w:pStyle w:val="BoxQuote"/>
      <w:suff w:val="nothing"/>
      <w:lvlText w:val=""/>
      <w:lvlJc w:val="left"/>
      <w:pPr>
        <w:ind w:left="564" w:hanging="312"/>
      </w:pPr>
      <w:rPr>
        <w:rFonts w:hint="default"/>
      </w:rPr>
    </w:lvl>
    <w:lvl w:ilvl="4">
      <w:start w:val="1"/>
      <w:numFmt w:val="bullet"/>
      <w:pStyle w:val="BoxQuoteListBullet"/>
      <w:lvlText w:val="–"/>
      <w:lvlJc w:val="left"/>
      <w:pPr>
        <w:ind w:left="564" w:hanging="312"/>
      </w:pPr>
      <w:rPr>
        <w:rFonts w:ascii="Arial Narrow" w:hAnsi="Arial Narrow" w:hint="default"/>
      </w:rPr>
    </w:lvl>
    <w:lvl w:ilvl="5">
      <w:start w:val="1"/>
      <w:numFmt w:val="none"/>
      <w:lvlText w:val=""/>
      <w:lvlJc w:val="left"/>
      <w:pPr>
        <w:ind w:left="1646" w:hanging="446"/>
      </w:pPr>
      <w:rPr>
        <w:rFonts w:hint="default"/>
      </w:rPr>
    </w:lvl>
    <w:lvl w:ilvl="6">
      <w:start w:val="1"/>
      <w:numFmt w:val="none"/>
      <w:lvlText w:val=""/>
      <w:lvlJc w:val="left"/>
      <w:pPr>
        <w:ind w:left="1886" w:hanging="446"/>
      </w:pPr>
      <w:rPr>
        <w:rFonts w:hint="default"/>
      </w:rPr>
    </w:lvl>
    <w:lvl w:ilvl="7">
      <w:start w:val="1"/>
      <w:numFmt w:val="none"/>
      <w:lvlText w:val=""/>
      <w:lvlJc w:val="left"/>
      <w:pPr>
        <w:ind w:left="2126" w:hanging="446"/>
      </w:pPr>
      <w:rPr>
        <w:rFonts w:hint="default"/>
      </w:rPr>
    </w:lvl>
    <w:lvl w:ilvl="8">
      <w:start w:val="1"/>
      <w:numFmt w:val="none"/>
      <w:lvlText w:val=""/>
      <w:lvlJc w:val="left"/>
      <w:pPr>
        <w:ind w:left="2366" w:hanging="446"/>
      </w:pPr>
      <w:rPr>
        <w:rFonts w:hint="default"/>
      </w:rPr>
    </w:lvl>
  </w:abstractNum>
  <w:abstractNum w:abstractNumId="47" w15:restartNumberingAfterBreak="0">
    <w:nsid w:val="45767BA0"/>
    <w:multiLevelType w:val="multilevel"/>
    <w:tmpl w:val="75081F48"/>
    <w:lvl w:ilvl="0">
      <w:start w:val="1"/>
      <w:numFmt w:val="bullet"/>
      <w:pStyle w:val="SideNoteDash"/>
      <w:lvlText w:val="–"/>
      <w:lvlJc w:val="left"/>
      <w:pPr>
        <w:tabs>
          <w:tab w:val="num" w:pos="60"/>
        </w:tabs>
        <w:ind w:left="220" w:hanging="220"/>
      </w:pPr>
      <w:rPr>
        <w:rFonts w:ascii="Arial Narrow" w:hAnsi="Arial Narrow" w:hint="default"/>
      </w:rPr>
    </w:lvl>
    <w:lvl w:ilvl="1">
      <w:start w:val="1"/>
      <w:numFmt w:val="bullet"/>
      <w:pStyle w:val="SideNoteBullet"/>
      <w:lvlText w:val="•"/>
      <w:lvlJc w:val="left"/>
      <w:pPr>
        <w:ind w:left="220" w:hanging="220"/>
      </w:pPr>
      <w:rPr>
        <w:rFonts w:ascii="Arial Narrow" w:hAnsi="Arial Narrow" w:hint="default"/>
        <w:sz w:val="16"/>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8" w15:restartNumberingAfterBreak="0">
    <w:nsid w:val="460F67E9"/>
    <w:multiLevelType w:val="multilevel"/>
    <w:tmpl w:val="30CC873A"/>
    <w:numStyleLink w:val="aaclstStyleBullets"/>
  </w:abstractNum>
  <w:abstractNum w:abstractNumId="49" w15:restartNumberingAfterBreak="0">
    <w:nsid w:val="4B6114E9"/>
    <w:multiLevelType w:val="multilevel"/>
    <w:tmpl w:val="30CC873A"/>
    <w:styleLink w:val="aaclstStyleBullets"/>
    <w:lvl w:ilvl="0">
      <w:start w:val="1"/>
      <w:numFmt w:val="bullet"/>
      <w:pStyle w:val="ListBullet"/>
      <w:lvlText w:val="—"/>
      <w:lvlJc w:val="left"/>
      <w:pPr>
        <w:ind w:left="420" w:hanging="420"/>
      </w:pPr>
      <w:rPr>
        <w:rFonts w:ascii="Arial" w:hAnsi="Arial" w:cs="Arial" w:hint="default"/>
        <w:color w:val="000000"/>
      </w:rPr>
    </w:lvl>
    <w:lvl w:ilvl="1">
      <w:start w:val="1"/>
      <w:numFmt w:val="bullet"/>
      <w:pStyle w:val="ListBullet2"/>
      <w:lvlText w:val="―"/>
      <w:lvlJc w:val="left"/>
      <w:pPr>
        <w:ind w:left="780" w:hanging="360"/>
      </w:pPr>
      <w:rPr>
        <w:rFonts w:ascii="Arial Narrow" w:hAnsi="Arial Narrow" w:hint="default"/>
      </w:rPr>
    </w:lvl>
    <w:lvl w:ilvl="2">
      <w:start w:val="1"/>
      <w:numFmt w:val="bullet"/>
      <w:pStyle w:val="ListBullet3"/>
      <w:lvlText w:val="−"/>
      <w:lvlJc w:val="left"/>
      <w:pPr>
        <w:ind w:left="1140" w:hanging="360"/>
      </w:pPr>
      <w:rPr>
        <w:rFonts w:ascii="Arial Narrow" w:hAnsi="Arial Narrow" w:hint="default"/>
      </w:rPr>
    </w:lvl>
    <w:lvl w:ilvl="3">
      <w:start w:val="1"/>
      <w:numFmt w:val="none"/>
      <w:lvlText w:val=""/>
      <w:lvlJc w:val="left"/>
      <w:pPr>
        <w:ind w:left="1428" w:hanging="357"/>
      </w:pPr>
      <w:rPr>
        <w:rFonts w:hint="default"/>
      </w:rPr>
    </w:lvl>
    <w:lvl w:ilvl="4">
      <w:start w:val="1"/>
      <w:numFmt w:val="none"/>
      <w:lvlText w:val=""/>
      <w:lvlJc w:val="left"/>
      <w:pPr>
        <w:ind w:left="1785" w:hanging="357"/>
      </w:pPr>
      <w:rPr>
        <w:rFonts w:hint="default"/>
      </w:rPr>
    </w:lvl>
    <w:lvl w:ilvl="5">
      <w:start w:val="1"/>
      <w:numFmt w:val="none"/>
      <w:lvlText w:val=""/>
      <w:lvlJc w:val="left"/>
      <w:pPr>
        <w:ind w:left="2142" w:hanging="357"/>
      </w:pPr>
      <w:rPr>
        <w:rFonts w:hint="default"/>
      </w:rPr>
    </w:lvl>
    <w:lvl w:ilvl="6">
      <w:start w:val="1"/>
      <w:numFmt w:val="none"/>
      <w:lvlText w:val=""/>
      <w:lvlJc w:val="left"/>
      <w:pPr>
        <w:ind w:left="2499" w:hanging="357"/>
      </w:pPr>
      <w:rPr>
        <w:rFonts w:hint="default"/>
      </w:rPr>
    </w:lvl>
    <w:lvl w:ilvl="7">
      <w:start w:val="1"/>
      <w:numFmt w:val="none"/>
      <w:lvlText w:val=""/>
      <w:lvlJc w:val="left"/>
      <w:pPr>
        <w:ind w:left="2856" w:hanging="357"/>
      </w:pPr>
      <w:rPr>
        <w:rFonts w:hint="default"/>
      </w:rPr>
    </w:lvl>
    <w:lvl w:ilvl="8">
      <w:start w:val="1"/>
      <w:numFmt w:val="none"/>
      <w:lvlText w:val=""/>
      <w:lvlJc w:val="left"/>
      <w:pPr>
        <w:ind w:left="3213" w:hanging="357"/>
      </w:pPr>
      <w:rPr>
        <w:rFonts w:hint="default"/>
      </w:rPr>
    </w:lvl>
  </w:abstractNum>
  <w:abstractNum w:abstractNumId="50" w15:restartNumberingAfterBreak="0">
    <w:nsid w:val="4CF7721F"/>
    <w:multiLevelType w:val="multilevel"/>
    <w:tmpl w:val="0E7610C4"/>
    <w:styleLink w:val="1ai"/>
    <w:lvl w:ilvl="0">
      <w:start w:val="1"/>
      <w:numFmt w:val="decimal"/>
      <w:lvlText w:val="%1."/>
      <w:lvlJc w:val="left"/>
      <w:pPr>
        <w:tabs>
          <w:tab w:val="num" w:pos="446"/>
        </w:tabs>
        <w:ind w:left="800" w:hanging="354"/>
      </w:pPr>
      <w:rPr>
        <w:rFonts w:ascii="Arial" w:hAnsi="Arial" w:cs="Arial" w:hint="default"/>
        <w:color w:val="000000"/>
      </w:rPr>
    </w:lvl>
    <w:lvl w:ilvl="1">
      <w:start w:val="1"/>
      <w:numFmt w:val="lowerLetter"/>
      <w:lvlText w:val="%2)"/>
      <w:lvlJc w:val="left"/>
      <w:pPr>
        <w:tabs>
          <w:tab w:val="num" w:pos="806"/>
        </w:tabs>
        <w:ind w:left="1160" w:hanging="360"/>
      </w:pPr>
      <w:rPr>
        <w:rFonts w:hint="default"/>
      </w:rPr>
    </w:lvl>
    <w:lvl w:ilvl="2">
      <w:start w:val="1"/>
      <w:numFmt w:val="lowerRoman"/>
      <w:lvlText w:val="%3)"/>
      <w:lvlJc w:val="left"/>
      <w:pPr>
        <w:tabs>
          <w:tab w:val="num" w:pos="1160"/>
        </w:tabs>
        <w:ind w:left="1520" w:hanging="360"/>
      </w:pPr>
      <w:rPr>
        <w:rFonts w:hint="default"/>
      </w:rPr>
    </w:lvl>
    <w:lvl w:ilvl="3">
      <w:start w:val="1"/>
      <w:numFmt w:val="decimal"/>
      <w:lvlText w:val="(%4)"/>
      <w:lvlJc w:val="left"/>
      <w:pPr>
        <w:tabs>
          <w:tab w:val="num" w:pos="446"/>
        </w:tabs>
        <w:ind w:left="360" w:firstLine="86"/>
      </w:pPr>
      <w:rPr>
        <w:rFonts w:hint="default"/>
      </w:rPr>
    </w:lvl>
    <w:lvl w:ilvl="4">
      <w:start w:val="1"/>
      <w:numFmt w:val="lowerLetter"/>
      <w:lvlText w:val="(%5)"/>
      <w:lvlJc w:val="left"/>
      <w:pPr>
        <w:tabs>
          <w:tab w:val="num" w:pos="446"/>
        </w:tabs>
        <w:ind w:left="360" w:firstLine="86"/>
      </w:pPr>
      <w:rPr>
        <w:rFonts w:hint="default"/>
      </w:rPr>
    </w:lvl>
    <w:lvl w:ilvl="5">
      <w:start w:val="1"/>
      <w:numFmt w:val="lowerRoman"/>
      <w:lvlText w:val="(%6)"/>
      <w:lvlJc w:val="left"/>
      <w:pPr>
        <w:tabs>
          <w:tab w:val="num" w:pos="446"/>
        </w:tabs>
        <w:ind w:left="360" w:firstLine="86"/>
      </w:pPr>
      <w:rPr>
        <w:rFonts w:hint="default"/>
      </w:rPr>
    </w:lvl>
    <w:lvl w:ilvl="6">
      <w:start w:val="1"/>
      <w:numFmt w:val="decimal"/>
      <w:lvlText w:val="%7."/>
      <w:lvlJc w:val="left"/>
      <w:pPr>
        <w:tabs>
          <w:tab w:val="num" w:pos="446"/>
        </w:tabs>
        <w:ind w:left="360" w:firstLine="86"/>
      </w:pPr>
      <w:rPr>
        <w:rFonts w:hint="default"/>
      </w:rPr>
    </w:lvl>
    <w:lvl w:ilvl="7">
      <w:start w:val="1"/>
      <w:numFmt w:val="lowerLetter"/>
      <w:lvlText w:val="%8."/>
      <w:lvlJc w:val="left"/>
      <w:pPr>
        <w:tabs>
          <w:tab w:val="num" w:pos="446"/>
        </w:tabs>
        <w:ind w:left="360" w:firstLine="86"/>
      </w:pPr>
      <w:rPr>
        <w:rFonts w:hint="default"/>
      </w:rPr>
    </w:lvl>
    <w:lvl w:ilvl="8">
      <w:start w:val="1"/>
      <w:numFmt w:val="lowerRoman"/>
      <w:lvlText w:val="%9."/>
      <w:lvlJc w:val="left"/>
      <w:pPr>
        <w:tabs>
          <w:tab w:val="num" w:pos="446"/>
        </w:tabs>
        <w:ind w:left="360" w:firstLine="86"/>
      </w:pPr>
      <w:rPr>
        <w:rFonts w:hint="default"/>
      </w:rPr>
    </w:lvl>
  </w:abstractNum>
  <w:abstractNum w:abstractNumId="51" w15:restartNumberingAfterBreak="0">
    <w:nsid w:val="50E9377F"/>
    <w:multiLevelType w:val="multilevel"/>
    <w:tmpl w:val="CE66BE7A"/>
    <w:styleLink w:val="aaclstStyleListNumber"/>
    <w:lvl w:ilvl="0">
      <w:start w:val="1"/>
      <w:numFmt w:val="decimal"/>
      <w:pStyle w:val="ListNumber"/>
      <w:lvlText w:val="%1."/>
      <w:lvlJc w:val="left"/>
      <w:pPr>
        <w:ind w:left="420" w:hanging="420"/>
      </w:pPr>
      <w:rPr>
        <w:rFonts w:ascii="Arial" w:hAnsi="Arial" w:cs="Arial" w:hint="default"/>
        <w:color w:val="000000"/>
      </w:rPr>
    </w:lvl>
    <w:lvl w:ilvl="1">
      <w:start w:val="1"/>
      <w:numFmt w:val="lowerLetter"/>
      <w:pStyle w:val="ListNumber2"/>
      <w:lvlText w:val="%2)"/>
      <w:lvlJc w:val="left"/>
      <w:pPr>
        <w:ind w:left="780" w:hanging="360"/>
      </w:pPr>
      <w:rPr>
        <w:rFonts w:ascii="Arial Narrow" w:hAnsi="Arial Narrow" w:hint="default"/>
      </w:rPr>
    </w:lvl>
    <w:lvl w:ilvl="2">
      <w:start w:val="1"/>
      <w:numFmt w:val="lowerRoman"/>
      <w:pStyle w:val="ListNumber3"/>
      <w:lvlText w:val="%3)"/>
      <w:lvlJc w:val="left"/>
      <w:pPr>
        <w:ind w:left="1140" w:hanging="360"/>
      </w:pPr>
      <w:rPr>
        <w:rFonts w:ascii="Arial Narrow" w:hAnsi="Arial Narrow" w:hint="default"/>
      </w:rPr>
    </w:lvl>
    <w:lvl w:ilvl="3">
      <w:start w:val="1"/>
      <w:numFmt w:val="none"/>
      <w:lvlText w:val=""/>
      <w:lvlJc w:val="left"/>
      <w:pPr>
        <w:ind w:left="1428" w:hanging="357"/>
      </w:pPr>
      <w:rPr>
        <w:rFonts w:hint="default"/>
      </w:rPr>
    </w:lvl>
    <w:lvl w:ilvl="4">
      <w:start w:val="1"/>
      <w:numFmt w:val="none"/>
      <w:lvlText w:val=""/>
      <w:lvlJc w:val="left"/>
      <w:pPr>
        <w:ind w:left="1785" w:hanging="357"/>
      </w:pPr>
      <w:rPr>
        <w:rFonts w:hint="default"/>
      </w:rPr>
    </w:lvl>
    <w:lvl w:ilvl="5">
      <w:start w:val="1"/>
      <w:numFmt w:val="none"/>
      <w:lvlText w:val=""/>
      <w:lvlJc w:val="left"/>
      <w:pPr>
        <w:ind w:left="2142" w:hanging="357"/>
      </w:pPr>
      <w:rPr>
        <w:rFonts w:hint="default"/>
      </w:rPr>
    </w:lvl>
    <w:lvl w:ilvl="6">
      <w:start w:val="1"/>
      <w:numFmt w:val="none"/>
      <w:lvlText w:val=""/>
      <w:lvlJc w:val="left"/>
      <w:pPr>
        <w:ind w:left="2499" w:hanging="357"/>
      </w:pPr>
      <w:rPr>
        <w:rFonts w:hint="default"/>
      </w:rPr>
    </w:lvl>
    <w:lvl w:ilvl="7">
      <w:start w:val="1"/>
      <w:numFmt w:val="none"/>
      <w:lvlText w:val=""/>
      <w:lvlJc w:val="left"/>
      <w:pPr>
        <w:ind w:left="2856" w:hanging="357"/>
      </w:pPr>
      <w:rPr>
        <w:rFonts w:hint="default"/>
      </w:rPr>
    </w:lvl>
    <w:lvl w:ilvl="8">
      <w:start w:val="1"/>
      <w:numFmt w:val="none"/>
      <w:lvlText w:val=""/>
      <w:lvlJc w:val="left"/>
      <w:pPr>
        <w:ind w:left="3213" w:hanging="357"/>
      </w:pPr>
      <w:rPr>
        <w:rFonts w:hint="default"/>
      </w:rPr>
    </w:lvl>
  </w:abstractNum>
  <w:abstractNum w:abstractNumId="52" w15:restartNumberingAfterBreak="0">
    <w:nsid w:val="532D23B6"/>
    <w:multiLevelType w:val="multilevel"/>
    <w:tmpl w:val="165C0818"/>
    <w:styleLink w:val="lstStyleHeadingNumbered"/>
    <w:lvl w:ilvl="0">
      <w:start w:val="1"/>
      <w:numFmt w:val="decimal"/>
      <w:lvlText w:val="%1"/>
      <w:lvlJc w:val="right"/>
      <w:pPr>
        <w:ind w:left="248" w:hanging="384"/>
      </w:pPr>
      <w:rPr>
        <w:rFonts w:ascii="Arial" w:eastAsia="Yu Gothic Medium" w:hAnsi="Arial" w:cs="Arial" w:hint="eastAsia"/>
        <w:color w:val="000000"/>
      </w:rPr>
    </w:lvl>
    <w:lvl w:ilvl="1">
      <w:start w:val="1"/>
      <w:numFmt w:val="decimal"/>
      <w:lvlText w:val="%1.%2"/>
      <w:lvlJc w:val="right"/>
      <w:pPr>
        <w:ind w:left="0" w:hanging="136"/>
      </w:pPr>
      <w:rPr>
        <w:rFonts w:hint="default"/>
      </w:rPr>
    </w:lvl>
    <w:lvl w:ilvl="2">
      <w:start w:val="1"/>
      <w:numFmt w:val="decimal"/>
      <w:lvlText w:val="%1.%2.%3"/>
      <w:lvlJc w:val="left"/>
      <w:pPr>
        <w:ind w:left="320" w:hanging="320"/>
      </w:pPr>
      <w:rPr>
        <w:rFonts w:hint="default"/>
      </w:rPr>
    </w:lvl>
    <w:lvl w:ilvl="3">
      <w:start w:val="1"/>
      <w:numFmt w:val="none"/>
      <w:lvlRestart w:val="0"/>
      <w:lvlText w:val=""/>
      <w:lvlJc w:val="left"/>
      <w:pPr>
        <w:ind w:left="0" w:firstLine="0"/>
      </w:pPr>
      <w:rPr>
        <w:rFonts w:hint="default"/>
      </w:rPr>
    </w:lvl>
    <w:lvl w:ilvl="4">
      <w:start w:val="1"/>
      <w:numFmt w:val="none"/>
      <w:lvlRestart w:val="0"/>
      <w:lvlText w:val=""/>
      <w:lvlJc w:val="left"/>
      <w:pPr>
        <w:ind w:left="0" w:firstLine="0"/>
      </w:pPr>
      <w:rPr>
        <w:rFonts w:hint="default"/>
      </w:rPr>
    </w:lvl>
    <w:lvl w:ilvl="5">
      <w:start w:val="1"/>
      <w:numFmt w:val="none"/>
      <w:lvlRestart w:val="0"/>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53" w15:restartNumberingAfterBreak="0">
    <w:nsid w:val="535E057B"/>
    <w:multiLevelType w:val="multilevel"/>
    <w:tmpl w:val="165C0818"/>
    <w:styleLink w:val="aaclstStyleHeadingNumbered"/>
    <w:lvl w:ilvl="0">
      <w:start w:val="1"/>
      <w:numFmt w:val="decimal"/>
      <w:pStyle w:val="Heading1"/>
      <w:lvlText w:val="%1"/>
      <w:lvlJc w:val="right"/>
      <w:pPr>
        <w:ind w:left="248" w:hanging="384"/>
      </w:pPr>
      <w:rPr>
        <w:rFonts w:ascii="Arial" w:eastAsia="Yu Gothic Medium" w:hAnsi="Arial" w:cs="Arial" w:hint="eastAsia"/>
        <w:color w:val="000000"/>
      </w:rPr>
    </w:lvl>
    <w:lvl w:ilvl="1">
      <w:start w:val="1"/>
      <w:numFmt w:val="decimal"/>
      <w:pStyle w:val="Heading2"/>
      <w:lvlText w:val="%1.%2"/>
      <w:lvlJc w:val="right"/>
      <w:pPr>
        <w:ind w:left="0" w:hanging="136"/>
      </w:pPr>
      <w:rPr>
        <w:rFonts w:hint="default"/>
      </w:rPr>
    </w:lvl>
    <w:lvl w:ilvl="2">
      <w:start w:val="1"/>
      <w:numFmt w:val="decimal"/>
      <w:pStyle w:val="Heading3"/>
      <w:lvlText w:val="%1.%2.%3"/>
      <w:lvlJc w:val="left"/>
      <w:pPr>
        <w:ind w:left="1171" w:hanging="320"/>
      </w:pPr>
      <w:rPr>
        <w:rFonts w:hint="default"/>
      </w:rPr>
    </w:lvl>
    <w:lvl w:ilvl="3">
      <w:start w:val="1"/>
      <w:numFmt w:val="none"/>
      <w:lvlRestart w:val="0"/>
      <w:pStyle w:val="Heading4"/>
      <w:lvlText w:val=""/>
      <w:lvlJc w:val="left"/>
      <w:pPr>
        <w:ind w:left="0" w:firstLine="0"/>
      </w:pPr>
      <w:rPr>
        <w:rFonts w:hint="default"/>
      </w:rPr>
    </w:lvl>
    <w:lvl w:ilvl="4">
      <w:start w:val="1"/>
      <w:numFmt w:val="none"/>
      <w:lvlRestart w:val="0"/>
      <w:pStyle w:val="Heading5"/>
      <w:lvlText w:val=""/>
      <w:lvlJc w:val="left"/>
      <w:pPr>
        <w:ind w:left="0" w:firstLine="0"/>
      </w:pPr>
      <w:rPr>
        <w:rFonts w:hint="default"/>
      </w:rPr>
    </w:lvl>
    <w:lvl w:ilvl="5">
      <w:start w:val="1"/>
      <w:numFmt w:val="none"/>
      <w:lvlRestart w:val="0"/>
      <w:pStyle w:val="Heading6"/>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54" w15:restartNumberingAfterBreak="0">
    <w:nsid w:val="58615B56"/>
    <w:multiLevelType w:val="multilevel"/>
    <w:tmpl w:val="9D541EDA"/>
    <w:numStyleLink w:val="aaclstStyleAppendices"/>
  </w:abstractNum>
  <w:abstractNum w:abstractNumId="55" w15:restartNumberingAfterBreak="0">
    <w:nsid w:val="5BD373FB"/>
    <w:multiLevelType w:val="multilevel"/>
    <w:tmpl w:val="6BB47A38"/>
    <w:styleLink w:val="MELegal"/>
    <w:lvl w:ilvl="0">
      <w:start w:val="1"/>
      <w:numFmt w:val="decimal"/>
      <w:pStyle w:val="MELegal1"/>
      <w:lvlText w:val="%1."/>
      <w:lvlJc w:val="left"/>
      <w:pPr>
        <w:ind w:left="680" w:hanging="680"/>
      </w:pPr>
      <w:rPr>
        <w:rFonts w:ascii="Arial" w:hAnsi="Arial" w:cs="Arial" w:hint="default"/>
        <w:color w:val="000000"/>
      </w:rPr>
    </w:lvl>
    <w:lvl w:ilvl="1">
      <w:start w:val="1"/>
      <w:numFmt w:val="decimal"/>
      <w:pStyle w:val="MELegal2"/>
      <w:lvlText w:val="%1.%2"/>
      <w:lvlJc w:val="left"/>
      <w:pPr>
        <w:ind w:left="680" w:hanging="680"/>
      </w:pPr>
      <w:rPr>
        <w:rFonts w:hint="default"/>
      </w:rPr>
    </w:lvl>
    <w:lvl w:ilvl="2">
      <w:start w:val="1"/>
      <w:numFmt w:val="lowerLetter"/>
      <w:pStyle w:val="MELegal3"/>
      <w:lvlText w:val="(%3)"/>
      <w:lvlJc w:val="left"/>
      <w:pPr>
        <w:ind w:left="1361" w:hanging="681"/>
      </w:pPr>
      <w:rPr>
        <w:rFonts w:hint="default"/>
      </w:rPr>
    </w:lvl>
    <w:lvl w:ilvl="3">
      <w:start w:val="1"/>
      <w:numFmt w:val="lowerRoman"/>
      <w:pStyle w:val="MELegal4"/>
      <w:lvlText w:val="(%4)"/>
      <w:lvlJc w:val="left"/>
      <w:pPr>
        <w:ind w:left="2041" w:hanging="680"/>
      </w:pPr>
      <w:rPr>
        <w:rFonts w:hint="default"/>
      </w:rPr>
    </w:lvl>
    <w:lvl w:ilvl="4">
      <w:start w:val="1"/>
      <w:numFmt w:val="upperLetter"/>
      <w:pStyle w:val="MELegal5"/>
      <w:lvlText w:val="(%5)"/>
      <w:lvlJc w:val="left"/>
      <w:pPr>
        <w:tabs>
          <w:tab w:val="num" w:pos="2041"/>
        </w:tabs>
        <w:ind w:left="2722" w:hanging="681"/>
      </w:pPr>
      <w:rPr>
        <w:rFonts w:hint="default"/>
      </w:rPr>
    </w:lvl>
    <w:lvl w:ilvl="5">
      <w:start w:val="1"/>
      <w:numFmt w:val="upperRoman"/>
      <w:pStyle w:val="MELegal6"/>
      <w:lvlText w:val="(%6)"/>
      <w:lvlJc w:val="left"/>
      <w:pPr>
        <w:tabs>
          <w:tab w:val="num" w:pos="2722"/>
        </w:tabs>
        <w:ind w:left="3402" w:hanging="68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56" w15:restartNumberingAfterBreak="0">
    <w:nsid w:val="617B756D"/>
    <w:multiLevelType w:val="multilevel"/>
    <w:tmpl w:val="3DD0AEC8"/>
    <w:numStyleLink w:val="aaclstStyleHeadingsES"/>
  </w:abstractNum>
  <w:abstractNum w:abstractNumId="57" w15:restartNumberingAfterBreak="0">
    <w:nsid w:val="642F1928"/>
    <w:multiLevelType w:val="hybridMultilevel"/>
    <w:tmpl w:val="B5F86B04"/>
    <w:lvl w:ilvl="0" w:tplc="0DDCFD34">
      <w:start w:val="1"/>
      <w:numFmt w:val="bullet"/>
      <w:pStyle w:val="QuoteListBullet"/>
      <w:lvlText w:val="–"/>
      <w:lvlJc w:val="left"/>
      <w:pPr>
        <w:ind w:left="360" w:hanging="360"/>
      </w:pPr>
      <w:rPr>
        <w:rFonts w:ascii="Arial Narrow" w:hAnsi="Arial Narrow" w:hint="default"/>
        <w:sz w:val="18"/>
      </w:rPr>
    </w:lvl>
    <w:lvl w:ilvl="1" w:tplc="04090003" w:tentative="1">
      <w:start w:val="1"/>
      <w:numFmt w:val="bullet"/>
      <w:lvlText w:val="o"/>
      <w:lvlJc w:val="left"/>
      <w:pPr>
        <w:ind w:left="1840" w:hanging="360"/>
      </w:pPr>
      <w:rPr>
        <w:rFonts w:ascii="Courier New" w:hAnsi="Courier New" w:cs="Courier New" w:hint="default"/>
      </w:rPr>
    </w:lvl>
    <w:lvl w:ilvl="2" w:tplc="04090005" w:tentative="1">
      <w:start w:val="1"/>
      <w:numFmt w:val="bullet"/>
      <w:lvlText w:val=""/>
      <w:lvlJc w:val="left"/>
      <w:pPr>
        <w:ind w:left="2560" w:hanging="360"/>
      </w:pPr>
      <w:rPr>
        <w:rFonts w:ascii="Wingdings" w:hAnsi="Wingdings" w:hint="default"/>
      </w:rPr>
    </w:lvl>
    <w:lvl w:ilvl="3" w:tplc="04090001" w:tentative="1">
      <w:start w:val="1"/>
      <w:numFmt w:val="bullet"/>
      <w:lvlText w:val=""/>
      <w:lvlJc w:val="left"/>
      <w:pPr>
        <w:ind w:left="3280" w:hanging="360"/>
      </w:pPr>
      <w:rPr>
        <w:rFonts w:ascii="Symbol" w:hAnsi="Symbol" w:hint="default"/>
      </w:rPr>
    </w:lvl>
    <w:lvl w:ilvl="4" w:tplc="04090003" w:tentative="1">
      <w:start w:val="1"/>
      <w:numFmt w:val="bullet"/>
      <w:lvlText w:val="o"/>
      <w:lvlJc w:val="left"/>
      <w:pPr>
        <w:ind w:left="4000" w:hanging="360"/>
      </w:pPr>
      <w:rPr>
        <w:rFonts w:ascii="Courier New" w:hAnsi="Courier New" w:cs="Courier New" w:hint="default"/>
      </w:rPr>
    </w:lvl>
    <w:lvl w:ilvl="5" w:tplc="04090005" w:tentative="1">
      <w:start w:val="1"/>
      <w:numFmt w:val="bullet"/>
      <w:lvlText w:val=""/>
      <w:lvlJc w:val="left"/>
      <w:pPr>
        <w:ind w:left="4720" w:hanging="360"/>
      </w:pPr>
      <w:rPr>
        <w:rFonts w:ascii="Wingdings" w:hAnsi="Wingdings" w:hint="default"/>
      </w:rPr>
    </w:lvl>
    <w:lvl w:ilvl="6" w:tplc="04090001" w:tentative="1">
      <w:start w:val="1"/>
      <w:numFmt w:val="bullet"/>
      <w:lvlText w:val=""/>
      <w:lvlJc w:val="left"/>
      <w:pPr>
        <w:ind w:left="5440" w:hanging="360"/>
      </w:pPr>
      <w:rPr>
        <w:rFonts w:ascii="Symbol" w:hAnsi="Symbol" w:hint="default"/>
      </w:rPr>
    </w:lvl>
    <w:lvl w:ilvl="7" w:tplc="04090003" w:tentative="1">
      <w:start w:val="1"/>
      <w:numFmt w:val="bullet"/>
      <w:lvlText w:val="o"/>
      <w:lvlJc w:val="left"/>
      <w:pPr>
        <w:ind w:left="6160" w:hanging="360"/>
      </w:pPr>
      <w:rPr>
        <w:rFonts w:ascii="Courier New" w:hAnsi="Courier New" w:cs="Courier New" w:hint="default"/>
      </w:rPr>
    </w:lvl>
    <w:lvl w:ilvl="8" w:tplc="04090005" w:tentative="1">
      <w:start w:val="1"/>
      <w:numFmt w:val="bullet"/>
      <w:lvlText w:val=""/>
      <w:lvlJc w:val="left"/>
      <w:pPr>
        <w:ind w:left="6880" w:hanging="360"/>
      </w:pPr>
      <w:rPr>
        <w:rFonts w:ascii="Wingdings" w:hAnsi="Wingdings" w:hint="default"/>
      </w:rPr>
    </w:lvl>
  </w:abstractNum>
  <w:abstractNum w:abstractNumId="58" w15:restartNumberingAfterBreak="0">
    <w:nsid w:val="658A338A"/>
    <w:multiLevelType w:val="hybridMultilevel"/>
    <w:tmpl w:val="C0B68DAA"/>
    <w:lvl w:ilvl="0" w:tplc="767857A4">
      <w:numFmt w:val="bullet"/>
      <w:lvlText w:val="—"/>
      <w:lvlJc w:val="left"/>
      <w:pPr>
        <w:ind w:left="360" w:hanging="360"/>
      </w:pPr>
      <w:rPr>
        <w:rFonts w:ascii="Calibri" w:eastAsiaTheme="minorHAnsi" w:hAnsi="Calibri" w:cs="Calibri" w:hint="default"/>
      </w:r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59" w15:restartNumberingAfterBreak="0">
    <w:nsid w:val="66F0539B"/>
    <w:multiLevelType w:val="multilevel"/>
    <w:tmpl w:val="4D96EFB6"/>
    <w:styleLink w:val="aaTableListBulletssmall"/>
    <w:lvl w:ilvl="0">
      <w:start w:val="1"/>
      <w:numFmt w:val="bullet"/>
      <w:lvlText w:val="–"/>
      <w:lvlJc w:val="left"/>
      <w:pPr>
        <w:ind w:left="278" w:hanging="278"/>
      </w:pPr>
      <w:rPr>
        <w:rFonts w:ascii="Arial" w:hAnsi="Arial" w:cs="Arial" w:hint="default"/>
        <w:color w:val="000000"/>
      </w:rPr>
    </w:lvl>
    <w:lvl w:ilvl="1">
      <w:start w:val="1"/>
      <w:numFmt w:val="bullet"/>
      <w:lvlText w:val="–"/>
      <w:lvlJc w:val="left"/>
      <w:pPr>
        <w:tabs>
          <w:tab w:val="num" w:pos="278"/>
        </w:tabs>
        <w:ind w:left="522" w:hanging="244"/>
      </w:pPr>
      <w:rPr>
        <w:rFonts w:ascii="Arial Narrow" w:hAnsi="Arial Narrow" w:hint="default"/>
      </w:rPr>
    </w:lvl>
    <w:lvl w:ilvl="2">
      <w:start w:val="1"/>
      <w:numFmt w:val="bullet"/>
      <w:lvlText w:val="–"/>
      <w:lvlJc w:val="left"/>
      <w:pPr>
        <w:ind w:left="760" w:hanging="238"/>
      </w:pPr>
      <w:rPr>
        <w:rFonts w:ascii="Arial Narrow" w:hAnsi="Arial Narrow" w:hint="default"/>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60" w15:restartNumberingAfterBreak="0">
    <w:nsid w:val="699F57EA"/>
    <w:multiLevelType w:val="multilevel"/>
    <w:tmpl w:val="CE66BE7A"/>
    <w:numStyleLink w:val="aaclstStyleListNumber"/>
  </w:abstractNum>
  <w:abstractNum w:abstractNumId="61" w15:restartNumberingAfterBreak="0">
    <w:nsid w:val="75047AA4"/>
    <w:multiLevelType w:val="multilevel"/>
    <w:tmpl w:val="04090023"/>
    <w:styleLink w:val="ArticleSection"/>
    <w:lvl w:ilvl="0">
      <w:start w:val="1"/>
      <w:numFmt w:val="upperRoman"/>
      <w:lvlText w:val="Article %1."/>
      <w:lvlJc w:val="left"/>
      <w:pPr>
        <w:ind w:left="0" w:firstLine="0"/>
      </w:pPr>
      <w:rPr>
        <w:rFonts w:ascii="Arial" w:hAnsi="Arial" w:cs="Arial"/>
        <w:color w:val="000000"/>
      </w:r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62" w15:restartNumberingAfterBreak="0">
    <w:nsid w:val="7AAC7BD3"/>
    <w:multiLevelType w:val="hybridMultilevel"/>
    <w:tmpl w:val="2ED636C4"/>
    <w:lvl w:ilvl="0" w:tplc="767857A4">
      <w:numFmt w:val="bullet"/>
      <w:lvlText w:val="—"/>
      <w:lvlJc w:val="left"/>
      <w:pPr>
        <w:ind w:left="360" w:hanging="360"/>
      </w:pPr>
      <w:rPr>
        <w:rFonts w:ascii="Calibri" w:eastAsiaTheme="minorHAnsi" w:hAnsi="Calibri" w:cs="Calibri"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3" w15:restartNumberingAfterBreak="0">
    <w:nsid w:val="7AF83F35"/>
    <w:multiLevelType w:val="hybridMultilevel"/>
    <w:tmpl w:val="266ED1B2"/>
    <w:lvl w:ilvl="0" w:tplc="3ADC6B90">
      <w:start w:val="1"/>
      <w:numFmt w:val="bullet"/>
      <w:pStyle w:val="TableQuoteBulletsmall"/>
      <w:lvlText w:val="–"/>
      <w:lvlJc w:val="left"/>
      <w:pPr>
        <w:ind w:left="720" w:hanging="360"/>
      </w:pPr>
      <w:rPr>
        <w:rFonts w:ascii="Arial Narrow" w:hAnsi="Arial Narrow"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7F291278"/>
    <w:multiLevelType w:val="multilevel"/>
    <w:tmpl w:val="2A9ADEF8"/>
    <w:styleLink w:val="aaReportListNumber"/>
    <w:lvl w:ilvl="0">
      <w:start w:val="1"/>
      <w:numFmt w:val="decimal"/>
      <w:lvlText w:val="%1."/>
      <w:lvlJc w:val="center"/>
      <w:pPr>
        <w:tabs>
          <w:tab w:val="num" w:pos="926"/>
        </w:tabs>
        <w:ind w:left="0" w:hanging="420"/>
      </w:pPr>
      <w:rPr>
        <w:rFonts w:ascii="Arial" w:hAnsi="Arial" w:cs="Arial" w:hint="default"/>
        <w:color w:val="000000"/>
      </w:rPr>
    </w:lvl>
    <w:lvl w:ilvl="1">
      <w:start w:val="1"/>
      <w:numFmt w:val="lowerLetter"/>
      <w:lvlText w:val="%2)"/>
      <w:lvlJc w:val="left"/>
      <w:pPr>
        <w:ind w:left="340" w:hanging="340"/>
      </w:pPr>
      <w:rPr>
        <w:rFonts w:hint="default"/>
      </w:rPr>
    </w:lvl>
    <w:lvl w:ilvl="2">
      <w:start w:val="1"/>
      <w:numFmt w:val="lowerRoman"/>
      <w:lvlText w:val="%3)"/>
      <w:lvlJc w:val="left"/>
      <w:pPr>
        <w:ind w:left="680" w:hanging="34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num w:numId="1" w16cid:durableId="438985975">
    <w:abstractNumId w:val="3"/>
  </w:num>
  <w:num w:numId="2" w16cid:durableId="1873226444">
    <w:abstractNumId w:val="2"/>
  </w:num>
  <w:num w:numId="3" w16cid:durableId="110125596">
    <w:abstractNumId w:val="1"/>
  </w:num>
  <w:num w:numId="4" w16cid:durableId="839002996">
    <w:abstractNumId w:val="0"/>
  </w:num>
  <w:num w:numId="5" w16cid:durableId="309404462">
    <w:abstractNumId w:val="49"/>
  </w:num>
  <w:num w:numId="6" w16cid:durableId="36709590">
    <w:abstractNumId w:val="51"/>
  </w:num>
  <w:num w:numId="7" w16cid:durableId="660087202">
    <w:abstractNumId w:val="53"/>
  </w:num>
  <w:num w:numId="8" w16cid:durableId="828904248">
    <w:abstractNumId w:val="60"/>
  </w:num>
  <w:num w:numId="9" w16cid:durableId="1519273333">
    <w:abstractNumId w:val="48"/>
  </w:num>
  <w:num w:numId="10" w16cid:durableId="2073233493">
    <w:abstractNumId w:val="32"/>
  </w:num>
  <w:num w:numId="11" w16cid:durableId="81267675">
    <w:abstractNumId w:val="8"/>
  </w:num>
  <w:num w:numId="12" w16cid:durableId="50471394">
    <w:abstractNumId w:val="33"/>
  </w:num>
  <w:num w:numId="13" w16cid:durableId="1102528919">
    <w:abstractNumId w:val="31"/>
  </w:num>
  <w:num w:numId="14" w16cid:durableId="1359428680">
    <w:abstractNumId w:val="52"/>
  </w:num>
  <w:num w:numId="15" w16cid:durableId="1294947698">
    <w:abstractNumId w:val="37"/>
  </w:num>
  <w:num w:numId="16" w16cid:durableId="1312828129">
    <w:abstractNumId w:val="15"/>
  </w:num>
  <w:num w:numId="17" w16cid:durableId="383145371">
    <w:abstractNumId w:val="46"/>
  </w:num>
  <w:num w:numId="18" w16cid:durableId="1967926990">
    <w:abstractNumId w:val="43"/>
  </w:num>
  <w:num w:numId="19" w16cid:durableId="484709149">
    <w:abstractNumId w:val="16"/>
  </w:num>
  <w:num w:numId="20" w16cid:durableId="1979023165">
    <w:abstractNumId w:val="30"/>
  </w:num>
  <w:num w:numId="21" w16cid:durableId="724379753">
    <w:abstractNumId w:val="17"/>
  </w:num>
  <w:num w:numId="22" w16cid:durableId="1580675225">
    <w:abstractNumId w:val="29"/>
  </w:num>
  <w:num w:numId="23" w16cid:durableId="1004747875">
    <w:abstractNumId w:val="40"/>
  </w:num>
  <w:num w:numId="24" w16cid:durableId="433400741">
    <w:abstractNumId w:val="30"/>
  </w:num>
  <w:num w:numId="25" w16cid:durableId="1440490883">
    <w:abstractNumId w:val="17"/>
  </w:num>
  <w:num w:numId="26" w16cid:durableId="636301938">
    <w:abstractNumId w:val="25"/>
  </w:num>
  <w:num w:numId="27" w16cid:durableId="913394817">
    <w:abstractNumId w:val="36"/>
  </w:num>
  <w:num w:numId="28" w16cid:durableId="1916011926">
    <w:abstractNumId w:val="47"/>
  </w:num>
  <w:num w:numId="29" w16cid:durableId="1772553218">
    <w:abstractNumId w:val="9"/>
  </w:num>
  <w:num w:numId="30" w16cid:durableId="1327781696">
    <w:abstractNumId w:val="22"/>
  </w:num>
  <w:num w:numId="31" w16cid:durableId="1280837375">
    <w:abstractNumId w:val="26"/>
  </w:num>
  <w:num w:numId="32" w16cid:durableId="368529369">
    <w:abstractNumId w:val="20"/>
  </w:num>
  <w:num w:numId="33" w16cid:durableId="1065295844">
    <w:abstractNumId w:val="56"/>
  </w:num>
  <w:num w:numId="34" w16cid:durableId="1312363547">
    <w:abstractNumId w:val="54"/>
  </w:num>
  <w:num w:numId="35" w16cid:durableId="79374244">
    <w:abstractNumId w:val="57"/>
  </w:num>
  <w:num w:numId="36" w16cid:durableId="406457528">
    <w:abstractNumId w:val="23"/>
  </w:num>
  <w:num w:numId="37" w16cid:durableId="771046545">
    <w:abstractNumId w:val="63"/>
  </w:num>
  <w:num w:numId="38" w16cid:durableId="647439153">
    <w:abstractNumId w:val="39"/>
  </w:num>
  <w:num w:numId="39" w16cid:durableId="79914291">
    <w:abstractNumId w:val="13"/>
  </w:num>
  <w:num w:numId="40" w16cid:durableId="511187603">
    <w:abstractNumId w:val="55"/>
  </w:num>
  <w:num w:numId="41" w16cid:durableId="840777041">
    <w:abstractNumId w:val="14"/>
  </w:num>
  <w:num w:numId="42" w16cid:durableId="201749405">
    <w:abstractNumId w:val="19"/>
  </w:num>
  <w:num w:numId="43" w16cid:durableId="543060173">
    <w:abstractNumId w:val="48"/>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21514243">
    <w:abstractNumId w:val="29"/>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745686012">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149448666">
    <w:abstractNumId w:val="48"/>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308946316">
    <w:abstractNumId w:val="19"/>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1815682370">
    <w:abstractNumId w:val="35"/>
  </w:num>
  <w:num w:numId="49" w16cid:durableId="650448886">
    <w:abstractNumId w:val="11"/>
  </w:num>
  <w:num w:numId="50" w16cid:durableId="317196933">
    <w:abstractNumId w:val="50"/>
  </w:num>
  <w:num w:numId="51" w16cid:durableId="245502952">
    <w:abstractNumId w:val="34"/>
    <w:lvlOverride w:ilvl="0">
      <w:lvl w:ilvl="0">
        <w:start w:val="1"/>
        <w:numFmt w:val="upperLetter"/>
        <w:pStyle w:val="App-Heading1"/>
        <w:suff w:val="nothing"/>
        <w:lvlText w:val="%1"/>
        <w:lvlJc w:val="left"/>
        <w:pPr>
          <w:ind w:left="1080" w:hanging="1080"/>
        </w:pPr>
        <w:rPr>
          <w:rFonts w:hint="default"/>
        </w:rPr>
      </w:lvl>
    </w:lvlOverride>
  </w:num>
  <w:num w:numId="52" w16cid:durableId="1669093296">
    <w:abstractNumId w:val="38"/>
  </w:num>
  <w:num w:numId="53" w16cid:durableId="1192838810">
    <w:abstractNumId w:val="28"/>
  </w:num>
  <w:num w:numId="54" w16cid:durableId="1222597517">
    <w:abstractNumId w:val="24"/>
  </w:num>
  <w:num w:numId="55" w16cid:durableId="2026662535">
    <w:abstractNumId w:val="18"/>
  </w:num>
  <w:num w:numId="56" w16cid:durableId="2077821114">
    <w:abstractNumId w:val="27"/>
  </w:num>
  <w:num w:numId="57" w16cid:durableId="1960409293">
    <w:abstractNumId w:val="64"/>
  </w:num>
  <w:num w:numId="58" w16cid:durableId="774791950">
    <w:abstractNumId w:val="21"/>
  </w:num>
  <w:num w:numId="59" w16cid:durableId="1812021667">
    <w:abstractNumId w:val="42"/>
  </w:num>
  <w:num w:numId="60" w16cid:durableId="1455447364">
    <w:abstractNumId w:val="10"/>
  </w:num>
  <w:num w:numId="61" w16cid:durableId="1084227648">
    <w:abstractNumId w:val="61"/>
  </w:num>
  <w:num w:numId="62" w16cid:durableId="857736864">
    <w:abstractNumId w:val="59"/>
  </w:num>
  <w:num w:numId="63" w16cid:durableId="1162622630">
    <w:abstractNumId w:val="45"/>
  </w:num>
  <w:num w:numId="64" w16cid:durableId="1161114761">
    <w:abstractNumId w:val="6"/>
  </w:num>
  <w:num w:numId="65" w16cid:durableId="1434593716">
    <w:abstractNumId w:val="41"/>
  </w:num>
  <w:num w:numId="66" w16cid:durableId="422647954">
    <w:abstractNumId w:val="5"/>
  </w:num>
  <w:num w:numId="67" w16cid:durableId="1015959328">
    <w:abstractNumId w:val="4"/>
  </w:num>
  <w:num w:numId="68" w16cid:durableId="1066222740">
    <w:abstractNumId w:val="58"/>
  </w:num>
  <w:num w:numId="69" w16cid:durableId="1074814074">
    <w:abstractNumId w:val="62"/>
  </w:num>
  <w:num w:numId="70" w16cid:durableId="16931479">
    <w:abstractNumId w:val="44"/>
  </w:num>
  <w:num w:numId="71" w16cid:durableId="247270522">
    <w:abstractNumId w:val="12"/>
  </w:num>
  <w:num w:numId="72" w16cid:durableId="1597128586">
    <w:abstractNumId w:val="7"/>
  </w:num>
  <w:numIdMacAtCleanup w:val="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doNotDisplayPageBoundaries/>
  <w:displayBackgroundShape/>
  <w:attachedTemplate r:id="rId1"/>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styleLockTheme/>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2260A"/>
    <w:rsid w:val="00007B50"/>
    <w:rsid w:val="00011422"/>
    <w:rsid w:val="00014BAA"/>
    <w:rsid w:val="00016F44"/>
    <w:rsid w:val="00025BA7"/>
    <w:rsid w:val="00026FF3"/>
    <w:rsid w:val="0002750A"/>
    <w:rsid w:val="000416AD"/>
    <w:rsid w:val="00054253"/>
    <w:rsid w:val="00057123"/>
    <w:rsid w:val="000675C0"/>
    <w:rsid w:val="000860F5"/>
    <w:rsid w:val="00086941"/>
    <w:rsid w:val="00087912"/>
    <w:rsid w:val="00092765"/>
    <w:rsid w:val="000A2D8B"/>
    <w:rsid w:val="000A418F"/>
    <w:rsid w:val="000B0AC7"/>
    <w:rsid w:val="000B1D10"/>
    <w:rsid w:val="000B260E"/>
    <w:rsid w:val="000B28FA"/>
    <w:rsid w:val="000B78D6"/>
    <w:rsid w:val="000C01F5"/>
    <w:rsid w:val="000C54ED"/>
    <w:rsid w:val="000D438D"/>
    <w:rsid w:val="000D72DC"/>
    <w:rsid w:val="000D7C57"/>
    <w:rsid w:val="000F76C4"/>
    <w:rsid w:val="00102134"/>
    <w:rsid w:val="0010530F"/>
    <w:rsid w:val="001053EB"/>
    <w:rsid w:val="00113196"/>
    <w:rsid w:val="001204F8"/>
    <w:rsid w:val="00123050"/>
    <w:rsid w:val="00131173"/>
    <w:rsid w:val="00134A32"/>
    <w:rsid w:val="00135CAD"/>
    <w:rsid w:val="001469A3"/>
    <w:rsid w:val="001602ED"/>
    <w:rsid w:val="0016324A"/>
    <w:rsid w:val="00163772"/>
    <w:rsid w:val="00163CEA"/>
    <w:rsid w:val="0016463E"/>
    <w:rsid w:val="0017129B"/>
    <w:rsid w:val="001722E7"/>
    <w:rsid w:val="00172ACA"/>
    <w:rsid w:val="001736F4"/>
    <w:rsid w:val="0017792C"/>
    <w:rsid w:val="00187B20"/>
    <w:rsid w:val="001925C9"/>
    <w:rsid w:val="00192DFE"/>
    <w:rsid w:val="00192F7B"/>
    <w:rsid w:val="001A44C5"/>
    <w:rsid w:val="001B2A35"/>
    <w:rsid w:val="001C3FD6"/>
    <w:rsid w:val="001D2CFD"/>
    <w:rsid w:val="001D42B2"/>
    <w:rsid w:val="001D76E6"/>
    <w:rsid w:val="001E3128"/>
    <w:rsid w:val="001E36CF"/>
    <w:rsid w:val="001E6182"/>
    <w:rsid w:val="001E6358"/>
    <w:rsid w:val="001E6797"/>
    <w:rsid w:val="001F0C71"/>
    <w:rsid w:val="001F15E7"/>
    <w:rsid w:val="001F542C"/>
    <w:rsid w:val="001F6079"/>
    <w:rsid w:val="001F6F1F"/>
    <w:rsid w:val="0020185D"/>
    <w:rsid w:val="00207ACF"/>
    <w:rsid w:val="00210D8F"/>
    <w:rsid w:val="00211F42"/>
    <w:rsid w:val="00216DC2"/>
    <w:rsid w:val="00221E70"/>
    <w:rsid w:val="00222AF0"/>
    <w:rsid w:val="002256B2"/>
    <w:rsid w:val="002302E7"/>
    <w:rsid w:val="0023326E"/>
    <w:rsid w:val="0024263C"/>
    <w:rsid w:val="002433CE"/>
    <w:rsid w:val="00244C55"/>
    <w:rsid w:val="00245E41"/>
    <w:rsid w:val="0024686A"/>
    <w:rsid w:val="002475B9"/>
    <w:rsid w:val="00264937"/>
    <w:rsid w:val="0026510A"/>
    <w:rsid w:val="00270571"/>
    <w:rsid w:val="0027233F"/>
    <w:rsid w:val="00284D72"/>
    <w:rsid w:val="002923C4"/>
    <w:rsid w:val="002943DA"/>
    <w:rsid w:val="00296BE7"/>
    <w:rsid w:val="002978DC"/>
    <w:rsid w:val="00297B3F"/>
    <w:rsid w:val="002A06E8"/>
    <w:rsid w:val="002A4E57"/>
    <w:rsid w:val="002A6939"/>
    <w:rsid w:val="002B2A62"/>
    <w:rsid w:val="002B32A0"/>
    <w:rsid w:val="002B6E41"/>
    <w:rsid w:val="002C3576"/>
    <w:rsid w:val="002C4022"/>
    <w:rsid w:val="002C482A"/>
    <w:rsid w:val="002C7CE0"/>
    <w:rsid w:val="002D2C75"/>
    <w:rsid w:val="002D4AEE"/>
    <w:rsid w:val="002D7D78"/>
    <w:rsid w:val="002E371A"/>
    <w:rsid w:val="002E7075"/>
    <w:rsid w:val="002F4A93"/>
    <w:rsid w:val="00300F6F"/>
    <w:rsid w:val="00301525"/>
    <w:rsid w:val="00303C43"/>
    <w:rsid w:val="00307555"/>
    <w:rsid w:val="00315CD5"/>
    <w:rsid w:val="00324C59"/>
    <w:rsid w:val="00325D56"/>
    <w:rsid w:val="003260C9"/>
    <w:rsid w:val="00334F51"/>
    <w:rsid w:val="00336AEE"/>
    <w:rsid w:val="00341017"/>
    <w:rsid w:val="00343202"/>
    <w:rsid w:val="00346384"/>
    <w:rsid w:val="00346479"/>
    <w:rsid w:val="003508F0"/>
    <w:rsid w:val="003574F0"/>
    <w:rsid w:val="00360A6B"/>
    <w:rsid w:val="00361875"/>
    <w:rsid w:val="003649DE"/>
    <w:rsid w:val="00370008"/>
    <w:rsid w:val="003703D7"/>
    <w:rsid w:val="00373EAF"/>
    <w:rsid w:val="00387403"/>
    <w:rsid w:val="00393F90"/>
    <w:rsid w:val="00394157"/>
    <w:rsid w:val="0039477C"/>
    <w:rsid w:val="003A2EE4"/>
    <w:rsid w:val="003C17D0"/>
    <w:rsid w:val="003D2CF2"/>
    <w:rsid w:val="003D4E25"/>
    <w:rsid w:val="003E4B1E"/>
    <w:rsid w:val="003E62D0"/>
    <w:rsid w:val="003F70C7"/>
    <w:rsid w:val="004051FB"/>
    <w:rsid w:val="0040609B"/>
    <w:rsid w:val="00420C69"/>
    <w:rsid w:val="00433007"/>
    <w:rsid w:val="004341CB"/>
    <w:rsid w:val="00440EBB"/>
    <w:rsid w:val="00445229"/>
    <w:rsid w:val="00451623"/>
    <w:rsid w:val="0045264F"/>
    <w:rsid w:val="004550C0"/>
    <w:rsid w:val="004552DF"/>
    <w:rsid w:val="00460647"/>
    <w:rsid w:val="004625F2"/>
    <w:rsid w:val="00462B60"/>
    <w:rsid w:val="004653A9"/>
    <w:rsid w:val="00466245"/>
    <w:rsid w:val="004705CB"/>
    <w:rsid w:val="004738E2"/>
    <w:rsid w:val="004767E9"/>
    <w:rsid w:val="004818CD"/>
    <w:rsid w:val="00481C22"/>
    <w:rsid w:val="004834FE"/>
    <w:rsid w:val="0048517A"/>
    <w:rsid w:val="0049145A"/>
    <w:rsid w:val="004924E8"/>
    <w:rsid w:val="0049773B"/>
    <w:rsid w:val="004A5A83"/>
    <w:rsid w:val="004A6478"/>
    <w:rsid w:val="004A6CB3"/>
    <w:rsid w:val="004A7506"/>
    <w:rsid w:val="004A7922"/>
    <w:rsid w:val="004B1BB4"/>
    <w:rsid w:val="004B3B84"/>
    <w:rsid w:val="004B3C03"/>
    <w:rsid w:val="004B495D"/>
    <w:rsid w:val="004C10F0"/>
    <w:rsid w:val="004C4E94"/>
    <w:rsid w:val="004D0CF2"/>
    <w:rsid w:val="004D4756"/>
    <w:rsid w:val="004D6322"/>
    <w:rsid w:val="004E192A"/>
    <w:rsid w:val="004E479D"/>
    <w:rsid w:val="004F35B1"/>
    <w:rsid w:val="004F3CAB"/>
    <w:rsid w:val="004F621C"/>
    <w:rsid w:val="004F68C5"/>
    <w:rsid w:val="00501F07"/>
    <w:rsid w:val="0052330D"/>
    <w:rsid w:val="0052525A"/>
    <w:rsid w:val="00525571"/>
    <w:rsid w:val="005255AB"/>
    <w:rsid w:val="00533E1D"/>
    <w:rsid w:val="00534E40"/>
    <w:rsid w:val="00542BF3"/>
    <w:rsid w:val="00544C25"/>
    <w:rsid w:val="00547AC9"/>
    <w:rsid w:val="005556F2"/>
    <w:rsid w:val="00557F1E"/>
    <w:rsid w:val="00557FA4"/>
    <w:rsid w:val="00565797"/>
    <w:rsid w:val="0057113B"/>
    <w:rsid w:val="005723FF"/>
    <w:rsid w:val="00581F14"/>
    <w:rsid w:val="00582F7A"/>
    <w:rsid w:val="00582FC7"/>
    <w:rsid w:val="005838DA"/>
    <w:rsid w:val="00583B4B"/>
    <w:rsid w:val="00587F3E"/>
    <w:rsid w:val="00590449"/>
    <w:rsid w:val="00590F1C"/>
    <w:rsid w:val="0059608F"/>
    <w:rsid w:val="005961C7"/>
    <w:rsid w:val="005A0654"/>
    <w:rsid w:val="005A2DD8"/>
    <w:rsid w:val="005A335C"/>
    <w:rsid w:val="005A5265"/>
    <w:rsid w:val="005A70C7"/>
    <w:rsid w:val="005B0EEA"/>
    <w:rsid w:val="005B31DC"/>
    <w:rsid w:val="005C152F"/>
    <w:rsid w:val="005D3013"/>
    <w:rsid w:val="005D7123"/>
    <w:rsid w:val="005E3A86"/>
    <w:rsid w:val="005F1E5D"/>
    <w:rsid w:val="005F352F"/>
    <w:rsid w:val="005F5F8D"/>
    <w:rsid w:val="005F644B"/>
    <w:rsid w:val="00606AB8"/>
    <w:rsid w:val="0061107A"/>
    <w:rsid w:val="00611F94"/>
    <w:rsid w:val="006122A0"/>
    <w:rsid w:val="006129C9"/>
    <w:rsid w:val="00620885"/>
    <w:rsid w:val="00624EEC"/>
    <w:rsid w:val="00632809"/>
    <w:rsid w:val="0063335E"/>
    <w:rsid w:val="00634094"/>
    <w:rsid w:val="00635E40"/>
    <w:rsid w:val="00640C76"/>
    <w:rsid w:val="00650FE7"/>
    <w:rsid w:val="00654E02"/>
    <w:rsid w:val="0065744E"/>
    <w:rsid w:val="00660CD3"/>
    <w:rsid w:val="0066179C"/>
    <w:rsid w:val="006627E0"/>
    <w:rsid w:val="006629A7"/>
    <w:rsid w:val="00672462"/>
    <w:rsid w:val="00673368"/>
    <w:rsid w:val="006828D2"/>
    <w:rsid w:val="00685950"/>
    <w:rsid w:val="006861F2"/>
    <w:rsid w:val="006923E2"/>
    <w:rsid w:val="006932C6"/>
    <w:rsid w:val="00695E8A"/>
    <w:rsid w:val="006A0747"/>
    <w:rsid w:val="006A20FC"/>
    <w:rsid w:val="006A2956"/>
    <w:rsid w:val="006A2C9A"/>
    <w:rsid w:val="006B52DC"/>
    <w:rsid w:val="006C321C"/>
    <w:rsid w:val="006C61B9"/>
    <w:rsid w:val="006D0FC8"/>
    <w:rsid w:val="006E3595"/>
    <w:rsid w:val="006E428D"/>
    <w:rsid w:val="006E4921"/>
    <w:rsid w:val="006E74EB"/>
    <w:rsid w:val="006F0C18"/>
    <w:rsid w:val="006F2521"/>
    <w:rsid w:val="006F2B22"/>
    <w:rsid w:val="006F469E"/>
    <w:rsid w:val="00705F23"/>
    <w:rsid w:val="00715973"/>
    <w:rsid w:val="00717C21"/>
    <w:rsid w:val="0072373A"/>
    <w:rsid w:val="007258DF"/>
    <w:rsid w:val="00731B55"/>
    <w:rsid w:val="0073400B"/>
    <w:rsid w:val="00736FF3"/>
    <w:rsid w:val="00740413"/>
    <w:rsid w:val="00740769"/>
    <w:rsid w:val="00741A7B"/>
    <w:rsid w:val="0075091B"/>
    <w:rsid w:val="00750D3D"/>
    <w:rsid w:val="00764A9D"/>
    <w:rsid w:val="007737DD"/>
    <w:rsid w:val="007745C0"/>
    <w:rsid w:val="00774632"/>
    <w:rsid w:val="0078105D"/>
    <w:rsid w:val="00781203"/>
    <w:rsid w:val="00781304"/>
    <w:rsid w:val="00782356"/>
    <w:rsid w:val="007855C9"/>
    <w:rsid w:val="00786D98"/>
    <w:rsid w:val="007938D9"/>
    <w:rsid w:val="007A01CF"/>
    <w:rsid w:val="007A1923"/>
    <w:rsid w:val="007A3277"/>
    <w:rsid w:val="007A6953"/>
    <w:rsid w:val="007A77EC"/>
    <w:rsid w:val="007B4B86"/>
    <w:rsid w:val="007C295B"/>
    <w:rsid w:val="007C3BC7"/>
    <w:rsid w:val="007C5ACB"/>
    <w:rsid w:val="007C6B46"/>
    <w:rsid w:val="007D2DAA"/>
    <w:rsid w:val="007D3028"/>
    <w:rsid w:val="007E23A9"/>
    <w:rsid w:val="007E495B"/>
    <w:rsid w:val="007F0233"/>
    <w:rsid w:val="007F0A2C"/>
    <w:rsid w:val="007F14E3"/>
    <w:rsid w:val="007F1E9E"/>
    <w:rsid w:val="007F2070"/>
    <w:rsid w:val="00802CE0"/>
    <w:rsid w:val="00805DA4"/>
    <w:rsid w:val="0081243F"/>
    <w:rsid w:val="008134C9"/>
    <w:rsid w:val="00821B4F"/>
    <w:rsid w:val="008272B3"/>
    <w:rsid w:val="0082767C"/>
    <w:rsid w:val="0083073C"/>
    <w:rsid w:val="00834951"/>
    <w:rsid w:val="0083717E"/>
    <w:rsid w:val="00844576"/>
    <w:rsid w:val="00851066"/>
    <w:rsid w:val="00852A5B"/>
    <w:rsid w:val="00855641"/>
    <w:rsid w:val="00856DDF"/>
    <w:rsid w:val="00874649"/>
    <w:rsid w:val="00880724"/>
    <w:rsid w:val="008814C1"/>
    <w:rsid w:val="00886BC5"/>
    <w:rsid w:val="0089270E"/>
    <w:rsid w:val="00894E2F"/>
    <w:rsid w:val="008A080B"/>
    <w:rsid w:val="008A3AF6"/>
    <w:rsid w:val="008A4BEE"/>
    <w:rsid w:val="008B03CF"/>
    <w:rsid w:val="008C0C17"/>
    <w:rsid w:val="008C56B9"/>
    <w:rsid w:val="008D3306"/>
    <w:rsid w:val="008E102B"/>
    <w:rsid w:val="008E405F"/>
    <w:rsid w:val="008F4AE5"/>
    <w:rsid w:val="00907FF8"/>
    <w:rsid w:val="00912BBD"/>
    <w:rsid w:val="00913725"/>
    <w:rsid w:val="00923427"/>
    <w:rsid w:val="009274CD"/>
    <w:rsid w:val="00932592"/>
    <w:rsid w:val="0093351A"/>
    <w:rsid w:val="00934DCA"/>
    <w:rsid w:val="0093598C"/>
    <w:rsid w:val="00935C9F"/>
    <w:rsid w:val="0093618B"/>
    <w:rsid w:val="00945D33"/>
    <w:rsid w:val="009511F9"/>
    <w:rsid w:val="00952566"/>
    <w:rsid w:val="0095375F"/>
    <w:rsid w:val="00955941"/>
    <w:rsid w:val="0096040A"/>
    <w:rsid w:val="00961723"/>
    <w:rsid w:val="009637A8"/>
    <w:rsid w:val="00963D07"/>
    <w:rsid w:val="00967283"/>
    <w:rsid w:val="009723D3"/>
    <w:rsid w:val="009767CC"/>
    <w:rsid w:val="0098192E"/>
    <w:rsid w:val="0098439A"/>
    <w:rsid w:val="009847FE"/>
    <w:rsid w:val="00985A5C"/>
    <w:rsid w:val="00986F3C"/>
    <w:rsid w:val="009929A1"/>
    <w:rsid w:val="00994F17"/>
    <w:rsid w:val="009969CC"/>
    <w:rsid w:val="009971AF"/>
    <w:rsid w:val="009A10C1"/>
    <w:rsid w:val="009A215E"/>
    <w:rsid w:val="009A3405"/>
    <w:rsid w:val="009A52E2"/>
    <w:rsid w:val="009A6956"/>
    <w:rsid w:val="009A7921"/>
    <w:rsid w:val="009B1F2B"/>
    <w:rsid w:val="009B54CD"/>
    <w:rsid w:val="009C4473"/>
    <w:rsid w:val="009C492E"/>
    <w:rsid w:val="009C50AB"/>
    <w:rsid w:val="009C5A0B"/>
    <w:rsid w:val="009C630F"/>
    <w:rsid w:val="009E321F"/>
    <w:rsid w:val="009E3722"/>
    <w:rsid w:val="009E56F8"/>
    <w:rsid w:val="009F2FDB"/>
    <w:rsid w:val="009F4A9B"/>
    <w:rsid w:val="009F5298"/>
    <w:rsid w:val="009F5D0C"/>
    <w:rsid w:val="00A0044F"/>
    <w:rsid w:val="00A1041C"/>
    <w:rsid w:val="00A128A4"/>
    <w:rsid w:val="00A13C9C"/>
    <w:rsid w:val="00A15100"/>
    <w:rsid w:val="00A177C2"/>
    <w:rsid w:val="00A177FC"/>
    <w:rsid w:val="00A2260A"/>
    <w:rsid w:val="00A23A22"/>
    <w:rsid w:val="00A24D7A"/>
    <w:rsid w:val="00A24D9C"/>
    <w:rsid w:val="00A27AFA"/>
    <w:rsid w:val="00A30807"/>
    <w:rsid w:val="00A30A31"/>
    <w:rsid w:val="00A3392A"/>
    <w:rsid w:val="00A401BD"/>
    <w:rsid w:val="00A434C1"/>
    <w:rsid w:val="00A53217"/>
    <w:rsid w:val="00A532FF"/>
    <w:rsid w:val="00A631E8"/>
    <w:rsid w:val="00A66275"/>
    <w:rsid w:val="00A67235"/>
    <w:rsid w:val="00A67C8D"/>
    <w:rsid w:val="00A729FF"/>
    <w:rsid w:val="00A73E42"/>
    <w:rsid w:val="00A76B82"/>
    <w:rsid w:val="00A80D08"/>
    <w:rsid w:val="00A825D8"/>
    <w:rsid w:val="00A83B42"/>
    <w:rsid w:val="00A85EB6"/>
    <w:rsid w:val="00A86812"/>
    <w:rsid w:val="00A90CCB"/>
    <w:rsid w:val="00A9106C"/>
    <w:rsid w:val="00A957E7"/>
    <w:rsid w:val="00A95E46"/>
    <w:rsid w:val="00A97DB8"/>
    <w:rsid w:val="00AA5C65"/>
    <w:rsid w:val="00AA7492"/>
    <w:rsid w:val="00AB7805"/>
    <w:rsid w:val="00AC700F"/>
    <w:rsid w:val="00AD0C70"/>
    <w:rsid w:val="00AD1794"/>
    <w:rsid w:val="00AE3F4D"/>
    <w:rsid w:val="00AE5772"/>
    <w:rsid w:val="00AE6C68"/>
    <w:rsid w:val="00AF05A2"/>
    <w:rsid w:val="00AF196E"/>
    <w:rsid w:val="00AF2A65"/>
    <w:rsid w:val="00AF39FB"/>
    <w:rsid w:val="00AF3C4F"/>
    <w:rsid w:val="00AF6884"/>
    <w:rsid w:val="00AF701A"/>
    <w:rsid w:val="00AF75C7"/>
    <w:rsid w:val="00B055CA"/>
    <w:rsid w:val="00B06AA0"/>
    <w:rsid w:val="00B167DE"/>
    <w:rsid w:val="00B209BA"/>
    <w:rsid w:val="00B21061"/>
    <w:rsid w:val="00B2488F"/>
    <w:rsid w:val="00B31616"/>
    <w:rsid w:val="00B353EA"/>
    <w:rsid w:val="00B4010F"/>
    <w:rsid w:val="00B44A58"/>
    <w:rsid w:val="00B44DDB"/>
    <w:rsid w:val="00B470A1"/>
    <w:rsid w:val="00B5047E"/>
    <w:rsid w:val="00B5554F"/>
    <w:rsid w:val="00B55552"/>
    <w:rsid w:val="00B61412"/>
    <w:rsid w:val="00B649EB"/>
    <w:rsid w:val="00B6544D"/>
    <w:rsid w:val="00B70BAE"/>
    <w:rsid w:val="00B75D86"/>
    <w:rsid w:val="00B80191"/>
    <w:rsid w:val="00B9126B"/>
    <w:rsid w:val="00B92365"/>
    <w:rsid w:val="00B92472"/>
    <w:rsid w:val="00B9265D"/>
    <w:rsid w:val="00B977C3"/>
    <w:rsid w:val="00BA219F"/>
    <w:rsid w:val="00BA29E6"/>
    <w:rsid w:val="00BC2911"/>
    <w:rsid w:val="00BC3457"/>
    <w:rsid w:val="00BC46FF"/>
    <w:rsid w:val="00BD0792"/>
    <w:rsid w:val="00BD70A3"/>
    <w:rsid w:val="00BE307E"/>
    <w:rsid w:val="00BE60AA"/>
    <w:rsid w:val="00BE62A8"/>
    <w:rsid w:val="00BF7AEE"/>
    <w:rsid w:val="00C0169D"/>
    <w:rsid w:val="00C023DC"/>
    <w:rsid w:val="00C0356E"/>
    <w:rsid w:val="00C03888"/>
    <w:rsid w:val="00C04AD3"/>
    <w:rsid w:val="00C0529E"/>
    <w:rsid w:val="00C06465"/>
    <w:rsid w:val="00C12E8F"/>
    <w:rsid w:val="00C13277"/>
    <w:rsid w:val="00C15099"/>
    <w:rsid w:val="00C20234"/>
    <w:rsid w:val="00C22FE5"/>
    <w:rsid w:val="00C27FE0"/>
    <w:rsid w:val="00C31051"/>
    <w:rsid w:val="00C410BA"/>
    <w:rsid w:val="00C43030"/>
    <w:rsid w:val="00C43861"/>
    <w:rsid w:val="00C46753"/>
    <w:rsid w:val="00C50FD7"/>
    <w:rsid w:val="00C56296"/>
    <w:rsid w:val="00C62B89"/>
    <w:rsid w:val="00C6561E"/>
    <w:rsid w:val="00C66C02"/>
    <w:rsid w:val="00C6731C"/>
    <w:rsid w:val="00C70B7D"/>
    <w:rsid w:val="00C74AB7"/>
    <w:rsid w:val="00C7645E"/>
    <w:rsid w:val="00C7747F"/>
    <w:rsid w:val="00C77AD4"/>
    <w:rsid w:val="00C77BFD"/>
    <w:rsid w:val="00C80AE5"/>
    <w:rsid w:val="00C83D91"/>
    <w:rsid w:val="00C86A3E"/>
    <w:rsid w:val="00CA1E7A"/>
    <w:rsid w:val="00CA2241"/>
    <w:rsid w:val="00CA4C4B"/>
    <w:rsid w:val="00CA669D"/>
    <w:rsid w:val="00CB0B0A"/>
    <w:rsid w:val="00CB119B"/>
    <w:rsid w:val="00CB69D5"/>
    <w:rsid w:val="00CC0DB3"/>
    <w:rsid w:val="00CC131B"/>
    <w:rsid w:val="00CC35D6"/>
    <w:rsid w:val="00CC3B4B"/>
    <w:rsid w:val="00CC4900"/>
    <w:rsid w:val="00CC6473"/>
    <w:rsid w:val="00CD02A2"/>
    <w:rsid w:val="00CD2356"/>
    <w:rsid w:val="00CD5804"/>
    <w:rsid w:val="00CE0EA1"/>
    <w:rsid w:val="00CE2F9F"/>
    <w:rsid w:val="00CE57A6"/>
    <w:rsid w:val="00CE5B06"/>
    <w:rsid w:val="00CF1800"/>
    <w:rsid w:val="00CF2C67"/>
    <w:rsid w:val="00CF2CEE"/>
    <w:rsid w:val="00CF4083"/>
    <w:rsid w:val="00CF430D"/>
    <w:rsid w:val="00CF5824"/>
    <w:rsid w:val="00CF713B"/>
    <w:rsid w:val="00CF7A27"/>
    <w:rsid w:val="00D00385"/>
    <w:rsid w:val="00D11C83"/>
    <w:rsid w:val="00D11EED"/>
    <w:rsid w:val="00D12C99"/>
    <w:rsid w:val="00D206EF"/>
    <w:rsid w:val="00D21B90"/>
    <w:rsid w:val="00D233C4"/>
    <w:rsid w:val="00D238E8"/>
    <w:rsid w:val="00D34C5E"/>
    <w:rsid w:val="00D419AB"/>
    <w:rsid w:val="00D45E07"/>
    <w:rsid w:val="00D472E7"/>
    <w:rsid w:val="00D47779"/>
    <w:rsid w:val="00D478E0"/>
    <w:rsid w:val="00D562BA"/>
    <w:rsid w:val="00D635D9"/>
    <w:rsid w:val="00D63F35"/>
    <w:rsid w:val="00D66583"/>
    <w:rsid w:val="00D72691"/>
    <w:rsid w:val="00D72AD2"/>
    <w:rsid w:val="00D80C4E"/>
    <w:rsid w:val="00D81C99"/>
    <w:rsid w:val="00D9221F"/>
    <w:rsid w:val="00D96A5C"/>
    <w:rsid w:val="00DA2D22"/>
    <w:rsid w:val="00DA3D13"/>
    <w:rsid w:val="00DA5C40"/>
    <w:rsid w:val="00DA6869"/>
    <w:rsid w:val="00DA745A"/>
    <w:rsid w:val="00DA7D36"/>
    <w:rsid w:val="00DB1566"/>
    <w:rsid w:val="00DB3235"/>
    <w:rsid w:val="00DB4009"/>
    <w:rsid w:val="00DB4568"/>
    <w:rsid w:val="00DC0359"/>
    <w:rsid w:val="00DC06DE"/>
    <w:rsid w:val="00DC21B9"/>
    <w:rsid w:val="00DC2932"/>
    <w:rsid w:val="00DC5711"/>
    <w:rsid w:val="00DE6A32"/>
    <w:rsid w:val="00DE7E0E"/>
    <w:rsid w:val="00DF1849"/>
    <w:rsid w:val="00DF2F53"/>
    <w:rsid w:val="00DF3ADE"/>
    <w:rsid w:val="00DF3BD9"/>
    <w:rsid w:val="00E048EC"/>
    <w:rsid w:val="00E136A7"/>
    <w:rsid w:val="00E16FBC"/>
    <w:rsid w:val="00E17D42"/>
    <w:rsid w:val="00E20726"/>
    <w:rsid w:val="00E2240C"/>
    <w:rsid w:val="00E248D8"/>
    <w:rsid w:val="00E331FB"/>
    <w:rsid w:val="00E34677"/>
    <w:rsid w:val="00E41318"/>
    <w:rsid w:val="00E47102"/>
    <w:rsid w:val="00E47DF6"/>
    <w:rsid w:val="00E5134B"/>
    <w:rsid w:val="00E539C0"/>
    <w:rsid w:val="00E541EC"/>
    <w:rsid w:val="00E5473A"/>
    <w:rsid w:val="00E56BF5"/>
    <w:rsid w:val="00E65E22"/>
    <w:rsid w:val="00E6745F"/>
    <w:rsid w:val="00E70E07"/>
    <w:rsid w:val="00E718BB"/>
    <w:rsid w:val="00E7243D"/>
    <w:rsid w:val="00E740D7"/>
    <w:rsid w:val="00E7433C"/>
    <w:rsid w:val="00E86068"/>
    <w:rsid w:val="00E873F8"/>
    <w:rsid w:val="00E90C08"/>
    <w:rsid w:val="00E90EFF"/>
    <w:rsid w:val="00E91B56"/>
    <w:rsid w:val="00E92185"/>
    <w:rsid w:val="00E94E54"/>
    <w:rsid w:val="00E9536C"/>
    <w:rsid w:val="00E97F38"/>
    <w:rsid w:val="00E97FF5"/>
    <w:rsid w:val="00EA53FC"/>
    <w:rsid w:val="00EB04CE"/>
    <w:rsid w:val="00EB261D"/>
    <w:rsid w:val="00EB3A30"/>
    <w:rsid w:val="00EB5A4A"/>
    <w:rsid w:val="00EB5E0E"/>
    <w:rsid w:val="00EC0738"/>
    <w:rsid w:val="00EC1C89"/>
    <w:rsid w:val="00EC2148"/>
    <w:rsid w:val="00EC2FD5"/>
    <w:rsid w:val="00EC68BA"/>
    <w:rsid w:val="00ED04DD"/>
    <w:rsid w:val="00ED13EE"/>
    <w:rsid w:val="00ED389C"/>
    <w:rsid w:val="00ED5479"/>
    <w:rsid w:val="00EE276E"/>
    <w:rsid w:val="00EE6003"/>
    <w:rsid w:val="00EF1192"/>
    <w:rsid w:val="00F02D14"/>
    <w:rsid w:val="00F058F6"/>
    <w:rsid w:val="00F12B3D"/>
    <w:rsid w:val="00F13638"/>
    <w:rsid w:val="00F1536E"/>
    <w:rsid w:val="00F1551B"/>
    <w:rsid w:val="00F159C3"/>
    <w:rsid w:val="00F22DD2"/>
    <w:rsid w:val="00F23496"/>
    <w:rsid w:val="00F23E07"/>
    <w:rsid w:val="00F24043"/>
    <w:rsid w:val="00F26F55"/>
    <w:rsid w:val="00F3743A"/>
    <w:rsid w:val="00F44C5F"/>
    <w:rsid w:val="00F458C6"/>
    <w:rsid w:val="00F50CC9"/>
    <w:rsid w:val="00F511C5"/>
    <w:rsid w:val="00F51447"/>
    <w:rsid w:val="00F517BF"/>
    <w:rsid w:val="00F5262A"/>
    <w:rsid w:val="00F60519"/>
    <w:rsid w:val="00F6577E"/>
    <w:rsid w:val="00F7243B"/>
    <w:rsid w:val="00F855D2"/>
    <w:rsid w:val="00F859F1"/>
    <w:rsid w:val="00F85C51"/>
    <w:rsid w:val="00F87D0E"/>
    <w:rsid w:val="00F970FA"/>
    <w:rsid w:val="00F97DDC"/>
    <w:rsid w:val="00FA214E"/>
    <w:rsid w:val="00FA3852"/>
    <w:rsid w:val="00FB1382"/>
    <w:rsid w:val="00FB1C05"/>
    <w:rsid w:val="00FB30F1"/>
    <w:rsid w:val="00FC0C7C"/>
    <w:rsid w:val="00FC1052"/>
    <w:rsid w:val="00FC2E69"/>
    <w:rsid w:val="00FC3EE6"/>
    <w:rsid w:val="00FC6681"/>
    <w:rsid w:val="00FC6E16"/>
    <w:rsid w:val="00FD023F"/>
    <w:rsid w:val="00FD10DC"/>
    <w:rsid w:val="00FE06AD"/>
    <w:rsid w:val="00FF0A09"/>
    <w:rsid w:val="00FF52FC"/>
    <w:rsid w:val="00FF7B74"/>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82FEE5D"/>
  <w15:chartTrackingRefBased/>
  <w15:docId w15:val="{5F217C2D-08E0-4C49-9A63-B565D3FB59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qFormat="1"/>
    <w:lsdException w:name="List Bullet 4" w:semiHidden="1" w:unhideWhenUsed="1"/>
    <w:lsdException w:name="List Bullet 5" w:semiHidden="1" w:unhideWhenUsed="1"/>
    <w:lsdException w:name="List Number 2" w:semiHidden="1" w:unhideWhenUsed="1" w:qFormat="1"/>
    <w:lsdException w:name="List Number 3" w:semiHidden="1" w:unhideWhenUsed="1" w:qFormat="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B32A0"/>
    <w:pPr>
      <w:spacing w:before="90" w:after="130" w:line="280" w:lineRule="atLeast"/>
    </w:pPr>
    <w:rPr>
      <w:rFonts w:ascii="Arial" w:hAnsi="Arial" w:cs="Arial"/>
      <w:color w:val="000000"/>
      <w:sz w:val="19"/>
    </w:rPr>
  </w:style>
  <w:style w:type="paragraph" w:styleId="Heading1">
    <w:name w:val="heading 1"/>
    <w:aliases w:val="L1,Section Heading,Report Heading 1,h1,Tempo Heading 1,Project 1,RFS,TOC 11,Section heading,A MAJOR/BOLD,Para,Heading 1(Report Only),Para1,h11,h12,No numbers,H1,Main Heading,Arial 11,Bold,Heading X,ASAPHeading 1,A MAJOR/BOLD1,h11DIF,H11,11,6,g"/>
    <w:basedOn w:val="Normal"/>
    <w:next w:val="Normal"/>
    <w:link w:val="Heading1Char"/>
    <w:uiPriority w:val="9"/>
    <w:qFormat/>
    <w:rsid w:val="005F1E5D"/>
    <w:pPr>
      <w:keepNext/>
      <w:keepLines/>
      <w:numPr>
        <w:numId w:val="12"/>
      </w:numPr>
      <w:spacing w:before="1120" w:after="600" w:line="192" w:lineRule="auto"/>
      <w:outlineLvl w:val="0"/>
    </w:pPr>
    <w:rPr>
      <w:rFonts w:eastAsiaTheme="majorEastAsia"/>
      <w:sz w:val="52"/>
      <w:szCs w:val="32"/>
    </w:rPr>
  </w:style>
  <w:style w:type="paragraph" w:styleId="Heading2">
    <w:name w:val="heading 2"/>
    <w:aliases w:val="L2,Report Heading 2,Reset numbering,p,h2,Tempo Heading 2,Heading Two,Heading 2rh,Chapter Title,H2,2nd level,h2 main heading,B Sub/Bold,B Sub/Bold1,B Sub/Bold2,B Sub/Bold11,h2 main heading1,h2 main heading2,B Sub/Bold3,B Sub/Bold12,body,Alt+2,h"/>
    <w:basedOn w:val="Normal"/>
    <w:next w:val="BodyText"/>
    <w:link w:val="Heading2Char"/>
    <w:uiPriority w:val="9"/>
    <w:unhideWhenUsed/>
    <w:qFormat/>
    <w:rsid w:val="00B44DDB"/>
    <w:pPr>
      <w:keepNext/>
      <w:keepLines/>
      <w:numPr>
        <w:ilvl w:val="1"/>
        <w:numId w:val="12"/>
      </w:numPr>
      <w:pBdr>
        <w:bottom w:val="single" w:sz="4" w:space="0" w:color="6C3E99"/>
        <w:between w:val="single" w:sz="4" w:space="1" w:color="6C3E99"/>
      </w:pBdr>
      <w:spacing w:before="240" w:after="216"/>
      <w:outlineLvl w:val="1"/>
    </w:pPr>
    <w:rPr>
      <w:rFonts w:eastAsiaTheme="majorEastAsia"/>
      <w:b/>
      <w:sz w:val="28"/>
      <w:szCs w:val="26"/>
    </w:rPr>
  </w:style>
  <w:style w:type="paragraph" w:styleId="Heading3">
    <w:name w:val="heading 3"/>
    <w:aliases w:val="L3,3,Level 1 - 1,Report Heading 3,d,Tempo Heading 3,H3,C Sub-Sub/Italic,h3 sub heading,Head 3,Head 31,Head 32,C Sub-Sub/Italic1,Sub2Para,h3,BOD 1,BOD 0,h31,h32,H31,Para3,1st sub-clause,Paragrf 3,(Alt+3),(Alt+3)1,(Alt+3)2,(Alt+3)3,(Alt+3)4,(3)"/>
    <w:basedOn w:val="Normal"/>
    <w:next w:val="BodyText"/>
    <w:link w:val="Heading3Char"/>
    <w:uiPriority w:val="9"/>
    <w:unhideWhenUsed/>
    <w:qFormat/>
    <w:rsid w:val="00B44DDB"/>
    <w:pPr>
      <w:keepNext/>
      <w:keepLines/>
      <w:numPr>
        <w:ilvl w:val="2"/>
        <w:numId w:val="12"/>
      </w:numPr>
      <w:pBdr>
        <w:bottom w:val="single" w:sz="4" w:space="0" w:color="000100"/>
        <w:between w:val="single" w:sz="4" w:space="1" w:color="000100"/>
      </w:pBdr>
      <w:spacing w:before="240" w:after="160" w:line="240" w:lineRule="atLeast"/>
      <w:ind w:left="320"/>
      <w:outlineLvl w:val="2"/>
    </w:pPr>
    <w:rPr>
      <w:rFonts w:eastAsiaTheme="majorEastAsia"/>
      <w:b/>
      <w:szCs w:val="24"/>
    </w:rPr>
  </w:style>
  <w:style w:type="paragraph" w:styleId="Heading4">
    <w:name w:val="heading 4"/>
    <w:aliases w:val="h4,heading 4 Char Char,heading 4 Char,heading 4,Level 2 - a,4m,VS4,Heading 4 Char1 Char,Heading 4 Char Char Char,(i),i Char,Heading 41,h41,heading 4 Char Char Char Char Char,Minor Heading,Heading 4 Char Char"/>
    <w:basedOn w:val="Normal"/>
    <w:next w:val="BodyText"/>
    <w:link w:val="Heading4Char"/>
    <w:uiPriority w:val="9"/>
    <w:unhideWhenUsed/>
    <w:qFormat/>
    <w:rsid w:val="00B44DDB"/>
    <w:pPr>
      <w:keepNext/>
      <w:keepLines/>
      <w:numPr>
        <w:ilvl w:val="3"/>
        <w:numId w:val="12"/>
      </w:numPr>
      <w:spacing w:before="240" w:after="160" w:line="240" w:lineRule="atLeast"/>
      <w:outlineLvl w:val="3"/>
    </w:pPr>
    <w:rPr>
      <w:rFonts w:eastAsiaTheme="majorEastAsia"/>
      <w:b/>
      <w:iCs/>
    </w:rPr>
  </w:style>
  <w:style w:type="paragraph" w:styleId="Heading5">
    <w:name w:val="heading 5"/>
    <w:aliases w:val="h5,Block Label,H5,Appendix,Heading 5 StGeorge,Level 3 - i,Level 5,L5,l5+toc5,(A),heading 5,heading 5 Char,h5 Char Char Char Char Char Char Char,Further Points"/>
    <w:basedOn w:val="Normal"/>
    <w:next w:val="BodyText"/>
    <w:link w:val="Heading5Char"/>
    <w:uiPriority w:val="9"/>
    <w:unhideWhenUsed/>
    <w:qFormat/>
    <w:rsid w:val="00B44DDB"/>
    <w:pPr>
      <w:keepNext/>
      <w:keepLines/>
      <w:numPr>
        <w:ilvl w:val="4"/>
        <w:numId w:val="12"/>
      </w:numPr>
      <w:spacing w:before="240" w:after="160" w:line="240" w:lineRule="atLeast"/>
      <w:outlineLvl w:val="4"/>
    </w:pPr>
    <w:rPr>
      <w:rFonts w:eastAsiaTheme="majorEastAsia"/>
      <w:b/>
      <w:i/>
    </w:rPr>
  </w:style>
  <w:style w:type="paragraph" w:styleId="Heading6">
    <w:name w:val="heading 6"/>
    <w:aliases w:val="L6,Legal Level 1.,sub-dash,5,Spare2,Para6,Level 1,CS Heading 6,H6,h6,heading 6"/>
    <w:basedOn w:val="Normal"/>
    <w:next w:val="BodyText"/>
    <w:link w:val="Heading6Char"/>
    <w:uiPriority w:val="9"/>
    <w:unhideWhenUsed/>
    <w:qFormat/>
    <w:rsid w:val="00B44DDB"/>
    <w:pPr>
      <w:keepNext/>
      <w:keepLines/>
      <w:numPr>
        <w:ilvl w:val="5"/>
        <w:numId w:val="12"/>
      </w:numPr>
      <w:spacing w:before="240" w:after="160" w:line="240" w:lineRule="atLeast"/>
      <w:outlineLvl w:val="5"/>
    </w:pPr>
    <w:rPr>
      <w:rFonts w:eastAsiaTheme="majorEastAsia"/>
      <w:b/>
      <w:i/>
    </w:rPr>
  </w:style>
  <w:style w:type="paragraph" w:styleId="Heading7">
    <w:name w:val="heading 7"/>
    <w:basedOn w:val="Normal-nospace"/>
    <w:next w:val="BodyText"/>
    <w:link w:val="Heading7Char"/>
    <w:uiPriority w:val="9"/>
    <w:unhideWhenUsed/>
    <w:qFormat/>
    <w:rsid w:val="00B470A1"/>
    <w:pPr>
      <w:keepNext/>
      <w:keepLines/>
      <w:spacing w:after="200" w:line="192" w:lineRule="auto"/>
      <w:outlineLvl w:val="6"/>
    </w:pPr>
    <w:rPr>
      <w:rFonts w:eastAsiaTheme="majorEastAsia"/>
      <w:iCs/>
      <w:sz w:val="52"/>
    </w:rPr>
  </w:style>
  <w:style w:type="paragraph" w:styleId="Heading8">
    <w:name w:val="heading 8"/>
    <w:basedOn w:val="Normal"/>
    <w:next w:val="BodyText"/>
    <w:link w:val="Heading8Char"/>
    <w:uiPriority w:val="9"/>
    <w:qFormat/>
    <w:rsid w:val="00B470A1"/>
    <w:pPr>
      <w:keepNext/>
      <w:keepLines/>
      <w:pBdr>
        <w:bottom w:val="single" w:sz="4" w:space="0" w:color="6C3E99"/>
        <w:between w:val="single" w:sz="4" w:space="1" w:color="6C3E99"/>
      </w:pBdr>
      <w:spacing w:before="240" w:after="216"/>
      <w:outlineLvl w:val="7"/>
    </w:pPr>
    <w:rPr>
      <w:rFonts w:eastAsiaTheme="majorEastAsia"/>
      <w:b/>
      <w:sz w:val="28"/>
      <w:szCs w:val="21"/>
    </w:rPr>
  </w:style>
  <w:style w:type="paragraph" w:styleId="Heading9">
    <w:name w:val="heading 9"/>
    <w:basedOn w:val="Normal-nospace"/>
    <w:link w:val="Heading9Char"/>
    <w:uiPriority w:val="9"/>
    <w:qFormat/>
    <w:rsid w:val="00B470A1"/>
    <w:pPr>
      <w:keepNext/>
      <w:keepLines/>
      <w:numPr>
        <w:numId w:val="30"/>
      </w:numPr>
      <w:pBdr>
        <w:between w:val="single" w:sz="4" w:space="1" w:color="auto"/>
      </w:pBdr>
      <w:spacing w:before="1120" w:after="600" w:line="240" w:lineRule="auto"/>
      <w:outlineLvl w:val="8"/>
    </w:pPr>
    <w:rPr>
      <w:rFonts w:eastAsiaTheme="majorEastAsia"/>
      <w:iCs/>
      <w:sz w:val="52"/>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L1 Char,Section Heading Char,Report Heading 1 Char,h1 Char,Tempo Heading 1 Char,Project 1 Char,RFS Char,TOC 11 Char,Section heading Char,A MAJOR/BOLD Char,Para Char,Heading 1(Report Only) Char,Para1 Char,h11 Char,h12 Char,No numbers Char"/>
    <w:basedOn w:val="DefaultParagraphFont"/>
    <w:link w:val="Heading1"/>
    <w:uiPriority w:val="9"/>
    <w:rsid w:val="005F1E5D"/>
    <w:rPr>
      <w:rFonts w:ascii="Arial" w:eastAsiaTheme="majorEastAsia" w:hAnsi="Arial" w:cs="Arial"/>
      <w:color w:val="000000"/>
      <w:sz w:val="52"/>
      <w:szCs w:val="32"/>
    </w:rPr>
  </w:style>
  <w:style w:type="character" w:customStyle="1" w:styleId="Heading2Char">
    <w:name w:val="Heading 2 Char"/>
    <w:aliases w:val="L2 Char,Report Heading 2 Char,Reset numbering Char,p Char,h2 Char,Tempo Heading 2 Char,Heading Two Char,Heading 2rh Char,Chapter Title Char,H2 Char,2nd level Char,h2 main heading Char,B Sub/Bold Char,B Sub/Bold1 Char,B Sub/Bold2 Char"/>
    <w:basedOn w:val="DefaultParagraphFont"/>
    <w:link w:val="Heading2"/>
    <w:uiPriority w:val="9"/>
    <w:rsid w:val="0093598C"/>
    <w:rPr>
      <w:rFonts w:ascii="Arial" w:eastAsiaTheme="majorEastAsia" w:hAnsi="Arial" w:cs="Arial"/>
      <w:b/>
      <w:color w:val="000000"/>
      <w:sz w:val="28"/>
      <w:szCs w:val="26"/>
    </w:rPr>
  </w:style>
  <w:style w:type="character" w:customStyle="1" w:styleId="Heading3Char">
    <w:name w:val="Heading 3 Char"/>
    <w:aliases w:val="L3 Char,3 Char,Level 1 - 1 Char,Report Heading 3 Char,d Char,Tempo Heading 3 Char,H3 Char,C Sub-Sub/Italic Char,h3 sub heading Char,Head 3 Char,Head 31 Char,Head 32 Char,C Sub-Sub/Italic1 Char,Sub2Para Char,h3 Char,BOD 1 Char,BOD 0 Char"/>
    <w:basedOn w:val="DefaultParagraphFont"/>
    <w:link w:val="Heading3"/>
    <w:uiPriority w:val="9"/>
    <w:rsid w:val="00303C43"/>
    <w:rPr>
      <w:rFonts w:ascii="Arial" w:eastAsiaTheme="majorEastAsia" w:hAnsi="Arial" w:cs="Arial"/>
      <w:b/>
      <w:color w:val="000000"/>
      <w:sz w:val="19"/>
      <w:szCs w:val="24"/>
    </w:rPr>
  </w:style>
  <w:style w:type="character" w:customStyle="1" w:styleId="Heading4Char">
    <w:name w:val="Heading 4 Char"/>
    <w:aliases w:val="h4 Char,heading 4 Char Char Char,heading 4 Char Char1,heading 4 Char1,Level 2 - a Char,4m Char,VS4 Char,Heading 4 Char1 Char Char,Heading 4 Char Char Char Char,(i) Char,i Char Char,Heading 41 Char,h41 Char,Minor Heading Char"/>
    <w:basedOn w:val="DefaultParagraphFont"/>
    <w:link w:val="Heading4"/>
    <w:uiPriority w:val="9"/>
    <w:rsid w:val="00D11C83"/>
    <w:rPr>
      <w:rFonts w:ascii="Arial" w:eastAsiaTheme="majorEastAsia" w:hAnsi="Arial" w:cs="Arial"/>
      <w:b/>
      <w:iCs/>
      <w:color w:val="000000"/>
      <w:sz w:val="19"/>
    </w:rPr>
  </w:style>
  <w:style w:type="character" w:customStyle="1" w:styleId="Heading5Char">
    <w:name w:val="Heading 5 Char"/>
    <w:aliases w:val="h5 Char,Block Label Char,H5 Char,Appendix Char,Heading 5 StGeorge Char,Level 3 - i Char,Level 5 Char,L5 Char,l5+toc5 Char,(A) Char,heading 5 Char1,heading 5 Char Char,h5 Char Char Char Char Char Char Char Char,Further Points Char"/>
    <w:basedOn w:val="DefaultParagraphFont"/>
    <w:link w:val="Heading5"/>
    <w:uiPriority w:val="9"/>
    <w:rsid w:val="000D7C57"/>
    <w:rPr>
      <w:rFonts w:ascii="Arial" w:eastAsiaTheme="majorEastAsia" w:hAnsi="Arial" w:cs="Arial"/>
      <w:b/>
      <w:i/>
      <w:color w:val="000000"/>
      <w:sz w:val="19"/>
    </w:rPr>
  </w:style>
  <w:style w:type="character" w:customStyle="1" w:styleId="Heading6Char">
    <w:name w:val="Heading 6 Char"/>
    <w:aliases w:val="L6 Char,Legal Level 1. Char,sub-dash Char,5 Char,Spare2 Char,Para6 Char,Level 1 Char,CS Heading 6 Char,H6 Char,h6 Char,heading 6 Char"/>
    <w:basedOn w:val="DefaultParagraphFont"/>
    <w:link w:val="Heading6"/>
    <w:uiPriority w:val="9"/>
    <w:rsid w:val="000D7C57"/>
    <w:rPr>
      <w:rFonts w:ascii="Arial" w:eastAsiaTheme="majorEastAsia" w:hAnsi="Arial" w:cs="Arial"/>
      <w:b/>
      <w:i/>
      <w:color w:val="000000"/>
      <w:sz w:val="19"/>
    </w:rPr>
  </w:style>
  <w:style w:type="character" w:customStyle="1" w:styleId="Heading7Char">
    <w:name w:val="Heading 7 Char"/>
    <w:basedOn w:val="DefaultParagraphFont"/>
    <w:link w:val="Heading7"/>
    <w:uiPriority w:val="9"/>
    <w:rsid w:val="00FF0A09"/>
    <w:rPr>
      <w:rFonts w:ascii="Arial" w:eastAsiaTheme="majorEastAsia" w:hAnsi="Arial" w:cs="Arial"/>
      <w:iCs/>
      <w:color w:val="000000"/>
      <w:sz w:val="52"/>
    </w:rPr>
  </w:style>
  <w:style w:type="character" w:customStyle="1" w:styleId="Heading8Char">
    <w:name w:val="Heading 8 Char"/>
    <w:basedOn w:val="DefaultParagraphFont"/>
    <w:link w:val="Heading8"/>
    <w:uiPriority w:val="9"/>
    <w:rsid w:val="00E7243D"/>
    <w:rPr>
      <w:rFonts w:ascii="Arial" w:eastAsiaTheme="majorEastAsia" w:hAnsi="Arial" w:cs="Arial"/>
      <w:b/>
      <w:color w:val="000000"/>
      <w:sz w:val="28"/>
      <w:szCs w:val="21"/>
    </w:rPr>
  </w:style>
  <w:style w:type="character" w:customStyle="1" w:styleId="Heading9Char">
    <w:name w:val="Heading 9 Char"/>
    <w:basedOn w:val="DefaultParagraphFont"/>
    <w:link w:val="Heading9"/>
    <w:uiPriority w:val="9"/>
    <w:rsid w:val="00B470A1"/>
    <w:rPr>
      <w:rFonts w:ascii="Arial" w:eastAsiaTheme="majorEastAsia" w:hAnsi="Arial" w:cs="Arial"/>
      <w:iCs/>
      <w:color w:val="000000"/>
      <w:sz w:val="52"/>
      <w:szCs w:val="21"/>
    </w:rPr>
  </w:style>
  <w:style w:type="paragraph" w:styleId="BalloonText">
    <w:name w:val="Balloon Text"/>
    <w:basedOn w:val="Normal"/>
    <w:link w:val="BalloonTextChar"/>
    <w:uiPriority w:val="99"/>
    <w:semiHidden/>
    <w:unhideWhenUsed/>
    <w:rsid w:val="009637A8"/>
    <w:pPr>
      <w:spacing w:after="0"/>
    </w:pPr>
    <w:rPr>
      <w:sz w:val="18"/>
      <w:szCs w:val="18"/>
    </w:rPr>
  </w:style>
  <w:style w:type="character" w:customStyle="1" w:styleId="BalloonTextChar">
    <w:name w:val="Balloon Text Char"/>
    <w:basedOn w:val="DefaultParagraphFont"/>
    <w:link w:val="BalloonText"/>
    <w:uiPriority w:val="99"/>
    <w:semiHidden/>
    <w:rsid w:val="009637A8"/>
    <w:rPr>
      <w:rFonts w:ascii="Arial" w:hAnsi="Arial" w:cs="Arial"/>
      <w:color w:val="000000"/>
      <w:sz w:val="18"/>
      <w:szCs w:val="18"/>
    </w:rPr>
  </w:style>
  <w:style w:type="paragraph" w:styleId="Bibliography">
    <w:name w:val="Bibliography"/>
    <w:basedOn w:val="Normal"/>
    <w:next w:val="Normal"/>
    <w:uiPriority w:val="37"/>
    <w:semiHidden/>
    <w:unhideWhenUsed/>
    <w:rsid w:val="009637A8"/>
    <w:pPr>
      <w:spacing w:after="160" w:line="259" w:lineRule="auto"/>
    </w:pPr>
  </w:style>
  <w:style w:type="paragraph" w:styleId="BlockText">
    <w:name w:val="Block Text"/>
    <w:basedOn w:val="Normal"/>
    <w:uiPriority w:val="99"/>
    <w:semiHidden/>
    <w:unhideWhenUsed/>
    <w:rsid w:val="009637A8"/>
    <w:pPr>
      <w:pBdr>
        <w:top w:val="single" w:sz="2" w:space="10" w:color="9D85BE" w:themeColor="accent1"/>
        <w:left w:val="single" w:sz="2" w:space="10" w:color="9D85BE" w:themeColor="accent1"/>
        <w:bottom w:val="single" w:sz="2" w:space="10" w:color="9D85BE" w:themeColor="accent1"/>
        <w:right w:val="single" w:sz="2" w:space="10" w:color="9D85BE" w:themeColor="accent1"/>
      </w:pBdr>
      <w:spacing w:after="160" w:line="259" w:lineRule="auto"/>
      <w:ind w:left="1152" w:right="1152"/>
    </w:pPr>
    <w:rPr>
      <w:rFonts w:eastAsiaTheme="minorEastAsia"/>
      <w:i/>
      <w:iCs/>
    </w:rPr>
  </w:style>
  <w:style w:type="paragraph" w:styleId="BodyText">
    <w:name w:val="Body Text"/>
    <w:aliases w:val="Body Text Char1,Body Text Char Char,Body Text Char2,Body Text Char2 Char Char1 Char,Body Text Char1 Char Char Char Char,Body Text Char2 Char Char1 Char Char Char Char Char,Body Text Char11 Char,Body Text Char Char1 Char,Body Text Char Char1,b"/>
    <w:basedOn w:val="Normal"/>
    <w:link w:val="BodyTextChar"/>
    <w:uiPriority w:val="99"/>
    <w:qFormat/>
    <w:rsid w:val="00DF3BD9"/>
  </w:style>
  <w:style w:type="character" w:customStyle="1" w:styleId="BodyTextChar">
    <w:name w:val="Body Text Char"/>
    <w:aliases w:val="Body Text Char1 Char,Body Text Char Char Char,Body Text Char2 Char,Body Text Char2 Char Char1 Char Char,Body Text Char1 Char Char Char Char Char,Body Text Char2 Char Char1 Char Char Char Char Char Char,Body Text Char11 Char Char,b Char"/>
    <w:basedOn w:val="DefaultParagraphFont"/>
    <w:link w:val="BodyText"/>
    <w:uiPriority w:val="99"/>
    <w:rsid w:val="00DF3BD9"/>
    <w:rPr>
      <w:rFonts w:ascii="Arial" w:hAnsi="Arial" w:cs="Arial"/>
      <w:color w:val="000000"/>
      <w:sz w:val="19"/>
    </w:rPr>
  </w:style>
  <w:style w:type="paragraph" w:styleId="BodyText2">
    <w:name w:val="Body Text 2"/>
    <w:basedOn w:val="Normal"/>
    <w:link w:val="BodyText2Char"/>
    <w:uiPriority w:val="99"/>
    <w:semiHidden/>
    <w:unhideWhenUsed/>
    <w:rsid w:val="009637A8"/>
    <w:pPr>
      <w:spacing w:line="480" w:lineRule="auto"/>
    </w:pPr>
  </w:style>
  <w:style w:type="character" w:customStyle="1" w:styleId="BodyText2Char">
    <w:name w:val="Body Text 2 Char"/>
    <w:basedOn w:val="DefaultParagraphFont"/>
    <w:link w:val="BodyText2"/>
    <w:uiPriority w:val="99"/>
    <w:semiHidden/>
    <w:rsid w:val="009637A8"/>
    <w:rPr>
      <w:rFonts w:ascii="Arial" w:hAnsi="Arial" w:cs="Arial"/>
      <w:color w:val="000000"/>
      <w:sz w:val="19"/>
    </w:rPr>
  </w:style>
  <w:style w:type="paragraph" w:styleId="BodyText3">
    <w:name w:val="Body Text 3"/>
    <w:basedOn w:val="Normal"/>
    <w:link w:val="BodyText3Char"/>
    <w:uiPriority w:val="99"/>
    <w:semiHidden/>
    <w:unhideWhenUsed/>
    <w:rsid w:val="009637A8"/>
    <w:pPr>
      <w:spacing w:line="259" w:lineRule="auto"/>
    </w:pPr>
    <w:rPr>
      <w:sz w:val="16"/>
      <w:szCs w:val="16"/>
    </w:rPr>
  </w:style>
  <w:style w:type="character" w:customStyle="1" w:styleId="BodyText3Char">
    <w:name w:val="Body Text 3 Char"/>
    <w:basedOn w:val="DefaultParagraphFont"/>
    <w:link w:val="BodyText3"/>
    <w:uiPriority w:val="99"/>
    <w:semiHidden/>
    <w:rsid w:val="009637A8"/>
    <w:rPr>
      <w:rFonts w:ascii="Arial" w:hAnsi="Arial" w:cs="Arial"/>
      <w:color w:val="000000"/>
      <w:sz w:val="16"/>
      <w:szCs w:val="16"/>
    </w:rPr>
  </w:style>
  <w:style w:type="paragraph" w:styleId="BodyTextFirstIndent">
    <w:name w:val="Body Text First Indent"/>
    <w:basedOn w:val="BodyText"/>
    <w:link w:val="BodyTextFirstIndentChar"/>
    <w:uiPriority w:val="99"/>
    <w:semiHidden/>
    <w:unhideWhenUsed/>
    <w:rsid w:val="009637A8"/>
    <w:pPr>
      <w:spacing w:after="160"/>
      <w:ind w:firstLine="360"/>
    </w:pPr>
  </w:style>
  <w:style w:type="character" w:customStyle="1" w:styleId="BodyTextFirstIndentChar">
    <w:name w:val="Body Text First Indent Char"/>
    <w:basedOn w:val="BodyTextChar"/>
    <w:link w:val="BodyTextFirstIndent"/>
    <w:uiPriority w:val="99"/>
    <w:semiHidden/>
    <w:rsid w:val="009637A8"/>
    <w:rPr>
      <w:rFonts w:ascii="Arial" w:hAnsi="Arial" w:cs="Arial"/>
      <w:color w:val="000000"/>
      <w:sz w:val="19"/>
    </w:rPr>
  </w:style>
  <w:style w:type="paragraph" w:styleId="BodyTextIndent">
    <w:name w:val="Body Text Indent"/>
    <w:basedOn w:val="Normal"/>
    <w:link w:val="BodyTextIndentChar"/>
    <w:uiPriority w:val="99"/>
    <w:semiHidden/>
    <w:unhideWhenUsed/>
    <w:rsid w:val="009637A8"/>
    <w:pPr>
      <w:spacing w:line="259" w:lineRule="auto"/>
      <w:ind w:left="283"/>
    </w:pPr>
  </w:style>
  <w:style w:type="character" w:customStyle="1" w:styleId="BodyTextIndentChar">
    <w:name w:val="Body Text Indent Char"/>
    <w:basedOn w:val="DefaultParagraphFont"/>
    <w:link w:val="BodyTextIndent"/>
    <w:uiPriority w:val="99"/>
    <w:semiHidden/>
    <w:rsid w:val="009637A8"/>
    <w:rPr>
      <w:rFonts w:ascii="Arial" w:hAnsi="Arial" w:cs="Arial"/>
      <w:color w:val="000000"/>
      <w:sz w:val="19"/>
    </w:rPr>
  </w:style>
  <w:style w:type="paragraph" w:styleId="BodyTextFirstIndent2">
    <w:name w:val="Body Text First Indent 2"/>
    <w:basedOn w:val="BodyTextIndent"/>
    <w:link w:val="BodyTextFirstIndent2Char"/>
    <w:uiPriority w:val="99"/>
    <w:semiHidden/>
    <w:unhideWhenUsed/>
    <w:rsid w:val="009637A8"/>
    <w:pPr>
      <w:spacing w:after="160"/>
      <w:ind w:left="360" w:firstLine="360"/>
    </w:pPr>
  </w:style>
  <w:style w:type="character" w:customStyle="1" w:styleId="BodyTextFirstIndent2Char">
    <w:name w:val="Body Text First Indent 2 Char"/>
    <w:basedOn w:val="BodyTextIndentChar"/>
    <w:link w:val="BodyTextFirstIndent2"/>
    <w:uiPriority w:val="99"/>
    <w:semiHidden/>
    <w:rsid w:val="009637A8"/>
    <w:rPr>
      <w:rFonts w:ascii="Arial" w:hAnsi="Arial" w:cs="Arial"/>
      <w:color w:val="000000"/>
      <w:sz w:val="19"/>
    </w:rPr>
  </w:style>
  <w:style w:type="paragraph" w:styleId="BodyTextIndent2">
    <w:name w:val="Body Text Indent 2"/>
    <w:basedOn w:val="Normal"/>
    <w:link w:val="BodyTextIndent2Char"/>
    <w:uiPriority w:val="99"/>
    <w:semiHidden/>
    <w:unhideWhenUsed/>
    <w:rsid w:val="009637A8"/>
    <w:pPr>
      <w:spacing w:line="480" w:lineRule="auto"/>
      <w:ind w:left="283"/>
    </w:pPr>
  </w:style>
  <w:style w:type="character" w:customStyle="1" w:styleId="BodyTextIndent2Char">
    <w:name w:val="Body Text Indent 2 Char"/>
    <w:basedOn w:val="DefaultParagraphFont"/>
    <w:link w:val="BodyTextIndent2"/>
    <w:uiPriority w:val="99"/>
    <w:semiHidden/>
    <w:rsid w:val="009637A8"/>
    <w:rPr>
      <w:rFonts w:ascii="Arial" w:hAnsi="Arial" w:cs="Arial"/>
      <w:color w:val="000000"/>
      <w:sz w:val="19"/>
    </w:rPr>
  </w:style>
  <w:style w:type="paragraph" w:styleId="BodyTextIndent3">
    <w:name w:val="Body Text Indent 3"/>
    <w:basedOn w:val="Normal"/>
    <w:link w:val="BodyTextIndent3Char"/>
    <w:uiPriority w:val="99"/>
    <w:semiHidden/>
    <w:unhideWhenUsed/>
    <w:rsid w:val="009637A8"/>
    <w:pPr>
      <w:spacing w:line="259" w:lineRule="auto"/>
      <w:ind w:left="283"/>
    </w:pPr>
    <w:rPr>
      <w:sz w:val="16"/>
      <w:szCs w:val="16"/>
    </w:rPr>
  </w:style>
  <w:style w:type="character" w:customStyle="1" w:styleId="BodyTextIndent3Char">
    <w:name w:val="Body Text Indent 3 Char"/>
    <w:basedOn w:val="DefaultParagraphFont"/>
    <w:link w:val="BodyTextIndent3"/>
    <w:uiPriority w:val="99"/>
    <w:semiHidden/>
    <w:rsid w:val="009637A8"/>
    <w:rPr>
      <w:rFonts w:ascii="Arial" w:hAnsi="Arial" w:cs="Arial"/>
      <w:color w:val="000000"/>
      <w:sz w:val="16"/>
      <w:szCs w:val="16"/>
    </w:rPr>
  </w:style>
  <w:style w:type="character" w:styleId="BookTitle">
    <w:name w:val="Book Title"/>
    <w:basedOn w:val="DefaultParagraphFont"/>
    <w:uiPriority w:val="33"/>
    <w:qFormat/>
    <w:rsid w:val="009637A8"/>
    <w:rPr>
      <w:b/>
      <w:bCs/>
      <w:i/>
      <w:iCs/>
      <w:color w:val="000000"/>
      <w:spacing w:val="5"/>
    </w:rPr>
  </w:style>
  <w:style w:type="paragraph" w:styleId="Caption">
    <w:name w:val="caption"/>
    <w:aliases w:val="Caption Char, Char1 Char Char, Char1 Char,Char1 Char Char,Char1 Char Char Char,Char1 Char Char Char Char,Char Char,Char1 Char,Caption Char Char Char,1,Char1,Text Caption,minor heading,Caption Char Char Char Char Char,Caption1, Char Char,Char"/>
    <w:basedOn w:val="Normal-nospace"/>
    <w:next w:val="BodyText"/>
    <w:link w:val="CaptionChar1"/>
    <w:uiPriority w:val="35"/>
    <w:unhideWhenUsed/>
    <w:qFormat/>
    <w:rsid w:val="001E6797"/>
    <w:pPr>
      <w:keepNext/>
      <w:spacing w:after="120" w:line="240" w:lineRule="auto"/>
      <w:ind w:left="1179" w:hanging="1179"/>
    </w:pPr>
    <w:rPr>
      <w:iCs/>
      <w:szCs w:val="18"/>
    </w:rPr>
  </w:style>
  <w:style w:type="paragraph" w:styleId="Closing">
    <w:name w:val="Closing"/>
    <w:basedOn w:val="Normal"/>
    <w:link w:val="ClosingChar"/>
    <w:uiPriority w:val="99"/>
    <w:semiHidden/>
    <w:unhideWhenUsed/>
    <w:rsid w:val="009637A8"/>
    <w:pPr>
      <w:spacing w:after="0"/>
      <w:ind w:left="4252"/>
    </w:pPr>
  </w:style>
  <w:style w:type="character" w:customStyle="1" w:styleId="ClosingChar">
    <w:name w:val="Closing Char"/>
    <w:basedOn w:val="DefaultParagraphFont"/>
    <w:link w:val="Closing"/>
    <w:uiPriority w:val="99"/>
    <w:semiHidden/>
    <w:rsid w:val="009637A8"/>
    <w:rPr>
      <w:rFonts w:ascii="Arial" w:hAnsi="Arial" w:cs="Arial"/>
      <w:color w:val="000000"/>
      <w:sz w:val="19"/>
    </w:rPr>
  </w:style>
  <w:style w:type="table" w:styleId="ColorfulGrid">
    <w:name w:val="Colorful Grid"/>
    <w:basedOn w:val="TableNormal"/>
    <w:uiPriority w:val="73"/>
    <w:semiHidden/>
    <w:unhideWhenUsed/>
    <w:rsid w:val="009637A8"/>
    <w:pPr>
      <w:spacing w:after="0" w:line="240" w:lineRule="auto"/>
    </w:p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semiHidden/>
    <w:unhideWhenUsed/>
    <w:rsid w:val="009637A8"/>
    <w:pPr>
      <w:spacing w:after="0" w:line="240" w:lineRule="auto"/>
    </w:pPr>
    <w:tblPr>
      <w:tblStyleRowBandSize w:val="1"/>
      <w:tblStyleColBandSize w:val="1"/>
      <w:tblBorders>
        <w:insideH w:val="single" w:sz="4" w:space="0" w:color="FFFFFF" w:themeColor="background1"/>
      </w:tblBorders>
    </w:tblPr>
    <w:tcPr>
      <w:shd w:val="clear" w:color="auto" w:fill="EBE6F2" w:themeFill="accent1" w:themeFillTint="33"/>
    </w:tcPr>
    <w:tblStylePr w:type="firstRow">
      <w:rPr>
        <w:b/>
        <w:bCs/>
      </w:rPr>
      <w:tblPr/>
      <w:tcPr>
        <w:shd w:val="clear" w:color="auto" w:fill="D7CEE5" w:themeFill="accent1" w:themeFillTint="66"/>
      </w:tcPr>
    </w:tblStylePr>
    <w:tblStylePr w:type="lastRow">
      <w:rPr>
        <w:b/>
        <w:bCs/>
        <w:color w:val="000000" w:themeColor="text1"/>
      </w:rPr>
      <w:tblPr/>
      <w:tcPr>
        <w:shd w:val="clear" w:color="auto" w:fill="D7CEE5" w:themeFill="accent1" w:themeFillTint="66"/>
      </w:tcPr>
    </w:tblStylePr>
    <w:tblStylePr w:type="firstCol">
      <w:rPr>
        <w:color w:val="FFFFFF" w:themeColor="background1"/>
      </w:rPr>
      <w:tblPr/>
      <w:tcPr>
        <w:shd w:val="clear" w:color="auto" w:fill="72549D" w:themeFill="accent1" w:themeFillShade="BF"/>
      </w:tcPr>
    </w:tblStylePr>
    <w:tblStylePr w:type="lastCol">
      <w:rPr>
        <w:color w:val="FFFFFF" w:themeColor="background1"/>
      </w:rPr>
      <w:tblPr/>
      <w:tcPr>
        <w:shd w:val="clear" w:color="auto" w:fill="72549D" w:themeFill="accent1" w:themeFillShade="BF"/>
      </w:tcPr>
    </w:tblStylePr>
    <w:tblStylePr w:type="band1Vert">
      <w:tblPr/>
      <w:tcPr>
        <w:shd w:val="clear" w:color="auto" w:fill="CEC2DE" w:themeFill="accent1" w:themeFillTint="7F"/>
      </w:tcPr>
    </w:tblStylePr>
    <w:tblStylePr w:type="band1Horz">
      <w:tblPr/>
      <w:tcPr>
        <w:shd w:val="clear" w:color="auto" w:fill="CEC2DE" w:themeFill="accent1" w:themeFillTint="7F"/>
      </w:tcPr>
    </w:tblStylePr>
  </w:style>
  <w:style w:type="table" w:styleId="ColorfulGrid-Accent2">
    <w:name w:val="Colorful Grid Accent 2"/>
    <w:basedOn w:val="TableNormal"/>
    <w:uiPriority w:val="73"/>
    <w:semiHidden/>
    <w:unhideWhenUsed/>
    <w:rsid w:val="009637A8"/>
    <w:pPr>
      <w:spacing w:after="0" w:line="240" w:lineRule="auto"/>
    </w:pPr>
    <w:tblPr>
      <w:tblStyleRowBandSize w:val="1"/>
      <w:tblStyleColBandSize w:val="1"/>
      <w:tblBorders>
        <w:insideH w:val="single" w:sz="4" w:space="0" w:color="FFFFFF" w:themeColor="background1"/>
      </w:tblBorders>
    </w:tblPr>
    <w:tcPr>
      <w:shd w:val="clear" w:color="auto" w:fill="E5E5E5" w:themeFill="accent2" w:themeFillTint="33"/>
    </w:tcPr>
    <w:tblStylePr w:type="firstRow">
      <w:rPr>
        <w:b/>
        <w:bCs/>
      </w:rPr>
      <w:tblPr/>
      <w:tcPr>
        <w:shd w:val="clear" w:color="auto" w:fill="CBCBCB" w:themeFill="accent2" w:themeFillTint="66"/>
      </w:tcPr>
    </w:tblStylePr>
    <w:tblStylePr w:type="lastRow">
      <w:rPr>
        <w:b/>
        <w:bCs/>
        <w:color w:val="000000" w:themeColor="text1"/>
      </w:rPr>
      <w:tblPr/>
      <w:tcPr>
        <w:shd w:val="clear" w:color="auto" w:fill="CBCBCB" w:themeFill="accent2" w:themeFillTint="66"/>
      </w:tcPr>
    </w:tblStylePr>
    <w:tblStylePr w:type="firstCol">
      <w:rPr>
        <w:color w:val="FFFFFF" w:themeColor="background1"/>
      </w:rPr>
      <w:tblPr/>
      <w:tcPr>
        <w:shd w:val="clear" w:color="auto" w:fill="5D5D5D" w:themeFill="accent2" w:themeFillShade="BF"/>
      </w:tcPr>
    </w:tblStylePr>
    <w:tblStylePr w:type="lastCol">
      <w:rPr>
        <w:color w:val="FFFFFF" w:themeColor="background1"/>
      </w:rPr>
      <w:tblPr/>
      <w:tcPr>
        <w:shd w:val="clear" w:color="auto" w:fill="5D5D5D" w:themeFill="accent2" w:themeFillShade="BF"/>
      </w:tcPr>
    </w:tblStylePr>
    <w:tblStylePr w:type="band1Vert">
      <w:tblPr/>
      <w:tcPr>
        <w:shd w:val="clear" w:color="auto" w:fill="BEBEBE" w:themeFill="accent2" w:themeFillTint="7F"/>
      </w:tcPr>
    </w:tblStylePr>
    <w:tblStylePr w:type="band1Horz">
      <w:tblPr/>
      <w:tcPr>
        <w:shd w:val="clear" w:color="auto" w:fill="BEBEBE" w:themeFill="accent2" w:themeFillTint="7F"/>
      </w:tcPr>
    </w:tblStylePr>
  </w:style>
  <w:style w:type="table" w:styleId="ColorfulGrid-Accent3">
    <w:name w:val="Colorful Grid Accent 3"/>
    <w:basedOn w:val="TableNormal"/>
    <w:uiPriority w:val="73"/>
    <w:semiHidden/>
    <w:unhideWhenUsed/>
    <w:rsid w:val="009637A8"/>
    <w:pPr>
      <w:spacing w:after="0" w:line="240" w:lineRule="auto"/>
    </w:pPr>
    <w:tblPr>
      <w:tblStyleRowBandSize w:val="1"/>
      <w:tblStyleColBandSize w:val="1"/>
      <w:tblBorders>
        <w:insideH w:val="single" w:sz="4" w:space="0" w:color="FFFFFF" w:themeColor="background1"/>
      </w:tblBorders>
    </w:tblPr>
    <w:tcPr>
      <w:shd w:val="clear" w:color="auto" w:fill="F4F4F4" w:themeFill="accent3" w:themeFillTint="33"/>
    </w:tcPr>
    <w:tblStylePr w:type="firstRow">
      <w:rPr>
        <w:b/>
        <w:bCs/>
      </w:rPr>
      <w:tblPr/>
      <w:tcPr>
        <w:shd w:val="clear" w:color="auto" w:fill="E9E9E9" w:themeFill="accent3" w:themeFillTint="66"/>
      </w:tcPr>
    </w:tblStylePr>
    <w:tblStylePr w:type="lastRow">
      <w:rPr>
        <w:b/>
        <w:bCs/>
        <w:color w:val="000000" w:themeColor="text1"/>
      </w:rPr>
      <w:tblPr/>
      <w:tcPr>
        <w:shd w:val="clear" w:color="auto" w:fill="E9E9E9" w:themeFill="accent3" w:themeFillTint="66"/>
      </w:tcPr>
    </w:tblStylePr>
    <w:tblStylePr w:type="firstCol">
      <w:rPr>
        <w:color w:val="FFFFFF" w:themeColor="background1"/>
      </w:rPr>
      <w:tblPr/>
      <w:tcPr>
        <w:shd w:val="clear" w:color="auto" w:fill="959595" w:themeFill="accent3" w:themeFillShade="BF"/>
      </w:tcPr>
    </w:tblStylePr>
    <w:tblStylePr w:type="lastCol">
      <w:rPr>
        <w:color w:val="FFFFFF" w:themeColor="background1"/>
      </w:rPr>
      <w:tblPr/>
      <w:tcPr>
        <w:shd w:val="clear" w:color="auto" w:fill="959595" w:themeFill="accent3" w:themeFillShade="BF"/>
      </w:tcPr>
    </w:tblStylePr>
    <w:tblStylePr w:type="band1Vert">
      <w:tblPr/>
      <w:tcPr>
        <w:shd w:val="clear" w:color="auto" w:fill="E3E3E3" w:themeFill="accent3" w:themeFillTint="7F"/>
      </w:tcPr>
    </w:tblStylePr>
    <w:tblStylePr w:type="band1Horz">
      <w:tblPr/>
      <w:tcPr>
        <w:shd w:val="clear" w:color="auto" w:fill="E3E3E3" w:themeFill="accent3" w:themeFillTint="7F"/>
      </w:tcPr>
    </w:tblStylePr>
  </w:style>
  <w:style w:type="table" w:styleId="ColorfulGrid-Accent4">
    <w:name w:val="Colorful Grid Accent 4"/>
    <w:basedOn w:val="TableNormal"/>
    <w:uiPriority w:val="73"/>
    <w:semiHidden/>
    <w:unhideWhenUsed/>
    <w:rsid w:val="009637A8"/>
    <w:pPr>
      <w:spacing w:after="0" w:line="240" w:lineRule="auto"/>
    </w:pPr>
    <w:tblPr>
      <w:tblStyleRowBandSize w:val="1"/>
      <w:tblStyleColBandSize w:val="1"/>
      <w:tblBorders>
        <w:insideH w:val="single" w:sz="4" w:space="0" w:color="FFFFFF" w:themeColor="background1"/>
      </w:tblBorders>
    </w:tblPr>
    <w:tcPr>
      <w:shd w:val="clear" w:color="auto" w:fill="B8E7FF" w:themeFill="accent4" w:themeFillTint="33"/>
    </w:tcPr>
    <w:tblStylePr w:type="firstRow">
      <w:rPr>
        <w:b/>
        <w:bCs/>
      </w:rPr>
      <w:tblPr/>
      <w:tcPr>
        <w:shd w:val="clear" w:color="auto" w:fill="72D0FF" w:themeFill="accent4" w:themeFillTint="66"/>
      </w:tcPr>
    </w:tblStylePr>
    <w:tblStylePr w:type="lastRow">
      <w:rPr>
        <w:b/>
        <w:bCs/>
        <w:color w:val="000000" w:themeColor="text1"/>
      </w:rPr>
      <w:tblPr/>
      <w:tcPr>
        <w:shd w:val="clear" w:color="auto" w:fill="72D0FF" w:themeFill="accent4" w:themeFillTint="66"/>
      </w:tcPr>
    </w:tblStylePr>
    <w:tblStylePr w:type="firstCol">
      <w:rPr>
        <w:color w:val="FFFFFF" w:themeColor="background1"/>
      </w:rPr>
      <w:tblPr/>
      <w:tcPr>
        <w:shd w:val="clear" w:color="auto" w:fill="004F77" w:themeFill="accent4" w:themeFillShade="BF"/>
      </w:tcPr>
    </w:tblStylePr>
    <w:tblStylePr w:type="lastCol">
      <w:rPr>
        <w:color w:val="FFFFFF" w:themeColor="background1"/>
      </w:rPr>
      <w:tblPr/>
      <w:tcPr>
        <w:shd w:val="clear" w:color="auto" w:fill="004F77" w:themeFill="accent4" w:themeFillShade="BF"/>
      </w:tcPr>
    </w:tblStylePr>
    <w:tblStylePr w:type="band1Vert">
      <w:tblPr/>
      <w:tcPr>
        <w:shd w:val="clear" w:color="auto" w:fill="50C4FF" w:themeFill="accent4" w:themeFillTint="7F"/>
      </w:tcPr>
    </w:tblStylePr>
    <w:tblStylePr w:type="band1Horz">
      <w:tblPr/>
      <w:tcPr>
        <w:shd w:val="clear" w:color="auto" w:fill="50C4FF" w:themeFill="accent4" w:themeFillTint="7F"/>
      </w:tcPr>
    </w:tblStylePr>
  </w:style>
  <w:style w:type="table" w:styleId="ColorfulGrid-Accent5">
    <w:name w:val="Colorful Grid Accent 5"/>
    <w:basedOn w:val="TableNormal"/>
    <w:uiPriority w:val="73"/>
    <w:semiHidden/>
    <w:unhideWhenUsed/>
    <w:rsid w:val="009637A8"/>
    <w:pPr>
      <w:spacing w:after="0" w:line="240" w:lineRule="auto"/>
    </w:pPr>
    <w:tblPr>
      <w:tblStyleRowBandSize w:val="1"/>
      <w:tblStyleColBandSize w:val="1"/>
      <w:tblBorders>
        <w:insideH w:val="single" w:sz="4" w:space="0" w:color="FFFFFF" w:themeColor="background1"/>
      </w:tblBorders>
    </w:tblPr>
    <w:tcPr>
      <w:shd w:val="clear" w:color="auto" w:fill="E4F1F6" w:themeFill="accent5" w:themeFillTint="33"/>
    </w:tcPr>
    <w:tblStylePr w:type="firstRow">
      <w:rPr>
        <w:b/>
        <w:bCs/>
      </w:rPr>
      <w:tblPr/>
      <w:tcPr>
        <w:shd w:val="clear" w:color="auto" w:fill="CAE4EE" w:themeFill="accent5" w:themeFillTint="66"/>
      </w:tcPr>
    </w:tblStylePr>
    <w:tblStylePr w:type="lastRow">
      <w:rPr>
        <w:b/>
        <w:bCs/>
        <w:color w:val="000000" w:themeColor="text1"/>
      </w:rPr>
      <w:tblPr/>
      <w:tcPr>
        <w:shd w:val="clear" w:color="auto" w:fill="CAE4EE" w:themeFill="accent5" w:themeFillTint="66"/>
      </w:tcPr>
    </w:tblStylePr>
    <w:tblStylePr w:type="firstCol">
      <w:rPr>
        <w:color w:val="FFFFFF" w:themeColor="background1"/>
      </w:rPr>
      <w:tblPr/>
      <w:tcPr>
        <w:shd w:val="clear" w:color="auto" w:fill="3C9BC0" w:themeFill="accent5" w:themeFillShade="BF"/>
      </w:tcPr>
    </w:tblStylePr>
    <w:tblStylePr w:type="lastCol">
      <w:rPr>
        <w:color w:val="FFFFFF" w:themeColor="background1"/>
      </w:rPr>
      <w:tblPr/>
      <w:tcPr>
        <w:shd w:val="clear" w:color="auto" w:fill="3C9BC0" w:themeFill="accent5" w:themeFillShade="BF"/>
      </w:tcPr>
    </w:tblStylePr>
    <w:tblStylePr w:type="band1Vert">
      <w:tblPr/>
      <w:tcPr>
        <w:shd w:val="clear" w:color="auto" w:fill="BDDDEA" w:themeFill="accent5" w:themeFillTint="7F"/>
      </w:tcPr>
    </w:tblStylePr>
    <w:tblStylePr w:type="band1Horz">
      <w:tblPr/>
      <w:tcPr>
        <w:shd w:val="clear" w:color="auto" w:fill="BDDDEA" w:themeFill="accent5" w:themeFillTint="7F"/>
      </w:tcPr>
    </w:tblStylePr>
  </w:style>
  <w:style w:type="table" w:styleId="ColorfulGrid-Accent6">
    <w:name w:val="Colorful Grid Accent 6"/>
    <w:basedOn w:val="TableNormal"/>
    <w:uiPriority w:val="73"/>
    <w:semiHidden/>
    <w:unhideWhenUsed/>
    <w:rsid w:val="009637A8"/>
    <w:pPr>
      <w:spacing w:after="0" w:line="240" w:lineRule="auto"/>
    </w:pPr>
    <w:tblPr>
      <w:tblStyleRowBandSize w:val="1"/>
      <w:tblStyleColBandSize w:val="1"/>
      <w:tblBorders>
        <w:insideH w:val="single" w:sz="4" w:space="0" w:color="FFFFFF" w:themeColor="background1"/>
      </w:tblBorders>
    </w:tblPr>
    <w:tcPr>
      <w:shd w:val="clear" w:color="auto" w:fill="D5EBDA" w:themeFill="accent6" w:themeFillTint="33"/>
    </w:tcPr>
    <w:tblStylePr w:type="firstRow">
      <w:rPr>
        <w:b/>
        <w:bCs/>
      </w:rPr>
      <w:tblPr/>
      <w:tcPr>
        <w:shd w:val="clear" w:color="auto" w:fill="ACD8B5" w:themeFill="accent6" w:themeFillTint="66"/>
      </w:tcPr>
    </w:tblStylePr>
    <w:tblStylePr w:type="lastRow">
      <w:rPr>
        <w:b/>
        <w:bCs/>
        <w:color w:val="000000" w:themeColor="text1"/>
      </w:rPr>
      <w:tblPr/>
      <w:tcPr>
        <w:shd w:val="clear" w:color="auto" w:fill="ACD8B5" w:themeFill="accent6" w:themeFillTint="66"/>
      </w:tcPr>
    </w:tblStylePr>
    <w:tblStylePr w:type="firstCol">
      <w:rPr>
        <w:color w:val="FFFFFF" w:themeColor="background1"/>
      </w:rPr>
      <w:tblPr/>
      <w:tcPr>
        <w:shd w:val="clear" w:color="auto" w:fill="31693D" w:themeFill="accent6" w:themeFillShade="BF"/>
      </w:tcPr>
    </w:tblStylePr>
    <w:tblStylePr w:type="lastCol">
      <w:rPr>
        <w:color w:val="FFFFFF" w:themeColor="background1"/>
      </w:rPr>
      <w:tblPr/>
      <w:tcPr>
        <w:shd w:val="clear" w:color="auto" w:fill="31693D" w:themeFill="accent6" w:themeFillShade="BF"/>
      </w:tcPr>
    </w:tblStylePr>
    <w:tblStylePr w:type="band1Vert">
      <w:tblPr/>
      <w:tcPr>
        <w:shd w:val="clear" w:color="auto" w:fill="98CFA3" w:themeFill="accent6" w:themeFillTint="7F"/>
      </w:tcPr>
    </w:tblStylePr>
    <w:tblStylePr w:type="band1Horz">
      <w:tblPr/>
      <w:tcPr>
        <w:shd w:val="clear" w:color="auto" w:fill="98CFA3" w:themeFill="accent6" w:themeFillTint="7F"/>
      </w:tcPr>
    </w:tblStylePr>
  </w:style>
  <w:style w:type="table" w:styleId="ColorfulList">
    <w:name w:val="Colorful List"/>
    <w:basedOn w:val="TableNormal"/>
    <w:uiPriority w:val="72"/>
    <w:semiHidden/>
    <w:unhideWhenUsed/>
    <w:rsid w:val="009637A8"/>
    <w:pPr>
      <w:spacing w:after="0" w:line="240" w:lineRule="auto"/>
    </w:p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646464" w:themeFill="accent2" w:themeFillShade="CC"/>
      </w:tcPr>
    </w:tblStylePr>
    <w:tblStylePr w:type="lastRow">
      <w:rPr>
        <w:b/>
        <w:bCs/>
        <w:color w:val="646464"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semiHidden/>
    <w:unhideWhenUsed/>
    <w:rsid w:val="009637A8"/>
    <w:pPr>
      <w:spacing w:after="0" w:line="240" w:lineRule="auto"/>
    </w:pPr>
    <w:tblPr>
      <w:tblStyleRowBandSize w:val="1"/>
      <w:tblStyleColBandSize w:val="1"/>
    </w:tblPr>
    <w:tcPr>
      <w:shd w:val="clear" w:color="auto" w:fill="F5F3F8" w:themeFill="accent1" w:themeFillTint="19"/>
    </w:tcPr>
    <w:tblStylePr w:type="firstRow">
      <w:rPr>
        <w:b/>
        <w:bCs/>
        <w:color w:val="FFFFFF" w:themeColor="background1"/>
      </w:rPr>
      <w:tblPr/>
      <w:tcPr>
        <w:tcBorders>
          <w:bottom w:val="single" w:sz="12" w:space="0" w:color="FFFFFF" w:themeColor="background1"/>
        </w:tcBorders>
        <w:shd w:val="clear" w:color="auto" w:fill="646464" w:themeFill="accent2" w:themeFillShade="CC"/>
      </w:tcPr>
    </w:tblStylePr>
    <w:tblStylePr w:type="lastRow">
      <w:rPr>
        <w:b/>
        <w:bCs/>
        <w:color w:val="646464"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0EF" w:themeFill="accent1" w:themeFillTint="3F"/>
      </w:tcPr>
    </w:tblStylePr>
    <w:tblStylePr w:type="band1Horz">
      <w:tblPr/>
      <w:tcPr>
        <w:shd w:val="clear" w:color="auto" w:fill="EBE6F2" w:themeFill="accent1" w:themeFillTint="33"/>
      </w:tcPr>
    </w:tblStylePr>
  </w:style>
  <w:style w:type="table" w:styleId="ColorfulList-Accent2">
    <w:name w:val="Colorful List Accent 2"/>
    <w:basedOn w:val="TableNormal"/>
    <w:uiPriority w:val="72"/>
    <w:semiHidden/>
    <w:unhideWhenUsed/>
    <w:rsid w:val="009637A8"/>
    <w:pPr>
      <w:spacing w:after="0" w:line="240" w:lineRule="auto"/>
    </w:pPr>
    <w:tblPr>
      <w:tblStyleRowBandSize w:val="1"/>
      <w:tblStyleColBandSize w:val="1"/>
    </w:tblPr>
    <w:tcPr>
      <w:shd w:val="clear" w:color="auto" w:fill="F2F2F2" w:themeFill="accent2" w:themeFillTint="19"/>
    </w:tcPr>
    <w:tblStylePr w:type="firstRow">
      <w:rPr>
        <w:b/>
        <w:bCs/>
        <w:color w:val="FFFFFF" w:themeColor="background1"/>
      </w:rPr>
      <w:tblPr/>
      <w:tcPr>
        <w:tcBorders>
          <w:bottom w:val="single" w:sz="12" w:space="0" w:color="FFFFFF" w:themeColor="background1"/>
        </w:tcBorders>
        <w:shd w:val="clear" w:color="auto" w:fill="646464" w:themeFill="accent2" w:themeFillShade="CC"/>
      </w:tcPr>
    </w:tblStylePr>
    <w:tblStylePr w:type="lastRow">
      <w:rPr>
        <w:b/>
        <w:bCs/>
        <w:color w:val="646464"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EDEDE" w:themeFill="accent2" w:themeFillTint="3F"/>
      </w:tcPr>
    </w:tblStylePr>
    <w:tblStylePr w:type="band1Horz">
      <w:tblPr/>
      <w:tcPr>
        <w:shd w:val="clear" w:color="auto" w:fill="E5E5E5" w:themeFill="accent2" w:themeFillTint="33"/>
      </w:tcPr>
    </w:tblStylePr>
  </w:style>
  <w:style w:type="table" w:styleId="ColorfulList-Accent3">
    <w:name w:val="Colorful List Accent 3"/>
    <w:basedOn w:val="TableNormal"/>
    <w:uiPriority w:val="72"/>
    <w:semiHidden/>
    <w:unhideWhenUsed/>
    <w:rsid w:val="009637A8"/>
    <w:pPr>
      <w:spacing w:after="0" w:line="240" w:lineRule="auto"/>
    </w:pPr>
    <w:tblPr>
      <w:tblStyleRowBandSize w:val="1"/>
      <w:tblStyleColBandSize w:val="1"/>
    </w:tblPr>
    <w:tcPr>
      <w:shd w:val="clear" w:color="auto" w:fill="F9F9F9" w:themeFill="accent3" w:themeFillTint="19"/>
    </w:tcPr>
    <w:tblStylePr w:type="firstRow">
      <w:rPr>
        <w:b/>
        <w:bCs/>
        <w:color w:val="FFFFFF" w:themeColor="background1"/>
      </w:rPr>
      <w:tblPr/>
      <w:tcPr>
        <w:tcBorders>
          <w:bottom w:val="single" w:sz="12" w:space="0" w:color="FFFFFF" w:themeColor="background1"/>
        </w:tcBorders>
        <w:shd w:val="clear" w:color="auto" w:fill="00547F" w:themeFill="accent4" w:themeFillShade="CC"/>
      </w:tcPr>
    </w:tblStylePr>
    <w:tblStylePr w:type="lastRow">
      <w:rPr>
        <w:b/>
        <w:bCs/>
        <w:color w:val="00547F"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1F1F1" w:themeFill="accent3" w:themeFillTint="3F"/>
      </w:tcPr>
    </w:tblStylePr>
    <w:tblStylePr w:type="band1Horz">
      <w:tblPr/>
      <w:tcPr>
        <w:shd w:val="clear" w:color="auto" w:fill="F4F4F4" w:themeFill="accent3" w:themeFillTint="33"/>
      </w:tcPr>
    </w:tblStylePr>
  </w:style>
  <w:style w:type="table" w:styleId="ColorfulList-Accent4">
    <w:name w:val="Colorful List Accent 4"/>
    <w:basedOn w:val="TableNormal"/>
    <w:uiPriority w:val="72"/>
    <w:semiHidden/>
    <w:unhideWhenUsed/>
    <w:rsid w:val="009637A8"/>
    <w:pPr>
      <w:spacing w:after="0" w:line="240" w:lineRule="auto"/>
    </w:pPr>
    <w:tblPr>
      <w:tblStyleRowBandSize w:val="1"/>
      <w:tblStyleColBandSize w:val="1"/>
    </w:tblPr>
    <w:tcPr>
      <w:shd w:val="clear" w:color="auto" w:fill="DCF3FF" w:themeFill="accent4" w:themeFillTint="19"/>
    </w:tcPr>
    <w:tblStylePr w:type="firstRow">
      <w:rPr>
        <w:b/>
        <w:bCs/>
        <w:color w:val="FFFFFF" w:themeColor="background1"/>
      </w:rPr>
      <w:tblPr/>
      <w:tcPr>
        <w:tcBorders>
          <w:bottom w:val="single" w:sz="12" w:space="0" w:color="FFFFFF" w:themeColor="background1"/>
        </w:tcBorders>
        <w:shd w:val="clear" w:color="auto" w:fill="A0A0A0" w:themeFill="accent3" w:themeFillShade="CC"/>
      </w:tcPr>
    </w:tblStylePr>
    <w:tblStylePr w:type="lastRow">
      <w:rPr>
        <w:b/>
        <w:bCs/>
        <w:color w:val="A0A0A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8E2FF" w:themeFill="accent4" w:themeFillTint="3F"/>
      </w:tcPr>
    </w:tblStylePr>
    <w:tblStylePr w:type="band1Horz">
      <w:tblPr/>
      <w:tcPr>
        <w:shd w:val="clear" w:color="auto" w:fill="B8E7FF" w:themeFill="accent4" w:themeFillTint="33"/>
      </w:tcPr>
    </w:tblStylePr>
  </w:style>
  <w:style w:type="table" w:styleId="ColorfulList-Accent5">
    <w:name w:val="Colorful List Accent 5"/>
    <w:basedOn w:val="TableNormal"/>
    <w:uiPriority w:val="72"/>
    <w:semiHidden/>
    <w:unhideWhenUsed/>
    <w:rsid w:val="009637A8"/>
    <w:pPr>
      <w:spacing w:after="0" w:line="240" w:lineRule="auto"/>
    </w:pPr>
    <w:tblPr>
      <w:tblStyleRowBandSize w:val="1"/>
      <w:tblStyleColBandSize w:val="1"/>
    </w:tblPr>
    <w:tcPr>
      <w:shd w:val="clear" w:color="auto" w:fill="F2F8FB" w:themeFill="accent5" w:themeFillTint="19"/>
    </w:tcPr>
    <w:tblStylePr w:type="firstRow">
      <w:rPr>
        <w:b/>
        <w:bCs/>
        <w:color w:val="FFFFFF" w:themeColor="background1"/>
      </w:rPr>
      <w:tblPr/>
      <w:tcPr>
        <w:tcBorders>
          <w:bottom w:val="single" w:sz="12" w:space="0" w:color="FFFFFF" w:themeColor="background1"/>
        </w:tcBorders>
        <w:shd w:val="clear" w:color="auto" w:fill="347041" w:themeFill="accent6" w:themeFillShade="CC"/>
      </w:tcPr>
    </w:tblStylePr>
    <w:tblStylePr w:type="lastRow">
      <w:rPr>
        <w:b/>
        <w:bCs/>
        <w:color w:val="347041"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EEEF4" w:themeFill="accent5" w:themeFillTint="3F"/>
      </w:tcPr>
    </w:tblStylePr>
    <w:tblStylePr w:type="band1Horz">
      <w:tblPr/>
      <w:tcPr>
        <w:shd w:val="clear" w:color="auto" w:fill="E4F1F6" w:themeFill="accent5" w:themeFillTint="33"/>
      </w:tcPr>
    </w:tblStylePr>
  </w:style>
  <w:style w:type="table" w:styleId="ColorfulList-Accent6">
    <w:name w:val="Colorful List Accent 6"/>
    <w:basedOn w:val="TableNormal"/>
    <w:uiPriority w:val="72"/>
    <w:semiHidden/>
    <w:unhideWhenUsed/>
    <w:rsid w:val="009637A8"/>
    <w:pPr>
      <w:spacing w:after="0" w:line="240" w:lineRule="auto"/>
    </w:pPr>
    <w:tblPr>
      <w:tblStyleRowBandSize w:val="1"/>
      <w:tblStyleColBandSize w:val="1"/>
    </w:tblPr>
    <w:tcPr>
      <w:shd w:val="clear" w:color="auto" w:fill="EAF5EC" w:themeFill="accent6" w:themeFillTint="19"/>
    </w:tcPr>
    <w:tblStylePr w:type="firstRow">
      <w:rPr>
        <w:b/>
        <w:bCs/>
        <w:color w:val="FFFFFF" w:themeColor="background1"/>
      </w:rPr>
      <w:tblPr/>
      <w:tcPr>
        <w:tcBorders>
          <w:bottom w:val="single" w:sz="12" w:space="0" w:color="FFFFFF" w:themeColor="background1"/>
        </w:tcBorders>
        <w:shd w:val="clear" w:color="auto" w:fill="47A2C6" w:themeFill="accent5" w:themeFillShade="CC"/>
      </w:tcPr>
    </w:tblStylePr>
    <w:tblStylePr w:type="lastRow">
      <w:rPr>
        <w:b/>
        <w:bCs/>
        <w:color w:val="47A2C6"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BE7D1" w:themeFill="accent6" w:themeFillTint="3F"/>
      </w:tcPr>
    </w:tblStylePr>
    <w:tblStylePr w:type="band1Horz">
      <w:tblPr/>
      <w:tcPr>
        <w:shd w:val="clear" w:color="auto" w:fill="D5EBDA" w:themeFill="accent6" w:themeFillTint="33"/>
      </w:tcPr>
    </w:tblStylePr>
  </w:style>
  <w:style w:type="table" w:styleId="ColorfulShading">
    <w:name w:val="Colorful Shading"/>
    <w:basedOn w:val="TableNormal"/>
    <w:uiPriority w:val="71"/>
    <w:semiHidden/>
    <w:unhideWhenUsed/>
    <w:rsid w:val="009637A8"/>
    <w:pPr>
      <w:spacing w:after="0" w:line="240" w:lineRule="auto"/>
    </w:pPr>
    <w:tblPr>
      <w:tblStyleRowBandSize w:val="1"/>
      <w:tblStyleColBandSize w:val="1"/>
      <w:tblBorders>
        <w:top w:val="single" w:sz="24" w:space="0" w:color="7D7D7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7D7D7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semiHidden/>
    <w:unhideWhenUsed/>
    <w:rsid w:val="009637A8"/>
    <w:pPr>
      <w:spacing w:after="0" w:line="240" w:lineRule="auto"/>
    </w:pPr>
    <w:tblPr>
      <w:tblStyleRowBandSize w:val="1"/>
      <w:tblStyleColBandSize w:val="1"/>
      <w:tblBorders>
        <w:top w:val="single" w:sz="24" w:space="0" w:color="7D7D7D" w:themeColor="accent2"/>
        <w:left w:val="single" w:sz="4" w:space="0" w:color="9D85BE" w:themeColor="accent1"/>
        <w:bottom w:val="single" w:sz="4" w:space="0" w:color="9D85BE" w:themeColor="accent1"/>
        <w:right w:val="single" w:sz="4" w:space="0" w:color="9D85BE" w:themeColor="accent1"/>
        <w:insideH w:val="single" w:sz="4" w:space="0" w:color="FFFFFF" w:themeColor="background1"/>
        <w:insideV w:val="single" w:sz="4" w:space="0" w:color="FFFFFF" w:themeColor="background1"/>
      </w:tblBorders>
    </w:tblPr>
    <w:tcPr>
      <w:shd w:val="clear" w:color="auto" w:fill="F5F3F8" w:themeFill="accent1" w:themeFillTint="19"/>
    </w:tcPr>
    <w:tblStylePr w:type="firstRow">
      <w:rPr>
        <w:b/>
        <w:bCs/>
      </w:rPr>
      <w:tblPr/>
      <w:tcPr>
        <w:tcBorders>
          <w:top w:val="nil"/>
          <w:left w:val="nil"/>
          <w:bottom w:val="single" w:sz="24" w:space="0" w:color="7D7D7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C437E" w:themeFill="accent1" w:themeFillShade="99"/>
      </w:tcPr>
    </w:tblStylePr>
    <w:tblStylePr w:type="firstCol">
      <w:rPr>
        <w:color w:val="FFFFFF" w:themeColor="background1"/>
      </w:rPr>
      <w:tblPr/>
      <w:tcPr>
        <w:tcBorders>
          <w:top w:val="nil"/>
          <w:left w:val="nil"/>
          <w:bottom w:val="nil"/>
          <w:right w:val="nil"/>
          <w:insideH w:val="single" w:sz="4" w:space="0" w:color="5C437E" w:themeColor="accent1" w:themeShade="99"/>
          <w:insideV w:val="nil"/>
        </w:tcBorders>
        <w:shd w:val="clear" w:color="auto" w:fill="5C437E"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5C437E" w:themeFill="accent1" w:themeFillShade="99"/>
      </w:tcPr>
    </w:tblStylePr>
    <w:tblStylePr w:type="band1Vert">
      <w:tblPr/>
      <w:tcPr>
        <w:shd w:val="clear" w:color="auto" w:fill="D7CEE5" w:themeFill="accent1" w:themeFillTint="66"/>
      </w:tcPr>
    </w:tblStylePr>
    <w:tblStylePr w:type="band1Horz">
      <w:tblPr/>
      <w:tcPr>
        <w:shd w:val="clear" w:color="auto" w:fill="CEC2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semiHidden/>
    <w:unhideWhenUsed/>
    <w:rsid w:val="009637A8"/>
    <w:pPr>
      <w:spacing w:after="0" w:line="240" w:lineRule="auto"/>
    </w:pPr>
    <w:tblPr>
      <w:tblStyleRowBandSize w:val="1"/>
      <w:tblStyleColBandSize w:val="1"/>
      <w:tblBorders>
        <w:top w:val="single" w:sz="24" w:space="0" w:color="7D7D7D" w:themeColor="accent2"/>
        <w:left w:val="single" w:sz="4" w:space="0" w:color="7D7D7D" w:themeColor="accent2"/>
        <w:bottom w:val="single" w:sz="4" w:space="0" w:color="7D7D7D" w:themeColor="accent2"/>
        <w:right w:val="single" w:sz="4" w:space="0" w:color="7D7D7D" w:themeColor="accent2"/>
        <w:insideH w:val="single" w:sz="4" w:space="0" w:color="FFFFFF" w:themeColor="background1"/>
        <w:insideV w:val="single" w:sz="4" w:space="0" w:color="FFFFFF" w:themeColor="background1"/>
      </w:tblBorders>
    </w:tblPr>
    <w:tcPr>
      <w:shd w:val="clear" w:color="auto" w:fill="F2F2F2" w:themeFill="accent2" w:themeFillTint="19"/>
    </w:tcPr>
    <w:tblStylePr w:type="firstRow">
      <w:rPr>
        <w:b/>
        <w:bCs/>
      </w:rPr>
      <w:tblPr/>
      <w:tcPr>
        <w:tcBorders>
          <w:top w:val="nil"/>
          <w:left w:val="nil"/>
          <w:bottom w:val="single" w:sz="24" w:space="0" w:color="7D7D7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B4B4B" w:themeFill="accent2" w:themeFillShade="99"/>
      </w:tcPr>
    </w:tblStylePr>
    <w:tblStylePr w:type="firstCol">
      <w:rPr>
        <w:color w:val="FFFFFF" w:themeColor="background1"/>
      </w:rPr>
      <w:tblPr/>
      <w:tcPr>
        <w:tcBorders>
          <w:top w:val="nil"/>
          <w:left w:val="nil"/>
          <w:bottom w:val="nil"/>
          <w:right w:val="nil"/>
          <w:insideH w:val="single" w:sz="4" w:space="0" w:color="4B4B4B" w:themeColor="accent2" w:themeShade="99"/>
          <w:insideV w:val="nil"/>
        </w:tcBorders>
        <w:shd w:val="clear" w:color="auto" w:fill="4B4B4B"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4B4B4B" w:themeFill="accent2" w:themeFillShade="99"/>
      </w:tcPr>
    </w:tblStylePr>
    <w:tblStylePr w:type="band1Vert">
      <w:tblPr/>
      <w:tcPr>
        <w:shd w:val="clear" w:color="auto" w:fill="CBCBCB" w:themeFill="accent2" w:themeFillTint="66"/>
      </w:tcPr>
    </w:tblStylePr>
    <w:tblStylePr w:type="band1Horz">
      <w:tblPr/>
      <w:tcPr>
        <w:shd w:val="clear" w:color="auto" w:fill="BEBEBE"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semiHidden/>
    <w:unhideWhenUsed/>
    <w:rsid w:val="009637A8"/>
    <w:pPr>
      <w:spacing w:after="0" w:line="240" w:lineRule="auto"/>
    </w:pPr>
    <w:tblPr>
      <w:tblStyleRowBandSize w:val="1"/>
      <w:tblStyleColBandSize w:val="1"/>
      <w:tblBorders>
        <w:top w:val="single" w:sz="24" w:space="0" w:color="006A9F" w:themeColor="accent4"/>
        <w:left w:val="single" w:sz="4" w:space="0" w:color="C8C8C8" w:themeColor="accent3"/>
        <w:bottom w:val="single" w:sz="4" w:space="0" w:color="C8C8C8" w:themeColor="accent3"/>
        <w:right w:val="single" w:sz="4" w:space="0" w:color="C8C8C8" w:themeColor="accent3"/>
        <w:insideH w:val="single" w:sz="4" w:space="0" w:color="FFFFFF" w:themeColor="background1"/>
        <w:insideV w:val="single" w:sz="4" w:space="0" w:color="FFFFFF" w:themeColor="background1"/>
      </w:tblBorders>
    </w:tblPr>
    <w:tcPr>
      <w:shd w:val="clear" w:color="auto" w:fill="F9F9F9" w:themeFill="accent3" w:themeFillTint="19"/>
    </w:tcPr>
    <w:tblStylePr w:type="firstRow">
      <w:rPr>
        <w:b/>
        <w:bCs/>
      </w:rPr>
      <w:tblPr/>
      <w:tcPr>
        <w:tcBorders>
          <w:top w:val="nil"/>
          <w:left w:val="nil"/>
          <w:bottom w:val="single" w:sz="24" w:space="0" w:color="006A9F"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87878" w:themeFill="accent3" w:themeFillShade="99"/>
      </w:tcPr>
    </w:tblStylePr>
    <w:tblStylePr w:type="firstCol">
      <w:rPr>
        <w:color w:val="FFFFFF" w:themeColor="background1"/>
      </w:rPr>
      <w:tblPr/>
      <w:tcPr>
        <w:tcBorders>
          <w:top w:val="nil"/>
          <w:left w:val="nil"/>
          <w:bottom w:val="nil"/>
          <w:right w:val="nil"/>
          <w:insideH w:val="single" w:sz="4" w:space="0" w:color="787878" w:themeColor="accent3" w:themeShade="99"/>
          <w:insideV w:val="nil"/>
        </w:tcBorders>
        <w:shd w:val="clear" w:color="auto" w:fill="787878"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787878" w:themeFill="accent3" w:themeFillShade="99"/>
      </w:tcPr>
    </w:tblStylePr>
    <w:tblStylePr w:type="band1Vert">
      <w:tblPr/>
      <w:tcPr>
        <w:shd w:val="clear" w:color="auto" w:fill="E9E9E9" w:themeFill="accent3" w:themeFillTint="66"/>
      </w:tcPr>
    </w:tblStylePr>
    <w:tblStylePr w:type="band1Horz">
      <w:tblPr/>
      <w:tcPr>
        <w:shd w:val="clear" w:color="auto" w:fill="E3E3E3" w:themeFill="accent3" w:themeFillTint="7F"/>
      </w:tcPr>
    </w:tblStylePr>
  </w:style>
  <w:style w:type="table" w:styleId="ColorfulShading-Accent4">
    <w:name w:val="Colorful Shading Accent 4"/>
    <w:basedOn w:val="TableNormal"/>
    <w:uiPriority w:val="71"/>
    <w:semiHidden/>
    <w:unhideWhenUsed/>
    <w:rsid w:val="009637A8"/>
    <w:pPr>
      <w:spacing w:after="0" w:line="240" w:lineRule="auto"/>
    </w:pPr>
    <w:tblPr>
      <w:tblStyleRowBandSize w:val="1"/>
      <w:tblStyleColBandSize w:val="1"/>
      <w:tblBorders>
        <w:top w:val="single" w:sz="24" w:space="0" w:color="C8C8C8" w:themeColor="accent3"/>
        <w:left w:val="single" w:sz="4" w:space="0" w:color="006A9F" w:themeColor="accent4"/>
        <w:bottom w:val="single" w:sz="4" w:space="0" w:color="006A9F" w:themeColor="accent4"/>
        <w:right w:val="single" w:sz="4" w:space="0" w:color="006A9F" w:themeColor="accent4"/>
        <w:insideH w:val="single" w:sz="4" w:space="0" w:color="FFFFFF" w:themeColor="background1"/>
        <w:insideV w:val="single" w:sz="4" w:space="0" w:color="FFFFFF" w:themeColor="background1"/>
      </w:tblBorders>
    </w:tblPr>
    <w:tcPr>
      <w:shd w:val="clear" w:color="auto" w:fill="DCF3FF" w:themeFill="accent4" w:themeFillTint="19"/>
    </w:tcPr>
    <w:tblStylePr w:type="firstRow">
      <w:rPr>
        <w:b/>
        <w:bCs/>
      </w:rPr>
      <w:tblPr/>
      <w:tcPr>
        <w:tcBorders>
          <w:top w:val="nil"/>
          <w:left w:val="nil"/>
          <w:bottom w:val="single" w:sz="24" w:space="0" w:color="C8C8C8"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3F5F" w:themeFill="accent4" w:themeFillShade="99"/>
      </w:tcPr>
    </w:tblStylePr>
    <w:tblStylePr w:type="firstCol">
      <w:rPr>
        <w:color w:val="FFFFFF" w:themeColor="background1"/>
      </w:rPr>
      <w:tblPr/>
      <w:tcPr>
        <w:tcBorders>
          <w:top w:val="nil"/>
          <w:left w:val="nil"/>
          <w:bottom w:val="nil"/>
          <w:right w:val="nil"/>
          <w:insideH w:val="single" w:sz="4" w:space="0" w:color="003F5F" w:themeColor="accent4" w:themeShade="99"/>
          <w:insideV w:val="nil"/>
        </w:tcBorders>
        <w:shd w:val="clear" w:color="auto" w:fill="003F5F"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003F5F" w:themeFill="accent4" w:themeFillShade="99"/>
      </w:tcPr>
    </w:tblStylePr>
    <w:tblStylePr w:type="band1Vert">
      <w:tblPr/>
      <w:tcPr>
        <w:shd w:val="clear" w:color="auto" w:fill="72D0FF" w:themeFill="accent4" w:themeFillTint="66"/>
      </w:tcPr>
    </w:tblStylePr>
    <w:tblStylePr w:type="band1Horz">
      <w:tblPr/>
      <w:tcPr>
        <w:shd w:val="clear" w:color="auto" w:fill="50C4FF"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semiHidden/>
    <w:unhideWhenUsed/>
    <w:rsid w:val="009637A8"/>
    <w:pPr>
      <w:spacing w:after="0" w:line="240" w:lineRule="auto"/>
    </w:pPr>
    <w:tblPr>
      <w:tblStyleRowBandSize w:val="1"/>
      <w:tblStyleColBandSize w:val="1"/>
      <w:tblBorders>
        <w:top w:val="single" w:sz="24" w:space="0" w:color="428D52" w:themeColor="accent6"/>
        <w:left w:val="single" w:sz="4" w:space="0" w:color="7BBDD6" w:themeColor="accent5"/>
        <w:bottom w:val="single" w:sz="4" w:space="0" w:color="7BBDD6" w:themeColor="accent5"/>
        <w:right w:val="single" w:sz="4" w:space="0" w:color="7BBDD6" w:themeColor="accent5"/>
        <w:insideH w:val="single" w:sz="4" w:space="0" w:color="FFFFFF" w:themeColor="background1"/>
        <w:insideV w:val="single" w:sz="4" w:space="0" w:color="FFFFFF" w:themeColor="background1"/>
      </w:tblBorders>
    </w:tblPr>
    <w:tcPr>
      <w:shd w:val="clear" w:color="auto" w:fill="F2F8FB" w:themeFill="accent5" w:themeFillTint="19"/>
    </w:tcPr>
    <w:tblStylePr w:type="firstRow">
      <w:rPr>
        <w:b/>
        <w:bCs/>
      </w:rPr>
      <w:tblPr/>
      <w:tcPr>
        <w:tcBorders>
          <w:top w:val="nil"/>
          <w:left w:val="nil"/>
          <w:bottom w:val="single" w:sz="24" w:space="0" w:color="428D52"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307C9A" w:themeFill="accent5" w:themeFillShade="99"/>
      </w:tcPr>
    </w:tblStylePr>
    <w:tblStylePr w:type="firstCol">
      <w:rPr>
        <w:color w:val="FFFFFF" w:themeColor="background1"/>
      </w:rPr>
      <w:tblPr/>
      <w:tcPr>
        <w:tcBorders>
          <w:top w:val="nil"/>
          <w:left w:val="nil"/>
          <w:bottom w:val="nil"/>
          <w:right w:val="nil"/>
          <w:insideH w:val="single" w:sz="4" w:space="0" w:color="307C9A" w:themeColor="accent5" w:themeShade="99"/>
          <w:insideV w:val="nil"/>
        </w:tcBorders>
        <w:shd w:val="clear" w:color="auto" w:fill="307C9A"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307C9A" w:themeFill="accent5" w:themeFillShade="99"/>
      </w:tcPr>
    </w:tblStylePr>
    <w:tblStylePr w:type="band1Vert">
      <w:tblPr/>
      <w:tcPr>
        <w:shd w:val="clear" w:color="auto" w:fill="CAE4EE" w:themeFill="accent5" w:themeFillTint="66"/>
      </w:tcPr>
    </w:tblStylePr>
    <w:tblStylePr w:type="band1Horz">
      <w:tblPr/>
      <w:tcPr>
        <w:shd w:val="clear" w:color="auto" w:fill="BDDDEA"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semiHidden/>
    <w:unhideWhenUsed/>
    <w:rsid w:val="009637A8"/>
    <w:pPr>
      <w:spacing w:after="0" w:line="240" w:lineRule="auto"/>
    </w:pPr>
    <w:tblPr>
      <w:tblStyleRowBandSize w:val="1"/>
      <w:tblStyleColBandSize w:val="1"/>
      <w:tblBorders>
        <w:top w:val="single" w:sz="24" w:space="0" w:color="7BBDD6" w:themeColor="accent5"/>
        <w:left w:val="single" w:sz="4" w:space="0" w:color="428D52" w:themeColor="accent6"/>
        <w:bottom w:val="single" w:sz="4" w:space="0" w:color="428D52" w:themeColor="accent6"/>
        <w:right w:val="single" w:sz="4" w:space="0" w:color="428D52" w:themeColor="accent6"/>
        <w:insideH w:val="single" w:sz="4" w:space="0" w:color="FFFFFF" w:themeColor="background1"/>
        <w:insideV w:val="single" w:sz="4" w:space="0" w:color="FFFFFF" w:themeColor="background1"/>
      </w:tblBorders>
    </w:tblPr>
    <w:tcPr>
      <w:shd w:val="clear" w:color="auto" w:fill="EAF5EC" w:themeFill="accent6" w:themeFillTint="19"/>
    </w:tcPr>
    <w:tblStylePr w:type="firstRow">
      <w:rPr>
        <w:b/>
        <w:bCs/>
      </w:rPr>
      <w:tblPr/>
      <w:tcPr>
        <w:tcBorders>
          <w:top w:val="nil"/>
          <w:left w:val="nil"/>
          <w:bottom w:val="single" w:sz="24" w:space="0" w:color="7BBDD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5431" w:themeFill="accent6" w:themeFillShade="99"/>
      </w:tcPr>
    </w:tblStylePr>
    <w:tblStylePr w:type="firstCol">
      <w:rPr>
        <w:color w:val="FFFFFF" w:themeColor="background1"/>
      </w:rPr>
      <w:tblPr/>
      <w:tcPr>
        <w:tcBorders>
          <w:top w:val="nil"/>
          <w:left w:val="nil"/>
          <w:bottom w:val="nil"/>
          <w:right w:val="nil"/>
          <w:insideH w:val="single" w:sz="4" w:space="0" w:color="275431" w:themeColor="accent6" w:themeShade="99"/>
          <w:insideV w:val="nil"/>
        </w:tcBorders>
        <w:shd w:val="clear" w:color="auto" w:fill="275431"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275431" w:themeFill="accent6" w:themeFillShade="99"/>
      </w:tcPr>
    </w:tblStylePr>
    <w:tblStylePr w:type="band1Vert">
      <w:tblPr/>
      <w:tcPr>
        <w:shd w:val="clear" w:color="auto" w:fill="ACD8B5" w:themeFill="accent6" w:themeFillTint="66"/>
      </w:tcPr>
    </w:tblStylePr>
    <w:tblStylePr w:type="band1Horz">
      <w:tblPr/>
      <w:tcPr>
        <w:shd w:val="clear" w:color="auto" w:fill="98CFA3" w:themeFill="accent6" w:themeFillTint="7F"/>
      </w:tcPr>
    </w:tblStylePr>
    <w:tblStylePr w:type="neCell">
      <w:rPr>
        <w:color w:val="000000" w:themeColor="text1"/>
      </w:rPr>
    </w:tblStylePr>
    <w:tblStylePr w:type="nwCell">
      <w:rPr>
        <w:color w:val="000000" w:themeColor="text1"/>
      </w:rPr>
    </w:tblStylePr>
  </w:style>
  <w:style w:type="character" w:styleId="CommentReference">
    <w:name w:val="annotation reference"/>
    <w:basedOn w:val="DefaultParagraphFont"/>
    <w:uiPriority w:val="99"/>
    <w:semiHidden/>
    <w:unhideWhenUsed/>
    <w:rsid w:val="009637A8"/>
    <w:rPr>
      <w:color w:val="000000"/>
      <w:sz w:val="16"/>
      <w:szCs w:val="16"/>
    </w:rPr>
  </w:style>
  <w:style w:type="paragraph" w:styleId="CommentText">
    <w:name w:val="annotation text"/>
    <w:basedOn w:val="Normal"/>
    <w:link w:val="CommentTextChar"/>
    <w:uiPriority w:val="99"/>
    <w:unhideWhenUsed/>
    <w:rsid w:val="009637A8"/>
    <w:pPr>
      <w:spacing w:after="160"/>
    </w:pPr>
    <w:rPr>
      <w:sz w:val="20"/>
      <w:szCs w:val="20"/>
    </w:rPr>
  </w:style>
  <w:style w:type="character" w:customStyle="1" w:styleId="CommentTextChar">
    <w:name w:val="Comment Text Char"/>
    <w:basedOn w:val="DefaultParagraphFont"/>
    <w:link w:val="CommentText"/>
    <w:uiPriority w:val="99"/>
    <w:rsid w:val="009637A8"/>
    <w:rPr>
      <w:rFonts w:ascii="Arial" w:hAnsi="Arial" w:cs="Arial"/>
      <w:color w:val="000000"/>
      <w:sz w:val="20"/>
      <w:szCs w:val="20"/>
    </w:rPr>
  </w:style>
  <w:style w:type="paragraph" w:styleId="CommentSubject">
    <w:name w:val="annotation subject"/>
    <w:basedOn w:val="CommentText"/>
    <w:next w:val="CommentText"/>
    <w:link w:val="CommentSubjectChar"/>
    <w:uiPriority w:val="99"/>
    <w:semiHidden/>
    <w:unhideWhenUsed/>
    <w:rsid w:val="009637A8"/>
    <w:rPr>
      <w:b/>
      <w:bCs/>
    </w:rPr>
  </w:style>
  <w:style w:type="character" w:customStyle="1" w:styleId="CommentSubjectChar">
    <w:name w:val="Comment Subject Char"/>
    <w:basedOn w:val="CommentTextChar"/>
    <w:link w:val="CommentSubject"/>
    <w:uiPriority w:val="99"/>
    <w:semiHidden/>
    <w:rsid w:val="009637A8"/>
    <w:rPr>
      <w:rFonts w:ascii="Arial" w:hAnsi="Arial" w:cs="Arial"/>
      <w:b/>
      <w:bCs/>
      <w:color w:val="000000"/>
      <w:sz w:val="20"/>
      <w:szCs w:val="20"/>
    </w:rPr>
  </w:style>
  <w:style w:type="table" w:styleId="DarkList">
    <w:name w:val="Dark List"/>
    <w:basedOn w:val="TableNormal"/>
    <w:uiPriority w:val="70"/>
    <w:semiHidden/>
    <w:unhideWhenUsed/>
    <w:rsid w:val="009637A8"/>
    <w:pPr>
      <w:spacing w:after="0" w:line="240" w:lineRule="auto"/>
    </w:p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semiHidden/>
    <w:unhideWhenUsed/>
    <w:rsid w:val="009637A8"/>
    <w:pPr>
      <w:spacing w:after="0" w:line="240" w:lineRule="auto"/>
    </w:pPr>
    <w:tblPr>
      <w:tblStyleRowBandSize w:val="1"/>
      <w:tblStyleColBandSize w:val="1"/>
    </w:tblPr>
    <w:tcPr>
      <w:shd w:val="clear" w:color="auto" w:fill="9D85BE"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C3868"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72549D"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72549D" w:themeFill="accent1" w:themeFillShade="BF"/>
      </w:tcPr>
    </w:tblStylePr>
    <w:tblStylePr w:type="band1Vert">
      <w:tblPr/>
      <w:tcPr>
        <w:tcBorders>
          <w:top w:val="nil"/>
          <w:left w:val="nil"/>
          <w:bottom w:val="nil"/>
          <w:right w:val="nil"/>
          <w:insideH w:val="nil"/>
          <w:insideV w:val="nil"/>
        </w:tcBorders>
        <w:shd w:val="clear" w:color="auto" w:fill="72549D" w:themeFill="accent1" w:themeFillShade="BF"/>
      </w:tcPr>
    </w:tblStylePr>
    <w:tblStylePr w:type="band1Horz">
      <w:tblPr/>
      <w:tcPr>
        <w:tcBorders>
          <w:top w:val="nil"/>
          <w:left w:val="nil"/>
          <w:bottom w:val="nil"/>
          <w:right w:val="nil"/>
          <w:insideH w:val="nil"/>
          <w:insideV w:val="nil"/>
        </w:tcBorders>
        <w:shd w:val="clear" w:color="auto" w:fill="72549D" w:themeFill="accent1" w:themeFillShade="BF"/>
      </w:tcPr>
    </w:tblStylePr>
  </w:style>
  <w:style w:type="table" w:styleId="DarkList-Accent2">
    <w:name w:val="Dark List Accent 2"/>
    <w:basedOn w:val="TableNormal"/>
    <w:uiPriority w:val="70"/>
    <w:semiHidden/>
    <w:unhideWhenUsed/>
    <w:rsid w:val="009637A8"/>
    <w:pPr>
      <w:spacing w:after="0" w:line="240" w:lineRule="auto"/>
    </w:pPr>
    <w:tblPr>
      <w:tblStyleRowBandSize w:val="1"/>
      <w:tblStyleColBandSize w:val="1"/>
    </w:tblPr>
    <w:tcPr>
      <w:shd w:val="clear" w:color="auto" w:fill="7D7D7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E3E3E"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5D5D5D"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5D5D5D" w:themeFill="accent2" w:themeFillShade="BF"/>
      </w:tcPr>
    </w:tblStylePr>
    <w:tblStylePr w:type="band1Vert">
      <w:tblPr/>
      <w:tcPr>
        <w:tcBorders>
          <w:top w:val="nil"/>
          <w:left w:val="nil"/>
          <w:bottom w:val="nil"/>
          <w:right w:val="nil"/>
          <w:insideH w:val="nil"/>
          <w:insideV w:val="nil"/>
        </w:tcBorders>
        <w:shd w:val="clear" w:color="auto" w:fill="5D5D5D" w:themeFill="accent2" w:themeFillShade="BF"/>
      </w:tcPr>
    </w:tblStylePr>
    <w:tblStylePr w:type="band1Horz">
      <w:tblPr/>
      <w:tcPr>
        <w:tcBorders>
          <w:top w:val="nil"/>
          <w:left w:val="nil"/>
          <w:bottom w:val="nil"/>
          <w:right w:val="nil"/>
          <w:insideH w:val="nil"/>
          <w:insideV w:val="nil"/>
        </w:tcBorders>
        <w:shd w:val="clear" w:color="auto" w:fill="5D5D5D" w:themeFill="accent2" w:themeFillShade="BF"/>
      </w:tcPr>
    </w:tblStylePr>
  </w:style>
  <w:style w:type="table" w:styleId="DarkList-Accent3">
    <w:name w:val="Dark List Accent 3"/>
    <w:basedOn w:val="TableNormal"/>
    <w:uiPriority w:val="70"/>
    <w:semiHidden/>
    <w:unhideWhenUsed/>
    <w:rsid w:val="009637A8"/>
    <w:pPr>
      <w:spacing w:after="0" w:line="240" w:lineRule="auto"/>
    </w:pPr>
    <w:tblPr>
      <w:tblStyleRowBandSize w:val="1"/>
      <w:tblStyleColBandSize w:val="1"/>
    </w:tblPr>
    <w:tcPr>
      <w:shd w:val="clear" w:color="auto" w:fill="C8C8C8"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36363"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959595"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959595" w:themeFill="accent3" w:themeFillShade="BF"/>
      </w:tcPr>
    </w:tblStylePr>
    <w:tblStylePr w:type="band1Vert">
      <w:tblPr/>
      <w:tcPr>
        <w:tcBorders>
          <w:top w:val="nil"/>
          <w:left w:val="nil"/>
          <w:bottom w:val="nil"/>
          <w:right w:val="nil"/>
          <w:insideH w:val="nil"/>
          <w:insideV w:val="nil"/>
        </w:tcBorders>
        <w:shd w:val="clear" w:color="auto" w:fill="959595" w:themeFill="accent3" w:themeFillShade="BF"/>
      </w:tcPr>
    </w:tblStylePr>
    <w:tblStylePr w:type="band1Horz">
      <w:tblPr/>
      <w:tcPr>
        <w:tcBorders>
          <w:top w:val="nil"/>
          <w:left w:val="nil"/>
          <w:bottom w:val="nil"/>
          <w:right w:val="nil"/>
          <w:insideH w:val="nil"/>
          <w:insideV w:val="nil"/>
        </w:tcBorders>
        <w:shd w:val="clear" w:color="auto" w:fill="959595" w:themeFill="accent3" w:themeFillShade="BF"/>
      </w:tcPr>
    </w:tblStylePr>
  </w:style>
  <w:style w:type="table" w:styleId="DarkList-Accent4">
    <w:name w:val="Dark List Accent 4"/>
    <w:basedOn w:val="TableNormal"/>
    <w:uiPriority w:val="70"/>
    <w:semiHidden/>
    <w:unhideWhenUsed/>
    <w:rsid w:val="009637A8"/>
    <w:pPr>
      <w:spacing w:after="0" w:line="240" w:lineRule="auto"/>
    </w:pPr>
    <w:tblPr>
      <w:tblStyleRowBandSize w:val="1"/>
      <w:tblStyleColBandSize w:val="1"/>
    </w:tblPr>
    <w:tcPr>
      <w:shd w:val="clear" w:color="auto" w:fill="006A9F"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344F"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004F77"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004F77" w:themeFill="accent4" w:themeFillShade="BF"/>
      </w:tcPr>
    </w:tblStylePr>
    <w:tblStylePr w:type="band1Vert">
      <w:tblPr/>
      <w:tcPr>
        <w:tcBorders>
          <w:top w:val="nil"/>
          <w:left w:val="nil"/>
          <w:bottom w:val="nil"/>
          <w:right w:val="nil"/>
          <w:insideH w:val="nil"/>
          <w:insideV w:val="nil"/>
        </w:tcBorders>
        <w:shd w:val="clear" w:color="auto" w:fill="004F77" w:themeFill="accent4" w:themeFillShade="BF"/>
      </w:tcPr>
    </w:tblStylePr>
    <w:tblStylePr w:type="band1Horz">
      <w:tblPr/>
      <w:tcPr>
        <w:tcBorders>
          <w:top w:val="nil"/>
          <w:left w:val="nil"/>
          <w:bottom w:val="nil"/>
          <w:right w:val="nil"/>
          <w:insideH w:val="nil"/>
          <w:insideV w:val="nil"/>
        </w:tcBorders>
        <w:shd w:val="clear" w:color="auto" w:fill="004F77" w:themeFill="accent4" w:themeFillShade="BF"/>
      </w:tcPr>
    </w:tblStylePr>
  </w:style>
  <w:style w:type="table" w:styleId="DarkList-Accent5">
    <w:name w:val="Dark List Accent 5"/>
    <w:basedOn w:val="TableNormal"/>
    <w:uiPriority w:val="70"/>
    <w:semiHidden/>
    <w:unhideWhenUsed/>
    <w:rsid w:val="009637A8"/>
    <w:pPr>
      <w:spacing w:after="0" w:line="240" w:lineRule="auto"/>
    </w:pPr>
    <w:tblPr>
      <w:tblStyleRowBandSize w:val="1"/>
      <w:tblStyleColBandSize w:val="1"/>
    </w:tblPr>
    <w:tcPr>
      <w:shd w:val="clear" w:color="auto" w:fill="7BBDD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7677F"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C9BC0"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C9BC0" w:themeFill="accent5" w:themeFillShade="BF"/>
      </w:tcPr>
    </w:tblStylePr>
    <w:tblStylePr w:type="band1Vert">
      <w:tblPr/>
      <w:tcPr>
        <w:tcBorders>
          <w:top w:val="nil"/>
          <w:left w:val="nil"/>
          <w:bottom w:val="nil"/>
          <w:right w:val="nil"/>
          <w:insideH w:val="nil"/>
          <w:insideV w:val="nil"/>
        </w:tcBorders>
        <w:shd w:val="clear" w:color="auto" w:fill="3C9BC0" w:themeFill="accent5" w:themeFillShade="BF"/>
      </w:tcPr>
    </w:tblStylePr>
    <w:tblStylePr w:type="band1Horz">
      <w:tblPr/>
      <w:tcPr>
        <w:tcBorders>
          <w:top w:val="nil"/>
          <w:left w:val="nil"/>
          <w:bottom w:val="nil"/>
          <w:right w:val="nil"/>
          <w:insideH w:val="nil"/>
          <w:insideV w:val="nil"/>
        </w:tcBorders>
        <w:shd w:val="clear" w:color="auto" w:fill="3C9BC0" w:themeFill="accent5" w:themeFillShade="BF"/>
      </w:tcPr>
    </w:tblStylePr>
  </w:style>
  <w:style w:type="table" w:styleId="DarkList-Accent6">
    <w:name w:val="Dark List Accent 6"/>
    <w:basedOn w:val="TableNormal"/>
    <w:uiPriority w:val="70"/>
    <w:semiHidden/>
    <w:unhideWhenUsed/>
    <w:rsid w:val="009637A8"/>
    <w:pPr>
      <w:spacing w:after="0" w:line="240" w:lineRule="auto"/>
    </w:pPr>
    <w:tblPr>
      <w:tblStyleRowBandSize w:val="1"/>
      <w:tblStyleColBandSize w:val="1"/>
    </w:tblPr>
    <w:tcPr>
      <w:shd w:val="clear" w:color="auto" w:fill="428D52"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14628"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31693D"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31693D" w:themeFill="accent6" w:themeFillShade="BF"/>
      </w:tcPr>
    </w:tblStylePr>
    <w:tblStylePr w:type="band1Vert">
      <w:tblPr/>
      <w:tcPr>
        <w:tcBorders>
          <w:top w:val="nil"/>
          <w:left w:val="nil"/>
          <w:bottom w:val="nil"/>
          <w:right w:val="nil"/>
          <w:insideH w:val="nil"/>
          <w:insideV w:val="nil"/>
        </w:tcBorders>
        <w:shd w:val="clear" w:color="auto" w:fill="31693D" w:themeFill="accent6" w:themeFillShade="BF"/>
      </w:tcPr>
    </w:tblStylePr>
    <w:tblStylePr w:type="band1Horz">
      <w:tblPr/>
      <w:tcPr>
        <w:tcBorders>
          <w:top w:val="nil"/>
          <w:left w:val="nil"/>
          <w:bottom w:val="nil"/>
          <w:right w:val="nil"/>
          <w:insideH w:val="nil"/>
          <w:insideV w:val="nil"/>
        </w:tcBorders>
        <w:shd w:val="clear" w:color="auto" w:fill="31693D" w:themeFill="accent6" w:themeFillShade="BF"/>
      </w:tcPr>
    </w:tblStylePr>
  </w:style>
  <w:style w:type="paragraph" w:styleId="Date">
    <w:name w:val="Date"/>
    <w:basedOn w:val="Normal"/>
    <w:next w:val="Normal"/>
    <w:link w:val="DateChar"/>
    <w:uiPriority w:val="99"/>
    <w:semiHidden/>
    <w:unhideWhenUsed/>
    <w:rsid w:val="009637A8"/>
    <w:pPr>
      <w:spacing w:after="160" w:line="259" w:lineRule="auto"/>
    </w:pPr>
  </w:style>
  <w:style w:type="character" w:customStyle="1" w:styleId="DateChar">
    <w:name w:val="Date Char"/>
    <w:basedOn w:val="DefaultParagraphFont"/>
    <w:link w:val="Date"/>
    <w:uiPriority w:val="99"/>
    <w:semiHidden/>
    <w:rsid w:val="009637A8"/>
    <w:rPr>
      <w:rFonts w:ascii="Arial" w:hAnsi="Arial" w:cs="Arial"/>
      <w:color w:val="000000"/>
      <w:sz w:val="19"/>
    </w:rPr>
  </w:style>
  <w:style w:type="paragraph" w:styleId="DocumentMap">
    <w:name w:val="Document Map"/>
    <w:basedOn w:val="Normal"/>
    <w:link w:val="DocumentMapChar"/>
    <w:uiPriority w:val="99"/>
    <w:semiHidden/>
    <w:unhideWhenUsed/>
    <w:rsid w:val="009637A8"/>
    <w:pPr>
      <w:spacing w:after="0"/>
    </w:pPr>
    <w:rPr>
      <w:sz w:val="16"/>
      <w:szCs w:val="16"/>
    </w:rPr>
  </w:style>
  <w:style w:type="character" w:customStyle="1" w:styleId="DocumentMapChar">
    <w:name w:val="Document Map Char"/>
    <w:basedOn w:val="DefaultParagraphFont"/>
    <w:link w:val="DocumentMap"/>
    <w:uiPriority w:val="99"/>
    <w:semiHidden/>
    <w:rsid w:val="009637A8"/>
    <w:rPr>
      <w:rFonts w:ascii="Arial" w:hAnsi="Arial" w:cs="Arial"/>
      <w:color w:val="000000"/>
      <w:sz w:val="16"/>
      <w:szCs w:val="16"/>
    </w:rPr>
  </w:style>
  <w:style w:type="paragraph" w:styleId="E-mailSignature">
    <w:name w:val="E-mail Signature"/>
    <w:basedOn w:val="Normal"/>
    <w:link w:val="E-mailSignatureChar"/>
    <w:uiPriority w:val="99"/>
    <w:semiHidden/>
    <w:unhideWhenUsed/>
    <w:rsid w:val="009637A8"/>
    <w:pPr>
      <w:spacing w:after="0"/>
    </w:pPr>
  </w:style>
  <w:style w:type="character" w:customStyle="1" w:styleId="E-mailSignatureChar">
    <w:name w:val="E-mail Signature Char"/>
    <w:basedOn w:val="DefaultParagraphFont"/>
    <w:link w:val="E-mailSignature"/>
    <w:uiPriority w:val="99"/>
    <w:semiHidden/>
    <w:rsid w:val="009637A8"/>
    <w:rPr>
      <w:rFonts w:ascii="Arial" w:hAnsi="Arial" w:cs="Arial"/>
      <w:color w:val="000000"/>
      <w:sz w:val="19"/>
    </w:rPr>
  </w:style>
  <w:style w:type="character" w:styleId="Emphasis">
    <w:name w:val="Emphasis"/>
    <w:basedOn w:val="DefaultParagraphFont"/>
    <w:uiPriority w:val="20"/>
    <w:qFormat/>
    <w:rsid w:val="009637A8"/>
    <w:rPr>
      <w:i/>
      <w:iCs/>
      <w:color w:val="000000"/>
    </w:rPr>
  </w:style>
  <w:style w:type="character" w:styleId="EndnoteReference">
    <w:name w:val="endnote reference"/>
    <w:basedOn w:val="DefaultParagraphFont"/>
    <w:uiPriority w:val="99"/>
    <w:semiHidden/>
    <w:unhideWhenUsed/>
    <w:rsid w:val="009637A8"/>
    <w:rPr>
      <w:color w:val="000000"/>
      <w:vertAlign w:val="superscript"/>
    </w:rPr>
  </w:style>
  <w:style w:type="paragraph" w:styleId="EndnoteText">
    <w:name w:val="endnote text"/>
    <w:basedOn w:val="Normal"/>
    <w:link w:val="EndnoteTextChar"/>
    <w:uiPriority w:val="99"/>
    <w:semiHidden/>
    <w:unhideWhenUsed/>
    <w:rsid w:val="009637A8"/>
    <w:pPr>
      <w:spacing w:after="0"/>
    </w:pPr>
    <w:rPr>
      <w:sz w:val="20"/>
      <w:szCs w:val="20"/>
    </w:rPr>
  </w:style>
  <w:style w:type="character" w:customStyle="1" w:styleId="EndnoteTextChar">
    <w:name w:val="Endnote Text Char"/>
    <w:basedOn w:val="DefaultParagraphFont"/>
    <w:link w:val="EndnoteText"/>
    <w:uiPriority w:val="99"/>
    <w:semiHidden/>
    <w:rsid w:val="009637A8"/>
    <w:rPr>
      <w:rFonts w:ascii="Arial" w:hAnsi="Arial" w:cs="Arial"/>
      <w:color w:val="000000"/>
      <w:sz w:val="20"/>
      <w:szCs w:val="20"/>
    </w:rPr>
  </w:style>
  <w:style w:type="paragraph" w:styleId="EnvelopeAddress">
    <w:name w:val="envelope address"/>
    <w:basedOn w:val="Normal"/>
    <w:uiPriority w:val="99"/>
    <w:semiHidden/>
    <w:unhideWhenUsed/>
    <w:rsid w:val="009637A8"/>
    <w:pPr>
      <w:framePr w:w="7920" w:h="1980" w:hRule="exact" w:hSpace="180" w:wrap="auto" w:hAnchor="page" w:xAlign="center" w:yAlign="bottom"/>
      <w:spacing w:after="0"/>
      <w:ind w:left="2880"/>
    </w:pPr>
    <w:rPr>
      <w:rFonts w:eastAsiaTheme="majorEastAsia"/>
      <w:sz w:val="24"/>
      <w:szCs w:val="24"/>
    </w:rPr>
  </w:style>
  <w:style w:type="paragraph" w:styleId="EnvelopeReturn">
    <w:name w:val="envelope return"/>
    <w:basedOn w:val="Normal"/>
    <w:uiPriority w:val="99"/>
    <w:semiHidden/>
    <w:unhideWhenUsed/>
    <w:rsid w:val="009637A8"/>
    <w:pPr>
      <w:spacing w:after="0"/>
    </w:pPr>
    <w:rPr>
      <w:rFonts w:eastAsiaTheme="majorEastAsia"/>
      <w:sz w:val="20"/>
      <w:szCs w:val="20"/>
    </w:rPr>
  </w:style>
  <w:style w:type="character" w:styleId="FollowedHyperlink">
    <w:name w:val="FollowedHyperlink"/>
    <w:basedOn w:val="DefaultParagraphFont"/>
    <w:uiPriority w:val="99"/>
    <w:semiHidden/>
    <w:unhideWhenUsed/>
    <w:rsid w:val="009637A8"/>
    <w:rPr>
      <w:color w:val="000000"/>
      <w:u w:val="single"/>
    </w:rPr>
  </w:style>
  <w:style w:type="paragraph" w:styleId="Footer">
    <w:name w:val="footer"/>
    <w:basedOn w:val="Normal-nospace"/>
    <w:link w:val="FooterChar"/>
    <w:uiPriority w:val="99"/>
    <w:unhideWhenUsed/>
    <w:rsid w:val="00B649EB"/>
    <w:pPr>
      <w:tabs>
        <w:tab w:val="center" w:pos="4513"/>
        <w:tab w:val="right" w:pos="9026"/>
      </w:tabs>
      <w:spacing w:line="240" w:lineRule="auto"/>
    </w:pPr>
    <w:rPr>
      <w:sz w:val="15"/>
    </w:rPr>
  </w:style>
  <w:style w:type="character" w:customStyle="1" w:styleId="FooterChar">
    <w:name w:val="Footer Char"/>
    <w:basedOn w:val="DefaultParagraphFont"/>
    <w:link w:val="Footer"/>
    <w:uiPriority w:val="99"/>
    <w:rsid w:val="00B649EB"/>
    <w:rPr>
      <w:rFonts w:ascii="Arial" w:hAnsi="Arial" w:cs="Arial"/>
      <w:color w:val="000000"/>
      <w:sz w:val="15"/>
    </w:rPr>
  </w:style>
  <w:style w:type="character" w:styleId="FootnoteReference">
    <w:name w:val="footnote reference"/>
    <w:aliases w:val="fr,(NECG) Footnote Reference,o,Style 6 + 12 pt,SFG_Footnote_Reference,Style 6,Style 20,(NECG) Footnote Reference1,(NECG) Footnote Reference2,(NECG) Footnote Reference3,(NECG) Footnote Reference4,(NECG) Footnote Reference5,Style 3"/>
    <w:basedOn w:val="DefaultParagraphFont"/>
    <w:uiPriority w:val="99"/>
    <w:unhideWhenUsed/>
    <w:qFormat/>
    <w:rsid w:val="009637A8"/>
    <w:rPr>
      <w:color w:val="000000"/>
      <w:vertAlign w:val="superscript"/>
    </w:rPr>
  </w:style>
  <w:style w:type="paragraph" w:styleId="FootnoteText">
    <w:name w:val="footnote text"/>
    <w:aliases w:val="Footnote Text Char Char,APVMA_Footnote,fn,FT,ft,SD Footnote Text,Footnote Text AG,(NECG) Footnote Text,Footnote,Footnote Text2,Footnote Text1,(NECG) Footnote Text1,ALTS FOOTNOTE,Footnote text,AR Footnote Text,ALTS FOOTNOTE Char1,f"/>
    <w:basedOn w:val="Normal-nospace"/>
    <w:link w:val="FootnoteTextChar"/>
    <w:uiPriority w:val="99"/>
    <w:unhideWhenUsed/>
    <w:qFormat/>
    <w:rsid w:val="00606AB8"/>
    <w:pPr>
      <w:spacing w:after="90" w:line="240" w:lineRule="auto"/>
    </w:pPr>
    <w:rPr>
      <w:sz w:val="20"/>
      <w:szCs w:val="20"/>
    </w:rPr>
  </w:style>
  <w:style w:type="character" w:customStyle="1" w:styleId="FootnoteTextChar">
    <w:name w:val="Footnote Text Char"/>
    <w:aliases w:val="Footnote Text Char Char Char,APVMA_Footnote Char,fn Char,FT Char,ft Char,SD Footnote Text Char,Footnote Text AG Char,(NECG) Footnote Text Char,Footnote Char,Footnote Text2 Char,Footnote Text1 Char,(NECG) Footnote Text1 Char,f Char"/>
    <w:basedOn w:val="DefaultParagraphFont"/>
    <w:link w:val="FootnoteText"/>
    <w:uiPriority w:val="99"/>
    <w:rsid w:val="00606AB8"/>
    <w:rPr>
      <w:rFonts w:ascii="Arial" w:hAnsi="Arial" w:cs="Arial"/>
      <w:color w:val="000000"/>
      <w:sz w:val="20"/>
      <w:szCs w:val="20"/>
    </w:rPr>
  </w:style>
  <w:style w:type="table" w:styleId="GridTable1Light">
    <w:name w:val="Grid Table 1 Light"/>
    <w:basedOn w:val="TableNormal"/>
    <w:uiPriority w:val="46"/>
    <w:rsid w:val="009637A8"/>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9637A8"/>
    <w:pPr>
      <w:spacing w:after="0" w:line="240" w:lineRule="auto"/>
    </w:pPr>
    <w:tblPr>
      <w:tblStyleRowBandSize w:val="1"/>
      <w:tblStyleColBandSize w:val="1"/>
      <w:tblBorders>
        <w:top w:val="single" w:sz="4" w:space="0" w:color="D7CEE5" w:themeColor="accent1" w:themeTint="66"/>
        <w:left w:val="single" w:sz="4" w:space="0" w:color="D7CEE5" w:themeColor="accent1" w:themeTint="66"/>
        <w:bottom w:val="single" w:sz="4" w:space="0" w:color="D7CEE5" w:themeColor="accent1" w:themeTint="66"/>
        <w:right w:val="single" w:sz="4" w:space="0" w:color="D7CEE5" w:themeColor="accent1" w:themeTint="66"/>
        <w:insideH w:val="single" w:sz="4" w:space="0" w:color="D7CEE5" w:themeColor="accent1" w:themeTint="66"/>
        <w:insideV w:val="single" w:sz="4" w:space="0" w:color="D7CEE5" w:themeColor="accent1" w:themeTint="66"/>
      </w:tblBorders>
    </w:tblPr>
    <w:tblStylePr w:type="firstRow">
      <w:rPr>
        <w:b/>
        <w:bCs/>
      </w:rPr>
      <w:tblPr/>
      <w:tcPr>
        <w:tcBorders>
          <w:bottom w:val="single" w:sz="12" w:space="0" w:color="C4B5D8" w:themeColor="accent1" w:themeTint="99"/>
        </w:tcBorders>
      </w:tcPr>
    </w:tblStylePr>
    <w:tblStylePr w:type="lastRow">
      <w:rPr>
        <w:b/>
        <w:bCs/>
      </w:rPr>
      <w:tblPr/>
      <w:tcPr>
        <w:tcBorders>
          <w:top w:val="double" w:sz="2" w:space="0" w:color="C4B5D8"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9637A8"/>
    <w:pPr>
      <w:spacing w:after="0" w:line="240" w:lineRule="auto"/>
    </w:pPr>
    <w:tblPr>
      <w:tblStyleRowBandSize w:val="1"/>
      <w:tblStyleColBandSize w:val="1"/>
      <w:tblBorders>
        <w:top w:val="single" w:sz="4" w:space="0" w:color="CBCBCB" w:themeColor="accent2" w:themeTint="66"/>
        <w:left w:val="single" w:sz="4" w:space="0" w:color="CBCBCB" w:themeColor="accent2" w:themeTint="66"/>
        <w:bottom w:val="single" w:sz="4" w:space="0" w:color="CBCBCB" w:themeColor="accent2" w:themeTint="66"/>
        <w:right w:val="single" w:sz="4" w:space="0" w:color="CBCBCB" w:themeColor="accent2" w:themeTint="66"/>
        <w:insideH w:val="single" w:sz="4" w:space="0" w:color="CBCBCB" w:themeColor="accent2" w:themeTint="66"/>
        <w:insideV w:val="single" w:sz="4" w:space="0" w:color="CBCBCB" w:themeColor="accent2" w:themeTint="66"/>
      </w:tblBorders>
    </w:tblPr>
    <w:tblStylePr w:type="firstRow">
      <w:rPr>
        <w:b/>
        <w:bCs/>
      </w:rPr>
      <w:tblPr/>
      <w:tcPr>
        <w:tcBorders>
          <w:bottom w:val="single" w:sz="12" w:space="0" w:color="B1B1B1" w:themeColor="accent2" w:themeTint="99"/>
        </w:tcBorders>
      </w:tcPr>
    </w:tblStylePr>
    <w:tblStylePr w:type="lastRow">
      <w:rPr>
        <w:b/>
        <w:bCs/>
      </w:rPr>
      <w:tblPr/>
      <w:tcPr>
        <w:tcBorders>
          <w:top w:val="double" w:sz="2" w:space="0" w:color="B1B1B1"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9637A8"/>
    <w:pPr>
      <w:spacing w:after="0" w:line="240" w:lineRule="auto"/>
    </w:pPr>
    <w:tblPr>
      <w:tblStyleRowBandSize w:val="1"/>
      <w:tblStyleColBandSize w:val="1"/>
      <w:tblBorders>
        <w:top w:val="single" w:sz="4" w:space="0" w:color="E9E9E9" w:themeColor="accent3" w:themeTint="66"/>
        <w:left w:val="single" w:sz="4" w:space="0" w:color="E9E9E9" w:themeColor="accent3" w:themeTint="66"/>
        <w:bottom w:val="single" w:sz="4" w:space="0" w:color="E9E9E9" w:themeColor="accent3" w:themeTint="66"/>
        <w:right w:val="single" w:sz="4" w:space="0" w:color="E9E9E9" w:themeColor="accent3" w:themeTint="66"/>
        <w:insideH w:val="single" w:sz="4" w:space="0" w:color="E9E9E9" w:themeColor="accent3" w:themeTint="66"/>
        <w:insideV w:val="single" w:sz="4" w:space="0" w:color="E9E9E9" w:themeColor="accent3" w:themeTint="66"/>
      </w:tblBorders>
    </w:tblPr>
    <w:tblStylePr w:type="firstRow">
      <w:rPr>
        <w:b/>
        <w:bCs/>
      </w:rPr>
      <w:tblPr/>
      <w:tcPr>
        <w:tcBorders>
          <w:bottom w:val="single" w:sz="12" w:space="0" w:color="DEDEDE" w:themeColor="accent3" w:themeTint="99"/>
        </w:tcBorders>
      </w:tcPr>
    </w:tblStylePr>
    <w:tblStylePr w:type="lastRow">
      <w:rPr>
        <w:b/>
        <w:bCs/>
      </w:rPr>
      <w:tblPr/>
      <w:tcPr>
        <w:tcBorders>
          <w:top w:val="double" w:sz="2" w:space="0" w:color="DEDEDE"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9637A8"/>
    <w:pPr>
      <w:spacing w:after="0" w:line="240" w:lineRule="auto"/>
    </w:pPr>
    <w:tblPr>
      <w:tblStyleRowBandSize w:val="1"/>
      <w:tblStyleColBandSize w:val="1"/>
      <w:tblBorders>
        <w:top w:val="single" w:sz="4" w:space="0" w:color="72D0FF" w:themeColor="accent4" w:themeTint="66"/>
        <w:left w:val="single" w:sz="4" w:space="0" w:color="72D0FF" w:themeColor="accent4" w:themeTint="66"/>
        <w:bottom w:val="single" w:sz="4" w:space="0" w:color="72D0FF" w:themeColor="accent4" w:themeTint="66"/>
        <w:right w:val="single" w:sz="4" w:space="0" w:color="72D0FF" w:themeColor="accent4" w:themeTint="66"/>
        <w:insideH w:val="single" w:sz="4" w:space="0" w:color="72D0FF" w:themeColor="accent4" w:themeTint="66"/>
        <w:insideV w:val="single" w:sz="4" w:space="0" w:color="72D0FF" w:themeColor="accent4" w:themeTint="66"/>
      </w:tblBorders>
    </w:tblPr>
    <w:tblStylePr w:type="firstRow">
      <w:rPr>
        <w:b/>
        <w:bCs/>
      </w:rPr>
      <w:tblPr/>
      <w:tcPr>
        <w:tcBorders>
          <w:bottom w:val="single" w:sz="12" w:space="0" w:color="2CB8FF" w:themeColor="accent4" w:themeTint="99"/>
        </w:tcBorders>
      </w:tcPr>
    </w:tblStylePr>
    <w:tblStylePr w:type="lastRow">
      <w:rPr>
        <w:b/>
        <w:bCs/>
      </w:rPr>
      <w:tblPr/>
      <w:tcPr>
        <w:tcBorders>
          <w:top w:val="double" w:sz="2" w:space="0" w:color="2CB8FF"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9637A8"/>
    <w:pPr>
      <w:spacing w:after="0" w:line="240" w:lineRule="auto"/>
    </w:pPr>
    <w:tblPr>
      <w:tblStyleRowBandSize w:val="1"/>
      <w:tblStyleColBandSize w:val="1"/>
      <w:tblBorders>
        <w:top w:val="single" w:sz="4" w:space="0" w:color="CAE4EE" w:themeColor="accent5" w:themeTint="66"/>
        <w:left w:val="single" w:sz="4" w:space="0" w:color="CAE4EE" w:themeColor="accent5" w:themeTint="66"/>
        <w:bottom w:val="single" w:sz="4" w:space="0" w:color="CAE4EE" w:themeColor="accent5" w:themeTint="66"/>
        <w:right w:val="single" w:sz="4" w:space="0" w:color="CAE4EE" w:themeColor="accent5" w:themeTint="66"/>
        <w:insideH w:val="single" w:sz="4" w:space="0" w:color="CAE4EE" w:themeColor="accent5" w:themeTint="66"/>
        <w:insideV w:val="single" w:sz="4" w:space="0" w:color="CAE4EE" w:themeColor="accent5" w:themeTint="66"/>
      </w:tblBorders>
    </w:tblPr>
    <w:tblStylePr w:type="firstRow">
      <w:rPr>
        <w:b/>
        <w:bCs/>
      </w:rPr>
      <w:tblPr/>
      <w:tcPr>
        <w:tcBorders>
          <w:bottom w:val="single" w:sz="12" w:space="0" w:color="AFD7E6" w:themeColor="accent5" w:themeTint="99"/>
        </w:tcBorders>
      </w:tcPr>
    </w:tblStylePr>
    <w:tblStylePr w:type="lastRow">
      <w:rPr>
        <w:b/>
        <w:bCs/>
      </w:rPr>
      <w:tblPr/>
      <w:tcPr>
        <w:tcBorders>
          <w:top w:val="double" w:sz="2" w:space="0" w:color="AFD7E6"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9637A8"/>
    <w:pPr>
      <w:spacing w:after="0" w:line="240" w:lineRule="auto"/>
    </w:pPr>
    <w:tblPr>
      <w:tblStyleRowBandSize w:val="1"/>
      <w:tblStyleColBandSize w:val="1"/>
      <w:tblBorders>
        <w:top w:val="single" w:sz="4" w:space="0" w:color="ACD8B5" w:themeColor="accent6" w:themeTint="66"/>
        <w:left w:val="single" w:sz="4" w:space="0" w:color="ACD8B5" w:themeColor="accent6" w:themeTint="66"/>
        <w:bottom w:val="single" w:sz="4" w:space="0" w:color="ACD8B5" w:themeColor="accent6" w:themeTint="66"/>
        <w:right w:val="single" w:sz="4" w:space="0" w:color="ACD8B5" w:themeColor="accent6" w:themeTint="66"/>
        <w:insideH w:val="single" w:sz="4" w:space="0" w:color="ACD8B5" w:themeColor="accent6" w:themeTint="66"/>
        <w:insideV w:val="single" w:sz="4" w:space="0" w:color="ACD8B5" w:themeColor="accent6" w:themeTint="66"/>
      </w:tblBorders>
    </w:tblPr>
    <w:tblStylePr w:type="firstRow">
      <w:rPr>
        <w:b/>
        <w:bCs/>
      </w:rPr>
      <w:tblPr/>
      <w:tcPr>
        <w:tcBorders>
          <w:bottom w:val="single" w:sz="12" w:space="0" w:color="83C590" w:themeColor="accent6" w:themeTint="99"/>
        </w:tcBorders>
      </w:tcPr>
    </w:tblStylePr>
    <w:tblStylePr w:type="lastRow">
      <w:rPr>
        <w:b/>
        <w:bCs/>
      </w:rPr>
      <w:tblPr/>
      <w:tcPr>
        <w:tcBorders>
          <w:top w:val="double" w:sz="2" w:space="0" w:color="83C590"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rsid w:val="009637A8"/>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2-Accent1">
    <w:name w:val="Grid Table 2 Accent 1"/>
    <w:basedOn w:val="TableNormal"/>
    <w:uiPriority w:val="47"/>
    <w:rsid w:val="009637A8"/>
    <w:pPr>
      <w:spacing w:after="0" w:line="240" w:lineRule="auto"/>
    </w:pPr>
    <w:tblPr>
      <w:tblStyleRowBandSize w:val="1"/>
      <w:tblStyleColBandSize w:val="1"/>
      <w:tblBorders>
        <w:top w:val="single" w:sz="2" w:space="0" w:color="C4B5D8" w:themeColor="accent1" w:themeTint="99"/>
        <w:bottom w:val="single" w:sz="2" w:space="0" w:color="C4B5D8" w:themeColor="accent1" w:themeTint="99"/>
        <w:insideH w:val="single" w:sz="2" w:space="0" w:color="C4B5D8" w:themeColor="accent1" w:themeTint="99"/>
        <w:insideV w:val="single" w:sz="2" w:space="0" w:color="C4B5D8" w:themeColor="accent1" w:themeTint="99"/>
      </w:tblBorders>
    </w:tblPr>
    <w:tblStylePr w:type="firstRow">
      <w:rPr>
        <w:b/>
        <w:bCs/>
      </w:rPr>
      <w:tblPr/>
      <w:tcPr>
        <w:tcBorders>
          <w:top w:val="nil"/>
          <w:bottom w:val="single" w:sz="12" w:space="0" w:color="C4B5D8" w:themeColor="accent1" w:themeTint="99"/>
          <w:insideH w:val="nil"/>
          <w:insideV w:val="nil"/>
        </w:tcBorders>
        <w:shd w:val="clear" w:color="auto" w:fill="FFFFFF" w:themeFill="background1"/>
      </w:tcPr>
    </w:tblStylePr>
    <w:tblStylePr w:type="lastRow">
      <w:rPr>
        <w:b/>
        <w:bCs/>
      </w:rPr>
      <w:tblPr/>
      <w:tcPr>
        <w:tcBorders>
          <w:top w:val="double" w:sz="2" w:space="0" w:color="C4B5D8"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BE6F2" w:themeFill="accent1" w:themeFillTint="33"/>
      </w:tcPr>
    </w:tblStylePr>
    <w:tblStylePr w:type="band1Horz">
      <w:tblPr/>
      <w:tcPr>
        <w:shd w:val="clear" w:color="auto" w:fill="EBE6F2" w:themeFill="accent1" w:themeFillTint="33"/>
      </w:tcPr>
    </w:tblStylePr>
  </w:style>
  <w:style w:type="table" w:styleId="GridTable2-Accent2">
    <w:name w:val="Grid Table 2 Accent 2"/>
    <w:basedOn w:val="TableNormal"/>
    <w:uiPriority w:val="47"/>
    <w:rsid w:val="009637A8"/>
    <w:pPr>
      <w:spacing w:after="0" w:line="240" w:lineRule="auto"/>
    </w:pPr>
    <w:tblPr>
      <w:tblStyleRowBandSize w:val="1"/>
      <w:tblStyleColBandSize w:val="1"/>
      <w:tblBorders>
        <w:top w:val="single" w:sz="2" w:space="0" w:color="B1B1B1" w:themeColor="accent2" w:themeTint="99"/>
        <w:bottom w:val="single" w:sz="2" w:space="0" w:color="B1B1B1" w:themeColor="accent2" w:themeTint="99"/>
        <w:insideH w:val="single" w:sz="2" w:space="0" w:color="B1B1B1" w:themeColor="accent2" w:themeTint="99"/>
        <w:insideV w:val="single" w:sz="2" w:space="0" w:color="B1B1B1" w:themeColor="accent2" w:themeTint="99"/>
      </w:tblBorders>
    </w:tblPr>
    <w:tblStylePr w:type="firstRow">
      <w:rPr>
        <w:b/>
        <w:bCs/>
      </w:rPr>
      <w:tblPr/>
      <w:tcPr>
        <w:tcBorders>
          <w:top w:val="nil"/>
          <w:bottom w:val="single" w:sz="12" w:space="0" w:color="B1B1B1" w:themeColor="accent2" w:themeTint="99"/>
          <w:insideH w:val="nil"/>
          <w:insideV w:val="nil"/>
        </w:tcBorders>
        <w:shd w:val="clear" w:color="auto" w:fill="FFFFFF" w:themeFill="background1"/>
      </w:tcPr>
    </w:tblStylePr>
    <w:tblStylePr w:type="lastRow">
      <w:rPr>
        <w:b/>
        <w:bCs/>
      </w:rPr>
      <w:tblPr/>
      <w:tcPr>
        <w:tcBorders>
          <w:top w:val="double" w:sz="2" w:space="0" w:color="B1B1B1"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5E5E5" w:themeFill="accent2" w:themeFillTint="33"/>
      </w:tcPr>
    </w:tblStylePr>
    <w:tblStylePr w:type="band1Horz">
      <w:tblPr/>
      <w:tcPr>
        <w:shd w:val="clear" w:color="auto" w:fill="E5E5E5" w:themeFill="accent2" w:themeFillTint="33"/>
      </w:tcPr>
    </w:tblStylePr>
  </w:style>
  <w:style w:type="table" w:styleId="GridTable2-Accent3">
    <w:name w:val="Grid Table 2 Accent 3"/>
    <w:basedOn w:val="TableNormal"/>
    <w:uiPriority w:val="47"/>
    <w:rsid w:val="009637A8"/>
    <w:pPr>
      <w:spacing w:after="0" w:line="240" w:lineRule="auto"/>
    </w:pPr>
    <w:tblPr>
      <w:tblStyleRowBandSize w:val="1"/>
      <w:tblStyleColBandSize w:val="1"/>
      <w:tblBorders>
        <w:top w:val="single" w:sz="2" w:space="0" w:color="DEDEDE" w:themeColor="accent3" w:themeTint="99"/>
        <w:bottom w:val="single" w:sz="2" w:space="0" w:color="DEDEDE" w:themeColor="accent3" w:themeTint="99"/>
        <w:insideH w:val="single" w:sz="2" w:space="0" w:color="DEDEDE" w:themeColor="accent3" w:themeTint="99"/>
        <w:insideV w:val="single" w:sz="2" w:space="0" w:color="DEDEDE" w:themeColor="accent3" w:themeTint="99"/>
      </w:tblBorders>
    </w:tblPr>
    <w:tblStylePr w:type="firstRow">
      <w:rPr>
        <w:b/>
        <w:bCs/>
      </w:rPr>
      <w:tblPr/>
      <w:tcPr>
        <w:tcBorders>
          <w:top w:val="nil"/>
          <w:bottom w:val="single" w:sz="12" w:space="0" w:color="DEDEDE" w:themeColor="accent3" w:themeTint="99"/>
          <w:insideH w:val="nil"/>
          <w:insideV w:val="nil"/>
        </w:tcBorders>
        <w:shd w:val="clear" w:color="auto" w:fill="FFFFFF" w:themeFill="background1"/>
      </w:tcPr>
    </w:tblStylePr>
    <w:tblStylePr w:type="lastRow">
      <w:rPr>
        <w:b/>
        <w:bCs/>
      </w:rPr>
      <w:tblPr/>
      <w:tcPr>
        <w:tcBorders>
          <w:top w:val="double" w:sz="2" w:space="0" w:color="DEDEDE"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4F4F4" w:themeFill="accent3" w:themeFillTint="33"/>
      </w:tcPr>
    </w:tblStylePr>
    <w:tblStylePr w:type="band1Horz">
      <w:tblPr/>
      <w:tcPr>
        <w:shd w:val="clear" w:color="auto" w:fill="F4F4F4" w:themeFill="accent3" w:themeFillTint="33"/>
      </w:tcPr>
    </w:tblStylePr>
  </w:style>
  <w:style w:type="table" w:styleId="GridTable2-Accent4">
    <w:name w:val="Grid Table 2 Accent 4"/>
    <w:basedOn w:val="TableNormal"/>
    <w:uiPriority w:val="47"/>
    <w:rsid w:val="009637A8"/>
    <w:pPr>
      <w:spacing w:after="0" w:line="240" w:lineRule="auto"/>
    </w:pPr>
    <w:tblPr>
      <w:tblStyleRowBandSize w:val="1"/>
      <w:tblStyleColBandSize w:val="1"/>
      <w:tblBorders>
        <w:top w:val="single" w:sz="2" w:space="0" w:color="2CB8FF" w:themeColor="accent4" w:themeTint="99"/>
        <w:bottom w:val="single" w:sz="2" w:space="0" w:color="2CB8FF" w:themeColor="accent4" w:themeTint="99"/>
        <w:insideH w:val="single" w:sz="2" w:space="0" w:color="2CB8FF" w:themeColor="accent4" w:themeTint="99"/>
        <w:insideV w:val="single" w:sz="2" w:space="0" w:color="2CB8FF" w:themeColor="accent4" w:themeTint="99"/>
      </w:tblBorders>
    </w:tblPr>
    <w:tblStylePr w:type="firstRow">
      <w:rPr>
        <w:b/>
        <w:bCs/>
      </w:rPr>
      <w:tblPr/>
      <w:tcPr>
        <w:tcBorders>
          <w:top w:val="nil"/>
          <w:bottom w:val="single" w:sz="12" w:space="0" w:color="2CB8FF" w:themeColor="accent4" w:themeTint="99"/>
          <w:insideH w:val="nil"/>
          <w:insideV w:val="nil"/>
        </w:tcBorders>
        <w:shd w:val="clear" w:color="auto" w:fill="FFFFFF" w:themeFill="background1"/>
      </w:tcPr>
    </w:tblStylePr>
    <w:tblStylePr w:type="lastRow">
      <w:rPr>
        <w:b/>
        <w:bCs/>
      </w:rPr>
      <w:tblPr/>
      <w:tcPr>
        <w:tcBorders>
          <w:top w:val="double" w:sz="2" w:space="0" w:color="2CB8FF"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8E7FF" w:themeFill="accent4" w:themeFillTint="33"/>
      </w:tcPr>
    </w:tblStylePr>
    <w:tblStylePr w:type="band1Horz">
      <w:tblPr/>
      <w:tcPr>
        <w:shd w:val="clear" w:color="auto" w:fill="B8E7FF" w:themeFill="accent4" w:themeFillTint="33"/>
      </w:tcPr>
    </w:tblStylePr>
  </w:style>
  <w:style w:type="table" w:styleId="GridTable2-Accent5">
    <w:name w:val="Grid Table 2 Accent 5"/>
    <w:basedOn w:val="TableNormal"/>
    <w:uiPriority w:val="47"/>
    <w:rsid w:val="009637A8"/>
    <w:pPr>
      <w:spacing w:after="0" w:line="240" w:lineRule="auto"/>
    </w:pPr>
    <w:tblPr>
      <w:tblStyleRowBandSize w:val="1"/>
      <w:tblStyleColBandSize w:val="1"/>
      <w:tblBorders>
        <w:top w:val="single" w:sz="2" w:space="0" w:color="AFD7E6" w:themeColor="accent5" w:themeTint="99"/>
        <w:bottom w:val="single" w:sz="2" w:space="0" w:color="AFD7E6" w:themeColor="accent5" w:themeTint="99"/>
        <w:insideH w:val="single" w:sz="2" w:space="0" w:color="AFD7E6" w:themeColor="accent5" w:themeTint="99"/>
        <w:insideV w:val="single" w:sz="2" w:space="0" w:color="AFD7E6" w:themeColor="accent5" w:themeTint="99"/>
      </w:tblBorders>
    </w:tblPr>
    <w:tblStylePr w:type="firstRow">
      <w:rPr>
        <w:b/>
        <w:bCs/>
      </w:rPr>
      <w:tblPr/>
      <w:tcPr>
        <w:tcBorders>
          <w:top w:val="nil"/>
          <w:bottom w:val="single" w:sz="12" w:space="0" w:color="AFD7E6" w:themeColor="accent5" w:themeTint="99"/>
          <w:insideH w:val="nil"/>
          <w:insideV w:val="nil"/>
        </w:tcBorders>
        <w:shd w:val="clear" w:color="auto" w:fill="FFFFFF" w:themeFill="background1"/>
      </w:tcPr>
    </w:tblStylePr>
    <w:tblStylePr w:type="lastRow">
      <w:rPr>
        <w:b/>
        <w:bCs/>
      </w:rPr>
      <w:tblPr/>
      <w:tcPr>
        <w:tcBorders>
          <w:top w:val="double" w:sz="2" w:space="0" w:color="AFD7E6"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4F1F6" w:themeFill="accent5" w:themeFillTint="33"/>
      </w:tcPr>
    </w:tblStylePr>
    <w:tblStylePr w:type="band1Horz">
      <w:tblPr/>
      <w:tcPr>
        <w:shd w:val="clear" w:color="auto" w:fill="E4F1F6" w:themeFill="accent5" w:themeFillTint="33"/>
      </w:tcPr>
    </w:tblStylePr>
  </w:style>
  <w:style w:type="table" w:styleId="GridTable2-Accent6">
    <w:name w:val="Grid Table 2 Accent 6"/>
    <w:basedOn w:val="TableNormal"/>
    <w:uiPriority w:val="47"/>
    <w:rsid w:val="009637A8"/>
    <w:pPr>
      <w:spacing w:after="0" w:line="240" w:lineRule="auto"/>
    </w:pPr>
    <w:tblPr>
      <w:tblStyleRowBandSize w:val="1"/>
      <w:tblStyleColBandSize w:val="1"/>
      <w:tblBorders>
        <w:top w:val="single" w:sz="2" w:space="0" w:color="83C590" w:themeColor="accent6" w:themeTint="99"/>
        <w:bottom w:val="single" w:sz="2" w:space="0" w:color="83C590" w:themeColor="accent6" w:themeTint="99"/>
        <w:insideH w:val="single" w:sz="2" w:space="0" w:color="83C590" w:themeColor="accent6" w:themeTint="99"/>
        <w:insideV w:val="single" w:sz="2" w:space="0" w:color="83C590" w:themeColor="accent6" w:themeTint="99"/>
      </w:tblBorders>
    </w:tblPr>
    <w:tblStylePr w:type="firstRow">
      <w:rPr>
        <w:b/>
        <w:bCs/>
      </w:rPr>
      <w:tblPr/>
      <w:tcPr>
        <w:tcBorders>
          <w:top w:val="nil"/>
          <w:bottom w:val="single" w:sz="12" w:space="0" w:color="83C590" w:themeColor="accent6" w:themeTint="99"/>
          <w:insideH w:val="nil"/>
          <w:insideV w:val="nil"/>
        </w:tcBorders>
        <w:shd w:val="clear" w:color="auto" w:fill="FFFFFF" w:themeFill="background1"/>
      </w:tcPr>
    </w:tblStylePr>
    <w:tblStylePr w:type="lastRow">
      <w:rPr>
        <w:b/>
        <w:bCs/>
      </w:rPr>
      <w:tblPr/>
      <w:tcPr>
        <w:tcBorders>
          <w:top w:val="double" w:sz="2" w:space="0" w:color="83C590"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5EBDA" w:themeFill="accent6" w:themeFillTint="33"/>
      </w:tcPr>
    </w:tblStylePr>
    <w:tblStylePr w:type="band1Horz">
      <w:tblPr/>
      <w:tcPr>
        <w:shd w:val="clear" w:color="auto" w:fill="D5EBDA" w:themeFill="accent6" w:themeFillTint="33"/>
      </w:tcPr>
    </w:tblStylePr>
  </w:style>
  <w:style w:type="table" w:styleId="GridTable3">
    <w:name w:val="Grid Table 3"/>
    <w:basedOn w:val="TableNormal"/>
    <w:uiPriority w:val="48"/>
    <w:rsid w:val="009637A8"/>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9637A8"/>
    <w:pPr>
      <w:spacing w:after="0" w:line="240" w:lineRule="auto"/>
    </w:pPr>
    <w:tblPr>
      <w:tblStyleRowBandSize w:val="1"/>
      <w:tblStyleColBandSize w:val="1"/>
      <w:tblBorders>
        <w:top w:val="single" w:sz="4" w:space="0" w:color="C4B5D8" w:themeColor="accent1" w:themeTint="99"/>
        <w:left w:val="single" w:sz="4" w:space="0" w:color="C4B5D8" w:themeColor="accent1" w:themeTint="99"/>
        <w:bottom w:val="single" w:sz="4" w:space="0" w:color="C4B5D8" w:themeColor="accent1" w:themeTint="99"/>
        <w:right w:val="single" w:sz="4" w:space="0" w:color="C4B5D8" w:themeColor="accent1" w:themeTint="99"/>
        <w:insideH w:val="single" w:sz="4" w:space="0" w:color="C4B5D8" w:themeColor="accent1" w:themeTint="99"/>
        <w:insideV w:val="single" w:sz="4" w:space="0" w:color="C4B5D8"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BE6F2" w:themeFill="accent1" w:themeFillTint="33"/>
      </w:tcPr>
    </w:tblStylePr>
    <w:tblStylePr w:type="band1Horz">
      <w:tblPr/>
      <w:tcPr>
        <w:shd w:val="clear" w:color="auto" w:fill="EBE6F2" w:themeFill="accent1" w:themeFillTint="33"/>
      </w:tcPr>
    </w:tblStylePr>
    <w:tblStylePr w:type="neCell">
      <w:tblPr/>
      <w:tcPr>
        <w:tcBorders>
          <w:bottom w:val="single" w:sz="4" w:space="0" w:color="C4B5D8" w:themeColor="accent1" w:themeTint="99"/>
        </w:tcBorders>
      </w:tcPr>
    </w:tblStylePr>
    <w:tblStylePr w:type="nwCell">
      <w:tblPr/>
      <w:tcPr>
        <w:tcBorders>
          <w:bottom w:val="single" w:sz="4" w:space="0" w:color="C4B5D8" w:themeColor="accent1" w:themeTint="99"/>
        </w:tcBorders>
      </w:tcPr>
    </w:tblStylePr>
    <w:tblStylePr w:type="seCell">
      <w:tblPr/>
      <w:tcPr>
        <w:tcBorders>
          <w:top w:val="single" w:sz="4" w:space="0" w:color="C4B5D8" w:themeColor="accent1" w:themeTint="99"/>
        </w:tcBorders>
      </w:tcPr>
    </w:tblStylePr>
    <w:tblStylePr w:type="swCell">
      <w:tblPr/>
      <w:tcPr>
        <w:tcBorders>
          <w:top w:val="single" w:sz="4" w:space="0" w:color="C4B5D8" w:themeColor="accent1" w:themeTint="99"/>
        </w:tcBorders>
      </w:tcPr>
    </w:tblStylePr>
  </w:style>
  <w:style w:type="table" w:styleId="GridTable3-Accent2">
    <w:name w:val="Grid Table 3 Accent 2"/>
    <w:basedOn w:val="TableNormal"/>
    <w:uiPriority w:val="48"/>
    <w:rsid w:val="009637A8"/>
    <w:pPr>
      <w:spacing w:after="0" w:line="240" w:lineRule="auto"/>
    </w:pPr>
    <w:tblPr>
      <w:tblStyleRowBandSize w:val="1"/>
      <w:tblStyleColBandSize w:val="1"/>
      <w:tblBorders>
        <w:top w:val="single" w:sz="4" w:space="0" w:color="B1B1B1" w:themeColor="accent2" w:themeTint="99"/>
        <w:left w:val="single" w:sz="4" w:space="0" w:color="B1B1B1" w:themeColor="accent2" w:themeTint="99"/>
        <w:bottom w:val="single" w:sz="4" w:space="0" w:color="B1B1B1" w:themeColor="accent2" w:themeTint="99"/>
        <w:right w:val="single" w:sz="4" w:space="0" w:color="B1B1B1" w:themeColor="accent2" w:themeTint="99"/>
        <w:insideH w:val="single" w:sz="4" w:space="0" w:color="B1B1B1" w:themeColor="accent2" w:themeTint="99"/>
        <w:insideV w:val="single" w:sz="4" w:space="0" w:color="B1B1B1"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5E5E5" w:themeFill="accent2" w:themeFillTint="33"/>
      </w:tcPr>
    </w:tblStylePr>
    <w:tblStylePr w:type="band1Horz">
      <w:tblPr/>
      <w:tcPr>
        <w:shd w:val="clear" w:color="auto" w:fill="E5E5E5" w:themeFill="accent2" w:themeFillTint="33"/>
      </w:tcPr>
    </w:tblStylePr>
    <w:tblStylePr w:type="neCell">
      <w:tblPr/>
      <w:tcPr>
        <w:tcBorders>
          <w:bottom w:val="single" w:sz="4" w:space="0" w:color="B1B1B1" w:themeColor="accent2" w:themeTint="99"/>
        </w:tcBorders>
      </w:tcPr>
    </w:tblStylePr>
    <w:tblStylePr w:type="nwCell">
      <w:tblPr/>
      <w:tcPr>
        <w:tcBorders>
          <w:bottom w:val="single" w:sz="4" w:space="0" w:color="B1B1B1" w:themeColor="accent2" w:themeTint="99"/>
        </w:tcBorders>
      </w:tcPr>
    </w:tblStylePr>
    <w:tblStylePr w:type="seCell">
      <w:tblPr/>
      <w:tcPr>
        <w:tcBorders>
          <w:top w:val="single" w:sz="4" w:space="0" w:color="B1B1B1" w:themeColor="accent2" w:themeTint="99"/>
        </w:tcBorders>
      </w:tcPr>
    </w:tblStylePr>
    <w:tblStylePr w:type="swCell">
      <w:tblPr/>
      <w:tcPr>
        <w:tcBorders>
          <w:top w:val="single" w:sz="4" w:space="0" w:color="B1B1B1" w:themeColor="accent2" w:themeTint="99"/>
        </w:tcBorders>
      </w:tcPr>
    </w:tblStylePr>
  </w:style>
  <w:style w:type="table" w:styleId="GridTable3-Accent3">
    <w:name w:val="Grid Table 3 Accent 3"/>
    <w:basedOn w:val="TableNormal"/>
    <w:uiPriority w:val="48"/>
    <w:rsid w:val="009637A8"/>
    <w:pPr>
      <w:spacing w:after="0" w:line="240" w:lineRule="auto"/>
    </w:pPr>
    <w:tblPr>
      <w:tblStyleRowBandSize w:val="1"/>
      <w:tblStyleColBandSize w:val="1"/>
      <w:tblBorders>
        <w:top w:val="single" w:sz="4" w:space="0" w:color="DEDEDE" w:themeColor="accent3" w:themeTint="99"/>
        <w:left w:val="single" w:sz="4" w:space="0" w:color="DEDEDE" w:themeColor="accent3" w:themeTint="99"/>
        <w:bottom w:val="single" w:sz="4" w:space="0" w:color="DEDEDE" w:themeColor="accent3" w:themeTint="99"/>
        <w:right w:val="single" w:sz="4" w:space="0" w:color="DEDEDE" w:themeColor="accent3" w:themeTint="99"/>
        <w:insideH w:val="single" w:sz="4" w:space="0" w:color="DEDEDE" w:themeColor="accent3" w:themeTint="99"/>
        <w:insideV w:val="single" w:sz="4" w:space="0" w:color="DEDEDE"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4F4F4" w:themeFill="accent3" w:themeFillTint="33"/>
      </w:tcPr>
    </w:tblStylePr>
    <w:tblStylePr w:type="band1Horz">
      <w:tblPr/>
      <w:tcPr>
        <w:shd w:val="clear" w:color="auto" w:fill="F4F4F4" w:themeFill="accent3" w:themeFillTint="33"/>
      </w:tcPr>
    </w:tblStylePr>
    <w:tblStylePr w:type="neCell">
      <w:tblPr/>
      <w:tcPr>
        <w:tcBorders>
          <w:bottom w:val="single" w:sz="4" w:space="0" w:color="DEDEDE" w:themeColor="accent3" w:themeTint="99"/>
        </w:tcBorders>
      </w:tcPr>
    </w:tblStylePr>
    <w:tblStylePr w:type="nwCell">
      <w:tblPr/>
      <w:tcPr>
        <w:tcBorders>
          <w:bottom w:val="single" w:sz="4" w:space="0" w:color="DEDEDE" w:themeColor="accent3" w:themeTint="99"/>
        </w:tcBorders>
      </w:tcPr>
    </w:tblStylePr>
    <w:tblStylePr w:type="seCell">
      <w:tblPr/>
      <w:tcPr>
        <w:tcBorders>
          <w:top w:val="single" w:sz="4" w:space="0" w:color="DEDEDE" w:themeColor="accent3" w:themeTint="99"/>
        </w:tcBorders>
      </w:tcPr>
    </w:tblStylePr>
    <w:tblStylePr w:type="swCell">
      <w:tblPr/>
      <w:tcPr>
        <w:tcBorders>
          <w:top w:val="single" w:sz="4" w:space="0" w:color="DEDEDE" w:themeColor="accent3" w:themeTint="99"/>
        </w:tcBorders>
      </w:tcPr>
    </w:tblStylePr>
  </w:style>
  <w:style w:type="table" w:styleId="GridTable3-Accent4">
    <w:name w:val="Grid Table 3 Accent 4"/>
    <w:basedOn w:val="TableNormal"/>
    <w:uiPriority w:val="48"/>
    <w:rsid w:val="009637A8"/>
    <w:pPr>
      <w:spacing w:after="0" w:line="240" w:lineRule="auto"/>
    </w:pPr>
    <w:tblPr>
      <w:tblStyleRowBandSize w:val="1"/>
      <w:tblStyleColBandSize w:val="1"/>
      <w:tblBorders>
        <w:top w:val="single" w:sz="4" w:space="0" w:color="2CB8FF" w:themeColor="accent4" w:themeTint="99"/>
        <w:left w:val="single" w:sz="4" w:space="0" w:color="2CB8FF" w:themeColor="accent4" w:themeTint="99"/>
        <w:bottom w:val="single" w:sz="4" w:space="0" w:color="2CB8FF" w:themeColor="accent4" w:themeTint="99"/>
        <w:right w:val="single" w:sz="4" w:space="0" w:color="2CB8FF" w:themeColor="accent4" w:themeTint="99"/>
        <w:insideH w:val="single" w:sz="4" w:space="0" w:color="2CB8FF" w:themeColor="accent4" w:themeTint="99"/>
        <w:insideV w:val="single" w:sz="4" w:space="0" w:color="2CB8FF"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8E7FF" w:themeFill="accent4" w:themeFillTint="33"/>
      </w:tcPr>
    </w:tblStylePr>
    <w:tblStylePr w:type="band1Horz">
      <w:tblPr/>
      <w:tcPr>
        <w:shd w:val="clear" w:color="auto" w:fill="B8E7FF" w:themeFill="accent4" w:themeFillTint="33"/>
      </w:tcPr>
    </w:tblStylePr>
    <w:tblStylePr w:type="neCell">
      <w:tblPr/>
      <w:tcPr>
        <w:tcBorders>
          <w:bottom w:val="single" w:sz="4" w:space="0" w:color="2CB8FF" w:themeColor="accent4" w:themeTint="99"/>
        </w:tcBorders>
      </w:tcPr>
    </w:tblStylePr>
    <w:tblStylePr w:type="nwCell">
      <w:tblPr/>
      <w:tcPr>
        <w:tcBorders>
          <w:bottom w:val="single" w:sz="4" w:space="0" w:color="2CB8FF" w:themeColor="accent4" w:themeTint="99"/>
        </w:tcBorders>
      </w:tcPr>
    </w:tblStylePr>
    <w:tblStylePr w:type="seCell">
      <w:tblPr/>
      <w:tcPr>
        <w:tcBorders>
          <w:top w:val="single" w:sz="4" w:space="0" w:color="2CB8FF" w:themeColor="accent4" w:themeTint="99"/>
        </w:tcBorders>
      </w:tcPr>
    </w:tblStylePr>
    <w:tblStylePr w:type="swCell">
      <w:tblPr/>
      <w:tcPr>
        <w:tcBorders>
          <w:top w:val="single" w:sz="4" w:space="0" w:color="2CB8FF" w:themeColor="accent4" w:themeTint="99"/>
        </w:tcBorders>
      </w:tcPr>
    </w:tblStylePr>
  </w:style>
  <w:style w:type="table" w:styleId="GridTable3-Accent5">
    <w:name w:val="Grid Table 3 Accent 5"/>
    <w:basedOn w:val="TableNormal"/>
    <w:uiPriority w:val="48"/>
    <w:rsid w:val="009637A8"/>
    <w:pPr>
      <w:spacing w:after="0" w:line="240" w:lineRule="auto"/>
    </w:pPr>
    <w:tblPr>
      <w:tblStyleRowBandSize w:val="1"/>
      <w:tblStyleColBandSize w:val="1"/>
      <w:tblBorders>
        <w:top w:val="single" w:sz="4" w:space="0" w:color="AFD7E6" w:themeColor="accent5" w:themeTint="99"/>
        <w:left w:val="single" w:sz="4" w:space="0" w:color="AFD7E6" w:themeColor="accent5" w:themeTint="99"/>
        <w:bottom w:val="single" w:sz="4" w:space="0" w:color="AFD7E6" w:themeColor="accent5" w:themeTint="99"/>
        <w:right w:val="single" w:sz="4" w:space="0" w:color="AFD7E6" w:themeColor="accent5" w:themeTint="99"/>
        <w:insideH w:val="single" w:sz="4" w:space="0" w:color="AFD7E6" w:themeColor="accent5" w:themeTint="99"/>
        <w:insideV w:val="single" w:sz="4" w:space="0" w:color="AFD7E6"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4F1F6" w:themeFill="accent5" w:themeFillTint="33"/>
      </w:tcPr>
    </w:tblStylePr>
    <w:tblStylePr w:type="band1Horz">
      <w:tblPr/>
      <w:tcPr>
        <w:shd w:val="clear" w:color="auto" w:fill="E4F1F6" w:themeFill="accent5" w:themeFillTint="33"/>
      </w:tcPr>
    </w:tblStylePr>
    <w:tblStylePr w:type="neCell">
      <w:tblPr/>
      <w:tcPr>
        <w:tcBorders>
          <w:bottom w:val="single" w:sz="4" w:space="0" w:color="AFD7E6" w:themeColor="accent5" w:themeTint="99"/>
        </w:tcBorders>
      </w:tcPr>
    </w:tblStylePr>
    <w:tblStylePr w:type="nwCell">
      <w:tblPr/>
      <w:tcPr>
        <w:tcBorders>
          <w:bottom w:val="single" w:sz="4" w:space="0" w:color="AFD7E6" w:themeColor="accent5" w:themeTint="99"/>
        </w:tcBorders>
      </w:tcPr>
    </w:tblStylePr>
    <w:tblStylePr w:type="seCell">
      <w:tblPr/>
      <w:tcPr>
        <w:tcBorders>
          <w:top w:val="single" w:sz="4" w:space="0" w:color="AFD7E6" w:themeColor="accent5" w:themeTint="99"/>
        </w:tcBorders>
      </w:tcPr>
    </w:tblStylePr>
    <w:tblStylePr w:type="swCell">
      <w:tblPr/>
      <w:tcPr>
        <w:tcBorders>
          <w:top w:val="single" w:sz="4" w:space="0" w:color="AFD7E6" w:themeColor="accent5" w:themeTint="99"/>
        </w:tcBorders>
      </w:tcPr>
    </w:tblStylePr>
  </w:style>
  <w:style w:type="table" w:styleId="GridTable3-Accent6">
    <w:name w:val="Grid Table 3 Accent 6"/>
    <w:basedOn w:val="TableNormal"/>
    <w:uiPriority w:val="48"/>
    <w:rsid w:val="009637A8"/>
    <w:pPr>
      <w:spacing w:after="0" w:line="240" w:lineRule="auto"/>
    </w:pPr>
    <w:tblPr>
      <w:tblStyleRowBandSize w:val="1"/>
      <w:tblStyleColBandSize w:val="1"/>
      <w:tblBorders>
        <w:top w:val="single" w:sz="4" w:space="0" w:color="83C590" w:themeColor="accent6" w:themeTint="99"/>
        <w:left w:val="single" w:sz="4" w:space="0" w:color="83C590" w:themeColor="accent6" w:themeTint="99"/>
        <w:bottom w:val="single" w:sz="4" w:space="0" w:color="83C590" w:themeColor="accent6" w:themeTint="99"/>
        <w:right w:val="single" w:sz="4" w:space="0" w:color="83C590" w:themeColor="accent6" w:themeTint="99"/>
        <w:insideH w:val="single" w:sz="4" w:space="0" w:color="83C590" w:themeColor="accent6" w:themeTint="99"/>
        <w:insideV w:val="single" w:sz="4" w:space="0" w:color="83C590"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5EBDA" w:themeFill="accent6" w:themeFillTint="33"/>
      </w:tcPr>
    </w:tblStylePr>
    <w:tblStylePr w:type="band1Horz">
      <w:tblPr/>
      <w:tcPr>
        <w:shd w:val="clear" w:color="auto" w:fill="D5EBDA" w:themeFill="accent6" w:themeFillTint="33"/>
      </w:tcPr>
    </w:tblStylePr>
    <w:tblStylePr w:type="neCell">
      <w:tblPr/>
      <w:tcPr>
        <w:tcBorders>
          <w:bottom w:val="single" w:sz="4" w:space="0" w:color="83C590" w:themeColor="accent6" w:themeTint="99"/>
        </w:tcBorders>
      </w:tcPr>
    </w:tblStylePr>
    <w:tblStylePr w:type="nwCell">
      <w:tblPr/>
      <w:tcPr>
        <w:tcBorders>
          <w:bottom w:val="single" w:sz="4" w:space="0" w:color="83C590" w:themeColor="accent6" w:themeTint="99"/>
        </w:tcBorders>
      </w:tcPr>
    </w:tblStylePr>
    <w:tblStylePr w:type="seCell">
      <w:tblPr/>
      <w:tcPr>
        <w:tcBorders>
          <w:top w:val="single" w:sz="4" w:space="0" w:color="83C590" w:themeColor="accent6" w:themeTint="99"/>
        </w:tcBorders>
      </w:tcPr>
    </w:tblStylePr>
    <w:tblStylePr w:type="swCell">
      <w:tblPr/>
      <w:tcPr>
        <w:tcBorders>
          <w:top w:val="single" w:sz="4" w:space="0" w:color="83C590" w:themeColor="accent6" w:themeTint="99"/>
        </w:tcBorders>
      </w:tcPr>
    </w:tblStylePr>
  </w:style>
  <w:style w:type="table" w:styleId="GridTable4">
    <w:name w:val="Grid Table 4"/>
    <w:basedOn w:val="TableNormal"/>
    <w:uiPriority w:val="49"/>
    <w:rsid w:val="009637A8"/>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1">
    <w:name w:val="Grid Table 4 Accent 1"/>
    <w:basedOn w:val="TableNormal"/>
    <w:uiPriority w:val="49"/>
    <w:rsid w:val="009637A8"/>
    <w:pPr>
      <w:spacing w:after="0" w:line="240" w:lineRule="auto"/>
    </w:pPr>
    <w:tblPr>
      <w:tblStyleRowBandSize w:val="1"/>
      <w:tblStyleColBandSize w:val="1"/>
      <w:tblBorders>
        <w:top w:val="single" w:sz="4" w:space="0" w:color="C4B5D8" w:themeColor="accent1" w:themeTint="99"/>
        <w:left w:val="single" w:sz="4" w:space="0" w:color="C4B5D8" w:themeColor="accent1" w:themeTint="99"/>
        <w:bottom w:val="single" w:sz="4" w:space="0" w:color="C4B5D8" w:themeColor="accent1" w:themeTint="99"/>
        <w:right w:val="single" w:sz="4" w:space="0" w:color="C4B5D8" w:themeColor="accent1" w:themeTint="99"/>
        <w:insideH w:val="single" w:sz="4" w:space="0" w:color="C4B5D8" w:themeColor="accent1" w:themeTint="99"/>
        <w:insideV w:val="single" w:sz="4" w:space="0" w:color="C4B5D8" w:themeColor="accent1" w:themeTint="99"/>
      </w:tblBorders>
    </w:tblPr>
    <w:tblStylePr w:type="firstRow">
      <w:rPr>
        <w:b/>
        <w:bCs/>
        <w:color w:val="FFFFFF" w:themeColor="background1"/>
      </w:rPr>
      <w:tblPr/>
      <w:tcPr>
        <w:tcBorders>
          <w:top w:val="single" w:sz="4" w:space="0" w:color="9D85BE" w:themeColor="accent1"/>
          <w:left w:val="single" w:sz="4" w:space="0" w:color="9D85BE" w:themeColor="accent1"/>
          <w:bottom w:val="single" w:sz="4" w:space="0" w:color="9D85BE" w:themeColor="accent1"/>
          <w:right w:val="single" w:sz="4" w:space="0" w:color="9D85BE" w:themeColor="accent1"/>
          <w:insideH w:val="nil"/>
          <w:insideV w:val="nil"/>
        </w:tcBorders>
        <w:shd w:val="clear" w:color="auto" w:fill="9D85BE" w:themeFill="accent1"/>
      </w:tcPr>
    </w:tblStylePr>
    <w:tblStylePr w:type="lastRow">
      <w:rPr>
        <w:b/>
        <w:bCs/>
      </w:rPr>
      <w:tblPr/>
      <w:tcPr>
        <w:tcBorders>
          <w:top w:val="double" w:sz="4" w:space="0" w:color="9D85BE" w:themeColor="accent1"/>
        </w:tcBorders>
      </w:tcPr>
    </w:tblStylePr>
    <w:tblStylePr w:type="firstCol">
      <w:rPr>
        <w:b/>
        <w:bCs/>
      </w:rPr>
    </w:tblStylePr>
    <w:tblStylePr w:type="lastCol">
      <w:rPr>
        <w:b/>
        <w:bCs/>
      </w:rPr>
    </w:tblStylePr>
    <w:tblStylePr w:type="band1Vert">
      <w:tblPr/>
      <w:tcPr>
        <w:shd w:val="clear" w:color="auto" w:fill="EBE6F2" w:themeFill="accent1" w:themeFillTint="33"/>
      </w:tcPr>
    </w:tblStylePr>
    <w:tblStylePr w:type="band1Horz">
      <w:tblPr/>
      <w:tcPr>
        <w:shd w:val="clear" w:color="auto" w:fill="EBE6F2" w:themeFill="accent1" w:themeFillTint="33"/>
      </w:tcPr>
    </w:tblStylePr>
  </w:style>
  <w:style w:type="table" w:styleId="GridTable4-Accent2">
    <w:name w:val="Grid Table 4 Accent 2"/>
    <w:basedOn w:val="TableNormal"/>
    <w:uiPriority w:val="49"/>
    <w:rsid w:val="009637A8"/>
    <w:pPr>
      <w:spacing w:after="0" w:line="240" w:lineRule="auto"/>
    </w:pPr>
    <w:tblPr>
      <w:tblStyleRowBandSize w:val="1"/>
      <w:tblStyleColBandSize w:val="1"/>
      <w:tblBorders>
        <w:top w:val="single" w:sz="4" w:space="0" w:color="B1B1B1" w:themeColor="accent2" w:themeTint="99"/>
        <w:left w:val="single" w:sz="4" w:space="0" w:color="B1B1B1" w:themeColor="accent2" w:themeTint="99"/>
        <w:bottom w:val="single" w:sz="4" w:space="0" w:color="B1B1B1" w:themeColor="accent2" w:themeTint="99"/>
        <w:right w:val="single" w:sz="4" w:space="0" w:color="B1B1B1" w:themeColor="accent2" w:themeTint="99"/>
        <w:insideH w:val="single" w:sz="4" w:space="0" w:color="B1B1B1" w:themeColor="accent2" w:themeTint="99"/>
        <w:insideV w:val="single" w:sz="4" w:space="0" w:color="B1B1B1" w:themeColor="accent2" w:themeTint="99"/>
      </w:tblBorders>
    </w:tblPr>
    <w:tblStylePr w:type="firstRow">
      <w:rPr>
        <w:b/>
        <w:bCs/>
        <w:color w:val="FFFFFF" w:themeColor="background1"/>
      </w:rPr>
      <w:tblPr/>
      <w:tcPr>
        <w:tcBorders>
          <w:top w:val="single" w:sz="4" w:space="0" w:color="7D7D7D" w:themeColor="accent2"/>
          <w:left w:val="single" w:sz="4" w:space="0" w:color="7D7D7D" w:themeColor="accent2"/>
          <w:bottom w:val="single" w:sz="4" w:space="0" w:color="7D7D7D" w:themeColor="accent2"/>
          <w:right w:val="single" w:sz="4" w:space="0" w:color="7D7D7D" w:themeColor="accent2"/>
          <w:insideH w:val="nil"/>
          <w:insideV w:val="nil"/>
        </w:tcBorders>
        <w:shd w:val="clear" w:color="auto" w:fill="7D7D7D" w:themeFill="accent2"/>
      </w:tcPr>
    </w:tblStylePr>
    <w:tblStylePr w:type="lastRow">
      <w:rPr>
        <w:b/>
        <w:bCs/>
      </w:rPr>
      <w:tblPr/>
      <w:tcPr>
        <w:tcBorders>
          <w:top w:val="double" w:sz="4" w:space="0" w:color="7D7D7D" w:themeColor="accent2"/>
        </w:tcBorders>
      </w:tcPr>
    </w:tblStylePr>
    <w:tblStylePr w:type="firstCol">
      <w:rPr>
        <w:b/>
        <w:bCs/>
      </w:rPr>
    </w:tblStylePr>
    <w:tblStylePr w:type="lastCol">
      <w:rPr>
        <w:b/>
        <w:bCs/>
      </w:rPr>
    </w:tblStylePr>
    <w:tblStylePr w:type="band1Vert">
      <w:tblPr/>
      <w:tcPr>
        <w:shd w:val="clear" w:color="auto" w:fill="E5E5E5" w:themeFill="accent2" w:themeFillTint="33"/>
      </w:tcPr>
    </w:tblStylePr>
    <w:tblStylePr w:type="band1Horz">
      <w:tblPr/>
      <w:tcPr>
        <w:shd w:val="clear" w:color="auto" w:fill="E5E5E5" w:themeFill="accent2" w:themeFillTint="33"/>
      </w:tcPr>
    </w:tblStylePr>
  </w:style>
  <w:style w:type="table" w:styleId="GridTable4-Accent3">
    <w:name w:val="Grid Table 4 Accent 3"/>
    <w:basedOn w:val="TableNormal"/>
    <w:uiPriority w:val="49"/>
    <w:rsid w:val="009637A8"/>
    <w:pPr>
      <w:spacing w:after="0" w:line="240" w:lineRule="auto"/>
    </w:pPr>
    <w:tblPr>
      <w:tblStyleRowBandSize w:val="1"/>
      <w:tblStyleColBandSize w:val="1"/>
      <w:tblBorders>
        <w:top w:val="single" w:sz="4" w:space="0" w:color="DEDEDE" w:themeColor="accent3" w:themeTint="99"/>
        <w:left w:val="single" w:sz="4" w:space="0" w:color="DEDEDE" w:themeColor="accent3" w:themeTint="99"/>
        <w:bottom w:val="single" w:sz="4" w:space="0" w:color="DEDEDE" w:themeColor="accent3" w:themeTint="99"/>
        <w:right w:val="single" w:sz="4" w:space="0" w:color="DEDEDE" w:themeColor="accent3" w:themeTint="99"/>
        <w:insideH w:val="single" w:sz="4" w:space="0" w:color="DEDEDE" w:themeColor="accent3" w:themeTint="99"/>
        <w:insideV w:val="single" w:sz="4" w:space="0" w:color="DEDEDE" w:themeColor="accent3" w:themeTint="99"/>
      </w:tblBorders>
    </w:tblPr>
    <w:tblStylePr w:type="firstRow">
      <w:rPr>
        <w:b/>
        <w:bCs/>
        <w:color w:val="FFFFFF" w:themeColor="background1"/>
      </w:rPr>
      <w:tblPr/>
      <w:tcPr>
        <w:tcBorders>
          <w:top w:val="single" w:sz="4" w:space="0" w:color="C8C8C8" w:themeColor="accent3"/>
          <w:left w:val="single" w:sz="4" w:space="0" w:color="C8C8C8" w:themeColor="accent3"/>
          <w:bottom w:val="single" w:sz="4" w:space="0" w:color="C8C8C8" w:themeColor="accent3"/>
          <w:right w:val="single" w:sz="4" w:space="0" w:color="C8C8C8" w:themeColor="accent3"/>
          <w:insideH w:val="nil"/>
          <w:insideV w:val="nil"/>
        </w:tcBorders>
        <w:shd w:val="clear" w:color="auto" w:fill="C8C8C8" w:themeFill="accent3"/>
      </w:tcPr>
    </w:tblStylePr>
    <w:tblStylePr w:type="lastRow">
      <w:rPr>
        <w:b/>
        <w:bCs/>
      </w:rPr>
      <w:tblPr/>
      <w:tcPr>
        <w:tcBorders>
          <w:top w:val="double" w:sz="4" w:space="0" w:color="C8C8C8" w:themeColor="accent3"/>
        </w:tcBorders>
      </w:tcPr>
    </w:tblStylePr>
    <w:tblStylePr w:type="firstCol">
      <w:rPr>
        <w:b/>
        <w:bCs/>
      </w:rPr>
    </w:tblStylePr>
    <w:tblStylePr w:type="lastCol">
      <w:rPr>
        <w:b/>
        <w:bCs/>
      </w:rPr>
    </w:tblStylePr>
    <w:tblStylePr w:type="band1Vert">
      <w:tblPr/>
      <w:tcPr>
        <w:shd w:val="clear" w:color="auto" w:fill="F4F4F4" w:themeFill="accent3" w:themeFillTint="33"/>
      </w:tcPr>
    </w:tblStylePr>
    <w:tblStylePr w:type="band1Horz">
      <w:tblPr/>
      <w:tcPr>
        <w:shd w:val="clear" w:color="auto" w:fill="F4F4F4" w:themeFill="accent3" w:themeFillTint="33"/>
      </w:tcPr>
    </w:tblStylePr>
  </w:style>
  <w:style w:type="table" w:styleId="GridTable4-Accent4">
    <w:name w:val="Grid Table 4 Accent 4"/>
    <w:basedOn w:val="TableNormal"/>
    <w:uiPriority w:val="49"/>
    <w:rsid w:val="009637A8"/>
    <w:pPr>
      <w:spacing w:after="0" w:line="240" w:lineRule="auto"/>
    </w:pPr>
    <w:tblPr>
      <w:tblStyleRowBandSize w:val="1"/>
      <w:tblStyleColBandSize w:val="1"/>
      <w:tblBorders>
        <w:top w:val="single" w:sz="4" w:space="0" w:color="2CB8FF" w:themeColor="accent4" w:themeTint="99"/>
        <w:left w:val="single" w:sz="4" w:space="0" w:color="2CB8FF" w:themeColor="accent4" w:themeTint="99"/>
        <w:bottom w:val="single" w:sz="4" w:space="0" w:color="2CB8FF" w:themeColor="accent4" w:themeTint="99"/>
        <w:right w:val="single" w:sz="4" w:space="0" w:color="2CB8FF" w:themeColor="accent4" w:themeTint="99"/>
        <w:insideH w:val="single" w:sz="4" w:space="0" w:color="2CB8FF" w:themeColor="accent4" w:themeTint="99"/>
        <w:insideV w:val="single" w:sz="4" w:space="0" w:color="2CB8FF" w:themeColor="accent4" w:themeTint="99"/>
      </w:tblBorders>
    </w:tblPr>
    <w:tblStylePr w:type="firstRow">
      <w:rPr>
        <w:b/>
        <w:bCs/>
        <w:color w:val="FFFFFF" w:themeColor="background1"/>
      </w:rPr>
      <w:tblPr/>
      <w:tcPr>
        <w:tcBorders>
          <w:top w:val="single" w:sz="4" w:space="0" w:color="006A9F" w:themeColor="accent4"/>
          <w:left w:val="single" w:sz="4" w:space="0" w:color="006A9F" w:themeColor="accent4"/>
          <w:bottom w:val="single" w:sz="4" w:space="0" w:color="006A9F" w:themeColor="accent4"/>
          <w:right w:val="single" w:sz="4" w:space="0" w:color="006A9F" w:themeColor="accent4"/>
          <w:insideH w:val="nil"/>
          <w:insideV w:val="nil"/>
        </w:tcBorders>
        <w:shd w:val="clear" w:color="auto" w:fill="006A9F" w:themeFill="accent4"/>
      </w:tcPr>
    </w:tblStylePr>
    <w:tblStylePr w:type="lastRow">
      <w:rPr>
        <w:b/>
        <w:bCs/>
      </w:rPr>
      <w:tblPr/>
      <w:tcPr>
        <w:tcBorders>
          <w:top w:val="double" w:sz="4" w:space="0" w:color="006A9F" w:themeColor="accent4"/>
        </w:tcBorders>
      </w:tcPr>
    </w:tblStylePr>
    <w:tblStylePr w:type="firstCol">
      <w:rPr>
        <w:b/>
        <w:bCs/>
      </w:rPr>
    </w:tblStylePr>
    <w:tblStylePr w:type="lastCol">
      <w:rPr>
        <w:b/>
        <w:bCs/>
      </w:rPr>
    </w:tblStylePr>
    <w:tblStylePr w:type="band1Vert">
      <w:tblPr/>
      <w:tcPr>
        <w:shd w:val="clear" w:color="auto" w:fill="B8E7FF" w:themeFill="accent4" w:themeFillTint="33"/>
      </w:tcPr>
    </w:tblStylePr>
    <w:tblStylePr w:type="band1Horz">
      <w:tblPr/>
      <w:tcPr>
        <w:shd w:val="clear" w:color="auto" w:fill="B8E7FF" w:themeFill="accent4" w:themeFillTint="33"/>
      </w:tcPr>
    </w:tblStylePr>
  </w:style>
  <w:style w:type="table" w:styleId="GridTable4-Accent5">
    <w:name w:val="Grid Table 4 Accent 5"/>
    <w:basedOn w:val="TableNormal"/>
    <w:uiPriority w:val="49"/>
    <w:rsid w:val="009637A8"/>
    <w:pPr>
      <w:spacing w:after="0" w:line="240" w:lineRule="auto"/>
    </w:pPr>
    <w:tblPr>
      <w:tblStyleRowBandSize w:val="1"/>
      <w:tblStyleColBandSize w:val="1"/>
      <w:tblBorders>
        <w:top w:val="single" w:sz="4" w:space="0" w:color="AFD7E6" w:themeColor="accent5" w:themeTint="99"/>
        <w:left w:val="single" w:sz="4" w:space="0" w:color="AFD7E6" w:themeColor="accent5" w:themeTint="99"/>
        <w:bottom w:val="single" w:sz="4" w:space="0" w:color="AFD7E6" w:themeColor="accent5" w:themeTint="99"/>
        <w:right w:val="single" w:sz="4" w:space="0" w:color="AFD7E6" w:themeColor="accent5" w:themeTint="99"/>
        <w:insideH w:val="single" w:sz="4" w:space="0" w:color="AFD7E6" w:themeColor="accent5" w:themeTint="99"/>
        <w:insideV w:val="single" w:sz="4" w:space="0" w:color="AFD7E6" w:themeColor="accent5" w:themeTint="99"/>
      </w:tblBorders>
    </w:tblPr>
    <w:tblStylePr w:type="firstRow">
      <w:rPr>
        <w:b/>
        <w:bCs/>
        <w:color w:val="FFFFFF" w:themeColor="background1"/>
      </w:rPr>
      <w:tblPr/>
      <w:tcPr>
        <w:tcBorders>
          <w:top w:val="single" w:sz="4" w:space="0" w:color="7BBDD6" w:themeColor="accent5"/>
          <w:left w:val="single" w:sz="4" w:space="0" w:color="7BBDD6" w:themeColor="accent5"/>
          <w:bottom w:val="single" w:sz="4" w:space="0" w:color="7BBDD6" w:themeColor="accent5"/>
          <w:right w:val="single" w:sz="4" w:space="0" w:color="7BBDD6" w:themeColor="accent5"/>
          <w:insideH w:val="nil"/>
          <w:insideV w:val="nil"/>
        </w:tcBorders>
        <w:shd w:val="clear" w:color="auto" w:fill="7BBDD6" w:themeFill="accent5"/>
      </w:tcPr>
    </w:tblStylePr>
    <w:tblStylePr w:type="lastRow">
      <w:rPr>
        <w:b/>
        <w:bCs/>
      </w:rPr>
      <w:tblPr/>
      <w:tcPr>
        <w:tcBorders>
          <w:top w:val="double" w:sz="4" w:space="0" w:color="7BBDD6" w:themeColor="accent5"/>
        </w:tcBorders>
      </w:tcPr>
    </w:tblStylePr>
    <w:tblStylePr w:type="firstCol">
      <w:rPr>
        <w:b/>
        <w:bCs/>
      </w:rPr>
    </w:tblStylePr>
    <w:tblStylePr w:type="lastCol">
      <w:rPr>
        <w:b/>
        <w:bCs/>
      </w:rPr>
    </w:tblStylePr>
    <w:tblStylePr w:type="band1Vert">
      <w:tblPr/>
      <w:tcPr>
        <w:shd w:val="clear" w:color="auto" w:fill="E4F1F6" w:themeFill="accent5" w:themeFillTint="33"/>
      </w:tcPr>
    </w:tblStylePr>
    <w:tblStylePr w:type="band1Horz">
      <w:tblPr/>
      <w:tcPr>
        <w:shd w:val="clear" w:color="auto" w:fill="E4F1F6" w:themeFill="accent5" w:themeFillTint="33"/>
      </w:tcPr>
    </w:tblStylePr>
  </w:style>
  <w:style w:type="table" w:styleId="GridTable4-Accent6">
    <w:name w:val="Grid Table 4 Accent 6"/>
    <w:basedOn w:val="TableNormal"/>
    <w:uiPriority w:val="49"/>
    <w:rsid w:val="009637A8"/>
    <w:pPr>
      <w:spacing w:after="0" w:line="240" w:lineRule="auto"/>
    </w:pPr>
    <w:tblPr>
      <w:tblStyleRowBandSize w:val="1"/>
      <w:tblStyleColBandSize w:val="1"/>
      <w:tblBorders>
        <w:top w:val="single" w:sz="4" w:space="0" w:color="83C590" w:themeColor="accent6" w:themeTint="99"/>
        <w:left w:val="single" w:sz="4" w:space="0" w:color="83C590" w:themeColor="accent6" w:themeTint="99"/>
        <w:bottom w:val="single" w:sz="4" w:space="0" w:color="83C590" w:themeColor="accent6" w:themeTint="99"/>
        <w:right w:val="single" w:sz="4" w:space="0" w:color="83C590" w:themeColor="accent6" w:themeTint="99"/>
        <w:insideH w:val="single" w:sz="4" w:space="0" w:color="83C590" w:themeColor="accent6" w:themeTint="99"/>
        <w:insideV w:val="single" w:sz="4" w:space="0" w:color="83C590" w:themeColor="accent6" w:themeTint="99"/>
      </w:tblBorders>
    </w:tblPr>
    <w:tblStylePr w:type="firstRow">
      <w:rPr>
        <w:b/>
        <w:bCs/>
        <w:color w:val="FFFFFF" w:themeColor="background1"/>
      </w:rPr>
      <w:tblPr/>
      <w:tcPr>
        <w:tcBorders>
          <w:top w:val="single" w:sz="4" w:space="0" w:color="428D52" w:themeColor="accent6"/>
          <w:left w:val="single" w:sz="4" w:space="0" w:color="428D52" w:themeColor="accent6"/>
          <w:bottom w:val="single" w:sz="4" w:space="0" w:color="428D52" w:themeColor="accent6"/>
          <w:right w:val="single" w:sz="4" w:space="0" w:color="428D52" w:themeColor="accent6"/>
          <w:insideH w:val="nil"/>
          <w:insideV w:val="nil"/>
        </w:tcBorders>
        <w:shd w:val="clear" w:color="auto" w:fill="428D52" w:themeFill="accent6"/>
      </w:tcPr>
    </w:tblStylePr>
    <w:tblStylePr w:type="lastRow">
      <w:rPr>
        <w:b/>
        <w:bCs/>
      </w:rPr>
      <w:tblPr/>
      <w:tcPr>
        <w:tcBorders>
          <w:top w:val="double" w:sz="4" w:space="0" w:color="428D52" w:themeColor="accent6"/>
        </w:tcBorders>
      </w:tcPr>
    </w:tblStylePr>
    <w:tblStylePr w:type="firstCol">
      <w:rPr>
        <w:b/>
        <w:bCs/>
      </w:rPr>
    </w:tblStylePr>
    <w:tblStylePr w:type="lastCol">
      <w:rPr>
        <w:b/>
        <w:bCs/>
      </w:rPr>
    </w:tblStylePr>
    <w:tblStylePr w:type="band1Vert">
      <w:tblPr/>
      <w:tcPr>
        <w:shd w:val="clear" w:color="auto" w:fill="D5EBDA" w:themeFill="accent6" w:themeFillTint="33"/>
      </w:tcPr>
    </w:tblStylePr>
    <w:tblStylePr w:type="band1Horz">
      <w:tblPr/>
      <w:tcPr>
        <w:shd w:val="clear" w:color="auto" w:fill="D5EBDA" w:themeFill="accent6" w:themeFillTint="33"/>
      </w:tcPr>
    </w:tblStylePr>
  </w:style>
  <w:style w:type="table" w:styleId="GridTable5Dark">
    <w:name w:val="Grid Table 5 Dark"/>
    <w:basedOn w:val="TableNormal"/>
    <w:uiPriority w:val="50"/>
    <w:rsid w:val="009637A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5Dark-Accent1">
    <w:name w:val="Grid Table 5 Dark Accent 1"/>
    <w:basedOn w:val="TableNormal"/>
    <w:uiPriority w:val="50"/>
    <w:rsid w:val="009637A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BE6F2"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D85BE"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D85BE"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D85BE"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D85BE" w:themeFill="accent1"/>
      </w:tcPr>
    </w:tblStylePr>
    <w:tblStylePr w:type="band1Vert">
      <w:tblPr/>
      <w:tcPr>
        <w:shd w:val="clear" w:color="auto" w:fill="D7CEE5" w:themeFill="accent1" w:themeFillTint="66"/>
      </w:tcPr>
    </w:tblStylePr>
    <w:tblStylePr w:type="band1Horz">
      <w:tblPr/>
      <w:tcPr>
        <w:shd w:val="clear" w:color="auto" w:fill="D7CEE5" w:themeFill="accent1" w:themeFillTint="66"/>
      </w:tcPr>
    </w:tblStylePr>
  </w:style>
  <w:style w:type="table" w:styleId="GridTable5Dark-Accent2">
    <w:name w:val="Grid Table 5 Dark Accent 2"/>
    <w:basedOn w:val="TableNormal"/>
    <w:uiPriority w:val="50"/>
    <w:rsid w:val="009637A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5E5E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D7D7D"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D7D7D"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D7D7D"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D7D7D" w:themeFill="accent2"/>
      </w:tcPr>
    </w:tblStylePr>
    <w:tblStylePr w:type="band1Vert">
      <w:tblPr/>
      <w:tcPr>
        <w:shd w:val="clear" w:color="auto" w:fill="CBCBCB" w:themeFill="accent2" w:themeFillTint="66"/>
      </w:tcPr>
    </w:tblStylePr>
    <w:tblStylePr w:type="band1Horz">
      <w:tblPr/>
      <w:tcPr>
        <w:shd w:val="clear" w:color="auto" w:fill="CBCBCB" w:themeFill="accent2" w:themeFillTint="66"/>
      </w:tcPr>
    </w:tblStylePr>
  </w:style>
  <w:style w:type="table" w:styleId="GridTable5Dark-Accent3">
    <w:name w:val="Grid Table 5 Dark Accent 3"/>
    <w:basedOn w:val="TableNormal"/>
    <w:uiPriority w:val="50"/>
    <w:rsid w:val="009637A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4F4F4"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8C8C8"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8C8C8"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8C8C8"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8C8C8" w:themeFill="accent3"/>
      </w:tcPr>
    </w:tblStylePr>
    <w:tblStylePr w:type="band1Vert">
      <w:tblPr/>
      <w:tcPr>
        <w:shd w:val="clear" w:color="auto" w:fill="E9E9E9" w:themeFill="accent3" w:themeFillTint="66"/>
      </w:tcPr>
    </w:tblStylePr>
    <w:tblStylePr w:type="band1Horz">
      <w:tblPr/>
      <w:tcPr>
        <w:shd w:val="clear" w:color="auto" w:fill="E9E9E9" w:themeFill="accent3" w:themeFillTint="66"/>
      </w:tcPr>
    </w:tblStylePr>
  </w:style>
  <w:style w:type="table" w:styleId="GridTable5Dark-Accent4">
    <w:name w:val="Grid Table 5 Dark Accent 4"/>
    <w:basedOn w:val="TableNormal"/>
    <w:uiPriority w:val="50"/>
    <w:rsid w:val="009637A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8E7FF"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6A9F"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6A9F"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6A9F"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6A9F" w:themeFill="accent4"/>
      </w:tcPr>
    </w:tblStylePr>
    <w:tblStylePr w:type="band1Vert">
      <w:tblPr/>
      <w:tcPr>
        <w:shd w:val="clear" w:color="auto" w:fill="72D0FF" w:themeFill="accent4" w:themeFillTint="66"/>
      </w:tcPr>
    </w:tblStylePr>
    <w:tblStylePr w:type="band1Horz">
      <w:tblPr/>
      <w:tcPr>
        <w:shd w:val="clear" w:color="auto" w:fill="72D0FF" w:themeFill="accent4" w:themeFillTint="66"/>
      </w:tcPr>
    </w:tblStylePr>
  </w:style>
  <w:style w:type="table" w:styleId="GridTable5Dark-Accent5">
    <w:name w:val="Grid Table 5 Dark Accent 5"/>
    <w:basedOn w:val="TableNormal"/>
    <w:uiPriority w:val="50"/>
    <w:rsid w:val="009637A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4F1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BBDD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BBDD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BBDD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BBDD6" w:themeFill="accent5"/>
      </w:tcPr>
    </w:tblStylePr>
    <w:tblStylePr w:type="band1Vert">
      <w:tblPr/>
      <w:tcPr>
        <w:shd w:val="clear" w:color="auto" w:fill="CAE4EE" w:themeFill="accent5" w:themeFillTint="66"/>
      </w:tcPr>
    </w:tblStylePr>
    <w:tblStylePr w:type="band1Horz">
      <w:tblPr/>
      <w:tcPr>
        <w:shd w:val="clear" w:color="auto" w:fill="CAE4EE" w:themeFill="accent5" w:themeFillTint="66"/>
      </w:tcPr>
    </w:tblStylePr>
  </w:style>
  <w:style w:type="table" w:styleId="GridTable5Dark-Accent6">
    <w:name w:val="Grid Table 5 Dark Accent 6"/>
    <w:basedOn w:val="TableNormal"/>
    <w:uiPriority w:val="50"/>
    <w:rsid w:val="009637A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5EBDA"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28D52"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28D52"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28D52"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28D52" w:themeFill="accent6"/>
      </w:tcPr>
    </w:tblStylePr>
    <w:tblStylePr w:type="band1Vert">
      <w:tblPr/>
      <w:tcPr>
        <w:shd w:val="clear" w:color="auto" w:fill="ACD8B5" w:themeFill="accent6" w:themeFillTint="66"/>
      </w:tcPr>
    </w:tblStylePr>
    <w:tblStylePr w:type="band1Horz">
      <w:tblPr/>
      <w:tcPr>
        <w:shd w:val="clear" w:color="auto" w:fill="ACD8B5" w:themeFill="accent6" w:themeFillTint="66"/>
      </w:tcPr>
    </w:tblStylePr>
  </w:style>
  <w:style w:type="table" w:styleId="GridTable6Colorful">
    <w:name w:val="Grid Table 6 Colorful"/>
    <w:basedOn w:val="TableNormal"/>
    <w:uiPriority w:val="51"/>
    <w:rsid w:val="009637A8"/>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6Colorful-Accent1">
    <w:name w:val="Grid Table 6 Colorful Accent 1"/>
    <w:basedOn w:val="TableNormal"/>
    <w:uiPriority w:val="51"/>
    <w:rsid w:val="009637A8"/>
    <w:pPr>
      <w:spacing w:after="0" w:line="240" w:lineRule="auto"/>
    </w:pPr>
    <w:tblPr>
      <w:tblStyleRowBandSize w:val="1"/>
      <w:tblStyleColBandSize w:val="1"/>
      <w:tblBorders>
        <w:top w:val="single" w:sz="4" w:space="0" w:color="C4B5D8" w:themeColor="accent1" w:themeTint="99"/>
        <w:left w:val="single" w:sz="4" w:space="0" w:color="C4B5D8" w:themeColor="accent1" w:themeTint="99"/>
        <w:bottom w:val="single" w:sz="4" w:space="0" w:color="C4B5D8" w:themeColor="accent1" w:themeTint="99"/>
        <w:right w:val="single" w:sz="4" w:space="0" w:color="C4B5D8" w:themeColor="accent1" w:themeTint="99"/>
        <w:insideH w:val="single" w:sz="4" w:space="0" w:color="C4B5D8" w:themeColor="accent1" w:themeTint="99"/>
        <w:insideV w:val="single" w:sz="4" w:space="0" w:color="C4B5D8" w:themeColor="accent1" w:themeTint="99"/>
      </w:tblBorders>
    </w:tblPr>
    <w:tblStylePr w:type="firstRow">
      <w:rPr>
        <w:b/>
        <w:bCs/>
      </w:rPr>
      <w:tblPr/>
      <w:tcPr>
        <w:tcBorders>
          <w:bottom w:val="single" w:sz="12" w:space="0" w:color="C4B5D8" w:themeColor="accent1" w:themeTint="99"/>
        </w:tcBorders>
      </w:tcPr>
    </w:tblStylePr>
    <w:tblStylePr w:type="lastRow">
      <w:rPr>
        <w:b/>
        <w:bCs/>
      </w:rPr>
      <w:tblPr/>
      <w:tcPr>
        <w:tcBorders>
          <w:top w:val="double" w:sz="4" w:space="0" w:color="C4B5D8" w:themeColor="accent1" w:themeTint="99"/>
        </w:tcBorders>
      </w:tcPr>
    </w:tblStylePr>
    <w:tblStylePr w:type="firstCol">
      <w:rPr>
        <w:b/>
        <w:bCs/>
      </w:rPr>
    </w:tblStylePr>
    <w:tblStylePr w:type="lastCol">
      <w:rPr>
        <w:b/>
        <w:bCs/>
      </w:rPr>
    </w:tblStylePr>
    <w:tblStylePr w:type="band1Vert">
      <w:tblPr/>
      <w:tcPr>
        <w:shd w:val="clear" w:color="auto" w:fill="EBE6F2" w:themeFill="accent1" w:themeFillTint="33"/>
      </w:tcPr>
    </w:tblStylePr>
    <w:tblStylePr w:type="band1Horz">
      <w:tblPr/>
      <w:tcPr>
        <w:shd w:val="clear" w:color="auto" w:fill="EBE6F2" w:themeFill="accent1" w:themeFillTint="33"/>
      </w:tcPr>
    </w:tblStylePr>
  </w:style>
  <w:style w:type="table" w:styleId="GridTable6Colorful-Accent2">
    <w:name w:val="Grid Table 6 Colorful Accent 2"/>
    <w:basedOn w:val="TableNormal"/>
    <w:uiPriority w:val="51"/>
    <w:rsid w:val="009637A8"/>
    <w:pPr>
      <w:spacing w:after="0" w:line="240" w:lineRule="auto"/>
    </w:pPr>
    <w:tblPr>
      <w:tblStyleRowBandSize w:val="1"/>
      <w:tblStyleColBandSize w:val="1"/>
      <w:tblBorders>
        <w:top w:val="single" w:sz="4" w:space="0" w:color="B1B1B1" w:themeColor="accent2" w:themeTint="99"/>
        <w:left w:val="single" w:sz="4" w:space="0" w:color="B1B1B1" w:themeColor="accent2" w:themeTint="99"/>
        <w:bottom w:val="single" w:sz="4" w:space="0" w:color="B1B1B1" w:themeColor="accent2" w:themeTint="99"/>
        <w:right w:val="single" w:sz="4" w:space="0" w:color="B1B1B1" w:themeColor="accent2" w:themeTint="99"/>
        <w:insideH w:val="single" w:sz="4" w:space="0" w:color="B1B1B1" w:themeColor="accent2" w:themeTint="99"/>
        <w:insideV w:val="single" w:sz="4" w:space="0" w:color="B1B1B1" w:themeColor="accent2" w:themeTint="99"/>
      </w:tblBorders>
    </w:tblPr>
    <w:tblStylePr w:type="firstRow">
      <w:rPr>
        <w:b/>
        <w:bCs/>
      </w:rPr>
      <w:tblPr/>
      <w:tcPr>
        <w:tcBorders>
          <w:bottom w:val="single" w:sz="12" w:space="0" w:color="B1B1B1" w:themeColor="accent2" w:themeTint="99"/>
        </w:tcBorders>
      </w:tcPr>
    </w:tblStylePr>
    <w:tblStylePr w:type="lastRow">
      <w:rPr>
        <w:b/>
        <w:bCs/>
      </w:rPr>
      <w:tblPr/>
      <w:tcPr>
        <w:tcBorders>
          <w:top w:val="double" w:sz="4" w:space="0" w:color="B1B1B1" w:themeColor="accent2" w:themeTint="99"/>
        </w:tcBorders>
      </w:tcPr>
    </w:tblStylePr>
    <w:tblStylePr w:type="firstCol">
      <w:rPr>
        <w:b/>
        <w:bCs/>
      </w:rPr>
    </w:tblStylePr>
    <w:tblStylePr w:type="lastCol">
      <w:rPr>
        <w:b/>
        <w:bCs/>
      </w:rPr>
    </w:tblStylePr>
    <w:tblStylePr w:type="band1Vert">
      <w:tblPr/>
      <w:tcPr>
        <w:shd w:val="clear" w:color="auto" w:fill="E5E5E5" w:themeFill="accent2" w:themeFillTint="33"/>
      </w:tcPr>
    </w:tblStylePr>
    <w:tblStylePr w:type="band1Horz">
      <w:tblPr/>
      <w:tcPr>
        <w:shd w:val="clear" w:color="auto" w:fill="E5E5E5" w:themeFill="accent2" w:themeFillTint="33"/>
      </w:tcPr>
    </w:tblStylePr>
  </w:style>
  <w:style w:type="table" w:styleId="GridTable6Colorful-Accent3">
    <w:name w:val="Grid Table 6 Colorful Accent 3"/>
    <w:basedOn w:val="TableNormal"/>
    <w:uiPriority w:val="51"/>
    <w:rsid w:val="009637A8"/>
    <w:pPr>
      <w:spacing w:after="0" w:line="240" w:lineRule="auto"/>
    </w:pPr>
    <w:tblPr>
      <w:tblStyleRowBandSize w:val="1"/>
      <w:tblStyleColBandSize w:val="1"/>
      <w:tblBorders>
        <w:top w:val="single" w:sz="4" w:space="0" w:color="DEDEDE" w:themeColor="accent3" w:themeTint="99"/>
        <w:left w:val="single" w:sz="4" w:space="0" w:color="DEDEDE" w:themeColor="accent3" w:themeTint="99"/>
        <w:bottom w:val="single" w:sz="4" w:space="0" w:color="DEDEDE" w:themeColor="accent3" w:themeTint="99"/>
        <w:right w:val="single" w:sz="4" w:space="0" w:color="DEDEDE" w:themeColor="accent3" w:themeTint="99"/>
        <w:insideH w:val="single" w:sz="4" w:space="0" w:color="DEDEDE" w:themeColor="accent3" w:themeTint="99"/>
        <w:insideV w:val="single" w:sz="4" w:space="0" w:color="DEDEDE" w:themeColor="accent3" w:themeTint="99"/>
      </w:tblBorders>
    </w:tblPr>
    <w:tblStylePr w:type="firstRow">
      <w:rPr>
        <w:b/>
        <w:bCs/>
      </w:rPr>
      <w:tblPr/>
      <w:tcPr>
        <w:tcBorders>
          <w:bottom w:val="single" w:sz="12" w:space="0" w:color="DEDEDE" w:themeColor="accent3" w:themeTint="99"/>
        </w:tcBorders>
      </w:tcPr>
    </w:tblStylePr>
    <w:tblStylePr w:type="lastRow">
      <w:rPr>
        <w:b/>
        <w:bCs/>
      </w:rPr>
      <w:tblPr/>
      <w:tcPr>
        <w:tcBorders>
          <w:top w:val="double" w:sz="4" w:space="0" w:color="DEDEDE" w:themeColor="accent3" w:themeTint="99"/>
        </w:tcBorders>
      </w:tcPr>
    </w:tblStylePr>
    <w:tblStylePr w:type="firstCol">
      <w:rPr>
        <w:b/>
        <w:bCs/>
      </w:rPr>
    </w:tblStylePr>
    <w:tblStylePr w:type="lastCol">
      <w:rPr>
        <w:b/>
        <w:bCs/>
      </w:rPr>
    </w:tblStylePr>
    <w:tblStylePr w:type="band1Vert">
      <w:tblPr/>
      <w:tcPr>
        <w:shd w:val="clear" w:color="auto" w:fill="F4F4F4" w:themeFill="accent3" w:themeFillTint="33"/>
      </w:tcPr>
    </w:tblStylePr>
    <w:tblStylePr w:type="band1Horz">
      <w:tblPr/>
      <w:tcPr>
        <w:shd w:val="clear" w:color="auto" w:fill="F4F4F4" w:themeFill="accent3" w:themeFillTint="33"/>
      </w:tcPr>
    </w:tblStylePr>
  </w:style>
  <w:style w:type="table" w:styleId="GridTable6Colorful-Accent4">
    <w:name w:val="Grid Table 6 Colorful Accent 4"/>
    <w:basedOn w:val="TableNormal"/>
    <w:uiPriority w:val="51"/>
    <w:rsid w:val="009637A8"/>
    <w:pPr>
      <w:spacing w:after="0" w:line="240" w:lineRule="auto"/>
    </w:pPr>
    <w:tblPr>
      <w:tblStyleRowBandSize w:val="1"/>
      <w:tblStyleColBandSize w:val="1"/>
      <w:tblBorders>
        <w:top w:val="single" w:sz="4" w:space="0" w:color="2CB8FF" w:themeColor="accent4" w:themeTint="99"/>
        <w:left w:val="single" w:sz="4" w:space="0" w:color="2CB8FF" w:themeColor="accent4" w:themeTint="99"/>
        <w:bottom w:val="single" w:sz="4" w:space="0" w:color="2CB8FF" w:themeColor="accent4" w:themeTint="99"/>
        <w:right w:val="single" w:sz="4" w:space="0" w:color="2CB8FF" w:themeColor="accent4" w:themeTint="99"/>
        <w:insideH w:val="single" w:sz="4" w:space="0" w:color="2CB8FF" w:themeColor="accent4" w:themeTint="99"/>
        <w:insideV w:val="single" w:sz="4" w:space="0" w:color="2CB8FF" w:themeColor="accent4" w:themeTint="99"/>
      </w:tblBorders>
    </w:tblPr>
    <w:tblStylePr w:type="firstRow">
      <w:rPr>
        <w:b/>
        <w:bCs/>
      </w:rPr>
      <w:tblPr/>
      <w:tcPr>
        <w:tcBorders>
          <w:bottom w:val="single" w:sz="12" w:space="0" w:color="2CB8FF" w:themeColor="accent4" w:themeTint="99"/>
        </w:tcBorders>
      </w:tcPr>
    </w:tblStylePr>
    <w:tblStylePr w:type="lastRow">
      <w:rPr>
        <w:b/>
        <w:bCs/>
      </w:rPr>
      <w:tblPr/>
      <w:tcPr>
        <w:tcBorders>
          <w:top w:val="double" w:sz="4" w:space="0" w:color="2CB8FF" w:themeColor="accent4" w:themeTint="99"/>
        </w:tcBorders>
      </w:tcPr>
    </w:tblStylePr>
    <w:tblStylePr w:type="firstCol">
      <w:rPr>
        <w:b/>
        <w:bCs/>
      </w:rPr>
    </w:tblStylePr>
    <w:tblStylePr w:type="lastCol">
      <w:rPr>
        <w:b/>
        <w:bCs/>
      </w:rPr>
    </w:tblStylePr>
    <w:tblStylePr w:type="band1Vert">
      <w:tblPr/>
      <w:tcPr>
        <w:shd w:val="clear" w:color="auto" w:fill="B8E7FF" w:themeFill="accent4" w:themeFillTint="33"/>
      </w:tcPr>
    </w:tblStylePr>
    <w:tblStylePr w:type="band1Horz">
      <w:tblPr/>
      <w:tcPr>
        <w:shd w:val="clear" w:color="auto" w:fill="B8E7FF" w:themeFill="accent4" w:themeFillTint="33"/>
      </w:tcPr>
    </w:tblStylePr>
  </w:style>
  <w:style w:type="table" w:styleId="GridTable6Colorful-Accent5">
    <w:name w:val="Grid Table 6 Colorful Accent 5"/>
    <w:basedOn w:val="TableNormal"/>
    <w:uiPriority w:val="51"/>
    <w:rsid w:val="009637A8"/>
    <w:pPr>
      <w:spacing w:after="0" w:line="240" w:lineRule="auto"/>
    </w:pPr>
    <w:tblPr>
      <w:tblStyleRowBandSize w:val="1"/>
      <w:tblStyleColBandSize w:val="1"/>
      <w:tblBorders>
        <w:top w:val="single" w:sz="4" w:space="0" w:color="AFD7E6" w:themeColor="accent5" w:themeTint="99"/>
        <w:left w:val="single" w:sz="4" w:space="0" w:color="AFD7E6" w:themeColor="accent5" w:themeTint="99"/>
        <w:bottom w:val="single" w:sz="4" w:space="0" w:color="AFD7E6" w:themeColor="accent5" w:themeTint="99"/>
        <w:right w:val="single" w:sz="4" w:space="0" w:color="AFD7E6" w:themeColor="accent5" w:themeTint="99"/>
        <w:insideH w:val="single" w:sz="4" w:space="0" w:color="AFD7E6" w:themeColor="accent5" w:themeTint="99"/>
        <w:insideV w:val="single" w:sz="4" w:space="0" w:color="AFD7E6" w:themeColor="accent5" w:themeTint="99"/>
      </w:tblBorders>
    </w:tblPr>
    <w:tblStylePr w:type="firstRow">
      <w:rPr>
        <w:b/>
        <w:bCs/>
      </w:rPr>
      <w:tblPr/>
      <w:tcPr>
        <w:tcBorders>
          <w:bottom w:val="single" w:sz="12" w:space="0" w:color="AFD7E6" w:themeColor="accent5" w:themeTint="99"/>
        </w:tcBorders>
      </w:tcPr>
    </w:tblStylePr>
    <w:tblStylePr w:type="lastRow">
      <w:rPr>
        <w:b/>
        <w:bCs/>
      </w:rPr>
      <w:tblPr/>
      <w:tcPr>
        <w:tcBorders>
          <w:top w:val="double" w:sz="4" w:space="0" w:color="AFD7E6" w:themeColor="accent5" w:themeTint="99"/>
        </w:tcBorders>
      </w:tcPr>
    </w:tblStylePr>
    <w:tblStylePr w:type="firstCol">
      <w:rPr>
        <w:b/>
        <w:bCs/>
      </w:rPr>
    </w:tblStylePr>
    <w:tblStylePr w:type="lastCol">
      <w:rPr>
        <w:b/>
        <w:bCs/>
      </w:rPr>
    </w:tblStylePr>
    <w:tblStylePr w:type="band1Vert">
      <w:tblPr/>
      <w:tcPr>
        <w:shd w:val="clear" w:color="auto" w:fill="E4F1F6" w:themeFill="accent5" w:themeFillTint="33"/>
      </w:tcPr>
    </w:tblStylePr>
    <w:tblStylePr w:type="band1Horz">
      <w:tblPr/>
      <w:tcPr>
        <w:shd w:val="clear" w:color="auto" w:fill="E4F1F6" w:themeFill="accent5" w:themeFillTint="33"/>
      </w:tcPr>
    </w:tblStylePr>
  </w:style>
  <w:style w:type="table" w:styleId="GridTable6Colorful-Accent6">
    <w:name w:val="Grid Table 6 Colorful Accent 6"/>
    <w:basedOn w:val="TableNormal"/>
    <w:uiPriority w:val="51"/>
    <w:rsid w:val="009637A8"/>
    <w:pPr>
      <w:spacing w:after="0" w:line="240" w:lineRule="auto"/>
    </w:pPr>
    <w:tblPr>
      <w:tblStyleRowBandSize w:val="1"/>
      <w:tblStyleColBandSize w:val="1"/>
      <w:tblBorders>
        <w:top w:val="single" w:sz="4" w:space="0" w:color="83C590" w:themeColor="accent6" w:themeTint="99"/>
        <w:left w:val="single" w:sz="4" w:space="0" w:color="83C590" w:themeColor="accent6" w:themeTint="99"/>
        <w:bottom w:val="single" w:sz="4" w:space="0" w:color="83C590" w:themeColor="accent6" w:themeTint="99"/>
        <w:right w:val="single" w:sz="4" w:space="0" w:color="83C590" w:themeColor="accent6" w:themeTint="99"/>
        <w:insideH w:val="single" w:sz="4" w:space="0" w:color="83C590" w:themeColor="accent6" w:themeTint="99"/>
        <w:insideV w:val="single" w:sz="4" w:space="0" w:color="83C590" w:themeColor="accent6" w:themeTint="99"/>
      </w:tblBorders>
    </w:tblPr>
    <w:tblStylePr w:type="firstRow">
      <w:rPr>
        <w:b/>
        <w:bCs/>
      </w:rPr>
      <w:tblPr/>
      <w:tcPr>
        <w:tcBorders>
          <w:bottom w:val="single" w:sz="12" w:space="0" w:color="83C590" w:themeColor="accent6" w:themeTint="99"/>
        </w:tcBorders>
      </w:tcPr>
    </w:tblStylePr>
    <w:tblStylePr w:type="lastRow">
      <w:rPr>
        <w:b/>
        <w:bCs/>
      </w:rPr>
      <w:tblPr/>
      <w:tcPr>
        <w:tcBorders>
          <w:top w:val="double" w:sz="4" w:space="0" w:color="83C590" w:themeColor="accent6" w:themeTint="99"/>
        </w:tcBorders>
      </w:tcPr>
    </w:tblStylePr>
    <w:tblStylePr w:type="firstCol">
      <w:rPr>
        <w:b/>
        <w:bCs/>
      </w:rPr>
    </w:tblStylePr>
    <w:tblStylePr w:type="lastCol">
      <w:rPr>
        <w:b/>
        <w:bCs/>
      </w:rPr>
    </w:tblStylePr>
    <w:tblStylePr w:type="band1Vert">
      <w:tblPr/>
      <w:tcPr>
        <w:shd w:val="clear" w:color="auto" w:fill="D5EBDA" w:themeFill="accent6" w:themeFillTint="33"/>
      </w:tcPr>
    </w:tblStylePr>
    <w:tblStylePr w:type="band1Horz">
      <w:tblPr/>
      <w:tcPr>
        <w:shd w:val="clear" w:color="auto" w:fill="D5EBDA" w:themeFill="accent6" w:themeFillTint="33"/>
      </w:tcPr>
    </w:tblStylePr>
  </w:style>
  <w:style w:type="table" w:styleId="GridTable7Colorful">
    <w:name w:val="Grid Table 7 Colorful"/>
    <w:basedOn w:val="TableNormal"/>
    <w:uiPriority w:val="52"/>
    <w:rsid w:val="009637A8"/>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7Colorful-Accent1">
    <w:name w:val="Grid Table 7 Colorful Accent 1"/>
    <w:basedOn w:val="TableNormal"/>
    <w:uiPriority w:val="52"/>
    <w:rsid w:val="009637A8"/>
    <w:pPr>
      <w:spacing w:after="0" w:line="240" w:lineRule="auto"/>
    </w:pPr>
    <w:tblPr>
      <w:tblStyleRowBandSize w:val="1"/>
      <w:tblStyleColBandSize w:val="1"/>
      <w:tblBorders>
        <w:top w:val="single" w:sz="4" w:space="0" w:color="C4B5D8" w:themeColor="accent1" w:themeTint="99"/>
        <w:left w:val="single" w:sz="4" w:space="0" w:color="C4B5D8" w:themeColor="accent1" w:themeTint="99"/>
        <w:bottom w:val="single" w:sz="4" w:space="0" w:color="C4B5D8" w:themeColor="accent1" w:themeTint="99"/>
        <w:right w:val="single" w:sz="4" w:space="0" w:color="C4B5D8" w:themeColor="accent1" w:themeTint="99"/>
        <w:insideH w:val="single" w:sz="4" w:space="0" w:color="C4B5D8" w:themeColor="accent1" w:themeTint="99"/>
        <w:insideV w:val="single" w:sz="4" w:space="0" w:color="C4B5D8"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BE6F2" w:themeFill="accent1" w:themeFillTint="33"/>
      </w:tcPr>
    </w:tblStylePr>
    <w:tblStylePr w:type="band1Horz">
      <w:tblPr/>
      <w:tcPr>
        <w:shd w:val="clear" w:color="auto" w:fill="EBE6F2" w:themeFill="accent1" w:themeFillTint="33"/>
      </w:tcPr>
    </w:tblStylePr>
    <w:tblStylePr w:type="neCell">
      <w:tblPr/>
      <w:tcPr>
        <w:tcBorders>
          <w:bottom w:val="single" w:sz="4" w:space="0" w:color="C4B5D8" w:themeColor="accent1" w:themeTint="99"/>
        </w:tcBorders>
      </w:tcPr>
    </w:tblStylePr>
    <w:tblStylePr w:type="nwCell">
      <w:tblPr/>
      <w:tcPr>
        <w:tcBorders>
          <w:bottom w:val="single" w:sz="4" w:space="0" w:color="C4B5D8" w:themeColor="accent1" w:themeTint="99"/>
        </w:tcBorders>
      </w:tcPr>
    </w:tblStylePr>
    <w:tblStylePr w:type="seCell">
      <w:tblPr/>
      <w:tcPr>
        <w:tcBorders>
          <w:top w:val="single" w:sz="4" w:space="0" w:color="C4B5D8" w:themeColor="accent1" w:themeTint="99"/>
        </w:tcBorders>
      </w:tcPr>
    </w:tblStylePr>
    <w:tblStylePr w:type="swCell">
      <w:tblPr/>
      <w:tcPr>
        <w:tcBorders>
          <w:top w:val="single" w:sz="4" w:space="0" w:color="C4B5D8" w:themeColor="accent1" w:themeTint="99"/>
        </w:tcBorders>
      </w:tcPr>
    </w:tblStylePr>
  </w:style>
  <w:style w:type="table" w:styleId="GridTable7Colorful-Accent2">
    <w:name w:val="Grid Table 7 Colorful Accent 2"/>
    <w:basedOn w:val="TableNormal"/>
    <w:uiPriority w:val="52"/>
    <w:rsid w:val="009637A8"/>
    <w:pPr>
      <w:spacing w:after="0" w:line="240" w:lineRule="auto"/>
    </w:pPr>
    <w:tblPr>
      <w:tblStyleRowBandSize w:val="1"/>
      <w:tblStyleColBandSize w:val="1"/>
      <w:tblBorders>
        <w:top w:val="single" w:sz="4" w:space="0" w:color="B1B1B1" w:themeColor="accent2" w:themeTint="99"/>
        <w:left w:val="single" w:sz="4" w:space="0" w:color="B1B1B1" w:themeColor="accent2" w:themeTint="99"/>
        <w:bottom w:val="single" w:sz="4" w:space="0" w:color="B1B1B1" w:themeColor="accent2" w:themeTint="99"/>
        <w:right w:val="single" w:sz="4" w:space="0" w:color="B1B1B1" w:themeColor="accent2" w:themeTint="99"/>
        <w:insideH w:val="single" w:sz="4" w:space="0" w:color="B1B1B1" w:themeColor="accent2" w:themeTint="99"/>
        <w:insideV w:val="single" w:sz="4" w:space="0" w:color="B1B1B1"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5E5E5" w:themeFill="accent2" w:themeFillTint="33"/>
      </w:tcPr>
    </w:tblStylePr>
    <w:tblStylePr w:type="band1Horz">
      <w:tblPr/>
      <w:tcPr>
        <w:shd w:val="clear" w:color="auto" w:fill="E5E5E5" w:themeFill="accent2" w:themeFillTint="33"/>
      </w:tcPr>
    </w:tblStylePr>
    <w:tblStylePr w:type="neCell">
      <w:tblPr/>
      <w:tcPr>
        <w:tcBorders>
          <w:bottom w:val="single" w:sz="4" w:space="0" w:color="B1B1B1" w:themeColor="accent2" w:themeTint="99"/>
        </w:tcBorders>
      </w:tcPr>
    </w:tblStylePr>
    <w:tblStylePr w:type="nwCell">
      <w:tblPr/>
      <w:tcPr>
        <w:tcBorders>
          <w:bottom w:val="single" w:sz="4" w:space="0" w:color="B1B1B1" w:themeColor="accent2" w:themeTint="99"/>
        </w:tcBorders>
      </w:tcPr>
    </w:tblStylePr>
    <w:tblStylePr w:type="seCell">
      <w:tblPr/>
      <w:tcPr>
        <w:tcBorders>
          <w:top w:val="single" w:sz="4" w:space="0" w:color="B1B1B1" w:themeColor="accent2" w:themeTint="99"/>
        </w:tcBorders>
      </w:tcPr>
    </w:tblStylePr>
    <w:tblStylePr w:type="swCell">
      <w:tblPr/>
      <w:tcPr>
        <w:tcBorders>
          <w:top w:val="single" w:sz="4" w:space="0" w:color="B1B1B1" w:themeColor="accent2" w:themeTint="99"/>
        </w:tcBorders>
      </w:tcPr>
    </w:tblStylePr>
  </w:style>
  <w:style w:type="table" w:styleId="GridTable7Colorful-Accent3">
    <w:name w:val="Grid Table 7 Colorful Accent 3"/>
    <w:basedOn w:val="TableNormal"/>
    <w:uiPriority w:val="52"/>
    <w:rsid w:val="009637A8"/>
    <w:pPr>
      <w:spacing w:after="0" w:line="240" w:lineRule="auto"/>
    </w:pPr>
    <w:tblPr>
      <w:tblStyleRowBandSize w:val="1"/>
      <w:tblStyleColBandSize w:val="1"/>
      <w:tblBorders>
        <w:top w:val="single" w:sz="4" w:space="0" w:color="DEDEDE" w:themeColor="accent3" w:themeTint="99"/>
        <w:left w:val="single" w:sz="4" w:space="0" w:color="DEDEDE" w:themeColor="accent3" w:themeTint="99"/>
        <w:bottom w:val="single" w:sz="4" w:space="0" w:color="DEDEDE" w:themeColor="accent3" w:themeTint="99"/>
        <w:right w:val="single" w:sz="4" w:space="0" w:color="DEDEDE" w:themeColor="accent3" w:themeTint="99"/>
        <w:insideH w:val="single" w:sz="4" w:space="0" w:color="DEDEDE" w:themeColor="accent3" w:themeTint="99"/>
        <w:insideV w:val="single" w:sz="4" w:space="0" w:color="DEDEDE"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4F4F4" w:themeFill="accent3" w:themeFillTint="33"/>
      </w:tcPr>
    </w:tblStylePr>
    <w:tblStylePr w:type="band1Horz">
      <w:tblPr/>
      <w:tcPr>
        <w:shd w:val="clear" w:color="auto" w:fill="F4F4F4" w:themeFill="accent3" w:themeFillTint="33"/>
      </w:tcPr>
    </w:tblStylePr>
    <w:tblStylePr w:type="neCell">
      <w:tblPr/>
      <w:tcPr>
        <w:tcBorders>
          <w:bottom w:val="single" w:sz="4" w:space="0" w:color="DEDEDE" w:themeColor="accent3" w:themeTint="99"/>
        </w:tcBorders>
      </w:tcPr>
    </w:tblStylePr>
    <w:tblStylePr w:type="nwCell">
      <w:tblPr/>
      <w:tcPr>
        <w:tcBorders>
          <w:bottom w:val="single" w:sz="4" w:space="0" w:color="DEDEDE" w:themeColor="accent3" w:themeTint="99"/>
        </w:tcBorders>
      </w:tcPr>
    </w:tblStylePr>
    <w:tblStylePr w:type="seCell">
      <w:tblPr/>
      <w:tcPr>
        <w:tcBorders>
          <w:top w:val="single" w:sz="4" w:space="0" w:color="DEDEDE" w:themeColor="accent3" w:themeTint="99"/>
        </w:tcBorders>
      </w:tcPr>
    </w:tblStylePr>
    <w:tblStylePr w:type="swCell">
      <w:tblPr/>
      <w:tcPr>
        <w:tcBorders>
          <w:top w:val="single" w:sz="4" w:space="0" w:color="DEDEDE" w:themeColor="accent3" w:themeTint="99"/>
        </w:tcBorders>
      </w:tcPr>
    </w:tblStylePr>
  </w:style>
  <w:style w:type="table" w:styleId="GridTable7Colorful-Accent4">
    <w:name w:val="Grid Table 7 Colorful Accent 4"/>
    <w:basedOn w:val="TableNormal"/>
    <w:uiPriority w:val="52"/>
    <w:rsid w:val="009637A8"/>
    <w:pPr>
      <w:spacing w:after="0" w:line="240" w:lineRule="auto"/>
    </w:pPr>
    <w:tblPr>
      <w:tblStyleRowBandSize w:val="1"/>
      <w:tblStyleColBandSize w:val="1"/>
      <w:tblBorders>
        <w:top w:val="single" w:sz="4" w:space="0" w:color="2CB8FF" w:themeColor="accent4" w:themeTint="99"/>
        <w:left w:val="single" w:sz="4" w:space="0" w:color="2CB8FF" w:themeColor="accent4" w:themeTint="99"/>
        <w:bottom w:val="single" w:sz="4" w:space="0" w:color="2CB8FF" w:themeColor="accent4" w:themeTint="99"/>
        <w:right w:val="single" w:sz="4" w:space="0" w:color="2CB8FF" w:themeColor="accent4" w:themeTint="99"/>
        <w:insideH w:val="single" w:sz="4" w:space="0" w:color="2CB8FF" w:themeColor="accent4" w:themeTint="99"/>
        <w:insideV w:val="single" w:sz="4" w:space="0" w:color="2CB8FF"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8E7FF" w:themeFill="accent4" w:themeFillTint="33"/>
      </w:tcPr>
    </w:tblStylePr>
    <w:tblStylePr w:type="band1Horz">
      <w:tblPr/>
      <w:tcPr>
        <w:shd w:val="clear" w:color="auto" w:fill="B8E7FF" w:themeFill="accent4" w:themeFillTint="33"/>
      </w:tcPr>
    </w:tblStylePr>
    <w:tblStylePr w:type="neCell">
      <w:tblPr/>
      <w:tcPr>
        <w:tcBorders>
          <w:bottom w:val="single" w:sz="4" w:space="0" w:color="2CB8FF" w:themeColor="accent4" w:themeTint="99"/>
        </w:tcBorders>
      </w:tcPr>
    </w:tblStylePr>
    <w:tblStylePr w:type="nwCell">
      <w:tblPr/>
      <w:tcPr>
        <w:tcBorders>
          <w:bottom w:val="single" w:sz="4" w:space="0" w:color="2CB8FF" w:themeColor="accent4" w:themeTint="99"/>
        </w:tcBorders>
      </w:tcPr>
    </w:tblStylePr>
    <w:tblStylePr w:type="seCell">
      <w:tblPr/>
      <w:tcPr>
        <w:tcBorders>
          <w:top w:val="single" w:sz="4" w:space="0" w:color="2CB8FF" w:themeColor="accent4" w:themeTint="99"/>
        </w:tcBorders>
      </w:tcPr>
    </w:tblStylePr>
    <w:tblStylePr w:type="swCell">
      <w:tblPr/>
      <w:tcPr>
        <w:tcBorders>
          <w:top w:val="single" w:sz="4" w:space="0" w:color="2CB8FF" w:themeColor="accent4" w:themeTint="99"/>
        </w:tcBorders>
      </w:tcPr>
    </w:tblStylePr>
  </w:style>
  <w:style w:type="table" w:styleId="GridTable7Colorful-Accent5">
    <w:name w:val="Grid Table 7 Colorful Accent 5"/>
    <w:basedOn w:val="TableNormal"/>
    <w:uiPriority w:val="52"/>
    <w:rsid w:val="009637A8"/>
    <w:pPr>
      <w:spacing w:after="0" w:line="240" w:lineRule="auto"/>
    </w:pPr>
    <w:tblPr>
      <w:tblStyleRowBandSize w:val="1"/>
      <w:tblStyleColBandSize w:val="1"/>
      <w:tblBorders>
        <w:top w:val="single" w:sz="4" w:space="0" w:color="AFD7E6" w:themeColor="accent5" w:themeTint="99"/>
        <w:left w:val="single" w:sz="4" w:space="0" w:color="AFD7E6" w:themeColor="accent5" w:themeTint="99"/>
        <w:bottom w:val="single" w:sz="4" w:space="0" w:color="AFD7E6" w:themeColor="accent5" w:themeTint="99"/>
        <w:right w:val="single" w:sz="4" w:space="0" w:color="AFD7E6" w:themeColor="accent5" w:themeTint="99"/>
        <w:insideH w:val="single" w:sz="4" w:space="0" w:color="AFD7E6" w:themeColor="accent5" w:themeTint="99"/>
        <w:insideV w:val="single" w:sz="4" w:space="0" w:color="AFD7E6"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4F1F6" w:themeFill="accent5" w:themeFillTint="33"/>
      </w:tcPr>
    </w:tblStylePr>
    <w:tblStylePr w:type="band1Horz">
      <w:tblPr/>
      <w:tcPr>
        <w:shd w:val="clear" w:color="auto" w:fill="E4F1F6" w:themeFill="accent5" w:themeFillTint="33"/>
      </w:tcPr>
    </w:tblStylePr>
    <w:tblStylePr w:type="neCell">
      <w:tblPr/>
      <w:tcPr>
        <w:tcBorders>
          <w:bottom w:val="single" w:sz="4" w:space="0" w:color="AFD7E6" w:themeColor="accent5" w:themeTint="99"/>
        </w:tcBorders>
      </w:tcPr>
    </w:tblStylePr>
    <w:tblStylePr w:type="nwCell">
      <w:tblPr/>
      <w:tcPr>
        <w:tcBorders>
          <w:bottom w:val="single" w:sz="4" w:space="0" w:color="AFD7E6" w:themeColor="accent5" w:themeTint="99"/>
        </w:tcBorders>
      </w:tcPr>
    </w:tblStylePr>
    <w:tblStylePr w:type="seCell">
      <w:tblPr/>
      <w:tcPr>
        <w:tcBorders>
          <w:top w:val="single" w:sz="4" w:space="0" w:color="AFD7E6" w:themeColor="accent5" w:themeTint="99"/>
        </w:tcBorders>
      </w:tcPr>
    </w:tblStylePr>
    <w:tblStylePr w:type="swCell">
      <w:tblPr/>
      <w:tcPr>
        <w:tcBorders>
          <w:top w:val="single" w:sz="4" w:space="0" w:color="AFD7E6" w:themeColor="accent5" w:themeTint="99"/>
        </w:tcBorders>
      </w:tcPr>
    </w:tblStylePr>
  </w:style>
  <w:style w:type="table" w:styleId="GridTable7Colorful-Accent6">
    <w:name w:val="Grid Table 7 Colorful Accent 6"/>
    <w:basedOn w:val="TableNormal"/>
    <w:uiPriority w:val="52"/>
    <w:rsid w:val="009637A8"/>
    <w:pPr>
      <w:spacing w:after="0" w:line="240" w:lineRule="auto"/>
    </w:pPr>
    <w:tblPr>
      <w:tblStyleRowBandSize w:val="1"/>
      <w:tblStyleColBandSize w:val="1"/>
      <w:tblBorders>
        <w:top w:val="single" w:sz="4" w:space="0" w:color="83C590" w:themeColor="accent6" w:themeTint="99"/>
        <w:left w:val="single" w:sz="4" w:space="0" w:color="83C590" w:themeColor="accent6" w:themeTint="99"/>
        <w:bottom w:val="single" w:sz="4" w:space="0" w:color="83C590" w:themeColor="accent6" w:themeTint="99"/>
        <w:right w:val="single" w:sz="4" w:space="0" w:color="83C590" w:themeColor="accent6" w:themeTint="99"/>
        <w:insideH w:val="single" w:sz="4" w:space="0" w:color="83C590" w:themeColor="accent6" w:themeTint="99"/>
        <w:insideV w:val="single" w:sz="4" w:space="0" w:color="83C590"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5EBDA" w:themeFill="accent6" w:themeFillTint="33"/>
      </w:tcPr>
    </w:tblStylePr>
    <w:tblStylePr w:type="band1Horz">
      <w:tblPr/>
      <w:tcPr>
        <w:shd w:val="clear" w:color="auto" w:fill="D5EBDA" w:themeFill="accent6" w:themeFillTint="33"/>
      </w:tcPr>
    </w:tblStylePr>
    <w:tblStylePr w:type="neCell">
      <w:tblPr/>
      <w:tcPr>
        <w:tcBorders>
          <w:bottom w:val="single" w:sz="4" w:space="0" w:color="83C590" w:themeColor="accent6" w:themeTint="99"/>
        </w:tcBorders>
      </w:tcPr>
    </w:tblStylePr>
    <w:tblStylePr w:type="nwCell">
      <w:tblPr/>
      <w:tcPr>
        <w:tcBorders>
          <w:bottom w:val="single" w:sz="4" w:space="0" w:color="83C590" w:themeColor="accent6" w:themeTint="99"/>
        </w:tcBorders>
      </w:tcPr>
    </w:tblStylePr>
    <w:tblStylePr w:type="seCell">
      <w:tblPr/>
      <w:tcPr>
        <w:tcBorders>
          <w:top w:val="single" w:sz="4" w:space="0" w:color="83C590" w:themeColor="accent6" w:themeTint="99"/>
        </w:tcBorders>
      </w:tcPr>
    </w:tblStylePr>
    <w:tblStylePr w:type="swCell">
      <w:tblPr/>
      <w:tcPr>
        <w:tcBorders>
          <w:top w:val="single" w:sz="4" w:space="0" w:color="83C590" w:themeColor="accent6" w:themeTint="99"/>
        </w:tcBorders>
      </w:tcPr>
    </w:tblStylePr>
  </w:style>
  <w:style w:type="character" w:styleId="Hashtag">
    <w:name w:val="Hashtag"/>
    <w:basedOn w:val="DefaultParagraphFont"/>
    <w:uiPriority w:val="99"/>
    <w:semiHidden/>
    <w:unhideWhenUsed/>
    <w:rsid w:val="009637A8"/>
    <w:rPr>
      <w:color w:val="000000"/>
      <w:shd w:val="clear" w:color="auto" w:fill="E1DFDD"/>
    </w:rPr>
  </w:style>
  <w:style w:type="paragraph" w:styleId="Header">
    <w:name w:val="header"/>
    <w:basedOn w:val="Normal-nospace"/>
    <w:link w:val="HeaderChar"/>
    <w:uiPriority w:val="99"/>
    <w:unhideWhenUsed/>
    <w:rsid w:val="00B649EB"/>
    <w:pPr>
      <w:tabs>
        <w:tab w:val="center" w:pos="4513"/>
        <w:tab w:val="right" w:pos="9026"/>
      </w:tabs>
      <w:spacing w:before="90" w:line="240" w:lineRule="auto"/>
    </w:pPr>
    <w:rPr>
      <w:sz w:val="16"/>
    </w:rPr>
  </w:style>
  <w:style w:type="character" w:customStyle="1" w:styleId="HeaderChar">
    <w:name w:val="Header Char"/>
    <w:basedOn w:val="DefaultParagraphFont"/>
    <w:link w:val="Header"/>
    <w:uiPriority w:val="99"/>
    <w:rsid w:val="00B649EB"/>
    <w:rPr>
      <w:rFonts w:ascii="Arial" w:hAnsi="Arial" w:cs="Arial"/>
      <w:color w:val="000000"/>
      <w:sz w:val="16"/>
    </w:rPr>
  </w:style>
  <w:style w:type="character" w:styleId="HTMLAcronym">
    <w:name w:val="HTML Acronym"/>
    <w:basedOn w:val="DefaultParagraphFont"/>
    <w:uiPriority w:val="99"/>
    <w:semiHidden/>
    <w:unhideWhenUsed/>
    <w:rsid w:val="009637A8"/>
    <w:rPr>
      <w:color w:val="000000"/>
    </w:rPr>
  </w:style>
  <w:style w:type="paragraph" w:styleId="HTMLAddress">
    <w:name w:val="HTML Address"/>
    <w:basedOn w:val="Normal"/>
    <w:link w:val="HTMLAddressChar"/>
    <w:uiPriority w:val="99"/>
    <w:semiHidden/>
    <w:unhideWhenUsed/>
    <w:rsid w:val="009637A8"/>
    <w:pPr>
      <w:spacing w:after="0"/>
    </w:pPr>
    <w:rPr>
      <w:i/>
      <w:iCs/>
    </w:rPr>
  </w:style>
  <w:style w:type="character" w:customStyle="1" w:styleId="HTMLAddressChar">
    <w:name w:val="HTML Address Char"/>
    <w:basedOn w:val="DefaultParagraphFont"/>
    <w:link w:val="HTMLAddress"/>
    <w:uiPriority w:val="99"/>
    <w:semiHidden/>
    <w:rsid w:val="009637A8"/>
    <w:rPr>
      <w:rFonts w:ascii="Arial" w:hAnsi="Arial" w:cs="Arial"/>
      <w:i/>
      <w:iCs/>
      <w:color w:val="000000"/>
      <w:sz w:val="19"/>
    </w:rPr>
  </w:style>
  <w:style w:type="character" w:styleId="HTMLCite">
    <w:name w:val="HTML Cite"/>
    <w:basedOn w:val="DefaultParagraphFont"/>
    <w:uiPriority w:val="99"/>
    <w:semiHidden/>
    <w:unhideWhenUsed/>
    <w:rsid w:val="009637A8"/>
    <w:rPr>
      <w:i/>
      <w:iCs/>
      <w:color w:val="000000"/>
    </w:rPr>
  </w:style>
  <w:style w:type="character" w:styleId="HTMLCode">
    <w:name w:val="HTML Code"/>
    <w:basedOn w:val="DefaultParagraphFont"/>
    <w:uiPriority w:val="99"/>
    <w:semiHidden/>
    <w:unhideWhenUsed/>
    <w:rsid w:val="009637A8"/>
    <w:rPr>
      <w:rFonts w:ascii="Arial" w:hAnsi="Arial" w:cs="Arial"/>
      <w:color w:val="000000"/>
      <w:sz w:val="20"/>
      <w:szCs w:val="20"/>
    </w:rPr>
  </w:style>
  <w:style w:type="character" w:styleId="HTMLDefinition">
    <w:name w:val="HTML Definition"/>
    <w:basedOn w:val="DefaultParagraphFont"/>
    <w:uiPriority w:val="99"/>
    <w:semiHidden/>
    <w:unhideWhenUsed/>
    <w:rsid w:val="009637A8"/>
    <w:rPr>
      <w:i/>
      <w:iCs/>
      <w:color w:val="000000"/>
    </w:rPr>
  </w:style>
  <w:style w:type="character" w:styleId="HTMLKeyboard">
    <w:name w:val="HTML Keyboard"/>
    <w:basedOn w:val="DefaultParagraphFont"/>
    <w:uiPriority w:val="99"/>
    <w:semiHidden/>
    <w:unhideWhenUsed/>
    <w:rsid w:val="009637A8"/>
    <w:rPr>
      <w:rFonts w:ascii="Arial" w:hAnsi="Arial" w:cs="Arial"/>
      <w:color w:val="000000"/>
      <w:sz w:val="20"/>
      <w:szCs w:val="20"/>
    </w:rPr>
  </w:style>
  <w:style w:type="paragraph" w:styleId="HTMLPreformatted">
    <w:name w:val="HTML Preformatted"/>
    <w:basedOn w:val="Normal"/>
    <w:link w:val="HTMLPreformattedChar"/>
    <w:uiPriority w:val="99"/>
    <w:semiHidden/>
    <w:unhideWhenUsed/>
    <w:rsid w:val="009637A8"/>
    <w:pPr>
      <w:spacing w:after="0"/>
    </w:pPr>
    <w:rPr>
      <w:sz w:val="20"/>
      <w:szCs w:val="20"/>
    </w:rPr>
  </w:style>
  <w:style w:type="character" w:customStyle="1" w:styleId="HTMLPreformattedChar">
    <w:name w:val="HTML Preformatted Char"/>
    <w:basedOn w:val="DefaultParagraphFont"/>
    <w:link w:val="HTMLPreformatted"/>
    <w:uiPriority w:val="99"/>
    <w:semiHidden/>
    <w:rsid w:val="009637A8"/>
    <w:rPr>
      <w:rFonts w:ascii="Arial" w:hAnsi="Arial" w:cs="Arial"/>
      <w:color w:val="000000"/>
      <w:sz w:val="20"/>
      <w:szCs w:val="20"/>
    </w:rPr>
  </w:style>
  <w:style w:type="character" w:styleId="HTMLSample">
    <w:name w:val="HTML Sample"/>
    <w:basedOn w:val="DefaultParagraphFont"/>
    <w:uiPriority w:val="99"/>
    <w:semiHidden/>
    <w:unhideWhenUsed/>
    <w:rsid w:val="009637A8"/>
    <w:rPr>
      <w:rFonts w:ascii="Arial" w:hAnsi="Arial" w:cs="Arial"/>
      <w:color w:val="000000"/>
      <w:sz w:val="24"/>
      <w:szCs w:val="24"/>
    </w:rPr>
  </w:style>
  <w:style w:type="character" w:styleId="HTMLTypewriter">
    <w:name w:val="HTML Typewriter"/>
    <w:basedOn w:val="DefaultParagraphFont"/>
    <w:uiPriority w:val="99"/>
    <w:semiHidden/>
    <w:unhideWhenUsed/>
    <w:rsid w:val="009637A8"/>
    <w:rPr>
      <w:rFonts w:ascii="Arial" w:hAnsi="Arial" w:cs="Arial"/>
      <w:color w:val="000000"/>
      <w:sz w:val="20"/>
      <w:szCs w:val="20"/>
    </w:rPr>
  </w:style>
  <w:style w:type="character" w:styleId="HTMLVariable">
    <w:name w:val="HTML Variable"/>
    <w:basedOn w:val="DefaultParagraphFont"/>
    <w:uiPriority w:val="99"/>
    <w:semiHidden/>
    <w:unhideWhenUsed/>
    <w:rsid w:val="009637A8"/>
    <w:rPr>
      <w:i/>
      <w:iCs/>
      <w:color w:val="000000"/>
    </w:rPr>
  </w:style>
  <w:style w:type="character" w:styleId="Hyperlink">
    <w:name w:val="Hyperlink"/>
    <w:basedOn w:val="DefaultParagraphFont"/>
    <w:uiPriority w:val="99"/>
    <w:unhideWhenUsed/>
    <w:qFormat/>
    <w:rsid w:val="009637A8"/>
    <w:rPr>
      <w:color w:val="000000"/>
      <w:u w:val="single"/>
    </w:rPr>
  </w:style>
  <w:style w:type="paragraph" w:styleId="Index1">
    <w:name w:val="index 1"/>
    <w:basedOn w:val="Normal"/>
    <w:next w:val="Normal"/>
    <w:autoRedefine/>
    <w:uiPriority w:val="99"/>
    <w:semiHidden/>
    <w:unhideWhenUsed/>
    <w:rsid w:val="009637A8"/>
    <w:pPr>
      <w:spacing w:after="0"/>
      <w:ind w:left="220" w:hanging="220"/>
    </w:pPr>
  </w:style>
  <w:style w:type="paragraph" w:styleId="Index2">
    <w:name w:val="index 2"/>
    <w:basedOn w:val="Normal"/>
    <w:next w:val="Normal"/>
    <w:autoRedefine/>
    <w:uiPriority w:val="99"/>
    <w:semiHidden/>
    <w:unhideWhenUsed/>
    <w:rsid w:val="009637A8"/>
    <w:pPr>
      <w:spacing w:after="0"/>
      <w:ind w:left="440" w:hanging="220"/>
    </w:pPr>
  </w:style>
  <w:style w:type="paragraph" w:styleId="Index3">
    <w:name w:val="index 3"/>
    <w:basedOn w:val="Normal"/>
    <w:next w:val="Normal"/>
    <w:autoRedefine/>
    <w:uiPriority w:val="99"/>
    <w:semiHidden/>
    <w:unhideWhenUsed/>
    <w:rsid w:val="009637A8"/>
    <w:pPr>
      <w:spacing w:after="0"/>
      <w:ind w:left="660" w:hanging="220"/>
    </w:pPr>
  </w:style>
  <w:style w:type="paragraph" w:styleId="Index4">
    <w:name w:val="index 4"/>
    <w:basedOn w:val="Normal"/>
    <w:next w:val="Normal"/>
    <w:autoRedefine/>
    <w:uiPriority w:val="99"/>
    <w:semiHidden/>
    <w:unhideWhenUsed/>
    <w:rsid w:val="009637A8"/>
    <w:pPr>
      <w:spacing w:after="0"/>
      <w:ind w:left="880" w:hanging="220"/>
    </w:pPr>
  </w:style>
  <w:style w:type="paragraph" w:styleId="Index5">
    <w:name w:val="index 5"/>
    <w:basedOn w:val="Normal"/>
    <w:next w:val="Normal"/>
    <w:autoRedefine/>
    <w:uiPriority w:val="99"/>
    <w:semiHidden/>
    <w:unhideWhenUsed/>
    <w:rsid w:val="009637A8"/>
    <w:pPr>
      <w:spacing w:after="0"/>
      <w:ind w:left="1100" w:hanging="220"/>
    </w:pPr>
  </w:style>
  <w:style w:type="paragraph" w:styleId="Index6">
    <w:name w:val="index 6"/>
    <w:basedOn w:val="Normal"/>
    <w:next w:val="Normal"/>
    <w:autoRedefine/>
    <w:uiPriority w:val="99"/>
    <w:semiHidden/>
    <w:unhideWhenUsed/>
    <w:rsid w:val="009637A8"/>
    <w:pPr>
      <w:spacing w:after="0"/>
      <w:ind w:left="1320" w:hanging="220"/>
    </w:pPr>
  </w:style>
  <w:style w:type="paragraph" w:styleId="Index7">
    <w:name w:val="index 7"/>
    <w:basedOn w:val="Normal"/>
    <w:next w:val="Normal"/>
    <w:autoRedefine/>
    <w:uiPriority w:val="99"/>
    <w:semiHidden/>
    <w:unhideWhenUsed/>
    <w:rsid w:val="009637A8"/>
    <w:pPr>
      <w:spacing w:after="0"/>
      <w:ind w:left="1540" w:hanging="220"/>
    </w:pPr>
  </w:style>
  <w:style w:type="paragraph" w:styleId="Index8">
    <w:name w:val="index 8"/>
    <w:basedOn w:val="Normal"/>
    <w:next w:val="Normal"/>
    <w:autoRedefine/>
    <w:uiPriority w:val="99"/>
    <w:semiHidden/>
    <w:unhideWhenUsed/>
    <w:rsid w:val="009637A8"/>
    <w:pPr>
      <w:spacing w:after="0"/>
      <w:ind w:left="1760" w:hanging="220"/>
    </w:pPr>
  </w:style>
  <w:style w:type="paragraph" w:styleId="Index9">
    <w:name w:val="index 9"/>
    <w:basedOn w:val="Normal"/>
    <w:next w:val="Normal"/>
    <w:autoRedefine/>
    <w:uiPriority w:val="99"/>
    <w:semiHidden/>
    <w:unhideWhenUsed/>
    <w:rsid w:val="009637A8"/>
    <w:pPr>
      <w:spacing w:after="0"/>
      <w:ind w:left="1980" w:hanging="220"/>
    </w:pPr>
  </w:style>
  <w:style w:type="paragraph" w:styleId="IndexHeading">
    <w:name w:val="index heading"/>
    <w:basedOn w:val="Normal"/>
    <w:next w:val="Index1"/>
    <w:uiPriority w:val="99"/>
    <w:semiHidden/>
    <w:unhideWhenUsed/>
    <w:rsid w:val="009637A8"/>
    <w:pPr>
      <w:spacing w:after="160" w:line="259" w:lineRule="auto"/>
    </w:pPr>
    <w:rPr>
      <w:rFonts w:eastAsiaTheme="majorEastAsia"/>
      <w:b/>
      <w:bCs/>
    </w:rPr>
  </w:style>
  <w:style w:type="character" w:styleId="IntenseEmphasis">
    <w:name w:val="Intense Emphasis"/>
    <w:basedOn w:val="DefaultParagraphFont"/>
    <w:uiPriority w:val="21"/>
    <w:qFormat/>
    <w:rsid w:val="009637A8"/>
    <w:rPr>
      <w:i/>
      <w:iCs/>
      <w:color w:val="000000"/>
    </w:rPr>
  </w:style>
  <w:style w:type="paragraph" w:styleId="IntenseQuote">
    <w:name w:val="Intense Quote"/>
    <w:basedOn w:val="Normal"/>
    <w:next w:val="Normal"/>
    <w:link w:val="IntenseQuoteChar"/>
    <w:uiPriority w:val="30"/>
    <w:qFormat/>
    <w:rsid w:val="009637A8"/>
    <w:pPr>
      <w:pBdr>
        <w:top w:val="single" w:sz="4" w:space="10" w:color="9D85BE" w:themeColor="accent1"/>
        <w:bottom w:val="single" w:sz="4" w:space="10" w:color="9D85BE" w:themeColor="accent1"/>
      </w:pBdr>
      <w:spacing w:before="360" w:after="360" w:line="259" w:lineRule="auto"/>
      <w:ind w:left="864" w:right="864"/>
      <w:jc w:val="center"/>
    </w:pPr>
    <w:rPr>
      <w:i/>
      <w:iCs/>
    </w:rPr>
  </w:style>
  <w:style w:type="character" w:customStyle="1" w:styleId="IntenseQuoteChar">
    <w:name w:val="Intense Quote Char"/>
    <w:basedOn w:val="DefaultParagraphFont"/>
    <w:link w:val="IntenseQuote"/>
    <w:uiPriority w:val="30"/>
    <w:rsid w:val="009637A8"/>
    <w:rPr>
      <w:rFonts w:ascii="Arial" w:hAnsi="Arial" w:cs="Arial"/>
      <w:i/>
      <w:iCs/>
      <w:color w:val="000000"/>
      <w:sz w:val="19"/>
    </w:rPr>
  </w:style>
  <w:style w:type="character" w:styleId="IntenseReference">
    <w:name w:val="Intense Reference"/>
    <w:basedOn w:val="DefaultParagraphFont"/>
    <w:uiPriority w:val="32"/>
    <w:qFormat/>
    <w:rsid w:val="009637A8"/>
    <w:rPr>
      <w:b/>
      <w:bCs/>
      <w:smallCaps/>
      <w:color w:val="000000"/>
      <w:spacing w:val="5"/>
    </w:rPr>
  </w:style>
  <w:style w:type="table" w:styleId="LightGrid">
    <w:name w:val="Light Grid"/>
    <w:basedOn w:val="TableNormal"/>
    <w:uiPriority w:val="62"/>
    <w:semiHidden/>
    <w:unhideWhenUsed/>
    <w:rsid w:val="009637A8"/>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semiHidden/>
    <w:unhideWhenUsed/>
    <w:rsid w:val="009637A8"/>
    <w:pPr>
      <w:spacing w:after="0" w:line="240" w:lineRule="auto"/>
    </w:pPr>
    <w:tblPr>
      <w:tblStyleRowBandSize w:val="1"/>
      <w:tblStyleColBandSize w:val="1"/>
      <w:tblBorders>
        <w:top w:val="single" w:sz="8" w:space="0" w:color="9D85BE" w:themeColor="accent1"/>
        <w:left w:val="single" w:sz="8" w:space="0" w:color="9D85BE" w:themeColor="accent1"/>
        <w:bottom w:val="single" w:sz="8" w:space="0" w:color="9D85BE" w:themeColor="accent1"/>
        <w:right w:val="single" w:sz="8" w:space="0" w:color="9D85BE" w:themeColor="accent1"/>
        <w:insideH w:val="single" w:sz="8" w:space="0" w:color="9D85BE" w:themeColor="accent1"/>
        <w:insideV w:val="single" w:sz="8" w:space="0" w:color="9D85BE"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D85BE" w:themeColor="accent1"/>
          <w:left w:val="single" w:sz="8" w:space="0" w:color="9D85BE" w:themeColor="accent1"/>
          <w:bottom w:val="single" w:sz="18" w:space="0" w:color="9D85BE" w:themeColor="accent1"/>
          <w:right w:val="single" w:sz="8" w:space="0" w:color="9D85BE" w:themeColor="accent1"/>
          <w:insideH w:val="nil"/>
          <w:insideV w:val="single" w:sz="8" w:space="0" w:color="9D85BE"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D85BE" w:themeColor="accent1"/>
          <w:left w:val="single" w:sz="8" w:space="0" w:color="9D85BE" w:themeColor="accent1"/>
          <w:bottom w:val="single" w:sz="8" w:space="0" w:color="9D85BE" w:themeColor="accent1"/>
          <w:right w:val="single" w:sz="8" w:space="0" w:color="9D85BE" w:themeColor="accent1"/>
          <w:insideH w:val="nil"/>
          <w:insideV w:val="single" w:sz="8" w:space="0" w:color="9D85BE"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D85BE" w:themeColor="accent1"/>
          <w:left w:val="single" w:sz="8" w:space="0" w:color="9D85BE" w:themeColor="accent1"/>
          <w:bottom w:val="single" w:sz="8" w:space="0" w:color="9D85BE" w:themeColor="accent1"/>
          <w:right w:val="single" w:sz="8" w:space="0" w:color="9D85BE" w:themeColor="accent1"/>
        </w:tcBorders>
      </w:tcPr>
    </w:tblStylePr>
    <w:tblStylePr w:type="band1Vert">
      <w:tblPr/>
      <w:tcPr>
        <w:tcBorders>
          <w:top w:val="single" w:sz="8" w:space="0" w:color="9D85BE" w:themeColor="accent1"/>
          <w:left w:val="single" w:sz="8" w:space="0" w:color="9D85BE" w:themeColor="accent1"/>
          <w:bottom w:val="single" w:sz="8" w:space="0" w:color="9D85BE" w:themeColor="accent1"/>
          <w:right w:val="single" w:sz="8" w:space="0" w:color="9D85BE" w:themeColor="accent1"/>
        </w:tcBorders>
        <w:shd w:val="clear" w:color="auto" w:fill="E6E0EF" w:themeFill="accent1" w:themeFillTint="3F"/>
      </w:tcPr>
    </w:tblStylePr>
    <w:tblStylePr w:type="band1Horz">
      <w:tblPr/>
      <w:tcPr>
        <w:tcBorders>
          <w:top w:val="single" w:sz="8" w:space="0" w:color="9D85BE" w:themeColor="accent1"/>
          <w:left w:val="single" w:sz="8" w:space="0" w:color="9D85BE" w:themeColor="accent1"/>
          <w:bottom w:val="single" w:sz="8" w:space="0" w:color="9D85BE" w:themeColor="accent1"/>
          <w:right w:val="single" w:sz="8" w:space="0" w:color="9D85BE" w:themeColor="accent1"/>
          <w:insideV w:val="single" w:sz="8" w:space="0" w:color="9D85BE" w:themeColor="accent1"/>
        </w:tcBorders>
        <w:shd w:val="clear" w:color="auto" w:fill="E6E0EF" w:themeFill="accent1" w:themeFillTint="3F"/>
      </w:tcPr>
    </w:tblStylePr>
    <w:tblStylePr w:type="band2Horz">
      <w:tblPr/>
      <w:tcPr>
        <w:tcBorders>
          <w:top w:val="single" w:sz="8" w:space="0" w:color="9D85BE" w:themeColor="accent1"/>
          <w:left w:val="single" w:sz="8" w:space="0" w:color="9D85BE" w:themeColor="accent1"/>
          <w:bottom w:val="single" w:sz="8" w:space="0" w:color="9D85BE" w:themeColor="accent1"/>
          <w:right w:val="single" w:sz="8" w:space="0" w:color="9D85BE" w:themeColor="accent1"/>
          <w:insideV w:val="single" w:sz="8" w:space="0" w:color="9D85BE" w:themeColor="accent1"/>
        </w:tcBorders>
      </w:tcPr>
    </w:tblStylePr>
  </w:style>
  <w:style w:type="table" w:styleId="LightGrid-Accent2">
    <w:name w:val="Light Grid Accent 2"/>
    <w:basedOn w:val="TableNormal"/>
    <w:uiPriority w:val="62"/>
    <w:semiHidden/>
    <w:unhideWhenUsed/>
    <w:rsid w:val="009637A8"/>
    <w:pPr>
      <w:spacing w:after="0" w:line="240" w:lineRule="auto"/>
    </w:pPr>
    <w:tblPr>
      <w:tblStyleRowBandSize w:val="1"/>
      <w:tblStyleColBandSize w:val="1"/>
      <w:tblBorders>
        <w:top w:val="single" w:sz="8" w:space="0" w:color="7D7D7D" w:themeColor="accent2"/>
        <w:left w:val="single" w:sz="8" w:space="0" w:color="7D7D7D" w:themeColor="accent2"/>
        <w:bottom w:val="single" w:sz="8" w:space="0" w:color="7D7D7D" w:themeColor="accent2"/>
        <w:right w:val="single" w:sz="8" w:space="0" w:color="7D7D7D" w:themeColor="accent2"/>
        <w:insideH w:val="single" w:sz="8" w:space="0" w:color="7D7D7D" w:themeColor="accent2"/>
        <w:insideV w:val="single" w:sz="8" w:space="0" w:color="7D7D7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D7D7D" w:themeColor="accent2"/>
          <w:left w:val="single" w:sz="8" w:space="0" w:color="7D7D7D" w:themeColor="accent2"/>
          <w:bottom w:val="single" w:sz="18" w:space="0" w:color="7D7D7D" w:themeColor="accent2"/>
          <w:right w:val="single" w:sz="8" w:space="0" w:color="7D7D7D" w:themeColor="accent2"/>
          <w:insideH w:val="nil"/>
          <w:insideV w:val="single" w:sz="8" w:space="0" w:color="7D7D7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D7D7D" w:themeColor="accent2"/>
          <w:left w:val="single" w:sz="8" w:space="0" w:color="7D7D7D" w:themeColor="accent2"/>
          <w:bottom w:val="single" w:sz="8" w:space="0" w:color="7D7D7D" w:themeColor="accent2"/>
          <w:right w:val="single" w:sz="8" w:space="0" w:color="7D7D7D" w:themeColor="accent2"/>
          <w:insideH w:val="nil"/>
          <w:insideV w:val="single" w:sz="8" w:space="0" w:color="7D7D7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D7D7D" w:themeColor="accent2"/>
          <w:left w:val="single" w:sz="8" w:space="0" w:color="7D7D7D" w:themeColor="accent2"/>
          <w:bottom w:val="single" w:sz="8" w:space="0" w:color="7D7D7D" w:themeColor="accent2"/>
          <w:right w:val="single" w:sz="8" w:space="0" w:color="7D7D7D" w:themeColor="accent2"/>
        </w:tcBorders>
      </w:tcPr>
    </w:tblStylePr>
    <w:tblStylePr w:type="band1Vert">
      <w:tblPr/>
      <w:tcPr>
        <w:tcBorders>
          <w:top w:val="single" w:sz="8" w:space="0" w:color="7D7D7D" w:themeColor="accent2"/>
          <w:left w:val="single" w:sz="8" w:space="0" w:color="7D7D7D" w:themeColor="accent2"/>
          <w:bottom w:val="single" w:sz="8" w:space="0" w:color="7D7D7D" w:themeColor="accent2"/>
          <w:right w:val="single" w:sz="8" w:space="0" w:color="7D7D7D" w:themeColor="accent2"/>
        </w:tcBorders>
        <w:shd w:val="clear" w:color="auto" w:fill="DEDEDE" w:themeFill="accent2" w:themeFillTint="3F"/>
      </w:tcPr>
    </w:tblStylePr>
    <w:tblStylePr w:type="band1Horz">
      <w:tblPr/>
      <w:tcPr>
        <w:tcBorders>
          <w:top w:val="single" w:sz="8" w:space="0" w:color="7D7D7D" w:themeColor="accent2"/>
          <w:left w:val="single" w:sz="8" w:space="0" w:color="7D7D7D" w:themeColor="accent2"/>
          <w:bottom w:val="single" w:sz="8" w:space="0" w:color="7D7D7D" w:themeColor="accent2"/>
          <w:right w:val="single" w:sz="8" w:space="0" w:color="7D7D7D" w:themeColor="accent2"/>
          <w:insideV w:val="single" w:sz="8" w:space="0" w:color="7D7D7D" w:themeColor="accent2"/>
        </w:tcBorders>
        <w:shd w:val="clear" w:color="auto" w:fill="DEDEDE" w:themeFill="accent2" w:themeFillTint="3F"/>
      </w:tcPr>
    </w:tblStylePr>
    <w:tblStylePr w:type="band2Horz">
      <w:tblPr/>
      <w:tcPr>
        <w:tcBorders>
          <w:top w:val="single" w:sz="8" w:space="0" w:color="7D7D7D" w:themeColor="accent2"/>
          <w:left w:val="single" w:sz="8" w:space="0" w:color="7D7D7D" w:themeColor="accent2"/>
          <w:bottom w:val="single" w:sz="8" w:space="0" w:color="7D7D7D" w:themeColor="accent2"/>
          <w:right w:val="single" w:sz="8" w:space="0" w:color="7D7D7D" w:themeColor="accent2"/>
          <w:insideV w:val="single" w:sz="8" w:space="0" w:color="7D7D7D" w:themeColor="accent2"/>
        </w:tcBorders>
      </w:tcPr>
    </w:tblStylePr>
  </w:style>
  <w:style w:type="table" w:styleId="LightGrid-Accent3">
    <w:name w:val="Light Grid Accent 3"/>
    <w:basedOn w:val="TableNormal"/>
    <w:uiPriority w:val="62"/>
    <w:semiHidden/>
    <w:unhideWhenUsed/>
    <w:rsid w:val="009637A8"/>
    <w:pPr>
      <w:spacing w:after="0" w:line="240" w:lineRule="auto"/>
    </w:pPr>
    <w:tblPr>
      <w:tblStyleRowBandSize w:val="1"/>
      <w:tblStyleColBandSize w:val="1"/>
      <w:tblBorders>
        <w:top w:val="single" w:sz="8" w:space="0" w:color="C8C8C8" w:themeColor="accent3"/>
        <w:left w:val="single" w:sz="8" w:space="0" w:color="C8C8C8" w:themeColor="accent3"/>
        <w:bottom w:val="single" w:sz="8" w:space="0" w:color="C8C8C8" w:themeColor="accent3"/>
        <w:right w:val="single" w:sz="8" w:space="0" w:color="C8C8C8" w:themeColor="accent3"/>
        <w:insideH w:val="single" w:sz="8" w:space="0" w:color="C8C8C8" w:themeColor="accent3"/>
        <w:insideV w:val="single" w:sz="8" w:space="0" w:color="C8C8C8"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8C8C8" w:themeColor="accent3"/>
          <w:left w:val="single" w:sz="8" w:space="0" w:color="C8C8C8" w:themeColor="accent3"/>
          <w:bottom w:val="single" w:sz="18" w:space="0" w:color="C8C8C8" w:themeColor="accent3"/>
          <w:right w:val="single" w:sz="8" w:space="0" w:color="C8C8C8" w:themeColor="accent3"/>
          <w:insideH w:val="nil"/>
          <w:insideV w:val="single" w:sz="8" w:space="0" w:color="C8C8C8"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8C8C8" w:themeColor="accent3"/>
          <w:left w:val="single" w:sz="8" w:space="0" w:color="C8C8C8" w:themeColor="accent3"/>
          <w:bottom w:val="single" w:sz="8" w:space="0" w:color="C8C8C8" w:themeColor="accent3"/>
          <w:right w:val="single" w:sz="8" w:space="0" w:color="C8C8C8" w:themeColor="accent3"/>
          <w:insideH w:val="nil"/>
          <w:insideV w:val="single" w:sz="8" w:space="0" w:color="C8C8C8"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8C8C8" w:themeColor="accent3"/>
          <w:left w:val="single" w:sz="8" w:space="0" w:color="C8C8C8" w:themeColor="accent3"/>
          <w:bottom w:val="single" w:sz="8" w:space="0" w:color="C8C8C8" w:themeColor="accent3"/>
          <w:right w:val="single" w:sz="8" w:space="0" w:color="C8C8C8" w:themeColor="accent3"/>
        </w:tcBorders>
      </w:tcPr>
    </w:tblStylePr>
    <w:tblStylePr w:type="band1Vert">
      <w:tblPr/>
      <w:tcPr>
        <w:tcBorders>
          <w:top w:val="single" w:sz="8" w:space="0" w:color="C8C8C8" w:themeColor="accent3"/>
          <w:left w:val="single" w:sz="8" w:space="0" w:color="C8C8C8" w:themeColor="accent3"/>
          <w:bottom w:val="single" w:sz="8" w:space="0" w:color="C8C8C8" w:themeColor="accent3"/>
          <w:right w:val="single" w:sz="8" w:space="0" w:color="C8C8C8" w:themeColor="accent3"/>
        </w:tcBorders>
        <w:shd w:val="clear" w:color="auto" w:fill="F1F1F1" w:themeFill="accent3" w:themeFillTint="3F"/>
      </w:tcPr>
    </w:tblStylePr>
    <w:tblStylePr w:type="band1Horz">
      <w:tblPr/>
      <w:tcPr>
        <w:tcBorders>
          <w:top w:val="single" w:sz="8" w:space="0" w:color="C8C8C8" w:themeColor="accent3"/>
          <w:left w:val="single" w:sz="8" w:space="0" w:color="C8C8C8" w:themeColor="accent3"/>
          <w:bottom w:val="single" w:sz="8" w:space="0" w:color="C8C8C8" w:themeColor="accent3"/>
          <w:right w:val="single" w:sz="8" w:space="0" w:color="C8C8C8" w:themeColor="accent3"/>
          <w:insideV w:val="single" w:sz="8" w:space="0" w:color="C8C8C8" w:themeColor="accent3"/>
        </w:tcBorders>
        <w:shd w:val="clear" w:color="auto" w:fill="F1F1F1" w:themeFill="accent3" w:themeFillTint="3F"/>
      </w:tcPr>
    </w:tblStylePr>
    <w:tblStylePr w:type="band2Horz">
      <w:tblPr/>
      <w:tcPr>
        <w:tcBorders>
          <w:top w:val="single" w:sz="8" w:space="0" w:color="C8C8C8" w:themeColor="accent3"/>
          <w:left w:val="single" w:sz="8" w:space="0" w:color="C8C8C8" w:themeColor="accent3"/>
          <w:bottom w:val="single" w:sz="8" w:space="0" w:color="C8C8C8" w:themeColor="accent3"/>
          <w:right w:val="single" w:sz="8" w:space="0" w:color="C8C8C8" w:themeColor="accent3"/>
          <w:insideV w:val="single" w:sz="8" w:space="0" w:color="C8C8C8" w:themeColor="accent3"/>
        </w:tcBorders>
      </w:tcPr>
    </w:tblStylePr>
  </w:style>
  <w:style w:type="table" w:styleId="LightGrid-Accent4">
    <w:name w:val="Light Grid Accent 4"/>
    <w:basedOn w:val="TableNormal"/>
    <w:uiPriority w:val="62"/>
    <w:semiHidden/>
    <w:unhideWhenUsed/>
    <w:rsid w:val="009637A8"/>
    <w:pPr>
      <w:spacing w:after="0" w:line="240" w:lineRule="auto"/>
    </w:pPr>
    <w:tblPr>
      <w:tblStyleRowBandSize w:val="1"/>
      <w:tblStyleColBandSize w:val="1"/>
      <w:tblBorders>
        <w:top w:val="single" w:sz="8" w:space="0" w:color="006A9F" w:themeColor="accent4"/>
        <w:left w:val="single" w:sz="8" w:space="0" w:color="006A9F" w:themeColor="accent4"/>
        <w:bottom w:val="single" w:sz="8" w:space="0" w:color="006A9F" w:themeColor="accent4"/>
        <w:right w:val="single" w:sz="8" w:space="0" w:color="006A9F" w:themeColor="accent4"/>
        <w:insideH w:val="single" w:sz="8" w:space="0" w:color="006A9F" w:themeColor="accent4"/>
        <w:insideV w:val="single" w:sz="8" w:space="0" w:color="006A9F"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6A9F" w:themeColor="accent4"/>
          <w:left w:val="single" w:sz="8" w:space="0" w:color="006A9F" w:themeColor="accent4"/>
          <w:bottom w:val="single" w:sz="18" w:space="0" w:color="006A9F" w:themeColor="accent4"/>
          <w:right w:val="single" w:sz="8" w:space="0" w:color="006A9F" w:themeColor="accent4"/>
          <w:insideH w:val="nil"/>
          <w:insideV w:val="single" w:sz="8" w:space="0" w:color="006A9F"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6A9F" w:themeColor="accent4"/>
          <w:left w:val="single" w:sz="8" w:space="0" w:color="006A9F" w:themeColor="accent4"/>
          <w:bottom w:val="single" w:sz="8" w:space="0" w:color="006A9F" w:themeColor="accent4"/>
          <w:right w:val="single" w:sz="8" w:space="0" w:color="006A9F" w:themeColor="accent4"/>
          <w:insideH w:val="nil"/>
          <w:insideV w:val="single" w:sz="8" w:space="0" w:color="006A9F"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6A9F" w:themeColor="accent4"/>
          <w:left w:val="single" w:sz="8" w:space="0" w:color="006A9F" w:themeColor="accent4"/>
          <w:bottom w:val="single" w:sz="8" w:space="0" w:color="006A9F" w:themeColor="accent4"/>
          <w:right w:val="single" w:sz="8" w:space="0" w:color="006A9F" w:themeColor="accent4"/>
        </w:tcBorders>
      </w:tcPr>
    </w:tblStylePr>
    <w:tblStylePr w:type="band1Vert">
      <w:tblPr/>
      <w:tcPr>
        <w:tcBorders>
          <w:top w:val="single" w:sz="8" w:space="0" w:color="006A9F" w:themeColor="accent4"/>
          <w:left w:val="single" w:sz="8" w:space="0" w:color="006A9F" w:themeColor="accent4"/>
          <w:bottom w:val="single" w:sz="8" w:space="0" w:color="006A9F" w:themeColor="accent4"/>
          <w:right w:val="single" w:sz="8" w:space="0" w:color="006A9F" w:themeColor="accent4"/>
        </w:tcBorders>
        <w:shd w:val="clear" w:color="auto" w:fill="A8E2FF" w:themeFill="accent4" w:themeFillTint="3F"/>
      </w:tcPr>
    </w:tblStylePr>
    <w:tblStylePr w:type="band1Horz">
      <w:tblPr/>
      <w:tcPr>
        <w:tcBorders>
          <w:top w:val="single" w:sz="8" w:space="0" w:color="006A9F" w:themeColor="accent4"/>
          <w:left w:val="single" w:sz="8" w:space="0" w:color="006A9F" w:themeColor="accent4"/>
          <w:bottom w:val="single" w:sz="8" w:space="0" w:color="006A9F" w:themeColor="accent4"/>
          <w:right w:val="single" w:sz="8" w:space="0" w:color="006A9F" w:themeColor="accent4"/>
          <w:insideV w:val="single" w:sz="8" w:space="0" w:color="006A9F" w:themeColor="accent4"/>
        </w:tcBorders>
        <w:shd w:val="clear" w:color="auto" w:fill="A8E2FF" w:themeFill="accent4" w:themeFillTint="3F"/>
      </w:tcPr>
    </w:tblStylePr>
    <w:tblStylePr w:type="band2Horz">
      <w:tblPr/>
      <w:tcPr>
        <w:tcBorders>
          <w:top w:val="single" w:sz="8" w:space="0" w:color="006A9F" w:themeColor="accent4"/>
          <w:left w:val="single" w:sz="8" w:space="0" w:color="006A9F" w:themeColor="accent4"/>
          <w:bottom w:val="single" w:sz="8" w:space="0" w:color="006A9F" w:themeColor="accent4"/>
          <w:right w:val="single" w:sz="8" w:space="0" w:color="006A9F" w:themeColor="accent4"/>
          <w:insideV w:val="single" w:sz="8" w:space="0" w:color="006A9F" w:themeColor="accent4"/>
        </w:tcBorders>
      </w:tcPr>
    </w:tblStylePr>
  </w:style>
  <w:style w:type="table" w:styleId="LightGrid-Accent5">
    <w:name w:val="Light Grid Accent 5"/>
    <w:basedOn w:val="TableNormal"/>
    <w:uiPriority w:val="62"/>
    <w:semiHidden/>
    <w:unhideWhenUsed/>
    <w:rsid w:val="009637A8"/>
    <w:pPr>
      <w:spacing w:after="0" w:line="240" w:lineRule="auto"/>
    </w:pPr>
    <w:tblPr>
      <w:tblStyleRowBandSize w:val="1"/>
      <w:tblStyleColBandSize w:val="1"/>
      <w:tblBorders>
        <w:top w:val="single" w:sz="8" w:space="0" w:color="7BBDD6" w:themeColor="accent5"/>
        <w:left w:val="single" w:sz="8" w:space="0" w:color="7BBDD6" w:themeColor="accent5"/>
        <w:bottom w:val="single" w:sz="8" w:space="0" w:color="7BBDD6" w:themeColor="accent5"/>
        <w:right w:val="single" w:sz="8" w:space="0" w:color="7BBDD6" w:themeColor="accent5"/>
        <w:insideH w:val="single" w:sz="8" w:space="0" w:color="7BBDD6" w:themeColor="accent5"/>
        <w:insideV w:val="single" w:sz="8" w:space="0" w:color="7BBDD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BBDD6" w:themeColor="accent5"/>
          <w:left w:val="single" w:sz="8" w:space="0" w:color="7BBDD6" w:themeColor="accent5"/>
          <w:bottom w:val="single" w:sz="18" w:space="0" w:color="7BBDD6" w:themeColor="accent5"/>
          <w:right w:val="single" w:sz="8" w:space="0" w:color="7BBDD6" w:themeColor="accent5"/>
          <w:insideH w:val="nil"/>
          <w:insideV w:val="single" w:sz="8" w:space="0" w:color="7BBDD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BBDD6" w:themeColor="accent5"/>
          <w:left w:val="single" w:sz="8" w:space="0" w:color="7BBDD6" w:themeColor="accent5"/>
          <w:bottom w:val="single" w:sz="8" w:space="0" w:color="7BBDD6" w:themeColor="accent5"/>
          <w:right w:val="single" w:sz="8" w:space="0" w:color="7BBDD6" w:themeColor="accent5"/>
          <w:insideH w:val="nil"/>
          <w:insideV w:val="single" w:sz="8" w:space="0" w:color="7BBDD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BBDD6" w:themeColor="accent5"/>
          <w:left w:val="single" w:sz="8" w:space="0" w:color="7BBDD6" w:themeColor="accent5"/>
          <w:bottom w:val="single" w:sz="8" w:space="0" w:color="7BBDD6" w:themeColor="accent5"/>
          <w:right w:val="single" w:sz="8" w:space="0" w:color="7BBDD6" w:themeColor="accent5"/>
        </w:tcBorders>
      </w:tcPr>
    </w:tblStylePr>
    <w:tblStylePr w:type="band1Vert">
      <w:tblPr/>
      <w:tcPr>
        <w:tcBorders>
          <w:top w:val="single" w:sz="8" w:space="0" w:color="7BBDD6" w:themeColor="accent5"/>
          <w:left w:val="single" w:sz="8" w:space="0" w:color="7BBDD6" w:themeColor="accent5"/>
          <w:bottom w:val="single" w:sz="8" w:space="0" w:color="7BBDD6" w:themeColor="accent5"/>
          <w:right w:val="single" w:sz="8" w:space="0" w:color="7BBDD6" w:themeColor="accent5"/>
        </w:tcBorders>
        <w:shd w:val="clear" w:color="auto" w:fill="DEEEF4" w:themeFill="accent5" w:themeFillTint="3F"/>
      </w:tcPr>
    </w:tblStylePr>
    <w:tblStylePr w:type="band1Horz">
      <w:tblPr/>
      <w:tcPr>
        <w:tcBorders>
          <w:top w:val="single" w:sz="8" w:space="0" w:color="7BBDD6" w:themeColor="accent5"/>
          <w:left w:val="single" w:sz="8" w:space="0" w:color="7BBDD6" w:themeColor="accent5"/>
          <w:bottom w:val="single" w:sz="8" w:space="0" w:color="7BBDD6" w:themeColor="accent5"/>
          <w:right w:val="single" w:sz="8" w:space="0" w:color="7BBDD6" w:themeColor="accent5"/>
          <w:insideV w:val="single" w:sz="8" w:space="0" w:color="7BBDD6" w:themeColor="accent5"/>
        </w:tcBorders>
        <w:shd w:val="clear" w:color="auto" w:fill="DEEEF4" w:themeFill="accent5" w:themeFillTint="3F"/>
      </w:tcPr>
    </w:tblStylePr>
    <w:tblStylePr w:type="band2Horz">
      <w:tblPr/>
      <w:tcPr>
        <w:tcBorders>
          <w:top w:val="single" w:sz="8" w:space="0" w:color="7BBDD6" w:themeColor="accent5"/>
          <w:left w:val="single" w:sz="8" w:space="0" w:color="7BBDD6" w:themeColor="accent5"/>
          <w:bottom w:val="single" w:sz="8" w:space="0" w:color="7BBDD6" w:themeColor="accent5"/>
          <w:right w:val="single" w:sz="8" w:space="0" w:color="7BBDD6" w:themeColor="accent5"/>
          <w:insideV w:val="single" w:sz="8" w:space="0" w:color="7BBDD6" w:themeColor="accent5"/>
        </w:tcBorders>
      </w:tcPr>
    </w:tblStylePr>
  </w:style>
  <w:style w:type="table" w:styleId="LightGrid-Accent6">
    <w:name w:val="Light Grid Accent 6"/>
    <w:basedOn w:val="TableNormal"/>
    <w:uiPriority w:val="62"/>
    <w:semiHidden/>
    <w:unhideWhenUsed/>
    <w:rsid w:val="009637A8"/>
    <w:pPr>
      <w:spacing w:after="0" w:line="240" w:lineRule="auto"/>
    </w:pPr>
    <w:tblPr>
      <w:tblStyleRowBandSize w:val="1"/>
      <w:tblStyleColBandSize w:val="1"/>
      <w:tblBorders>
        <w:top w:val="single" w:sz="8" w:space="0" w:color="428D52" w:themeColor="accent6"/>
        <w:left w:val="single" w:sz="8" w:space="0" w:color="428D52" w:themeColor="accent6"/>
        <w:bottom w:val="single" w:sz="8" w:space="0" w:color="428D52" w:themeColor="accent6"/>
        <w:right w:val="single" w:sz="8" w:space="0" w:color="428D52" w:themeColor="accent6"/>
        <w:insideH w:val="single" w:sz="8" w:space="0" w:color="428D52" w:themeColor="accent6"/>
        <w:insideV w:val="single" w:sz="8" w:space="0" w:color="428D52"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28D52" w:themeColor="accent6"/>
          <w:left w:val="single" w:sz="8" w:space="0" w:color="428D52" w:themeColor="accent6"/>
          <w:bottom w:val="single" w:sz="18" w:space="0" w:color="428D52" w:themeColor="accent6"/>
          <w:right w:val="single" w:sz="8" w:space="0" w:color="428D52" w:themeColor="accent6"/>
          <w:insideH w:val="nil"/>
          <w:insideV w:val="single" w:sz="8" w:space="0" w:color="428D52"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28D52" w:themeColor="accent6"/>
          <w:left w:val="single" w:sz="8" w:space="0" w:color="428D52" w:themeColor="accent6"/>
          <w:bottom w:val="single" w:sz="8" w:space="0" w:color="428D52" w:themeColor="accent6"/>
          <w:right w:val="single" w:sz="8" w:space="0" w:color="428D52" w:themeColor="accent6"/>
          <w:insideH w:val="nil"/>
          <w:insideV w:val="single" w:sz="8" w:space="0" w:color="428D52"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28D52" w:themeColor="accent6"/>
          <w:left w:val="single" w:sz="8" w:space="0" w:color="428D52" w:themeColor="accent6"/>
          <w:bottom w:val="single" w:sz="8" w:space="0" w:color="428D52" w:themeColor="accent6"/>
          <w:right w:val="single" w:sz="8" w:space="0" w:color="428D52" w:themeColor="accent6"/>
        </w:tcBorders>
      </w:tcPr>
    </w:tblStylePr>
    <w:tblStylePr w:type="band1Vert">
      <w:tblPr/>
      <w:tcPr>
        <w:tcBorders>
          <w:top w:val="single" w:sz="8" w:space="0" w:color="428D52" w:themeColor="accent6"/>
          <w:left w:val="single" w:sz="8" w:space="0" w:color="428D52" w:themeColor="accent6"/>
          <w:bottom w:val="single" w:sz="8" w:space="0" w:color="428D52" w:themeColor="accent6"/>
          <w:right w:val="single" w:sz="8" w:space="0" w:color="428D52" w:themeColor="accent6"/>
        </w:tcBorders>
        <w:shd w:val="clear" w:color="auto" w:fill="CBE7D1" w:themeFill="accent6" w:themeFillTint="3F"/>
      </w:tcPr>
    </w:tblStylePr>
    <w:tblStylePr w:type="band1Horz">
      <w:tblPr/>
      <w:tcPr>
        <w:tcBorders>
          <w:top w:val="single" w:sz="8" w:space="0" w:color="428D52" w:themeColor="accent6"/>
          <w:left w:val="single" w:sz="8" w:space="0" w:color="428D52" w:themeColor="accent6"/>
          <w:bottom w:val="single" w:sz="8" w:space="0" w:color="428D52" w:themeColor="accent6"/>
          <w:right w:val="single" w:sz="8" w:space="0" w:color="428D52" w:themeColor="accent6"/>
          <w:insideV w:val="single" w:sz="8" w:space="0" w:color="428D52" w:themeColor="accent6"/>
        </w:tcBorders>
        <w:shd w:val="clear" w:color="auto" w:fill="CBE7D1" w:themeFill="accent6" w:themeFillTint="3F"/>
      </w:tcPr>
    </w:tblStylePr>
    <w:tblStylePr w:type="band2Horz">
      <w:tblPr/>
      <w:tcPr>
        <w:tcBorders>
          <w:top w:val="single" w:sz="8" w:space="0" w:color="428D52" w:themeColor="accent6"/>
          <w:left w:val="single" w:sz="8" w:space="0" w:color="428D52" w:themeColor="accent6"/>
          <w:bottom w:val="single" w:sz="8" w:space="0" w:color="428D52" w:themeColor="accent6"/>
          <w:right w:val="single" w:sz="8" w:space="0" w:color="428D52" w:themeColor="accent6"/>
          <w:insideV w:val="single" w:sz="8" w:space="0" w:color="428D52" w:themeColor="accent6"/>
        </w:tcBorders>
      </w:tcPr>
    </w:tblStylePr>
  </w:style>
  <w:style w:type="table" w:styleId="LightList">
    <w:name w:val="Light List"/>
    <w:basedOn w:val="TableNormal"/>
    <w:uiPriority w:val="61"/>
    <w:semiHidden/>
    <w:unhideWhenUsed/>
    <w:rsid w:val="009637A8"/>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semiHidden/>
    <w:unhideWhenUsed/>
    <w:rsid w:val="009637A8"/>
    <w:pPr>
      <w:spacing w:after="0" w:line="240" w:lineRule="auto"/>
    </w:pPr>
    <w:tblPr>
      <w:tblStyleRowBandSize w:val="1"/>
      <w:tblStyleColBandSize w:val="1"/>
      <w:tblBorders>
        <w:top w:val="single" w:sz="8" w:space="0" w:color="9D85BE" w:themeColor="accent1"/>
        <w:left w:val="single" w:sz="8" w:space="0" w:color="9D85BE" w:themeColor="accent1"/>
        <w:bottom w:val="single" w:sz="8" w:space="0" w:color="9D85BE" w:themeColor="accent1"/>
        <w:right w:val="single" w:sz="8" w:space="0" w:color="9D85BE" w:themeColor="accent1"/>
      </w:tblBorders>
    </w:tblPr>
    <w:tblStylePr w:type="firstRow">
      <w:pPr>
        <w:spacing w:before="0" w:after="0" w:line="240" w:lineRule="auto"/>
      </w:pPr>
      <w:rPr>
        <w:b/>
        <w:bCs/>
        <w:color w:val="FFFFFF" w:themeColor="background1"/>
      </w:rPr>
      <w:tblPr/>
      <w:tcPr>
        <w:shd w:val="clear" w:color="auto" w:fill="9D85BE" w:themeFill="accent1"/>
      </w:tcPr>
    </w:tblStylePr>
    <w:tblStylePr w:type="lastRow">
      <w:pPr>
        <w:spacing w:before="0" w:after="0" w:line="240" w:lineRule="auto"/>
      </w:pPr>
      <w:rPr>
        <w:b/>
        <w:bCs/>
      </w:rPr>
      <w:tblPr/>
      <w:tcPr>
        <w:tcBorders>
          <w:top w:val="double" w:sz="6" w:space="0" w:color="9D85BE" w:themeColor="accent1"/>
          <w:left w:val="single" w:sz="8" w:space="0" w:color="9D85BE" w:themeColor="accent1"/>
          <w:bottom w:val="single" w:sz="8" w:space="0" w:color="9D85BE" w:themeColor="accent1"/>
          <w:right w:val="single" w:sz="8" w:space="0" w:color="9D85BE" w:themeColor="accent1"/>
        </w:tcBorders>
      </w:tcPr>
    </w:tblStylePr>
    <w:tblStylePr w:type="firstCol">
      <w:rPr>
        <w:b/>
        <w:bCs/>
      </w:rPr>
    </w:tblStylePr>
    <w:tblStylePr w:type="lastCol">
      <w:rPr>
        <w:b/>
        <w:bCs/>
      </w:rPr>
    </w:tblStylePr>
    <w:tblStylePr w:type="band1Vert">
      <w:tblPr/>
      <w:tcPr>
        <w:tcBorders>
          <w:top w:val="single" w:sz="8" w:space="0" w:color="9D85BE" w:themeColor="accent1"/>
          <w:left w:val="single" w:sz="8" w:space="0" w:color="9D85BE" w:themeColor="accent1"/>
          <w:bottom w:val="single" w:sz="8" w:space="0" w:color="9D85BE" w:themeColor="accent1"/>
          <w:right w:val="single" w:sz="8" w:space="0" w:color="9D85BE" w:themeColor="accent1"/>
        </w:tcBorders>
      </w:tcPr>
    </w:tblStylePr>
    <w:tblStylePr w:type="band1Horz">
      <w:tblPr/>
      <w:tcPr>
        <w:tcBorders>
          <w:top w:val="single" w:sz="8" w:space="0" w:color="9D85BE" w:themeColor="accent1"/>
          <w:left w:val="single" w:sz="8" w:space="0" w:color="9D85BE" w:themeColor="accent1"/>
          <w:bottom w:val="single" w:sz="8" w:space="0" w:color="9D85BE" w:themeColor="accent1"/>
          <w:right w:val="single" w:sz="8" w:space="0" w:color="9D85BE" w:themeColor="accent1"/>
        </w:tcBorders>
      </w:tcPr>
    </w:tblStylePr>
  </w:style>
  <w:style w:type="table" w:styleId="LightList-Accent2">
    <w:name w:val="Light List Accent 2"/>
    <w:basedOn w:val="TableNormal"/>
    <w:uiPriority w:val="61"/>
    <w:semiHidden/>
    <w:unhideWhenUsed/>
    <w:rsid w:val="009637A8"/>
    <w:pPr>
      <w:spacing w:after="0" w:line="240" w:lineRule="auto"/>
    </w:pPr>
    <w:tblPr>
      <w:tblStyleRowBandSize w:val="1"/>
      <w:tblStyleColBandSize w:val="1"/>
      <w:tblBorders>
        <w:top w:val="single" w:sz="8" w:space="0" w:color="7D7D7D" w:themeColor="accent2"/>
        <w:left w:val="single" w:sz="8" w:space="0" w:color="7D7D7D" w:themeColor="accent2"/>
        <w:bottom w:val="single" w:sz="8" w:space="0" w:color="7D7D7D" w:themeColor="accent2"/>
        <w:right w:val="single" w:sz="8" w:space="0" w:color="7D7D7D" w:themeColor="accent2"/>
      </w:tblBorders>
    </w:tblPr>
    <w:tblStylePr w:type="firstRow">
      <w:pPr>
        <w:spacing w:before="0" w:after="0" w:line="240" w:lineRule="auto"/>
      </w:pPr>
      <w:rPr>
        <w:b/>
        <w:bCs/>
        <w:color w:val="FFFFFF" w:themeColor="background1"/>
      </w:rPr>
      <w:tblPr/>
      <w:tcPr>
        <w:shd w:val="clear" w:color="auto" w:fill="7D7D7D" w:themeFill="accent2"/>
      </w:tcPr>
    </w:tblStylePr>
    <w:tblStylePr w:type="lastRow">
      <w:pPr>
        <w:spacing w:before="0" w:after="0" w:line="240" w:lineRule="auto"/>
      </w:pPr>
      <w:rPr>
        <w:b/>
        <w:bCs/>
      </w:rPr>
      <w:tblPr/>
      <w:tcPr>
        <w:tcBorders>
          <w:top w:val="double" w:sz="6" w:space="0" w:color="7D7D7D" w:themeColor="accent2"/>
          <w:left w:val="single" w:sz="8" w:space="0" w:color="7D7D7D" w:themeColor="accent2"/>
          <w:bottom w:val="single" w:sz="8" w:space="0" w:color="7D7D7D" w:themeColor="accent2"/>
          <w:right w:val="single" w:sz="8" w:space="0" w:color="7D7D7D" w:themeColor="accent2"/>
        </w:tcBorders>
      </w:tcPr>
    </w:tblStylePr>
    <w:tblStylePr w:type="firstCol">
      <w:rPr>
        <w:b/>
        <w:bCs/>
      </w:rPr>
    </w:tblStylePr>
    <w:tblStylePr w:type="lastCol">
      <w:rPr>
        <w:b/>
        <w:bCs/>
      </w:rPr>
    </w:tblStylePr>
    <w:tblStylePr w:type="band1Vert">
      <w:tblPr/>
      <w:tcPr>
        <w:tcBorders>
          <w:top w:val="single" w:sz="8" w:space="0" w:color="7D7D7D" w:themeColor="accent2"/>
          <w:left w:val="single" w:sz="8" w:space="0" w:color="7D7D7D" w:themeColor="accent2"/>
          <w:bottom w:val="single" w:sz="8" w:space="0" w:color="7D7D7D" w:themeColor="accent2"/>
          <w:right w:val="single" w:sz="8" w:space="0" w:color="7D7D7D" w:themeColor="accent2"/>
        </w:tcBorders>
      </w:tcPr>
    </w:tblStylePr>
    <w:tblStylePr w:type="band1Horz">
      <w:tblPr/>
      <w:tcPr>
        <w:tcBorders>
          <w:top w:val="single" w:sz="8" w:space="0" w:color="7D7D7D" w:themeColor="accent2"/>
          <w:left w:val="single" w:sz="8" w:space="0" w:color="7D7D7D" w:themeColor="accent2"/>
          <w:bottom w:val="single" w:sz="8" w:space="0" w:color="7D7D7D" w:themeColor="accent2"/>
          <w:right w:val="single" w:sz="8" w:space="0" w:color="7D7D7D" w:themeColor="accent2"/>
        </w:tcBorders>
      </w:tcPr>
    </w:tblStylePr>
  </w:style>
  <w:style w:type="table" w:styleId="LightList-Accent3">
    <w:name w:val="Light List Accent 3"/>
    <w:basedOn w:val="TableNormal"/>
    <w:uiPriority w:val="61"/>
    <w:semiHidden/>
    <w:unhideWhenUsed/>
    <w:rsid w:val="009637A8"/>
    <w:pPr>
      <w:spacing w:after="0" w:line="240" w:lineRule="auto"/>
    </w:pPr>
    <w:tblPr>
      <w:tblStyleRowBandSize w:val="1"/>
      <w:tblStyleColBandSize w:val="1"/>
      <w:tblBorders>
        <w:top w:val="single" w:sz="8" w:space="0" w:color="C8C8C8" w:themeColor="accent3"/>
        <w:left w:val="single" w:sz="8" w:space="0" w:color="C8C8C8" w:themeColor="accent3"/>
        <w:bottom w:val="single" w:sz="8" w:space="0" w:color="C8C8C8" w:themeColor="accent3"/>
        <w:right w:val="single" w:sz="8" w:space="0" w:color="C8C8C8" w:themeColor="accent3"/>
      </w:tblBorders>
    </w:tblPr>
    <w:tblStylePr w:type="firstRow">
      <w:pPr>
        <w:spacing w:before="0" w:after="0" w:line="240" w:lineRule="auto"/>
      </w:pPr>
      <w:rPr>
        <w:b/>
        <w:bCs/>
        <w:color w:val="FFFFFF" w:themeColor="background1"/>
      </w:rPr>
      <w:tblPr/>
      <w:tcPr>
        <w:shd w:val="clear" w:color="auto" w:fill="C8C8C8" w:themeFill="accent3"/>
      </w:tcPr>
    </w:tblStylePr>
    <w:tblStylePr w:type="lastRow">
      <w:pPr>
        <w:spacing w:before="0" w:after="0" w:line="240" w:lineRule="auto"/>
      </w:pPr>
      <w:rPr>
        <w:b/>
        <w:bCs/>
      </w:rPr>
      <w:tblPr/>
      <w:tcPr>
        <w:tcBorders>
          <w:top w:val="double" w:sz="6" w:space="0" w:color="C8C8C8" w:themeColor="accent3"/>
          <w:left w:val="single" w:sz="8" w:space="0" w:color="C8C8C8" w:themeColor="accent3"/>
          <w:bottom w:val="single" w:sz="8" w:space="0" w:color="C8C8C8" w:themeColor="accent3"/>
          <w:right w:val="single" w:sz="8" w:space="0" w:color="C8C8C8" w:themeColor="accent3"/>
        </w:tcBorders>
      </w:tcPr>
    </w:tblStylePr>
    <w:tblStylePr w:type="firstCol">
      <w:rPr>
        <w:b/>
        <w:bCs/>
      </w:rPr>
    </w:tblStylePr>
    <w:tblStylePr w:type="lastCol">
      <w:rPr>
        <w:b/>
        <w:bCs/>
      </w:rPr>
    </w:tblStylePr>
    <w:tblStylePr w:type="band1Vert">
      <w:tblPr/>
      <w:tcPr>
        <w:tcBorders>
          <w:top w:val="single" w:sz="8" w:space="0" w:color="C8C8C8" w:themeColor="accent3"/>
          <w:left w:val="single" w:sz="8" w:space="0" w:color="C8C8C8" w:themeColor="accent3"/>
          <w:bottom w:val="single" w:sz="8" w:space="0" w:color="C8C8C8" w:themeColor="accent3"/>
          <w:right w:val="single" w:sz="8" w:space="0" w:color="C8C8C8" w:themeColor="accent3"/>
        </w:tcBorders>
      </w:tcPr>
    </w:tblStylePr>
    <w:tblStylePr w:type="band1Horz">
      <w:tblPr/>
      <w:tcPr>
        <w:tcBorders>
          <w:top w:val="single" w:sz="8" w:space="0" w:color="C8C8C8" w:themeColor="accent3"/>
          <w:left w:val="single" w:sz="8" w:space="0" w:color="C8C8C8" w:themeColor="accent3"/>
          <w:bottom w:val="single" w:sz="8" w:space="0" w:color="C8C8C8" w:themeColor="accent3"/>
          <w:right w:val="single" w:sz="8" w:space="0" w:color="C8C8C8" w:themeColor="accent3"/>
        </w:tcBorders>
      </w:tcPr>
    </w:tblStylePr>
  </w:style>
  <w:style w:type="table" w:styleId="LightList-Accent4">
    <w:name w:val="Light List Accent 4"/>
    <w:basedOn w:val="TableNormal"/>
    <w:uiPriority w:val="61"/>
    <w:semiHidden/>
    <w:unhideWhenUsed/>
    <w:rsid w:val="009637A8"/>
    <w:pPr>
      <w:spacing w:after="0" w:line="240" w:lineRule="auto"/>
    </w:pPr>
    <w:tblPr>
      <w:tblStyleRowBandSize w:val="1"/>
      <w:tblStyleColBandSize w:val="1"/>
      <w:tblBorders>
        <w:top w:val="single" w:sz="8" w:space="0" w:color="006A9F" w:themeColor="accent4"/>
        <w:left w:val="single" w:sz="8" w:space="0" w:color="006A9F" w:themeColor="accent4"/>
        <w:bottom w:val="single" w:sz="8" w:space="0" w:color="006A9F" w:themeColor="accent4"/>
        <w:right w:val="single" w:sz="8" w:space="0" w:color="006A9F" w:themeColor="accent4"/>
      </w:tblBorders>
    </w:tblPr>
    <w:tblStylePr w:type="firstRow">
      <w:pPr>
        <w:spacing w:before="0" w:after="0" w:line="240" w:lineRule="auto"/>
      </w:pPr>
      <w:rPr>
        <w:b/>
        <w:bCs/>
        <w:color w:val="FFFFFF" w:themeColor="background1"/>
      </w:rPr>
      <w:tblPr/>
      <w:tcPr>
        <w:shd w:val="clear" w:color="auto" w:fill="006A9F" w:themeFill="accent4"/>
      </w:tcPr>
    </w:tblStylePr>
    <w:tblStylePr w:type="lastRow">
      <w:pPr>
        <w:spacing w:before="0" w:after="0" w:line="240" w:lineRule="auto"/>
      </w:pPr>
      <w:rPr>
        <w:b/>
        <w:bCs/>
      </w:rPr>
      <w:tblPr/>
      <w:tcPr>
        <w:tcBorders>
          <w:top w:val="double" w:sz="6" w:space="0" w:color="006A9F" w:themeColor="accent4"/>
          <w:left w:val="single" w:sz="8" w:space="0" w:color="006A9F" w:themeColor="accent4"/>
          <w:bottom w:val="single" w:sz="8" w:space="0" w:color="006A9F" w:themeColor="accent4"/>
          <w:right w:val="single" w:sz="8" w:space="0" w:color="006A9F" w:themeColor="accent4"/>
        </w:tcBorders>
      </w:tcPr>
    </w:tblStylePr>
    <w:tblStylePr w:type="firstCol">
      <w:rPr>
        <w:b/>
        <w:bCs/>
      </w:rPr>
    </w:tblStylePr>
    <w:tblStylePr w:type="lastCol">
      <w:rPr>
        <w:b/>
        <w:bCs/>
      </w:rPr>
    </w:tblStylePr>
    <w:tblStylePr w:type="band1Vert">
      <w:tblPr/>
      <w:tcPr>
        <w:tcBorders>
          <w:top w:val="single" w:sz="8" w:space="0" w:color="006A9F" w:themeColor="accent4"/>
          <w:left w:val="single" w:sz="8" w:space="0" w:color="006A9F" w:themeColor="accent4"/>
          <w:bottom w:val="single" w:sz="8" w:space="0" w:color="006A9F" w:themeColor="accent4"/>
          <w:right w:val="single" w:sz="8" w:space="0" w:color="006A9F" w:themeColor="accent4"/>
        </w:tcBorders>
      </w:tcPr>
    </w:tblStylePr>
    <w:tblStylePr w:type="band1Horz">
      <w:tblPr/>
      <w:tcPr>
        <w:tcBorders>
          <w:top w:val="single" w:sz="8" w:space="0" w:color="006A9F" w:themeColor="accent4"/>
          <w:left w:val="single" w:sz="8" w:space="0" w:color="006A9F" w:themeColor="accent4"/>
          <w:bottom w:val="single" w:sz="8" w:space="0" w:color="006A9F" w:themeColor="accent4"/>
          <w:right w:val="single" w:sz="8" w:space="0" w:color="006A9F" w:themeColor="accent4"/>
        </w:tcBorders>
      </w:tcPr>
    </w:tblStylePr>
  </w:style>
  <w:style w:type="table" w:styleId="LightList-Accent5">
    <w:name w:val="Light List Accent 5"/>
    <w:basedOn w:val="TableNormal"/>
    <w:uiPriority w:val="61"/>
    <w:semiHidden/>
    <w:unhideWhenUsed/>
    <w:rsid w:val="009637A8"/>
    <w:pPr>
      <w:spacing w:after="0" w:line="240" w:lineRule="auto"/>
    </w:pPr>
    <w:tblPr>
      <w:tblStyleRowBandSize w:val="1"/>
      <w:tblStyleColBandSize w:val="1"/>
      <w:tblBorders>
        <w:top w:val="single" w:sz="8" w:space="0" w:color="7BBDD6" w:themeColor="accent5"/>
        <w:left w:val="single" w:sz="8" w:space="0" w:color="7BBDD6" w:themeColor="accent5"/>
        <w:bottom w:val="single" w:sz="8" w:space="0" w:color="7BBDD6" w:themeColor="accent5"/>
        <w:right w:val="single" w:sz="8" w:space="0" w:color="7BBDD6" w:themeColor="accent5"/>
      </w:tblBorders>
    </w:tblPr>
    <w:tblStylePr w:type="firstRow">
      <w:pPr>
        <w:spacing w:before="0" w:after="0" w:line="240" w:lineRule="auto"/>
      </w:pPr>
      <w:rPr>
        <w:b/>
        <w:bCs/>
        <w:color w:val="FFFFFF" w:themeColor="background1"/>
      </w:rPr>
      <w:tblPr/>
      <w:tcPr>
        <w:shd w:val="clear" w:color="auto" w:fill="7BBDD6" w:themeFill="accent5"/>
      </w:tcPr>
    </w:tblStylePr>
    <w:tblStylePr w:type="lastRow">
      <w:pPr>
        <w:spacing w:before="0" w:after="0" w:line="240" w:lineRule="auto"/>
      </w:pPr>
      <w:rPr>
        <w:b/>
        <w:bCs/>
      </w:rPr>
      <w:tblPr/>
      <w:tcPr>
        <w:tcBorders>
          <w:top w:val="double" w:sz="6" w:space="0" w:color="7BBDD6" w:themeColor="accent5"/>
          <w:left w:val="single" w:sz="8" w:space="0" w:color="7BBDD6" w:themeColor="accent5"/>
          <w:bottom w:val="single" w:sz="8" w:space="0" w:color="7BBDD6" w:themeColor="accent5"/>
          <w:right w:val="single" w:sz="8" w:space="0" w:color="7BBDD6" w:themeColor="accent5"/>
        </w:tcBorders>
      </w:tcPr>
    </w:tblStylePr>
    <w:tblStylePr w:type="firstCol">
      <w:rPr>
        <w:b/>
        <w:bCs/>
      </w:rPr>
    </w:tblStylePr>
    <w:tblStylePr w:type="lastCol">
      <w:rPr>
        <w:b/>
        <w:bCs/>
      </w:rPr>
    </w:tblStylePr>
    <w:tblStylePr w:type="band1Vert">
      <w:tblPr/>
      <w:tcPr>
        <w:tcBorders>
          <w:top w:val="single" w:sz="8" w:space="0" w:color="7BBDD6" w:themeColor="accent5"/>
          <w:left w:val="single" w:sz="8" w:space="0" w:color="7BBDD6" w:themeColor="accent5"/>
          <w:bottom w:val="single" w:sz="8" w:space="0" w:color="7BBDD6" w:themeColor="accent5"/>
          <w:right w:val="single" w:sz="8" w:space="0" w:color="7BBDD6" w:themeColor="accent5"/>
        </w:tcBorders>
      </w:tcPr>
    </w:tblStylePr>
    <w:tblStylePr w:type="band1Horz">
      <w:tblPr/>
      <w:tcPr>
        <w:tcBorders>
          <w:top w:val="single" w:sz="8" w:space="0" w:color="7BBDD6" w:themeColor="accent5"/>
          <w:left w:val="single" w:sz="8" w:space="0" w:color="7BBDD6" w:themeColor="accent5"/>
          <w:bottom w:val="single" w:sz="8" w:space="0" w:color="7BBDD6" w:themeColor="accent5"/>
          <w:right w:val="single" w:sz="8" w:space="0" w:color="7BBDD6" w:themeColor="accent5"/>
        </w:tcBorders>
      </w:tcPr>
    </w:tblStylePr>
  </w:style>
  <w:style w:type="table" w:styleId="LightList-Accent6">
    <w:name w:val="Light List Accent 6"/>
    <w:basedOn w:val="TableNormal"/>
    <w:uiPriority w:val="61"/>
    <w:semiHidden/>
    <w:unhideWhenUsed/>
    <w:rsid w:val="009637A8"/>
    <w:pPr>
      <w:spacing w:after="0" w:line="240" w:lineRule="auto"/>
    </w:pPr>
    <w:tblPr>
      <w:tblStyleRowBandSize w:val="1"/>
      <w:tblStyleColBandSize w:val="1"/>
      <w:tblBorders>
        <w:top w:val="single" w:sz="8" w:space="0" w:color="428D52" w:themeColor="accent6"/>
        <w:left w:val="single" w:sz="8" w:space="0" w:color="428D52" w:themeColor="accent6"/>
        <w:bottom w:val="single" w:sz="8" w:space="0" w:color="428D52" w:themeColor="accent6"/>
        <w:right w:val="single" w:sz="8" w:space="0" w:color="428D52" w:themeColor="accent6"/>
      </w:tblBorders>
    </w:tblPr>
    <w:tblStylePr w:type="firstRow">
      <w:pPr>
        <w:spacing w:before="0" w:after="0" w:line="240" w:lineRule="auto"/>
      </w:pPr>
      <w:rPr>
        <w:b/>
        <w:bCs/>
        <w:color w:val="FFFFFF" w:themeColor="background1"/>
      </w:rPr>
      <w:tblPr/>
      <w:tcPr>
        <w:shd w:val="clear" w:color="auto" w:fill="428D52" w:themeFill="accent6"/>
      </w:tcPr>
    </w:tblStylePr>
    <w:tblStylePr w:type="lastRow">
      <w:pPr>
        <w:spacing w:before="0" w:after="0" w:line="240" w:lineRule="auto"/>
      </w:pPr>
      <w:rPr>
        <w:b/>
        <w:bCs/>
      </w:rPr>
      <w:tblPr/>
      <w:tcPr>
        <w:tcBorders>
          <w:top w:val="double" w:sz="6" w:space="0" w:color="428D52" w:themeColor="accent6"/>
          <w:left w:val="single" w:sz="8" w:space="0" w:color="428D52" w:themeColor="accent6"/>
          <w:bottom w:val="single" w:sz="8" w:space="0" w:color="428D52" w:themeColor="accent6"/>
          <w:right w:val="single" w:sz="8" w:space="0" w:color="428D52" w:themeColor="accent6"/>
        </w:tcBorders>
      </w:tcPr>
    </w:tblStylePr>
    <w:tblStylePr w:type="firstCol">
      <w:rPr>
        <w:b/>
        <w:bCs/>
      </w:rPr>
    </w:tblStylePr>
    <w:tblStylePr w:type="lastCol">
      <w:rPr>
        <w:b/>
        <w:bCs/>
      </w:rPr>
    </w:tblStylePr>
    <w:tblStylePr w:type="band1Vert">
      <w:tblPr/>
      <w:tcPr>
        <w:tcBorders>
          <w:top w:val="single" w:sz="8" w:space="0" w:color="428D52" w:themeColor="accent6"/>
          <w:left w:val="single" w:sz="8" w:space="0" w:color="428D52" w:themeColor="accent6"/>
          <w:bottom w:val="single" w:sz="8" w:space="0" w:color="428D52" w:themeColor="accent6"/>
          <w:right w:val="single" w:sz="8" w:space="0" w:color="428D52" w:themeColor="accent6"/>
        </w:tcBorders>
      </w:tcPr>
    </w:tblStylePr>
    <w:tblStylePr w:type="band1Horz">
      <w:tblPr/>
      <w:tcPr>
        <w:tcBorders>
          <w:top w:val="single" w:sz="8" w:space="0" w:color="428D52" w:themeColor="accent6"/>
          <w:left w:val="single" w:sz="8" w:space="0" w:color="428D52" w:themeColor="accent6"/>
          <w:bottom w:val="single" w:sz="8" w:space="0" w:color="428D52" w:themeColor="accent6"/>
          <w:right w:val="single" w:sz="8" w:space="0" w:color="428D52" w:themeColor="accent6"/>
        </w:tcBorders>
      </w:tcPr>
    </w:tblStylePr>
  </w:style>
  <w:style w:type="table" w:styleId="LightShading">
    <w:name w:val="Light Shading"/>
    <w:basedOn w:val="TableNormal"/>
    <w:uiPriority w:val="60"/>
    <w:semiHidden/>
    <w:unhideWhenUsed/>
    <w:rsid w:val="009637A8"/>
    <w:pPr>
      <w:spacing w:after="0" w:line="240" w:lineRule="auto"/>
    </w:p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semiHidden/>
    <w:unhideWhenUsed/>
    <w:rsid w:val="009637A8"/>
    <w:pPr>
      <w:spacing w:after="0" w:line="240" w:lineRule="auto"/>
    </w:pPr>
    <w:tblPr>
      <w:tblStyleRowBandSize w:val="1"/>
      <w:tblStyleColBandSize w:val="1"/>
      <w:tblBorders>
        <w:top w:val="single" w:sz="8" w:space="0" w:color="9D85BE" w:themeColor="accent1"/>
        <w:bottom w:val="single" w:sz="8" w:space="0" w:color="9D85BE" w:themeColor="accent1"/>
      </w:tblBorders>
    </w:tblPr>
    <w:tblStylePr w:type="firstRow">
      <w:pPr>
        <w:spacing w:before="0" w:after="0" w:line="240" w:lineRule="auto"/>
      </w:pPr>
      <w:rPr>
        <w:b/>
        <w:bCs/>
      </w:rPr>
      <w:tblPr/>
      <w:tcPr>
        <w:tcBorders>
          <w:top w:val="single" w:sz="8" w:space="0" w:color="9D85BE" w:themeColor="accent1"/>
          <w:left w:val="nil"/>
          <w:bottom w:val="single" w:sz="8" w:space="0" w:color="9D85BE" w:themeColor="accent1"/>
          <w:right w:val="nil"/>
          <w:insideH w:val="nil"/>
          <w:insideV w:val="nil"/>
        </w:tcBorders>
      </w:tcPr>
    </w:tblStylePr>
    <w:tblStylePr w:type="lastRow">
      <w:pPr>
        <w:spacing w:before="0" w:after="0" w:line="240" w:lineRule="auto"/>
      </w:pPr>
      <w:rPr>
        <w:b/>
        <w:bCs/>
      </w:rPr>
      <w:tblPr/>
      <w:tcPr>
        <w:tcBorders>
          <w:top w:val="single" w:sz="8" w:space="0" w:color="9D85BE" w:themeColor="accent1"/>
          <w:left w:val="nil"/>
          <w:bottom w:val="single" w:sz="8" w:space="0" w:color="9D85BE"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0EF" w:themeFill="accent1" w:themeFillTint="3F"/>
      </w:tcPr>
    </w:tblStylePr>
    <w:tblStylePr w:type="band1Horz">
      <w:tblPr/>
      <w:tcPr>
        <w:tcBorders>
          <w:left w:val="nil"/>
          <w:right w:val="nil"/>
          <w:insideH w:val="nil"/>
          <w:insideV w:val="nil"/>
        </w:tcBorders>
        <w:shd w:val="clear" w:color="auto" w:fill="E6E0EF" w:themeFill="accent1" w:themeFillTint="3F"/>
      </w:tcPr>
    </w:tblStylePr>
  </w:style>
  <w:style w:type="table" w:styleId="LightShading-Accent2">
    <w:name w:val="Light Shading Accent 2"/>
    <w:basedOn w:val="TableNormal"/>
    <w:uiPriority w:val="60"/>
    <w:semiHidden/>
    <w:unhideWhenUsed/>
    <w:rsid w:val="009637A8"/>
    <w:pPr>
      <w:spacing w:after="0" w:line="240" w:lineRule="auto"/>
    </w:pPr>
    <w:tblPr>
      <w:tblStyleRowBandSize w:val="1"/>
      <w:tblStyleColBandSize w:val="1"/>
      <w:tblBorders>
        <w:top w:val="single" w:sz="8" w:space="0" w:color="7D7D7D" w:themeColor="accent2"/>
        <w:bottom w:val="single" w:sz="8" w:space="0" w:color="7D7D7D" w:themeColor="accent2"/>
      </w:tblBorders>
    </w:tblPr>
    <w:tblStylePr w:type="firstRow">
      <w:pPr>
        <w:spacing w:before="0" w:after="0" w:line="240" w:lineRule="auto"/>
      </w:pPr>
      <w:rPr>
        <w:b/>
        <w:bCs/>
      </w:rPr>
      <w:tblPr/>
      <w:tcPr>
        <w:tcBorders>
          <w:top w:val="single" w:sz="8" w:space="0" w:color="7D7D7D" w:themeColor="accent2"/>
          <w:left w:val="nil"/>
          <w:bottom w:val="single" w:sz="8" w:space="0" w:color="7D7D7D" w:themeColor="accent2"/>
          <w:right w:val="nil"/>
          <w:insideH w:val="nil"/>
          <w:insideV w:val="nil"/>
        </w:tcBorders>
      </w:tcPr>
    </w:tblStylePr>
    <w:tblStylePr w:type="lastRow">
      <w:pPr>
        <w:spacing w:before="0" w:after="0" w:line="240" w:lineRule="auto"/>
      </w:pPr>
      <w:rPr>
        <w:b/>
        <w:bCs/>
      </w:rPr>
      <w:tblPr/>
      <w:tcPr>
        <w:tcBorders>
          <w:top w:val="single" w:sz="8" w:space="0" w:color="7D7D7D" w:themeColor="accent2"/>
          <w:left w:val="nil"/>
          <w:bottom w:val="single" w:sz="8" w:space="0" w:color="7D7D7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EDEDE" w:themeFill="accent2" w:themeFillTint="3F"/>
      </w:tcPr>
    </w:tblStylePr>
    <w:tblStylePr w:type="band1Horz">
      <w:tblPr/>
      <w:tcPr>
        <w:tcBorders>
          <w:left w:val="nil"/>
          <w:right w:val="nil"/>
          <w:insideH w:val="nil"/>
          <w:insideV w:val="nil"/>
        </w:tcBorders>
        <w:shd w:val="clear" w:color="auto" w:fill="DEDEDE" w:themeFill="accent2" w:themeFillTint="3F"/>
      </w:tcPr>
    </w:tblStylePr>
  </w:style>
  <w:style w:type="table" w:styleId="LightShading-Accent3">
    <w:name w:val="Light Shading Accent 3"/>
    <w:basedOn w:val="TableNormal"/>
    <w:uiPriority w:val="60"/>
    <w:semiHidden/>
    <w:unhideWhenUsed/>
    <w:rsid w:val="009637A8"/>
    <w:pPr>
      <w:spacing w:after="0" w:line="240" w:lineRule="auto"/>
    </w:pPr>
    <w:tblPr>
      <w:tblStyleRowBandSize w:val="1"/>
      <w:tblStyleColBandSize w:val="1"/>
      <w:tblBorders>
        <w:top w:val="single" w:sz="8" w:space="0" w:color="C8C8C8" w:themeColor="accent3"/>
        <w:bottom w:val="single" w:sz="8" w:space="0" w:color="C8C8C8" w:themeColor="accent3"/>
      </w:tblBorders>
    </w:tblPr>
    <w:tblStylePr w:type="firstRow">
      <w:pPr>
        <w:spacing w:before="0" w:after="0" w:line="240" w:lineRule="auto"/>
      </w:pPr>
      <w:rPr>
        <w:b/>
        <w:bCs/>
      </w:rPr>
      <w:tblPr/>
      <w:tcPr>
        <w:tcBorders>
          <w:top w:val="single" w:sz="8" w:space="0" w:color="C8C8C8" w:themeColor="accent3"/>
          <w:left w:val="nil"/>
          <w:bottom w:val="single" w:sz="8" w:space="0" w:color="C8C8C8" w:themeColor="accent3"/>
          <w:right w:val="nil"/>
          <w:insideH w:val="nil"/>
          <w:insideV w:val="nil"/>
        </w:tcBorders>
      </w:tcPr>
    </w:tblStylePr>
    <w:tblStylePr w:type="lastRow">
      <w:pPr>
        <w:spacing w:before="0" w:after="0" w:line="240" w:lineRule="auto"/>
      </w:pPr>
      <w:rPr>
        <w:b/>
        <w:bCs/>
      </w:rPr>
      <w:tblPr/>
      <w:tcPr>
        <w:tcBorders>
          <w:top w:val="single" w:sz="8" w:space="0" w:color="C8C8C8" w:themeColor="accent3"/>
          <w:left w:val="nil"/>
          <w:bottom w:val="single" w:sz="8" w:space="0" w:color="C8C8C8"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1F1F1" w:themeFill="accent3" w:themeFillTint="3F"/>
      </w:tcPr>
    </w:tblStylePr>
    <w:tblStylePr w:type="band1Horz">
      <w:tblPr/>
      <w:tcPr>
        <w:tcBorders>
          <w:left w:val="nil"/>
          <w:right w:val="nil"/>
          <w:insideH w:val="nil"/>
          <w:insideV w:val="nil"/>
        </w:tcBorders>
        <w:shd w:val="clear" w:color="auto" w:fill="F1F1F1" w:themeFill="accent3" w:themeFillTint="3F"/>
      </w:tcPr>
    </w:tblStylePr>
  </w:style>
  <w:style w:type="table" w:styleId="LightShading-Accent4">
    <w:name w:val="Light Shading Accent 4"/>
    <w:basedOn w:val="TableNormal"/>
    <w:uiPriority w:val="60"/>
    <w:semiHidden/>
    <w:unhideWhenUsed/>
    <w:rsid w:val="009637A8"/>
    <w:pPr>
      <w:spacing w:after="0" w:line="240" w:lineRule="auto"/>
    </w:pPr>
    <w:tblPr>
      <w:tblStyleRowBandSize w:val="1"/>
      <w:tblStyleColBandSize w:val="1"/>
      <w:tblBorders>
        <w:top w:val="single" w:sz="8" w:space="0" w:color="006A9F" w:themeColor="accent4"/>
        <w:bottom w:val="single" w:sz="8" w:space="0" w:color="006A9F" w:themeColor="accent4"/>
      </w:tblBorders>
    </w:tblPr>
    <w:tblStylePr w:type="firstRow">
      <w:pPr>
        <w:spacing w:before="0" w:after="0" w:line="240" w:lineRule="auto"/>
      </w:pPr>
      <w:rPr>
        <w:b/>
        <w:bCs/>
      </w:rPr>
      <w:tblPr/>
      <w:tcPr>
        <w:tcBorders>
          <w:top w:val="single" w:sz="8" w:space="0" w:color="006A9F" w:themeColor="accent4"/>
          <w:left w:val="nil"/>
          <w:bottom w:val="single" w:sz="8" w:space="0" w:color="006A9F" w:themeColor="accent4"/>
          <w:right w:val="nil"/>
          <w:insideH w:val="nil"/>
          <w:insideV w:val="nil"/>
        </w:tcBorders>
      </w:tcPr>
    </w:tblStylePr>
    <w:tblStylePr w:type="lastRow">
      <w:pPr>
        <w:spacing w:before="0" w:after="0" w:line="240" w:lineRule="auto"/>
      </w:pPr>
      <w:rPr>
        <w:b/>
        <w:bCs/>
      </w:rPr>
      <w:tblPr/>
      <w:tcPr>
        <w:tcBorders>
          <w:top w:val="single" w:sz="8" w:space="0" w:color="006A9F" w:themeColor="accent4"/>
          <w:left w:val="nil"/>
          <w:bottom w:val="single" w:sz="8" w:space="0" w:color="006A9F"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8E2FF" w:themeFill="accent4" w:themeFillTint="3F"/>
      </w:tcPr>
    </w:tblStylePr>
    <w:tblStylePr w:type="band1Horz">
      <w:tblPr/>
      <w:tcPr>
        <w:tcBorders>
          <w:left w:val="nil"/>
          <w:right w:val="nil"/>
          <w:insideH w:val="nil"/>
          <w:insideV w:val="nil"/>
        </w:tcBorders>
        <w:shd w:val="clear" w:color="auto" w:fill="A8E2FF" w:themeFill="accent4" w:themeFillTint="3F"/>
      </w:tcPr>
    </w:tblStylePr>
  </w:style>
  <w:style w:type="table" w:styleId="LightShading-Accent5">
    <w:name w:val="Light Shading Accent 5"/>
    <w:basedOn w:val="TableNormal"/>
    <w:uiPriority w:val="60"/>
    <w:semiHidden/>
    <w:unhideWhenUsed/>
    <w:rsid w:val="009637A8"/>
    <w:pPr>
      <w:spacing w:after="0" w:line="240" w:lineRule="auto"/>
    </w:pPr>
    <w:tblPr>
      <w:tblStyleRowBandSize w:val="1"/>
      <w:tblStyleColBandSize w:val="1"/>
      <w:tblBorders>
        <w:top w:val="single" w:sz="8" w:space="0" w:color="7BBDD6" w:themeColor="accent5"/>
        <w:bottom w:val="single" w:sz="8" w:space="0" w:color="7BBDD6" w:themeColor="accent5"/>
      </w:tblBorders>
    </w:tblPr>
    <w:tblStylePr w:type="firstRow">
      <w:pPr>
        <w:spacing w:before="0" w:after="0" w:line="240" w:lineRule="auto"/>
      </w:pPr>
      <w:rPr>
        <w:b/>
        <w:bCs/>
      </w:rPr>
      <w:tblPr/>
      <w:tcPr>
        <w:tcBorders>
          <w:top w:val="single" w:sz="8" w:space="0" w:color="7BBDD6" w:themeColor="accent5"/>
          <w:left w:val="nil"/>
          <w:bottom w:val="single" w:sz="8" w:space="0" w:color="7BBDD6" w:themeColor="accent5"/>
          <w:right w:val="nil"/>
          <w:insideH w:val="nil"/>
          <w:insideV w:val="nil"/>
        </w:tcBorders>
      </w:tcPr>
    </w:tblStylePr>
    <w:tblStylePr w:type="lastRow">
      <w:pPr>
        <w:spacing w:before="0" w:after="0" w:line="240" w:lineRule="auto"/>
      </w:pPr>
      <w:rPr>
        <w:b/>
        <w:bCs/>
      </w:rPr>
      <w:tblPr/>
      <w:tcPr>
        <w:tcBorders>
          <w:top w:val="single" w:sz="8" w:space="0" w:color="7BBDD6" w:themeColor="accent5"/>
          <w:left w:val="nil"/>
          <w:bottom w:val="single" w:sz="8" w:space="0" w:color="7BBDD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EEEF4" w:themeFill="accent5" w:themeFillTint="3F"/>
      </w:tcPr>
    </w:tblStylePr>
    <w:tblStylePr w:type="band1Horz">
      <w:tblPr/>
      <w:tcPr>
        <w:tcBorders>
          <w:left w:val="nil"/>
          <w:right w:val="nil"/>
          <w:insideH w:val="nil"/>
          <w:insideV w:val="nil"/>
        </w:tcBorders>
        <w:shd w:val="clear" w:color="auto" w:fill="DEEEF4" w:themeFill="accent5" w:themeFillTint="3F"/>
      </w:tcPr>
    </w:tblStylePr>
  </w:style>
  <w:style w:type="table" w:styleId="LightShading-Accent6">
    <w:name w:val="Light Shading Accent 6"/>
    <w:basedOn w:val="TableNormal"/>
    <w:uiPriority w:val="60"/>
    <w:semiHidden/>
    <w:unhideWhenUsed/>
    <w:rsid w:val="009637A8"/>
    <w:pPr>
      <w:spacing w:after="0" w:line="240" w:lineRule="auto"/>
    </w:pPr>
    <w:tblPr>
      <w:tblStyleRowBandSize w:val="1"/>
      <w:tblStyleColBandSize w:val="1"/>
      <w:tblBorders>
        <w:top w:val="single" w:sz="8" w:space="0" w:color="428D52" w:themeColor="accent6"/>
        <w:bottom w:val="single" w:sz="8" w:space="0" w:color="428D52" w:themeColor="accent6"/>
      </w:tblBorders>
    </w:tblPr>
    <w:tblStylePr w:type="firstRow">
      <w:pPr>
        <w:spacing w:before="0" w:after="0" w:line="240" w:lineRule="auto"/>
      </w:pPr>
      <w:rPr>
        <w:b/>
        <w:bCs/>
      </w:rPr>
      <w:tblPr/>
      <w:tcPr>
        <w:tcBorders>
          <w:top w:val="single" w:sz="8" w:space="0" w:color="428D52" w:themeColor="accent6"/>
          <w:left w:val="nil"/>
          <w:bottom w:val="single" w:sz="8" w:space="0" w:color="428D52" w:themeColor="accent6"/>
          <w:right w:val="nil"/>
          <w:insideH w:val="nil"/>
          <w:insideV w:val="nil"/>
        </w:tcBorders>
      </w:tcPr>
    </w:tblStylePr>
    <w:tblStylePr w:type="lastRow">
      <w:pPr>
        <w:spacing w:before="0" w:after="0" w:line="240" w:lineRule="auto"/>
      </w:pPr>
      <w:rPr>
        <w:b/>
        <w:bCs/>
      </w:rPr>
      <w:tblPr/>
      <w:tcPr>
        <w:tcBorders>
          <w:top w:val="single" w:sz="8" w:space="0" w:color="428D52" w:themeColor="accent6"/>
          <w:left w:val="nil"/>
          <w:bottom w:val="single" w:sz="8" w:space="0" w:color="428D52"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BE7D1" w:themeFill="accent6" w:themeFillTint="3F"/>
      </w:tcPr>
    </w:tblStylePr>
    <w:tblStylePr w:type="band1Horz">
      <w:tblPr/>
      <w:tcPr>
        <w:tcBorders>
          <w:left w:val="nil"/>
          <w:right w:val="nil"/>
          <w:insideH w:val="nil"/>
          <w:insideV w:val="nil"/>
        </w:tcBorders>
        <w:shd w:val="clear" w:color="auto" w:fill="CBE7D1" w:themeFill="accent6" w:themeFillTint="3F"/>
      </w:tcPr>
    </w:tblStylePr>
  </w:style>
  <w:style w:type="character" w:styleId="LineNumber">
    <w:name w:val="line number"/>
    <w:basedOn w:val="DefaultParagraphFont"/>
    <w:uiPriority w:val="99"/>
    <w:semiHidden/>
    <w:unhideWhenUsed/>
    <w:rsid w:val="009637A8"/>
    <w:rPr>
      <w:color w:val="000000"/>
    </w:rPr>
  </w:style>
  <w:style w:type="paragraph" w:styleId="List">
    <w:name w:val="List"/>
    <w:basedOn w:val="Normal"/>
    <w:uiPriority w:val="99"/>
    <w:semiHidden/>
    <w:unhideWhenUsed/>
    <w:rsid w:val="009637A8"/>
    <w:pPr>
      <w:spacing w:after="160" w:line="259" w:lineRule="auto"/>
      <w:ind w:left="283" w:hanging="283"/>
      <w:contextualSpacing/>
    </w:pPr>
  </w:style>
  <w:style w:type="paragraph" w:styleId="List2">
    <w:name w:val="List 2"/>
    <w:basedOn w:val="Normal"/>
    <w:uiPriority w:val="99"/>
    <w:semiHidden/>
    <w:unhideWhenUsed/>
    <w:rsid w:val="009637A8"/>
    <w:pPr>
      <w:spacing w:after="160" w:line="259" w:lineRule="auto"/>
      <w:ind w:left="566" w:hanging="283"/>
      <w:contextualSpacing/>
    </w:pPr>
  </w:style>
  <w:style w:type="paragraph" w:styleId="List3">
    <w:name w:val="List 3"/>
    <w:basedOn w:val="Normal"/>
    <w:uiPriority w:val="99"/>
    <w:semiHidden/>
    <w:unhideWhenUsed/>
    <w:rsid w:val="009637A8"/>
    <w:pPr>
      <w:spacing w:after="160" w:line="259" w:lineRule="auto"/>
      <w:ind w:left="849" w:hanging="283"/>
      <w:contextualSpacing/>
    </w:pPr>
  </w:style>
  <w:style w:type="paragraph" w:styleId="List4">
    <w:name w:val="List 4"/>
    <w:basedOn w:val="Normal"/>
    <w:uiPriority w:val="99"/>
    <w:semiHidden/>
    <w:unhideWhenUsed/>
    <w:rsid w:val="009637A8"/>
    <w:pPr>
      <w:spacing w:after="160" w:line="259" w:lineRule="auto"/>
      <w:ind w:left="1132" w:hanging="283"/>
      <w:contextualSpacing/>
    </w:pPr>
  </w:style>
  <w:style w:type="paragraph" w:styleId="List5">
    <w:name w:val="List 5"/>
    <w:basedOn w:val="Normal"/>
    <w:uiPriority w:val="99"/>
    <w:semiHidden/>
    <w:unhideWhenUsed/>
    <w:rsid w:val="009637A8"/>
    <w:pPr>
      <w:spacing w:after="160" w:line="259" w:lineRule="auto"/>
      <w:ind w:left="1415" w:hanging="283"/>
      <w:contextualSpacing/>
    </w:pPr>
  </w:style>
  <w:style w:type="paragraph" w:styleId="ListBullet">
    <w:name w:val="List Bullet"/>
    <w:aliases w:val="List Bullet Char1,List Bullet Char Char,List Bullet Char1 Char Char,List Bullet Char Char Char1 Char,List Bullet Char Char Char Char Char,List Bullet Char3,List Bullet Char2 Char,List Bullet Char2,List Bullet1,List Bullet Char Char1,l, Char"/>
    <w:basedOn w:val="Normal"/>
    <w:link w:val="ListBulletChar"/>
    <w:uiPriority w:val="99"/>
    <w:qFormat/>
    <w:rsid w:val="00102134"/>
    <w:pPr>
      <w:numPr>
        <w:numId w:val="9"/>
      </w:numPr>
      <w:spacing w:before="70" w:after="70"/>
    </w:pPr>
  </w:style>
  <w:style w:type="paragraph" w:styleId="ListBullet2">
    <w:name w:val="List Bullet 2"/>
    <w:aliases w:val=" Char2,Char2,2,Lista con viñetas 2,List Bullet 2 Char Char Char"/>
    <w:basedOn w:val="Normal"/>
    <w:uiPriority w:val="99"/>
    <w:qFormat/>
    <w:rsid w:val="000F76C4"/>
    <w:pPr>
      <w:numPr>
        <w:ilvl w:val="1"/>
        <w:numId w:val="9"/>
      </w:numPr>
      <w:spacing w:before="0" w:after="60" w:line="240" w:lineRule="atLeast"/>
    </w:pPr>
  </w:style>
  <w:style w:type="paragraph" w:styleId="ListBullet3">
    <w:name w:val="List Bullet 3"/>
    <w:aliases w:val="Lista con viñetas 3"/>
    <w:basedOn w:val="Normal"/>
    <w:uiPriority w:val="99"/>
    <w:qFormat/>
    <w:rsid w:val="000F76C4"/>
    <w:pPr>
      <w:numPr>
        <w:ilvl w:val="2"/>
        <w:numId w:val="9"/>
      </w:numPr>
      <w:spacing w:before="0" w:after="60" w:line="240" w:lineRule="atLeast"/>
    </w:pPr>
  </w:style>
  <w:style w:type="paragraph" w:styleId="ListBullet4">
    <w:name w:val="List Bullet 4"/>
    <w:basedOn w:val="Normal"/>
    <w:uiPriority w:val="99"/>
    <w:semiHidden/>
    <w:unhideWhenUsed/>
    <w:rsid w:val="009637A8"/>
    <w:pPr>
      <w:numPr>
        <w:numId w:val="1"/>
      </w:numPr>
      <w:tabs>
        <w:tab w:val="clear" w:pos="1209"/>
      </w:tabs>
      <w:spacing w:after="160" w:line="259" w:lineRule="auto"/>
      <w:ind w:left="0" w:firstLine="0"/>
      <w:contextualSpacing/>
    </w:pPr>
  </w:style>
  <w:style w:type="paragraph" w:styleId="ListBullet5">
    <w:name w:val="List Bullet 5"/>
    <w:basedOn w:val="Normal"/>
    <w:uiPriority w:val="99"/>
    <w:semiHidden/>
    <w:unhideWhenUsed/>
    <w:rsid w:val="009637A8"/>
    <w:pPr>
      <w:numPr>
        <w:numId w:val="2"/>
      </w:numPr>
      <w:spacing w:after="160" w:line="259" w:lineRule="auto"/>
      <w:contextualSpacing/>
    </w:pPr>
  </w:style>
  <w:style w:type="paragraph" w:styleId="ListContinue">
    <w:name w:val="List Continue"/>
    <w:basedOn w:val="Normal"/>
    <w:uiPriority w:val="99"/>
    <w:semiHidden/>
    <w:unhideWhenUsed/>
    <w:rsid w:val="009637A8"/>
    <w:pPr>
      <w:spacing w:line="259" w:lineRule="auto"/>
      <w:ind w:left="283"/>
      <w:contextualSpacing/>
    </w:pPr>
  </w:style>
  <w:style w:type="paragraph" w:styleId="ListContinue2">
    <w:name w:val="List Continue 2"/>
    <w:basedOn w:val="Normal"/>
    <w:uiPriority w:val="99"/>
    <w:semiHidden/>
    <w:unhideWhenUsed/>
    <w:rsid w:val="009637A8"/>
    <w:pPr>
      <w:spacing w:line="259" w:lineRule="auto"/>
      <w:ind w:left="566"/>
      <w:contextualSpacing/>
    </w:pPr>
  </w:style>
  <w:style w:type="paragraph" w:styleId="ListContinue3">
    <w:name w:val="List Continue 3"/>
    <w:basedOn w:val="Normal"/>
    <w:uiPriority w:val="99"/>
    <w:semiHidden/>
    <w:unhideWhenUsed/>
    <w:rsid w:val="009637A8"/>
    <w:pPr>
      <w:spacing w:line="259" w:lineRule="auto"/>
      <w:ind w:left="849"/>
      <w:contextualSpacing/>
    </w:pPr>
  </w:style>
  <w:style w:type="paragraph" w:styleId="ListContinue4">
    <w:name w:val="List Continue 4"/>
    <w:basedOn w:val="Normal"/>
    <w:uiPriority w:val="99"/>
    <w:semiHidden/>
    <w:unhideWhenUsed/>
    <w:rsid w:val="009637A8"/>
    <w:pPr>
      <w:spacing w:line="259" w:lineRule="auto"/>
      <w:ind w:left="1132"/>
      <w:contextualSpacing/>
    </w:pPr>
  </w:style>
  <w:style w:type="paragraph" w:styleId="ListContinue5">
    <w:name w:val="List Continue 5"/>
    <w:basedOn w:val="Normal"/>
    <w:uiPriority w:val="99"/>
    <w:semiHidden/>
    <w:unhideWhenUsed/>
    <w:rsid w:val="009637A8"/>
    <w:pPr>
      <w:spacing w:line="259" w:lineRule="auto"/>
      <w:ind w:left="1415"/>
      <w:contextualSpacing/>
    </w:pPr>
  </w:style>
  <w:style w:type="paragraph" w:styleId="ListNumber">
    <w:name w:val="List Number"/>
    <w:aliases w:val="List Number Special"/>
    <w:basedOn w:val="Normal"/>
    <w:uiPriority w:val="99"/>
    <w:qFormat/>
    <w:rsid w:val="00303C43"/>
    <w:pPr>
      <w:numPr>
        <w:numId w:val="8"/>
      </w:numPr>
      <w:spacing w:before="70" w:after="70"/>
    </w:pPr>
  </w:style>
  <w:style w:type="paragraph" w:styleId="ListNumber2">
    <w:name w:val="List Number 2"/>
    <w:basedOn w:val="Normal"/>
    <w:uiPriority w:val="99"/>
    <w:qFormat/>
    <w:rsid w:val="00303C43"/>
    <w:pPr>
      <w:numPr>
        <w:ilvl w:val="1"/>
        <w:numId w:val="8"/>
      </w:numPr>
      <w:spacing w:before="0" w:after="60" w:line="240" w:lineRule="atLeast"/>
    </w:pPr>
  </w:style>
  <w:style w:type="paragraph" w:styleId="ListNumber3">
    <w:name w:val="List Number 3"/>
    <w:basedOn w:val="Normal"/>
    <w:uiPriority w:val="99"/>
    <w:qFormat/>
    <w:rsid w:val="00303C43"/>
    <w:pPr>
      <w:numPr>
        <w:ilvl w:val="2"/>
        <w:numId w:val="8"/>
      </w:numPr>
      <w:spacing w:before="0" w:after="60" w:line="240" w:lineRule="atLeast"/>
    </w:pPr>
  </w:style>
  <w:style w:type="paragraph" w:styleId="ListNumber4">
    <w:name w:val="List Number 4"/>
    <w:basedOn w:val="Normal"/>
    <w:uiPriority w:val="99"/>
    <w:semiHidden/>
    <w:unhideWhenUsed/>
    <w:rsid w:val="009637A8"/>
    <w:pPr>
      <w:numPr>
        <w:numId w:val="3"/>
      </w:numPr>
      <w:spacing w:after="160" w:line="259" w:lineRule="auto"/>
      <w:contextualSpacing/>
    </w:pPr>
  </w:style>
  <w:style w:type="paragraph" w:styleId="ListNumber5">
    <w:name w:val="List Number 5"/>
    <w:basedOn w:val="Normal"/>
    <w:uiPriority w:val="99"/>
    <w:semiHidden/>
    <w:unhideWhenUsed/>
    <w:rsid w:val="009637A8"/>
    <w:pPr>
      <w:numPr>
        <w:numId w:val="4"/>
      </w:numPr>
      <w:spacing w:after="160" w:line="259" w:lineRule="auto"/>
      <w:contextualSpacing/>
    </w:pPr>
  </w:style>
  <w:style w:type="paragraph" w:styleId="ListParagraph">
    <w:name w:val="List Paragraph"/>
    <w:aliases w:val="0Bullet,Bullet point,Bullets,Content descriptions,DDM Gen Text,Dot point 1.5 line spacing,Indented bullet,L,List Paragraph - bullets,List Paragraph Number,List Paragraph1,List Paragraph11,List Paragraph2,Recommendation,bullet point list"/>
    <w:basedOn w:val="Normal"/>
    <w:qFormat/>
    <w:rsid w:val="009637A8"/>
    <w:pPr>
      <w:spacing w:after="160" w:line="259" w:lineRule="auto"/>
      <w:ind w:left="720"/>
      <w:contextualSpacing/>
    </w:pPr>
  </w:style>
  <w:style w:type="table" w:styleId="ListTable1Light">
    <w:name w:val="List Table 1 Light"/>
    <w:basedOn w:val="TableNormal"/>
    <w:uiPriority w:val="46"/>
    <w:rsid w:val="009637A8"/>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1Light-Accent1">
    <w:name w:val="List Table 1 Light Accent 1"/>
    <w:basedOn w:val="TableNormal"/>
    <w:uiPriority w:val="46"/>
    <w:rsid w:val="009637A8"/>
    <w:pPr>
      <w:spacing w:after="0" w:line="240" w:lineRule="auto"/>
    </w:pPr>
    <w:tblPr>
      <w:tblStyleRowBandSize w:val="1"/>
      <w:tblStyleColBandSize w:val="1"/>
    </w:tblPr>
    <w:tblStylePr w:type="firstRow">
      <w:rPr>
        <w:b/>
        <w:bCs/>
      </w:rPr>
      <w:tblPr/>
      <w:tcPr>
        <w:tcBorders>
          <w:bottom w:val="single" w:sz="4" w:space="0" w:color="C4B5D8" w:themeColor="accent1" w:themeTint="99"/>
        </w:tcBorders>
      </w:tcPr>
    </w:tblStylePr>
    <w:tblStylePr w:type="lastRow">
      <w:rPr>
        <w:b/>
        <w:bCs/>
      </w:rPr>
      <w:tblPr/>
      <w:tcPr>
        <w:tcBorders>
          <w:top w:val="single" w:sz="4" w:space="0" w:color="C4B5D8" w:themeColor="accent1" w:themeTint="99"/>
        </w:tcBorders>
      </w:tcPr>
    </w:tblStylePr>
    <w:tblStylePr w:type="firstCol">
      <w:rPr>
        <w:b/>
        <w:bCs/>
      </w:rPr>
    </w:tblStylePr>
    <w:tblStylePr w:type="lastCol">
      <w:rPr>
        <w:b/>
        <w:bCs/>
      </w:rPr>
    </w:tblStylePr>
    <w:tblStylePr w:type="band1Vert">
      <w:tblPr/>
      <w:tcPr>
        <w:shd w:val="clear" w:color="auto" w:fill="EBE6F2" w:themeFill="accent1" w:themeFillTint="33"/>
      </w:tcPr>
    </w:tblStylePr>
    <w:tblStylePr w:type="band1Horz">
      <w:tblPr/>
      <w:tcPr>
        <w:shd w:val="clear" w:color="auto" w:fill="EBE6F2" w:themeFill="accent1" w:themeFillTint="33"/>
      </w:tcPr>
    </w:tblStylePr>
  </w:style>
  <w:style w:type="table" w:styleId="ListTable1Light-Accent2">
    <w:name w:val="List Table 1 Light Accent 2"/>
    <w:basedOn w:val="TableNormal"/>
    <w:uiPriority w:val="46"/>
    <w:rsid w:val="009637A8"/>
    <w:pPr>
      <w:spacing w:after="0" w:line="240" w:lineRule="auto"/>
    </w:pPr>
    <w:tblPr>
      <w:tblStyleRowBandSize w:val="1"/>
      <w:tblStyleColBandSize w:val="1"/>
    </w:tblPr>
    <w:tblStylePr w:type="firstRow">
      <w:rPr>
        <w:b/>
        <w:bCs/>
      </w:rPr>
      <w:tblPr/>
      <w:tcPr>
        <w:tcBorders>
          <w:bottom w:val="single" w:sz="4" w:space="0" w:color="B1B1B1" w:themeColor="accent2" w:themeTint="99"/>
        </w:tcBorders>
      </w:tcPr>
    </w:tblStylePr>
    <w:tblStylePr w:type="lastRow">
      <w:rPr>
        <w:b/>
        <w:bCs/>
      </w:rPr>
      <w:tblPr/>
      <w:tcPr>
        <w:tcBorders>
          <w:top w:val="single" w:sz="4" w:space="0" w:color="B1B1B1" w:themeColor="accent2" w:themeTint="99"/>
        </w:tcBorders>
      </w:tcPr>
    </w:tblStylePr>
    <w:tblStylePr w:type="firstCol">
      <w:rPr>
        <w:b/>
        <w:bCs/>
      </w:rPr>
    </w:tblStylePr>
    <w:tblStylePr w:type="lastCol">
      <w:rPr>
        <w:b/>
        <w:bCs/>
      </w:rPr>
    </w:tblStylePr>
    <w:tblStylePr w:type="band1Vert">
      <w:tblPr/>
      <w:tcPr>
        <w:shd w:val="clear" w:color="auto" w:fill="E5E5E5" w:themeFill="accent2" w:themeFillTint="33"/>
      </w:tcPr>
    </w:tblStylePr>
    <w:tblStylePr w:type="band1Horz">
      <w:tblPr/>
      <w:tcPr>
        <w:shd w:val="clear" w:color="auto" w:fill="E5E5E5" w:themeFill="accent2" w:themeFillTint="33"/>
      </w:tcPr>
    </w:tblStylePr>
  </w:style>
  <w:style w:type="table" w:styleId="ListTable1Light-Accent3">
    <w:name w:val="List Table 1 Light Accent 3"/>
    <w:basedOn w:val="TableNormal"/>
    <w:uiPriority w:val="46"/>
    <w:rsid w:val="009637A8"/>
    <w:pPr>
      <w:spacing w:after="0" w:line="240" w:lineRule="auto"/>
    </w:pPr>
    <w:tblPr>
      <w:tblStyleRowBandSize w:val="1"/>
      <w:tblStyleColBandSize w:val="1"/>
    </w:tblPr>
    <w:tblStylePr w:type="firstRow">
      <w:rPr>
        <w:b/>
        <w:bCs/>
      </w:rPr>
      <w:tblPr/>
      <w:tcPr>
        <w:tcBorders>
          <w:bottom w:val="single" w:sz="4" w:space="0" w:color="DEDEDE" w:themeColor="accent3" w:themeTint="99"/>
        </w:tcBorders>
      </w:tcPr>
    </w:tblStylePr>
    <w:tblStylePr w:type="lastRow">
      <w:rPr>
        <w:b/>
        <w:bCs/>
      </w:rPr>
      <w:tblPr/>
      <w:tcPr>
        <w:tcBorders>
          <w:top w:val="single" w:sz="4" w:space="0" w:color="DEDEDE" w:themeColor="accent3" w:themeTint="99"/>
        </w:tcBorders>
      </w:tcPr>
    </w:tblStylePr>
    <w:tblStylePr w:type="firstCol">
      <w:rPr>
        <w:b/>
        <w:bCs/>
      </w:rPr>
    </w:tblStylePr>
    <w:tblStylePr w:type="lastCol">
      <w:rPr>
        <w:b/>
        <w:bCs/>
      </w:rPr>
    </w:tblStylePr>
    <w:tblStylePr w:type="band1Vert">
      <w:tblPr/>
      <w:tcPr>
        <w:shd w:val="clear" w:color="auto" w:fill="F4F4F4" w:themeFill="accent3" w:themeFillTint="33"/>
      </w:tcPr>
    </w:tblStylePr>
    <w:tblStylePr w:type="band1Horz">
      <w:tblPr/>
      <w:tcPr>
        <w:shd w:val="clear" w:color="auto" w:fill="F4F4F4" w:themeFill="accent3" w:themeFillTint="33"/>
      </w:tcPr>
    </w:tblStylePr>
  </w:style>
  <w:style w:type="table" w:styleId="ListTable1Light-Accent4">
    <w:name w:val="List Table 1 Light Accent 4"/>
    <w:basedOn w:val="TableNormal"/>
    <w:uiPriority w:val="46"/>
    <w:rsid w:val="009637A8"/>
    <w:pPr>
      <w:spacing w:after="0" w:line="240" w:lineRule="auto"/>
    </w:pPr>
    <w:tblPr>
      <w:tblStyleRowBandSize w:val="1"/>
      <w:tblStyleColBandSize w:val="1"/>
    </w:tblPr>
    <w:tblStylePr w:type="firstRow">
      <w:rPr>
        <w:b/>
        <w:bCs/>
      </w:rPr>
      <w:tblPr/>
      <w:tcPr>
        <w:tcBorders>
          <w:bottom w:val="single" w:sz="4" w:space="0" w:color="2CB8FF" w:themeColor="accent4" w:themeTint="99"/>
        </w:tcBorders>
      </w:tcPr>
    </w:tblStylePr>
    <w:tblStylePr w:type="lastRow">
      <w:rPr>
        <w:b/>
        <w:bCs/>
      </w:rPr>
      <w:tblPr/>
      <w:tcPr>
        <w:tcBorders>
          <w:top w:val="single" w:sz="4" w:space="0" w:color="2CB8FF" w:themeColor="accent4" w:themeTint="99"/>
        </w:tcBorders>
      </w:tcPr>
    </w:tblStylePr>
    <w:tblStylePr w:type="firstCol">
      <w:rPr>
        <w:b/>
        <w:bCs/>
      </w:rPr>
    </w:tblStylePr>
    <w:tblStylePr w:type="lastCol">
      <w:rPr>
        <w:b/>
        <w:bCs/>
      </w:rPr>
    </w:tblStylePr>
    <w:tblStylePr w:type="band1Vert">
      <w:tblPr/>
      <w:tcPr>
        <w:shd w:val="clear" w:color="auto" w:fill="B8E7FF" w:themeFill="accent4" w:themeFillTint="33"/>
      </w:tcPr>
    </w:tblStylePr>
    <w:tblStylePr w:type="band1Horz">
      <w:tblPr/>
      <w:tcPr>
        <w:shd w:val="clear" w:color="auto" w:fill="B8E7FF" w:themeFill="accent4" w:themeFillTint="33"/>
      </w:tcPr>
    </w:tblStylePr>
  </w:style>
  <w:style w:type="table" w:styleId="ListTable1Light-Accent5">
    <w:name w:val="List Table 1 Light Accent 5"/>
    <w:basedOn w:val="TableNormal"/>
    <w:uiPriority w:val="46"/>
    <w:rsid w:val="009637A8"/>
    <w:pPr>
      <w:spacing w:after="0" w:line="240" w:lineRule="auto"/>
    </w:pPr>
    <w:tblPr>
      <w:tblStyleRowBandSize w:val="1"/>
      <w:tblStyleColBandSize w:val="1"/>
    </w:tblPr>
    <w:tblStylePr w:type="firstRow">
      <w:rPr>
        <w:b/>
        <w:bCs/>
      </w:rPr>
      <w:tblPr/>
      <w:tcPr>
        <w:tcBorders>
          <w:bottom w:val="single" w:sz="4" w:space="0" w:color="AFD7E6" w:themeColor="accent5" w:themeTint="99"/>
        </w:tcBorders>
      </w:tcPr>
    </w:tblStylePr>
    <w:tblStylePr w:type="lastRow">
      <w:rPr>
        <w:b/>
        <w:bCs/>
      </w:rPr>
      <w:tblPr/>
      <w:tcPr>
        <w:tcBorders>
          <w:top w:val="single" w:sz="4" w:space="0" w:color="AFD7E6" w:themeColor="accent5" w:themeTint="99"/>
        </w:tcBorders>
      </w:tcPr>
    </w:tblStylePr>
    <w:tblStylePr w:type="firstCol">
      <w:rPr>
        <w:b/>
        <w:bCs/>
      </w:rPr>
    </w:tblStylePr>
    <w:tblStylePr w:type="lastCol">
      <w:rPr>
        <w:b/>
        <w:bCs/>
      </w:rPr>
    </w:tblStylePr>
    <w:tblStylePr w:type="band1Vert">
      <w:tblPr/>
      <w:tcPr>
        <w:shd w:val="clear" w:color="auto" w:fill="E4F1F6" w:themeFill="accent5" w:themeFillTint="33"/>
      </w:tcPr>
    </w:tblStylePr>
    <w:tblStylePr w:type="band1Horz">
      <w:tblPr/>
      <w:tcPr>
        <w:shd w:val="clear" w:color="auto" w:fill="E4F1F6" w:themeFill="accent5" w:themeFillTint="33"/>
      </w:tcPr>
    </w:tblStylePr>
  </w:style>
  <w:style w:type="table" w:styleId="ListTable1Light-Accent6">
    <w:name w:val="List Table 1 Light Accent 6"/>
    <w:basedOn w:val="TableNormal"/>
    <w:uiPriority w:val="46"/>
    <w:rsid w:val="009637A8"/>
    <w:pPr>
      <w:spacing w:after="0" w:line="240" w:lineRule="auto"/>
    </w:pPr>
    <w:tblPr>
      <w:tblStyleRowBandSize w:val="1"/>
      <w:tblStyleColBandSize w:val="1"/>
    </w:tblPr>
    <w:tblStylePr w:type="firstRow">
      <w:rPr>
        <w:b/>
        <w:bCs/>
      </w:rPr>
      <w:tblPr/>
      <w:tcPr>
        <w:tcBorders>
          <w:bottom w:val="single" w:sz="4" w:space="0" w:color="83C590" w:themeColor="accent6" w:themeTint="99"/>
        </w:tcBorders>
      </w:tcPr>
    </w:tblStylePr>
    <w:tblStylePr w:type="lastRow">
      <w:rPr>
        <w:b/>
        <w:bCs/>
      </w:rPr>
      <w:tblPr/>
      <w:tcPr>
        <w:tcBorders>
          <w:top w:val="single" w:sz="4" w:space="0" w:color="83C590" w:themeColor="accent6" w:themeTint="99"/>
        </w:tcBorders>
      </w:tcPr>
    </w:tblStylePr>
    <w:tblStylePr w:type="firstCol">
      <w:rPr>
        <w:b/>
        <w:bCs/>
      </w:rPr>
    </w:tblStylePr>
    <w:tblStylePr w:type="lastCol">
      <w:rPr>
        <w:b/>
        <w:bCs/>
      </w:rPr>
    </w:tblStylePr>
    <w:tblStylePr w:type="band1Vert">
      <w:tblPr/>
      <w:tcPr>
        <w:shd w:val="clear" w:color="auto" w:fill="D5EBDA" w:themeFill="accent6" w:themeFillTint="33"/>
      </w:tcPr>
    </w:tblStylePr>
    <w:tblStylePr w:type="band1Horz">
      <w:tblPr/>
      <w:tcPr>
        <w:shd w:val="clear" w:color="auto" w:fill="D5EBDA" w:themeFill="accent6" w:themeFillTint="33"/>
      </w:tcPr>
    </w:tblStylePr>
  </w:style>
  <w:style w:type="table" w:styleId="ListTable2">
    <w:name w:val="List Table 2"/>
    <w:basedOn w:val="TableNormal"/>
    <w:uiPriority w:val="47"/>
    <w:rsid w:val="009637A8"/>
    <w:pPr>
      <w:spacing w:after="0"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2-Accent1">
    <w:name w:val="List Table 2 Accent 1"/>
    <w:basedOn w:val="TableNormal"/>
    <w:uiPriority w:val="47"/>
    <w:rsid w:val="009637A8"/>
    <w:pPr>
      <w:spacing w:after="0" w:line="240" w:lineRule="auto"/>
    </w:pPr>
    <w:tblPr>
      <w:tblStyleRowBandSize w:val="1"/>
      <w:tblStyleColBandSize w:val="1"/>
      <w:tblBorders>
        <w:top w:val="single" w:sz="4" w:space="0" w:color="C4B5D8" w:themeColor="accent1" w:themeTint="99"/>
        <w:bottom w:val="single" w:sz="4" w:space="0" w:color="C4B5D8" w:themeColor="accent1" w:themeTint="99"/>
        <w:insideH w:val="single" w:sz="4" w:space="0" w:color="C4B5D8"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BE6F2" w:themeFill="accent1" w:themeFillTint="33"/>
      </w:tcPr>
    </w:tblStylePr>
    <w:tblStylePr w:type="band1Horz">
      <w:tblPr/>
      <w:tcPr>
        <w:shd w:val="clear" w:color="auto" w:fill="EBE6F2" w:themeFill="accent1" w:themeFillTint="33"/>
      </w:tcPr>
    </w:tblStylePr>
  </w:style>
  <w:style w:type="table" w:styleId="ListTable2-Accent2">
    <w:name w:val="List Table 2 Accent 2"/>
    <w:basedOn w:val="TableNormal"/>
    <w:uiPriority w:val="47"/>
    <w:rsid w:val="009637A8"/>
    <w:pPr>
      <w:spacing w:after="0" w:line="240" w:lineRule="auto"/>
    </w:pPr>
    <w:tblPr>
      <w:tblStyleRowBandSize w:val="1"/>
      <w:tblStyleColBandSize w:val="1"/>
      <w:tblBorders>
        <w:top w:val="single" w:sz="4" w:space="0" w:color="B1B1B1" w:themeColor="accent2" w:themeTint="99"/>
        <w:bottom w:val="single" w:sz="4" w:space="0" w:color="B1B1B1" w:themeColor="accent2" w:themeTint="99"/>
        <w:insideH w:val="single" w:sz="4" w:space="0" w:color="B1B1B1"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5E5E5" w:themeFill="accent2" w:themeFillTint="33"/>
      </w:tcPr>
    </w:tblStylePr>
    <w:tblStylePr w:type="band1Horz">
      <w:tblPr/>
      <w:tcPr>
        <w:shd w:val="clear" w:color="auto" w:fill="E5E5E5" w:themeFill="accent2" w:themeFillTint="33"/>
      </w:tcPr>
    </w:tblStylePr>
  </w:style>
  <w:style w:type="table" w:styleId="ListTable2-Accent3">
    <w:name w:val="List Table 2 Accent 3"/>
    <w:basedOn w:val="TableNormal"/>
    <w:uiPriority w:val="47"/>
    <w:rsid w:val="009637A8"/>
    <w:pPr>
      <w:spacing w:after="0" w:line="240" w:lineRule="auto"/>
    </w:pPr>
    <w:tblPr>
      <w:tblStyleRowBandSize w:val="1"/>
      <w:tblStyleColBandSize w:val="1"/>
      <w:tblBorders>
        <w:top w:val="single" w:sz="4" w:space="0" w:color="DEDEDE" w:themeColor="accent3" w:themeTint="99"/>
        <w:bottom w:val="single" w:sz="4" w:space="0" w:color="DEDEDE" w:themeColor="accent3" w:themeTint="99"/>
        <w:insideH w:val="single" w:sz="4" w:space="0" w:color="DEDEDE"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4F4F4" w:themeFill="accent3" w:themeFillTint="33"/>
      </w:tcPr>
    </w:tblStylePr>
    <w:tblStylePr w:type="band1Horz">
      <w:tblPr/>
      <w:tcPr>
        <w:shd w:val="clear" w:color="auto" w:fill="F4F4F4" w:themeFill="accent3" w:themeFillTint="33"/>
      </w:tcPr>
    </w:tblStylePr>
  </w:style>
  <w:style w:type="table" w:styleId="ListTable2-Accent4">
    <w:name w:val="List Table 2 Accent 4"/>
    <w:basedOn w:val="TableNormal"/>
    <w:uiPriority w:val="47"/>
    <w:rsid w:val="009637A8"/>
    <w:pPr>
      <w:spacing w:after="0" w:line="240" w:lineRule="auto"/>
    </w:pPr>
    <w:tblPr>
      <w:tblStyleRowBandSize w:val="1"/>
      <w:tblStyleColBandSize w:val="1"/>
      <w:tblBorders>
        <w:top w:val="single" w:sz="4" w:space="0" w:color="2CB8FF" w:themeColor="accent4" w:themeTint="99"/>
        <w:bottom w:val="single" w:sz="4" w:space="0" w:color="2CB8FF" w:themeColor="accent4" w:themeTint="99"/>
        <w:insideH w:val="single" w:sz="4" w:space="0" w:color="2CB8FF"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8E7FF" w:themeFill="accent4" w:themeFillTint="33"/>
      </w:tcPr>
    </w:tblStylePr>
    <w:tblStylePr w:type="band1Horz">
      <w:tblPr/>
      <w:tcPr>
        <w:shd w:val="clear" w:color="auto" w:fill="B8E7FF" w:themeFill="accent4" w:themeFillTint="33"/>
      </w:tcPr>
    </w:tblStylePr>
  </w:style>
  <w:style w:type="table" w:styleId="ListTable2-Accent5">
    <w:name w:val="List Table 2 Accent 5"/>
    <w:basedOn w:val="TableNormal"/>
    <w:uiPriority w:val="47"/>
    <w:rsid w:val="009637A8"/>
    <w:pPr>
      <w:spacing w:after="0" w:line="240" w:lineRule="auto"/>
    </w:pPr>
    <w:tblPr>
      <w:tblStyleRowBandSize w:val="1"/>
      <w:tblStyleColBandSize w:val="1"/>
      <w:tblBorders>
        <w:top w:val="single" w:sz="4" w:space="0" w:color="AFD7E6" w:themeColor="accent5" w:themeTint="99"/>
        <w:bottom w:val="single" w:sz="4" w:space="0" w:color="AFD7E6" w:themeColor="accent5" w:themeTint="99"/>
        <w:insideH w:val="single" w:sz="4" w:space="0" w:color="AFD7E6"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4F1F6" w:themeFill="accent5" w:themeFillTint="33"/>
      </w:tcPr>
    </w:tblStylePr>
    <w:tblStylePr w:type="band1Horz">
      <w:tblPr/>
      <w:tcPr>
        <w:shd w:val="clear" w:color="auto" w:fill="E4F1F6" w:themeFill="accent5" w:themeFillTint="33"/>
      </w:tcPr>
    </w:tblStylePr>
  </w:style>
  <w:style w:type="table" w:styleId="ListTable2-Accent6">
    <w:name w:val="List Table 2 Accent 6"/>
    <w:basedOn w:val="TableNormal"/>
    <w:uiPriority w:val="47"/>
    <w:rsid w:val="009637A8"/>
    <w:pPr>
      <w:spacing w:after="0" w:line="240" w:lineRule="auto"/>
    </w:pPr>
    <w:tblPr>
      <w:tblStyleRowBandSize w:val="1"/>
      <w:tblStyleColBandSize w:val="1"/>
      <w:tblBorders>
        <w:top w:val="single" w:sz="4" w:space="0" w:color="83C590" w:themeColor="accent6" w:themeTint="99"/>
        <w:bottom w:val="single" w:sz="4" w:space="0" w:color="83C590" w:themeColor="accent6" w:themeTint="99"/>
        <w:insideH w:val="single" w:sz="4" w:space="0" w:color="83C590"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5EBDA" w:themeFill="accent6" w:themeFillTint="33"/>
      </w:tcPr>
    </w:tblStylePr>
    <w:tblStylePr w:type="band1Horz">
      <w:tblPr/>
      <w:tcPr>
        <w:shd w:val="clear" w:color="auto" w:fill="D5EBDA" w:themeFill="accent6" w:themeFillTint="33"/>
      </w:tcPr>
    </w:tblStylePr>
  </w:style>
  <w:style w:type="table" w:styleId="ListTable3">
    <w:name w:val="List Table 3"/>
    <w:basedOn w:val="TableNormal"/>
    <w:uiPriority w:val="48"/>
    <w:rsid w:val="009637A8"/>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3-Accent1">
    <w:name w:val="List Table 3 Accent 1"/>
    <w:basedOn w:val="TableNormal"/>
    <w:uiPriority w:val="48"/>
    <w:rsid w:val="009637A8"/>
    <w:pPr>
      <w:spacing w:after="0" w:line="240" w:lineRule="auto"/>
    </w:pPr>
    <w:tblPr>
      <w:tblStyleRowBandSize w:val="1"/>
      <w:tblStyleColBandSize w:val="1"/>
      <w:tblBorders>
        <w:top w:val="single" w:sz="4" w:space="0" w:color="9D85BE" w:themeColor="accent1"/>
        <w:left w:val="single" w:sz="4" w:space="0" w:color="9D85BE" w:themeColor="accent1"/>
        <w:bottom w:val="single" w:sz="4" w:space="0" w:color="9D85BE" w:themeColor="accent1"/>
        <w:right w:val="single" w:sz="4" w:space="0" w:color="9D85BE" w:themeColor="accent1"/>
      </w:tblBorders>
    </w:tblPr>
    <w:tblStylePr w:type="firstRow">
      <w:rPr>
        <w:b/>
        <w:bCs/>
        <w:color w:val="FFFFFF" w:themeColor="background1"/>
      </w:rPr>
      <w:tblPr/>
      <w:tcPr>
        <w:shd w:val="clear" w:color="auto" w:fill="9D85BE" w:themeFill="accent1"/>
      </w:tcPr>
    </w:tblStylePr>
    <w:tblStylePr w:type="lastRow">
      <w:rPr>
        <w:b/>
        <w:bCs/>
      </w:rPr>
      <w:tblPr/>
      <w:tcPr>
        <w:tcBorders>
          <w:top w:val="double" w:sz="4" w:space="0" w:color="9D85BE"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D85BE" w:themeColor="accent1"/>
          <w:right w:val="single" w:sz="4" w:space="0" w:color="9D85BE" w:themeColor="accent1"/>
        </w:tcBorders>
      </w:tcPr>
    </w:tblStylePr>
    <w:tblStylePr w:type="band1Horz">
      <w:tblPr/>
      <w:tcPr>
        <w:tcBorders>
          <w:top w:val="single" w:sz="4" w:space="0" w:color="9D85BE" w:themeColor="accent1"/>
          <w:bottom w:val="single" w:sz="4" w:space="0" w:color="9D85BE"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D85BE" w:themeColor="accent1"/>
          <w:left w:val="nil"/>
        </w:tcBorders>
      </w:tcPr>
    </w:tblStylePr>
    <w:tblStylePr w:type="swCell">
      <w:tblPr/>
      <w:tcPr>
        <w:tcBorders>
          <w:top w:val="double" w:sz="4" w:space="0" w:color="9D85BE" w:themeColor="accent1"/>
          <w:right w:val="nil"/>
        </w:tcBorders>
      </w:tcPr>
    </w:tblStylePr>
  </w:style>
  <w:style w:type="table" w:styleId="ListTable3-Accent2">
    <w:name w:val="List Table 3 Accent 2"/>
    <w:basedOn w:val="TableNormal"/>
    <w:uiPriority w:val="48"/>
    <w:rsid w:val="009637A8"/>
    <w:pPr>
      <w:spacing w:after="0" w:line="240" w:lineRule="auto"/>
    </w:pPr>
    <w:tblPr>
      <w:tblStyleRowBandSize w:val="1"/>
      <w:tblStyleColBandSize w:val="1"/>
      <w:tblBorders>
        <w:top w:val="single" w:sz="4" w:space="0" w:color="7D7D7D" w:themeColor="accent2"/>
        <w:left w:val="single" w:sz="4" w:space="0" w:color="7D7D7D" w:themeColor="accent2"/>
        <w:bottom w:val="single" w:sz="4" w:space="0" w:color="7D7D7D" w:themeColor="accent2"/>
        <w:right w:val="single" w:sz="4" w:space="0" w:color="7D7D7D" w:themeColor="accent2"/>
      </w:tblBorders>
    </w:tblPr>
    <w:tblStylePr w:type="firstRow">
      <w:rPr>
        <w:b/>
        <w:bCs/>
        <w:color w:val="FFFFFF" w:themeColor="background1"/>
      </w:rPr>
      <w:tblPr/>
      <w:tcPr>
        <w:shd w:val="clear" w:color="auto" w:fill="7D7D7D" w:themeFill="accent2"/>
      </w:tcPr>
    </w:tblStylePr>
    <w:tblStylePr w:type="lastRow">
      <w:rPr>
        <w:b/>
        <w:bCs/>
      </w:rPr>
      <w:tblPr/>
      <w:tcPr>
        <w:tcBorders>
          <w:top w:val="double" w:sz="4" w:space="0" w:color="7D7D7D"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D7D7D" w:themeColor="accent2"/>
          <w:right w:val="single" w:sz="4" w:space="0" w:color="7D7D7D" w:themeColor="accent2"/>
        </w:tcBorders>
      </w:tcPr>
    </w:tblStylePr>
    <w:tblStylePr w:type="band1Horz">
      <w:tblPr/>
      <w:tcPr>
        <w:tcBorders>
          <w:top w:val="single" w:sz="4" w:space="0" w:color="7D7D7D" w:themeColor="accent2"/>
          <w:bottom w:val="single" w:sz="4" w:space="0" w:color="7D7D7D"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D7D7D" w:themeColor="accent2"/>
          <w:left w:val="nil"/>
        </w:tcBorders>
      </w:tcPr>
    </w:tblStylePr>
    <w:tblStylePr w:type="swCell">
      <w:tblPr/>
      <w:tcPr>
        <w:tcBorders>
          <w:top w:val="double" w:sz="4" w:space="0" w:color="7D7D7D" w:themeColor="accent2"/>
          <w:right w:val="nil"/>
        </w:tcBorders>
      </w:tcPr>
    </w:tblStylePr>
  </w:style>
  <w:style w:type="table" w:styleId="ListTable3-Accent3">
    <w:name w:val="List Table 3 Accent 3"/>
    <w:basedOn w:val="TableNormal"/>
    <w:uiPriority w:val="48"/>
    <w:rsid w:val="009637A8"/>
    <w:pPr>
      <w:spacing w:after="0" w:line="240" w:lineRule="auto"/>
    </w:pPr>
    <w:tblPr>
      <w:tblStyleRowBandSize w:val="1"/>
      <w:tblStyleColBandSize w:val="1"/>
      <w:tblBorders>
        <w:top w:val="single" w:sz="4" w:space="0" w:color="C8C8C8" w:themeColor="accent3"/>
        <w:left w:val="single" w:sz="4" w:space="0" w:color="C8C8C8" w:themeColor="accent3"/>
        <w:bottom w:val="single" w:sz="4" w:space="0" w:color="C8C8C8" w:themeColor="accent3"/>
        <w:right w:val="single" w:sz="4" w:space="0" w:color="C8C8C8" w:themeColor="accent3"/>
      </w:tblBorders>
    </w:tblPr>
    <w:tblStylePr w:type="firstRow">
      <w:rPr>
        <w:b/>
        <w:bCs/>
        <w:color w:val="FFFFFF" w:themeColor="background1"/>
      </w:rPr>
      <w:tblPr/>
      <w:tcPr>
        <w:shd w:val="clear" w:color="auto" w:fill="C8C8C8" w:themeFill="accent3"/>
      </w:tcPr>
    </w:tblStylePr>
    <w:tblStylePr w:type="lastRow">
      <w:rPr>
        <w:b/>
        <w:bCs/>
      </w:rPr>
      <w:tblPr/>
      <w:tcPr>
        <w:tcBorders>
          <w:top w:val="double" w:sz="4" w:space="0" w:color="C8C8C8"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8C8C8" w:themeColor="accent3"/>
          <w:right w:val="single" w:sz="4" w:space="0" w:color="C8C8C8" w:themeColor="accent3"/>
        </w:tcBorders>
      </w:tcPr>
    </w:tblStylePr>
    <w:tblStylePr w:type="band1Horz">
      <w:tblPr/>
      <w:tcPr>
        <w:tcBorders>
          <w:top w:val="single" w:sz="4" w:space="0" w:color="C8C8C8" w:themeColor="accent3"/>
          <w:bottom w:val="single" w:sz="4" w:space="0" w:color="C8C8C8"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8C8C8" w:themeColor="accent3"/>
          <w:left w:val="nil"/>
        </w:tcBorders>
      </w:tcPr>
    </w:tblStylePr>
    <w:tblStylePr w:type="swCell">
      <w:tblPr/>
      <w:tcPr>
        <w:tcBorders>
          <w:top w:val="double" w:sz="4" w:space="0" w:color="C8C8C8" w:themeColor="accent3"/>
          <w:right w:val="nil"/>
        </w:tcBorders>
      </w:tcPr>
    </w:tblStylePr>
  </w:style>
  <w:style w:type="table" w:styleId="ListTable3-Accent4">
    <w:name w:val="List Table 3 Accent 4"/>
    <w:basedOn w:val="TableNormal"/>
    <w:uiPriority w:val="48"/>
    <w:rsid w:val="009637A8"/>
    <w:pPr>
      <w:spacing w:after="0" w:line="240" w:lineRule="auto"/>
    </w:pPr>
    <w:tblPr>
      <w:tblStyleRowBandSize w:val="1"/>
      <w:tblStyleColBandSize w:val="1"/>
      <w:tblBorders>
        <w:top w:val="single" w:sz="4" w:space="0" w:color="006A9F" w:themeColor="accent4"/>
        <w:left w:val="single" w:sz="4" w:space="0" w:color="006A9F" w:themeColor="accent4"/>
        <w:bottom w:val="single" w:sz="4" w:space="0" w:color="006A9F" w:themeColor="accent4"/>
        <w:right w:val="single" w:sz="4" w:space="0" w:color="006A9F" w:themeColor="accent4"/>
      </w:tblBorders>
    </w:tblPr>
    <w:tblStylePr w:type="firstRow">
      <w:rPr>
        <w:b/>
        <w:bCs/>
        <w:color w:val="FFFFFF" w:themeColor="background1"/>
      </w:rPr>
      <w:tblPr/>
      <w:tcPr>
        <w:shd w:val="clear" w:color="auto" w:fill="006A9F" w:themeFill="accent4"/>
      </w:tcPr>
    </w:tblStylePr>
    <w:tblStylePr w:type="lastRow">
      <w:rPr>
        <w:b/>
        <w:bCs/>
      </w:rPr>
      <w:tblPr/>
      <w:tcPr>
        <w:tcBorders>
          <w:top w:val="double" w:sz="4" w:space="0" w:color="006A9F"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6A9F" w:themeColor="accent4"/>
          <w:right w:val="single" w:sz="4" w:space="0" w:color="006A9F" w:themeColor="accent4"/>
        </w:tcBorders>
      </w:tcPr>
    </w:tblStylePr>
    <w:tblStylePr w:type="band1Horz">
      <w:tblPr/>
      <w:tcPr>
        <w:tcBorders>
          <w:top w:val="single" w:sz="4" w:space="0" w:color="006A9F" w:themeColor="accent4"/>
          <w:bottom w:val="single" w:sz="4" w:space="0" w:color="006A9F"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6A9F" w:themeColor="accent4"/>
          <w:left w:val="nil"/>
        </w:tcBorders>
      </w:tcPr>
    </w:tblStylePr>
    <w:tblStylePr w:type="swCell">
      <w:tblPr/>
      <w:tcPr>
        <w:tcBorders>
          <w:top w:val="double" w:sz="4" w:space="0" w:color="006A9F" w:themeColor="accent4"/>
          <w:right w:val="nil"/>
        </w:tcBorders>
      </w:tcPr>
    </w:tblStylePr>
  </w:style>
  <w:style w:type="table" w:styleId="ListTable3-Accent5">
    <w:name w:val="List Table 3 Accent 5"/>
    <w:basedOn w:val="TableNormal"/>
    <w:uiPriority w:val="48"/>
    <w:rsid w:val="009637A8"/>
    <w:pPr>
      <w:spacing w:after="0" w:line="240" w:lineRule="auto"/>
    </w:pPr>
    <w:tblPr>
      <w:tblStyleRowBandSize w:val="1"/>
      <w:tblStyleColBandSize w:val="1"/>
      <w:tblBorders>
        <w:top w:val="single" w:sz="4" w:space="0" w:color="7BBDD6" w:themeColor="accent5"/>
        <w:left w:val="single" w:sz="4" w:space="0" w:color="7BBDD6" w:themeColor="accent5"/>
        <w:bottom w:val="single" w:sz="4" w:space="0" w:color="7BBDD6" w:themeColor="accent5"/>
        <w:right w:val="single" w:sz="4" w:space="0" w:color="7BBDD6" w:themeColor="accent5"/>
      </w:tblBorders>
    </w:tblPr>
    <w:tblStylePr w:type="firstRow">
      <w:rPr>
        <w:b/>
        <w:bCs/>
        <w:color w:val="FFFFFF" w:themeColor="background1"/>
      </w:rPr>
      <w:tblPr/>
      <w:tcPr>
        <w:shd w:val="clear" w:color="auto" w:fill="7BBDD6" w:themeFill="accent5"/>
      </w:tcPr>
    </w:tblStylePr>
    <w:tblStylePr w:type="lastRow">
      <w:rPr>
        <w:b/>
        <w:bCs/>
      </w:rPr>
      <w:tblPr/>
      <w:tcPr>
        <w:tcBorders>
          <w:top w:val="double" w:sz="4" w:space="0" w:color="7BBDD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BBDD6" w:themeColor="accent5"/>
          <w:right w:val="single" w:sz="4" w:space="0" w:color="7BBDD6" w:themeColor="accent5"/>
        </w:tcBorders>
      </w:tcPr>
    </w:tblStylePr>
    <w:tblStylePr w:type="band1Horz">
      <w:tblPr/>
      <w:tcPr>
        <w:tcBorders>
          <w:top w:val="single" w:sz="4" w:space="0" w:color="7BBDD6" w:themeColor="accent5"/>
          <w:bottom w:val="single" w:sz="4" w:space="0" w:color="7BBDD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BBDD6" w:themeColor="accent5"/>
          <w:left w:val="nil"/>
        </w:tcBorders>
      </w:tcPr>
    </w:tblStylePr>
    <w:tblStylePr w:type="swCell">
      <w:tblPr/>
      <w:tcPr>
        <w:tcBorders>
          <w:top w:val="double" w:sz="4" w:space="0" w:color="7BBDD6" w:themeColor="accent5"/>
          <w:right w:val="nil"/>
        </w:tcBorders>
      </w:tcPr>
    </w:tblStylePr>
  </w:style>
  <w:style w:type="table" w:styleId="ListTable3-Accent6">
    <w:name w:val="List Table 3 Accent 6"/>
    <w:basedOn w:val="TableNormal"/>
    <w:uiPriority w:val="48"/>
    <w:rsid w:val="009637A8"/>
    <w:pPr>
      <w:spacing w:after="0" w:line="240" w:lineRule="auto"/>
    </w:pPr>
    <w:tblPr>
      <w:tblStyleRowBandSize w:val="1"/>
      <w:tblStyleColBandSize w:val="1"/>
      <w:tblBorders>
        <w:top w:val="single" w:sz="4" w:space="0" w:color="428D52" w:themeColor="accent6"/>
        <w:left w:val="single" w:sz="4" w:space="0" w:color="428D52" w:themeColor="accent6"/>
        <w:bottom w:val="single" w:sz="4" w:space="0" w:color="428D52" w:themeColor="accent6"/>
        <w:right w:val="single" w:sz="4" w:space="0" w:color="428D52" w:themeColor="accent6"/>
      </w:tblBorders>
    </w:tblPr>
    <w:tblStylePr w:type="firstRow">
      <w:rPr>
        <w:b/>
        <w:bCs/>
        <w:color w:val="FFFFFF" w:themeColor="background1"/>
      </w:rPr>
      <w:tblPr/>
      <w:tcPr>
        <w:shd w:val="clear" w:color="auto" w:fill="428D52" w:themeFill="accent6"/>
      </w:tcPr>
    </w:tblStylePr>
    <w:tblStylePr w:type="lastRow">
      <w:rPr>
        <w:b/>
        <w:bCs/>
      </w:rPr>
      <w:tblPr/>
      <w:tcPr>
        <w:tcBorders>
          <w:top w:val="double" w:sz="4" w:space="0" w:color="428D52"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28D52" w:themeColor="accent6"/>
          <w:right w:val="single" w:sz="4" w:space="0" w:color="428D52" w:themeColor="accent6"/>
        </w:tcBorders>
      </w:tcPr>
    </w:tblStylePr>
    <w:tblStylePr w:type="band1Horz">
      <w:tblPr/>
      <w:tcPr>
        <w:tcBorders>
          <w:top w:val="single" w:sz="4" w:space="0" w:color="428D52" w:themeColor="accent6"/>
          <w:bottom w:val="single" w:sz="4" w:space="0" w:color="428D52"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28D52" w:themeColor="accent6"/>
          <w:left w:val="nil"/>
        </w:tcBorders>
      </w:tcPr>
    </w:tblStylePr>
    <w:tblStylePr w:type="swCell">
      <w:tblPr/>
      <w:tcPr>
        <w:tcBorders>
          <w:top w:val="double" w:sz="4" w:space="0" w:color="428D52" w:themeColor="accent6"/>
          <w:right w:val="nil"/>
        </w:tcBorders>
      </w:tcPr>
    </w:tblStylePr>
  </w:style>
  <w:style w:type="table" w:styleId="ListTable4">
    <w:name w:val="List Table 4"/>
    <w:basedOn w:val="TableNormal"/>
    <w:uiPriority w:val="49"/>
    <w:rsid w:val="009637A8"/>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Accent1">
    <w:name w:val="List Table 4 Accent 1"/>
    <w:basedOn w:val="TableNormal"/>
    <w:uiPriority w:val="49"/>
    <w:rsid w:val="009637A8"/>
    <w:pPr>
      <w:spacing w:after="0" w:line="240" w:lineRule="auto"/>
    </w:pPr>
    <w:tblPr>
      <w:tblStyleRowBandSize w:val="1"/>
      <w:tblStyleColBandSize w:val="1"/>
      <w:tblBorders>
        <w:top w:val="single" w:sz="4" w:space="0" w:color="C4B5D8" w:themeColor="accent1" w:themeTint="99"/>
        <w:left w:val="single" w:sz="4" w:space="0" w:color="C4B5D8" w:themeColor="accent1" w:themeTint="99"/>
        <w:bottom w:val="single" w:sz="4" w:space="0" w:color="C4B5D8" w:themeColor="accent1" w:themeTint="99"/>
        <w:right w:val="single" w:sz="4" w:space="0" w:color="C4B5D8" w:themeColor="accent1" w:themeTint="99"/>
        <w:insideH w:val="single" w:sz="4" w:space="0" w:color="C4B5D8" w:themeColor="accent1" w:themeTint="99"/>
      </w:tblBorders>
    </w:tblPr>
    <w:tblStylePr w:type="firstRow">
      <w:rPr>
        <w:b/>
        <w:bCs/>
        <w:color w:val="FFFFFF" w:themeColor="background1"/>
      </w:rPr>
      <w:tblPr/>
      <w:tcPr>
        <w:tcBorders>
          <w:top w:val="single" w:sz="4" w:space="0" w:color="9D85BE" w:themeColor="accent1"/>
          <w:left w:val="single" w:sz="4" w:space="0" w:color="9D85BE" w:themeColor="accent1"/>
          <w:bottom w:val="single" w:sz="4" w:space="0" w:color="9D85BE" w:themeColor="accent1"/>
          <w:right w:val="single" w:sz="4" w:space="0" w:color="9D85BE" w:themeColor="accent1"/>
          <w:insideH w:val="nil"/>
        </w:tcBorders>
        <w:shd w:val="clear" w:color="auto" w:fill="9D85BE" w:themeFill="accent1"/>
      </w:tcPr>
    </w:tblStylePr>
    <w:tblStylePr w:type="lastRow">
      <w:rPr>
        <w:b/>
        <w:bCs/>
      </w:rPr>
      <w:tblPr/>
      <w:tcPr>
        <w:tcBorders>
          <w:top w:val="double" w:sz="4" w:space="0" w:color="C4B5D8" w:themeColor="accent1" w:themeTint="99"/>
        </w:tcBorders>
      </w:tcPr>
    </w:tblStylePr>
    <w:tblStylePr w:type="firstCol">
      <w:rPr>
        <w:b/>
        <w:bCs/>
      </w:rPr>
    </w:tblStylePr>
    <w:tblStylePr w:type="lastCol">
      <w:rPr>
        <w:b/>
        <w:bCs/>
      </w:rPr>
    </w:tblStylePr>
    <w:tblStylePr w:type="band1Vert">
      <w:tblPr/>
      <w:tcPr>
        <w:shd w:val="clear" w:color="auto" w:fill="EBE6F2" w:themeFill="accent1" w:themeFillTint="33"/>
      </w:tcPr>
    </w:tblStylePr>
    <w:tblStylePr w:type="band1Horz">
      <w:tblPr/>
      <w:tcPr>
        <w:shd w:val="clear" w:color="auto" w:fill="EBE6F2" w:themeFill="accent1" w:themeFillTint="33"/>
      </w:tcPr>
    </w:tblStylePr>
  </w:style>
  <w:style w:type="table" w:styleId="ListTable4-Accent2">
    <w:name w:val="List Table 4 Accent 2"/>
    <w:basedOn w:val="TableNormal"/>
    <w:uiPriority w:val="49"/>
    <w:rsid w:val="009637A8"/>
    <w:pPr>
      <w:spacing w:after="0" w:line="240" w:lineRule="auto"/>
    </w:pPr>
    <w:tblPr>
      <w:tblStyleRowBandSize w:val="1"/>
      <w:tblStyleColBandSize w:val="1"/>
      <w:tblBorders>
        <w:top w:val="single" w:sz="4" w:space="0" w:color="B1B1B1" w:themeColor="accent2" w:themeTint="99"/>
        <w:left w:val="single" w:sz="4" w:space="0" w:color="B1B1B1" w:themeColor="accent2" w:themeTint="99"/>
        <w:bottom w:val="single" w:sz="4" w:space="0" w:color="B1B1B1" w:themeColor="accent2" w:themeTint="99"/>
        <w:right w:val="single" w:sz="4" w:space="0" w:color="B1B1B1" w:themeColor="accent2" w:themeTint="99"/>
        <w:insideH w:val="single" w:sz="4" w:space="0" w:color="B1B1B1" w:themeColor="accent2" w:themeTint="99"/>
      </w:tblBorders>
    </w:tblPr>
    <w:tblStylePr w:type="firstRow">
      <w:rPr>
        <w:b/>
        <w:bCs/>
        <w:color w:val="FFFFFF" w:themeColor="background1"/>
      </w:rPr>
      <w:tblPr/>
      <w:tcPr>
        <w:tcBorders>
          <w:top w:val="single" w:sz="4" w:space="0" w:color="7D7D7D" w:themeColor="accent2"/>
          <w:left w:val="single" w:sz="4" w:space="0" w:color="7D7D7D" w:themeColor="accent2"/>
          <w:bottom w:val="single" w:sz="4" w:space="0" w:color="7D7D7D" w:themeColor="accent2"/>
          <w:right w:val="single" w:sz="4" w:space="0" w:color="7D7D7D" w:themeColor="accent2"/>
          <w:insideH w:val="nil"/>
        </w:tcBorders>
        <w:shd w:val="clear" w:color="auto" w:fill="7D7D7D" w:themeFill="accent2"/>
      </w:tcPr>
    </w:tblStylePr>
    <w:tblStylePr w:type="lastRow">
      <w:rPr>
        <w:b/>
        <w:bCs/>
      </w:rPr>
      <w:tblPr/>
      <w:tcPr>
        <w:tcBorders>
          <w:top w:val="double" w:sz="4" w:space="0" w:color="B1B1B1" w:themeColor="accent2" w:themeTint="99"/>
        </w:tcBorders>
      </w:tcPr>
    </w:tblStylePr>
    <w:tblStylePr w:type="firstCol">
      <w:rPr>
        <w:b/>
        <w:bCs/>
      </w:rPr>
    </w:tblStylePr>
    <w:tblStylePr w:type="lastCol">
      <w:rPr>
        <w:b/>
        <w:bCs/>
      </w:rPr>
    </w:tblStylePr>
    <w:tblStylePr w:type="band1Vert">
      <w:tblPr/>
      <w:tcPr>
        <w:shd w:val="clear" w:color="auto" w:fill="E5E5E5" w:themeFill="accent2" w:themeFillTint="33"/>
      </w:tcPr>
    </w:tblStylePr>
    <w:tblStylePr w:type="band1Horz">
      <w:tblPr/>
      <w:tcPr>
        <w:shd w:val="clear" w:color="auto" w:fill="E5E5E5" w:themeFill="accent2" w:themeFillTint="33"/>
      </w:tcPr>
    </w:tblStylePr>
  </w:style>
  <w:style w:type="table" w:styleId="ListTable4-Accent3">
    <w:name w:val="List Table 4 Accent 3"/>
    <w:basedOn w:val="TableNormal"/>
    <w:uiPriority w:val="49"/>
    <w:rsid w:val="009637A8"/>
    <w:pPr>
      <w:spacing w:after="0" w:line="240" w:lineRule="auto"/>
    </w:pPr>
    <w:tblPr>
      <w:tblStyleRowBandSize w:val="1"/>
      <w:tblStyleColBandSize w:val="1"/>
      <w:tblBorders>
        <w:top w:val="single" w:sz="4" w:space="0" w:color="DEDEDE" w:themeColor="accent3" w:themeTint="99"/>
        <w:left w:val="single" w:sz="4" w:space="0" w:color="DEDEDE" w:themeColor="accent3" w:themeTint="99"/>
        <w:bottom w:val="single" w:sz="4" w:space="0" w:color="DEDEDE" w:themeColor="accent3" w:themeTint="99"/>
        <w:right w:val="single" w:sz="4" w:space="0" w:color="DEDEDE" w:themeColor="accent3" w:themeTint="99"/>
        <w:insideH w:val="single" w:sz="4" w:space="0" w:color="DEDEDE" w:themeColor="accent3" w:themeTint="99"/>
      </w:tblBorders>
    </w:tblPr>
    <w:tblStylePr w:type="firstRow">
      <w:rPr>
        <w:b/>
        <w:bCs/>
        <w:color w:val="FFFFFF" w:themeColor="background1"/>
      </w:rPr>
      <w:tblPr/>
      <w:tcPr>
        <w:tcBorders>
          <w:top w:val="single" w:sz="4" w:space="0" w:color="C8C8C8" w:themeColor="accent3"/>
          <w:left w:val="single" w:sz="4" w:space="0" w:color="C8C8C8" w:themeColor="accent3"/>
          <w:bottom w:val="single" w:sz="4" w:space="0" w:color="C8C8C8" w:themeColor="accent3"/>
          <w:right w:val="single" w:sz="4" w:space="0" w:color="C8C8C8" w:themeColor="accent3"/>
          <w:insideH w:val="nil"/>
        </w:tcBorders>
        <w:shd w:val="clear" w:color="auto" w:fill="C8C8C8" w:themeFill="accent3"/>
      </w:tcPr>
    </w:tblStylePr>
    <w:tblStylePr w:type="lastRow">
      <w:rPr>
        <w:b/>
        <w:bCs/>
      </w:rPr>
      <w:tblPr/>
      <w:tcPr>
        <w:tcBorders>
          <w:top w:val="double" w:sz="4" w:space="0" w:color="DEDEDE" w:themeColor="accent3" w:themeTint="99"/>
        </w:tcBorders>
      </w:tcPr>
    </w:tblStylePr>
    <w:tblStylePr w:type="firstCol">
      <w:rPr>
        <w:b/>
        <w:bCs/>
      </w:rPr>
    </w:tblStylePr>
    <w:tblStylePr w:type="lastCol">
      <w:rPr>
        <w:b/>
        <w:bCs/>
      </w:rPr>
    </w:tblStylePr>
    <w:tblStylePr w:type="band1Vert">
      <w:tblPr/>
      <w:tcPr>
        <w:shd w:val="clear" w:color="auto" w:fill="F4F4F4" w:themeFill="accent3" w:themeFillTint="33"/>
      </w:tcPr>
    </w:tblStylePr>
    <w:tblStylePr w:type="band1Horz">
      <w:tblPr/>
      <w:tcPr>
        <w:shd w:val="clear" w:color="auto" w:fill="F4F4F4" w:themeFill="accent3" w:themeFillTint="33"/>
      </w:tcPr>
    </w:tblStylePr>
  </w:style>
  <w:style w:type="table" w:styleId="ListTable4-Accent4">
    <w:name w:val="List Table 4 Accent 4"/>
    <w:basedOn w:val="TableNormal"/>
    <w:uiPriority w:val="49"/>
    <w:rsid w:val="009637A8"/>
    <w:pPr>
      <w:spacing w:after="0" w:line="240" w:lineRule="auto"/>
    </w:pPr>
    <w:tblPr>
      <w:tblStyleRowBandSize w:val="1"/>
      <w:tblStyleColBandSize w:val="1"/>
      <w:tblBorders>
        <w:top w:val="single" w:sz="4" w:space="0" w:color="2CB8FF" w:themeColor="accent4" w:themeTint="99"/>
        <w:left w:val="single" w:sz="4" w:space="0" w:color="2CB8FF" w:themeColor="accent4" w:themeTint="99"/>
        <w:bottom w:val="single" w:sz="4" w:space="0" w:color="2CB8FF" w:themeColor="accent4" w:themeTint="99"/>
        <w:right w:val="single" w:sz="4" w:space="0" w:color="2CB8FF" w:themeColor="accent4" w:themeTint="99"/>
        <w:insideH w:val="single" w:sz="4" w:space="0" w:color="2CB8FF" w:themeColor="accent4" w:themeTint="99"/>
      </w:tblBorders>
    </w:tblPr>
    <w:tblStylePr w:type="firstRow">
      <w:rPr>
        <w:b/>
        <w:bCs/>
        <w:color w:val="FFFFFF" w:themeColor="background1"/>
      </w:rPr>
      <w:tblPr/>
      <w:tcPr>
        <w:tcBorders>
          <w:top w:val="single" w:sz="4" w:space="0" w:color="006A9F" w:themeColor="accent4"/>
          <w:left w:val="single" w:sz="4" w:space="0" w:color="006A9F" w:themeColor="accent4"/>
          <w:bottom w:val="single" w:sz="4" w:space="0" w:color="006A9F" w:themeColor="accent4"/>
          <w:right w:val="single" w:sz="4" w:space="0" w:color="006A9F" w:themeColor="accent4"/>
          <w:insideH w:val="nil"/>
        </w:tcBorders>
        <w:shd w:val="clear" w:color="auto" w:fill="006A9F" w:themeFill="accent4"/>
      </w:tcPr>
    </w:tblStylePr>
    <w:tblStylePr w:type="lastRow">
      <w:rPr>
        <w:b/>
        <w:bCs/>
      </w:rPr>
      <w:tblPr/>
      <w:tcPr>
        <w:tcBorders>
          <w:top w:val="double" w:sz="4" w:space="0" w:color="2CB8FF" w:themeColor="accent4" w:themeTint="99"/>
        </w:tcBorders>
      </w:tcPr>
    </w:tblStylePr>
    <w:tblStylePr w:type="firstCol">
      <w:rPr>
        <w:b/>
        <w:bCs/>
      </w:rPr>
    </w:tblStylePr>
    <w:tblStylePr w:type="lastCol">
      <w:rPr>
        <w:b/>
        <w:bCs/>
      </w:rPr>
    </w:tblStylePr>
    <w:tblStylePr w:type="band1Vert">
      <w:tblPr/>
      <w:tcPr>
        <w:shd w:val="clear" w:color="auto" w:fill="B8E7FF" w:themeFill="accent4" w:themeFillTint="33"/>
      </w:tcPr>
    </w:tblStylePr>
    <w:tblStylePr w:type="band1Horz">
      <w:tblPr/>
      <w:tcPr>
        <w:shd w:val="clear" w:color="auto" w:fill="B8E7FF" w:themeFill="accent4" w:themeFillTint="33"/>
      </w:tcPr>
    </w:tblStylePr>
  </w:style>
  <w:style w:type="table" w:styleId="ListTable4-Accent5">
    <w:name w:val="List Table 4 Accent 5"/>
    <w:basedOn w:val="TableNormal"/>
    <w:uiPriority w:val="49"/>
    <w:rsid w:val="009637A8"/>
    <w:pPr>
      <w:spacing w:after="0" w:line="240" w:lineRule="auto"/>
    </w:pPr>
    <w:tblPr>
      <w:tblStyleRowBandSize w:val="1"/>
      <w:tblStyleColBandSize w:val="1"/>
      <w:tblBorders>
        <w:top w:val="single" w:sz="4" w:space="0" w:color="AFD7E6" w:themeColor="accent5" w:themeTint="99"/>
        <w:left w:val="single" w:sz="4" w:space="0" w:color="AFD7E6" w:themeColor="accent5" w:themeTint="99"/>
        <w:bottom w:val="single" w:sz="4" w:space="0" w:color="AFD7E6" w:themeColor="accent5" w:themeTint="99"/>
        <w:right w:val="single" w:sz="4" w:space="0" w:color="AFD7E6" w:themeColor="accent5" w:themeTint="99"/>
        <w:insideH w:val="single" w:sz="4" w:space="0" w:color="AFD7E6" w:themeColor="accent5" w:themeTint="99"/>
      </w:tblBorders>
    </w:tblPr>
    <w:tblStylePr w:type="firstRow">
      <w:rPr>
        <w:b/>
        <w:bCs/>
        <w:color w:val="FFFFFF" w:themeColor="background1"/>
      </w:rPr>
      <w:tblPr/>
      <w:tcPr>
        <w:tcBorders>
          <w:top w:val="single" w:sz="4" w:space="0" w:color="7BBDD6" w:themeColor="accent5"/>
          <w:left w:val="single" w:sz="4" w:space="0" w:color="7BBDD6" w:themeColor="accent5"/>
          <w:bottom w:val="single" w:sz="4" w:space="0" w:color="7BBDD6" w:themeColor="accent5"/>
          <w:right w:val="single" w:sz="4" w:space="0" w:color="7BBDD6" w:themeColor="accent5"/>
          <w:insideH w:val="nil"/>
        </w:tcBorders>
        <w:shd w:val="clear" w:color="auto" w:fill="7BBDD6" w:themeFill="accent5"/>
      </w:tcPr>
    </w:tblStylePr>
    <w:tblStylePr w:type="lastRow">
      <w:rPr>
        <w:b/>
        <w:bCs/>
      </w:rPr>
      <w:tblPr/>
      <w:tcPr>
        <w:tcBorders>
          <w:top w:val="double" w:sz="4" w:space="0" w:color="AFD7E6" w:themeColor="accent5" w:themeTint="99"/>
        </w:tcBorders>
      </w:tcPr>
    </w:tblStylePr>
    <w:tblStylePr w:type="firstCol">
      <w:rPr>
        <w:b/>
        <w:bCs/>
      </w:rPr>
    </w:tblStylePr>
    <w:tblStylePr w:type="lastCol">
      <w:rPr>
        <w:b/>
        <w:bCs/>
      </w:rPr>
    </w:tblStylePr>
    <w:tblStylePr w:type="band1Vert">
      <w:tblPr/>
      <w:tcPr>
        <w:shd w:val="clear" w:color="auto" w:fill="E4F1F6" w:themeFill="accent5" w:themeFillTint="33"/>
      </w:tcPr>
    </w:tblStylePr>
    <w:tblStylePr w:type="band1Horz">
      <w:tblPr/>
      <w:tcPr>
        <w:shd w:val="clear" w:color="auto" w:fill="E4F1F6" w:themeFill="accent5" w:themeFillTint="33"/>
      </w:tcPr>
    </w:tblStylePr>
  </w:style>
  <w:style w:type="table" w:styleId="ListTable4-Accent6">
    <w:name w:val="List Table 4 Accent 6"/>
    <w:basedOn w:val="TableNormal"/>
    <w:uiPriority w:val="49"/>
    <w:rsid w:val="009637A8"/>
    <w:pPr>
      <w:spacing w:after="0" w:line="240" w:lineRule="auto"/>
    </w:pPr>
    <w:tblPr>
      <w:tblStyleRowBandSize w:val="1"/>
      <w:tblStyleColBandSize w:val="1"/>
      <w:tblBorders>
        <w:top w:val="single" w:sz="4" w:space="0" w:color="83C590" w:themeColor="accent6" w:themeTint="99"/>
        <w:left w:val="single" w:sz="4" w:space="0" w:color="83C590" w:themeColor="accent6" w:themeTint="99"/>
        <w:bottom w:val="single" w:sz="4" w:space="0" w:color="83C590" w:themeColor="accent6" w:themeTint="99"/>
        <w:right w:val="single" w:sz="4" w:space="0" w:color="83C590" w:themeColor="accent6" w:themeTint="99"/>
        <w:insideH w:val="single" w:sz="4" w:space="0" w:color="83C590" w:themeColor="accent6" w:themeTint="99"/>
      </w:tblBorders>
    </w:tblPr>
    <w:tblStylePr w:type="firstRow">
      <w:rPr>
        <w:b/>
        <w:bCs/>
        <w:color w:val="FFFFFF" w:themeColor="background1"/>
      </w:rPr>
      <w:tblPr/>
      <w:tcPr>
        <w:tcBorders>
          <w:top w:val="single" w:sz="4" w:space="0" w:color="428D52" w:themeColor="accent6"/>
          <w:left w:val="single" w:sz="4" w:space="0" w:color="428D52" w:themeColor="accent6"/>
          <w:bottom w:val="single" w:sz="4" w:space="0" w:color="428D52" w:themeColor="accent6"/>
          <w:right w:val="single" w:sz="4" w:space="0" w:color="428D52" w:themeColor="accent6"/>
          <w:insideH w:val="nil"/>
        </w:tcBorders>
        <w:shd w:val="clear" w:color="auto" w:fill="428D52" w:themeFill="accent6"/>
      </w:tcPr>
    </w:tblStylePr>
    <w:tblStylePr w:type="lastRow">
      <w:rPr>
        <w:b/>
        <w:bCs/>
      </w:rPr>
      <w:tblPr/>
      <w:tcPr>
        <w:tcBorders>
          <w:top w:val="double" w:sz="4" w:space="0" w:color="83C590" w:themeColor="accent6" w:themeTint="99"/>
        </w:tcBorders>
      </w:tcPr>
    </w:tblStylePr>
    <w:tblStylePr w:type="firstCol">
      <w:rPr>
        <w:b/>
        <w:bCs/>
      </w:rPr>
    </w:tblStylePr>
    <w:tblStylePr w:type="lastCol">
      <w:rPr>
        <w:b/>
        <w:bCs/>
      </w:rPr>
    </w:tblStylePr>
    <w:tblStylePr w:type="band1Vert">
      <w:tblPr/>
      <w:tcPr>
        <w:shd w:val="clear" w:color="auto" w:fill="D5EBDA" w:themeFill="accent6" w:themeFillTint="33"/>
      </w:tcPr>
    </w:tblStylePr>
    <w:tblStylePr w:type="band1Horz">
      <w:tblPr/>
      <w:tcPr>
        <w:shd w:val="clear" w:color="auto" w:fill="D5EBDA" w:themeFill="accent6" w:themeFillTint="33"/>
      </w:tcPr>
    </w:tblStylePr>
  </w:style>
  <w:style w:type="table" w:styleId="ListTable5Dark">
    <w:name w:val="List Table 5 Dark"/>
    <w:basedOn w:val="TableNormal"/>
    <w:uiPriority w:val="50"/>
    <w:rsid w:val="009637A8"/>
    <w:pPr>
      <w:spacing w:after="0" w:line="240" w:lineRule="auto"/>
    </w:p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rsid w:val="009637A8"/>
    <w:pPr>
      <w:spacing w:after="0" w:line="240" w:lineRule="auto"/>
    </w:pPr>
    <w:tblPr>
      <w:tblStyleRowBandSize w:val="1"/>
      <w:tblStyleColBandSize w:val="1"/>
      <w:tblBorders>
        <w:top w:val="single" w:sz="24" w:space="0" w:color="9D85BE" w:themeColor="accent1"/>
        <w:left w:val="single" w:sz="24" w:space="0" w:color="9D85BE" w:themeColor="accent1"/>
        <w:bottom w:val="single" w:sz="24" w:space="0" w:color="9D85BE" w:themeColor="accent1"/>
        <w:right w:val="single" w:sz="24" w:space="0" w:color="9D85BE" w:themeColor="accent1"/>
      </w:tblBorders>
    </w:tblPr>
    <w:tcPr>
      <w:shd w:val="clear" w:color="auto" w:fill="9D85BE"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rsid w:val="009637A8"/>
    <w:pPr>
      <w:spacing w:after="0" w:line="240" w:lineRule="auto"/>
    </w:pPr>
    <w:tblPr>
      <w:tblStyleRowBandSize w:val="1"/>
      <w:tblStyleColBandSize w:val="1"/>
      <w:tblBorders>
        <w:top w:val="single" w:sz="24" w:space="0" w:color="7D7D7D" w:themeColor="accent2"/>
        <w:left w:val="single" w:sz="24" w:space="0" w:color="7D7D7D" w:themeColor="accent2"/>
        <w:bottom w:val="single" w:sz="24" w:space="0" w:color="7D7D7D" w:themeColor="accent2"/>
        <w:right w:val="single" w:sz="24" w:space="0" w:color="7D7D7D" w:themeColor="accent2"/>
      </w:tblBorders>
    </w:tblPr>
    <w:tcPr>
      <w:shd w:val="clear" w:color="auto" w:fill="7D7D7D"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rsid w:val="009637A8"/>
    <w:pPr>
      <w:spacing w:after="0" w:line="240" w:lineRule="auto"/>
    </w:pPr>
    <w:tblPr>
      <w:tblStyleRowBandSize w:val="1"/>
      <w:tblStyleColBandSize w:val="1"/>
      <w:tblBorders>
        <w:top w:val="single" w:sz="24" w:space="0" w:color="C8C8C8" w:themeColor="accent3"/>
        <w:left w:val="single" w:sz="24" w:space="0" w:color="C8C8C8" w:themeColor="accent3"/>
        <w:bottom w:val="single" w:sz="24" w:space="0" w:color="C8C8C8" w:themeColor="accent3"/>
        <w:right w:val="single" w:sz="24" w:space="0" w:color="C8C8C8" w:themeColor="accent3"/>
      </w:tblBorders>
    </w:tblPr>
    <w:tcPr>
      <w:shd w:val="clear" w:color="auto" w:fill="C8C8C8"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rsid w:val="009637A8"/>
    <w:pPr>
      <w:spacing w:after="0" w:line="240" w:lineRule="auto"/>
    </w:pPr>
    <w:tblPr>
      <w:tblStyleRowBandSize w:val="1"/>
      <w:tblStyleColBandSize w:val="1"/>
      <w:tblBorders>
        <w:top w:val="single" w:sz="24" w:space="0" w:color="006A9F" w:themeColor="accent4"/>
        <w:left w:val="single" w:sz="24" w:space="0" w:color="006A9F" w:themeColor="accent4"/>
        <w:bottom w:val="single" w:sz="24" w:space="0" w:color="006A9F" w:themeColor="accent4"/>
        <w:right w:val="single" w:sz="24" w:space="0" w:color="006A9F" w:themeColor="accent4"/>
      </w:tblBorders>
    </w:tblPr>
    <w:tcPr>
      <w:shd w:val="clear" w:color="auto" w:fill="006A9F"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rsid w:val="009637A8"/>
    <w:pPr>
      <w:spacing w:after="0" w:line="240" w:lineRule="auto"/>
    </w:pPr>
    <w:tblPr>
      <w:tblStyleRowBandSize w:val="1"/>
      <w:tblStyleColBandSize w:val="1"/>
      <w:tblBorders>
        <w:top w:val="single" w:sz="24" w:space="0" w:color="7BBDD6" w:themeColor="accent5"/>
        <w:left w:val="single" w:sz="24" w:space="0" w:color="7BBDD6" w:themeColor="accent5"/>
        <w:bottom w:val="single" w:sz="24" w:space="0" w:color="7BBDD6" w:themeColor="accent5"/>
        <w:right w:val="single" w:sz="24" w:space="0" w:color="7BBDD6" w:themeColor="accent5"/>
      </w:tblBorders>
    </w:tblPr>
    <w:tcPr>
      <w:shd w:val="clear" w:color="auto" w:fill="7BBDD6"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rsid w:val="009637A8"/>
    <w:pPr>
      <w:spacing w:after="0" w:line="240" w:lineRule="auto"/>
    </w:pPr>
    <w:tblPr>
      <w:tblStyleRowBandSize w:val="1"/>
      <w:tblStyleColBandSize w:val="1"/>
      <w:tblBorders>
        <w:top w:val="single" w:sz="24" w:space="0" w:color="428D52" w:themeColor="accent6"/>
        <w:left w:val="single" w:sz="24" w:space="0" w:color="428D52" w:themeColor="accent6"/>
        <w:bottom w:val="single" w:sz="24" w:space="0" w:color="428D52" w:themeColor="accent6"/>
        <w:right w:val="single" w:sz="24" w:space="0" w:color="428D52" w:themeColor="accent6"/>
      </w:tblBorders>
    </w:tblPr>
    <w:tcPr>
      <w:shd w:val="clear" w:color="auto" w:fill="428D52"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rsid w:val="009637A8"/>
    <w:pPr>
      <w:spacing w:after="0" w:line="240" w:lineRule="auto"/>
    </w:p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6Colorful-Accent1">
    <w:name w:val="List Table 6 Colorful Accent 1"/>
    <w:basedOn w:val="TableNormal"/>
    <w:uiPriority w:val="51"/>
    <w:rsid w:val="009637A8"/>
    <w:pPr>
      <w:spacing w:after="0" w:line="240" w:lineRule="auto"/>
    </w:pPr>
    <w:tblPr>
      <w:tblStyleRowBandSize w:val="1"/>
      <w:tblStyleColBandSize w:val="1"/>
      <w:tblBorders>
        <w:top w:val="single" w:sz="4" w:space="0" w:color="9D85BE" w:themeColor="accent1"/>
        <w:bottom w:val="single" w:sz="4" w:space="0" w:color="9D85BE" w:themeColor="accent1"/>
      </w:tblBorders>
    </w:tblPr>
    <w:tblStylePr w:type="firstRow">
      <w:rPr>
        <w:b/>
        <w:bCs/>
      </w:rPr>
      <w:tblPr/>
      <w:tcPr>
        <w:tcBorders>
          <w:bottom w:val="single" w:sz="4" w:space="0" w:color="9D85BE" w:themeColor="accent1"/>
        </w:tcBorders>
      </w:tcPr>
    </w:tblStylePr>
    <w:tblStylePr w:type="lastRow">
      <w:rPr>
        <w:b/>
        <w:bCs/>
      </w:rPr>
      <w:tblPr/>
      <w:tcPr>
        <w:tcBorders>
          <w:top w:val="double" w:sz="4" w:space="0" w:color="9D85BE" w:themeColor="accent1"/>
        </w:tcBorders>
      </w:tcPr>
    </w:tblStylePr>
    <w:tblStylePr w:type="firstCol">
      <w:rPr>
        <w:b/>
        <w:bCs/>
      </w:rPr>
    </w:tblStylePr>
    <w:tblStylePr w:type="lastCol">
      <w:rPr>
        <w:b/>
        <w:bCs/>
      </w:rPr>
    </w:tblStylePr>
    <w:tblStylePr w:type="band1Vert">
      <w:tblPr/>
      <w:tcPr>
        <w:shd w:val="clear" w:color="auto" w:fill="EBE6F2" w:themeFill="accent1" w:themeFillTint="33"/>
      </w:tcPr>
    </w:tblStylePr>
    <w:tblStylePr w:type="band1Horz">
      <w:tblPr/>
      <w:tcPr>
        <w:shd w:val="clear" w:color="auto" w:fill="EBE6F2" w:themeFill="accent1" w:themeFillTint="33"/>
      </w:tcPr>
    </w:tblStylePr>
  </w:style>
  <w:style w:type="table" w:styleId="ListTable6Colorful-Accent2">
    <w:name w:val="List Table 6 Colorful Accent 2"/>
    <w:basedOn w:val="TableNormal"/>
    <w:uiPriority w:val="51"/>
    <w:rsid w:val="009637A8"/>
    <w:pPr>
      <w:spacing w:after="0" w:line="240" w:lineRule="auto"/>
    </w:pPr>
    <w:tblPr>
      <w:tblStyleRowBandSize w:val="1"/>
      <w:tblStyleColBandSize w:val="1"/>
      <w:tblBorders>
        <w:top w:val="single" w:sz="4" w:space="0" w:color="7D7D7D" w:themeColor="accent2"/>
        <w:bottom w:val="single" w:sz="4" w:space="0" w:color="7D7D7D" w:themeColor="accent2"/>
      </w:tblBorders>
    </w:tblPr>
    <w:tblStylePr w:type="firstRow">
      <w:rPr>
        <w:b/>
        <w:bCs/>
      </w:rPr>
      <w:tblPr/>
      <w:tcPr>
        <w:tcBorders>
          <w:bottom w:val="single" w:sz="4" w:space="0" w:color="7D7D7D" w:themeColor="accent2"/>
        </w:tcBorders>
      </w:tcPr>
    </w:tblStylePr>
    <w:tblStylePr w:type="lastRow">
      <w:rPr>
        <w:b/>
        <w:bCs/>
      </w:rPr>
      <w:tblPr/>
      <w:tcPr>
        <w:tcBorders>
          <w:top w:val="double" w:sz="4" w:space="0" w:color="7D7D7D" w:themeColor="accent2"/>
        </w:tcBorders>
      </w:tcPr>
    </w:tblStylePr>
    <w:tblStylePr w:type="firstCol">
      <w:rPr>
        <w:b/>
        <w:bCs/>
      </w:rPr>
    </w:tblStylePr>
    <w:tblStylePr w:type="lastCol">
      <w:rPr>
        <w:b/>
        <w:bCs/>
      </w:rPr>
    </w:tblStylePr>
    <w:tblStylePr w:type="band1Vert">
      <w:tblPr/>
      <w:tcPr>
        <w:shd w:val="clear" w:color="auto" w:fill="E5E5E5" w:themeFill="accent2" w:themeFillTint="33"/>
      </w:tcPr>
    </w:tblStylePr>
    <w:tblStylePr w:type="band1Horz">
      <w:tblPr/>
      <w:tcPr>
        <w:shd w:val="clear" w:color="auto" w:fill="E5E5E5" w:themeFill="accent2" w:themeFillTint="33"/>
      </w:tcPr>
    </w:tblStylePr>
  </w:style>
  <w:style w:type="table" w:styleId="ListTable6Colorful-Accent3">
    <w:name w:val="List Table 6 Colorful Accent 3"/>
    <w:basedOn w:val="TableNormal"/>
    <w:uiPriority w:val="51"/>
    <w:rsid w:val="009637A8"/>
    <w:pPr>
      <w:spacing w:after="0" w:line="240" w:lineRule="auto"/>
    </w:pPr>
    <w:tblPr>
      <w:tblStyleRowBandSize w:val="1"/>
      <w:tblStyleColBandSize w:val="1"/>
      <w:tblBorders>
        <w:top w:val="single" w:sz="4" w:space="0" w:color="C8C8C8" w:themeColor="accent3"/>
        <w:bottom w:val="single" w:sz="4" w:space="0" w:color="C8C8C8" w:themeColor="accent3"/>
      </w:tblBorders>
    </w:tblPr>
    <w:tblStylePr w:type="firstRow">
      <w:rPr>
        <w:b/>
        <w:bCs/>
      </w:rPr>
      <w:tblPr/>
      <w:tcPr>
        <w:tcBorders>
          <w:bottom w:val="single" w:sz="4" w:space="0" w:color="C8C8C8" w:themeColor="accent3"/>
        </w:tcBorders>
      </w:tcPr>
    </w:tblStylePr>
    <w:tblStylePr w:type="lastRow">
      <w:rPr>
        <w:b/>
        <w:bCs/>
      </w:rPr>
      <w:tblPr/>
      <w:tcPr>
        <w:tcBorders>
          <w:top w:val="double" w:sz="4" w:space="0" w:color="C8C8C8" w:themeColor="accent3"/>
        </w:tcBorders>
      </w:tcPr>
    </w:tblStylePr>
    <w:tblStylePr w:type="firstCol">
      <w:rPr>
        <w:b/>
        <w:bCs/>
      </w:rPr>
    </w:tblStylePr>
    <w:tblStylePr w:type="lastCol">
      <w:rPr>
        <w:b/>
        <w:bCs/>
      </w:rPr>
    </w:tblStylePr>
    <w:tblStylePr w:type="band1Vert">
      <w:tblPr/>
      <w:tcPr>
        <w:shd w:val="clear" w:color="auto" w:fill="F4F4F4" w:themeFill="accent3" w:themeFillTint="33"/>
      </w:tcPr>
    </w:tblStylePr>
    <w:tblStylePr w:type="band1Horz">
      <w:tblPr/>
      <w:tcPr>
        <w:shd w:val="clear" w:color="auto" w:fill="F4F4F4" w:themeFill="accent3" w:themeFillTint="33"/>
      </w:tcPr>
    </w:tblStylePr>
  </w:style>
  <w:style w:type="table" w:styleId="ListTable6Colorful-Accent4">
    <w:name w:val="List Table 6 Colorful Accent 4"/>
    <w:basedOn w:val="TableNormal"/>
    <w:uiPriority w:val="51"/>
    <w:rsid w:val="009637A8"/>
    <w:pPr>
      <w:spacing w:after="0" w:line="240" w:lineRule="auto"/>
    </w:pPr>
    <w:tblPr>
      <w:tblStyleRowBandSize w:val="1"/>
      <w:tblStyleColBandSize w:val="1"/>
      <w:tblBorders>
        <w:top w:val="single" w:sz="4" w:space="0" w:color="006A9F" w:themeColor="accent4"/>
        <w:bottom w:val="single" w:sz="4" w:space="0" w:color="006A9F" w:themeColor="accent4"/>
      </w:tblBorders>
    </w:tblPr>
    <w:tblStylePr w:type="firstRow">
      <w:rPr>
        <w:b/>
        <w:bCs/>
      </w:rPr>
      <w:tblPr/>
      <w:tcPr>
        <w:tcBorders>
          <w:bottom w:val="single" w:sz="4" w:space="0" w:color="006A9F" w:themeColor="accent4"/>
        </w:tcBorders>
      </w:tcPr>
    </w:tblStylePr>
    <w:tblStylePr w:type="lastRow">
      <w:rPr>
        <w:b/>
        <w:bCs/>
      </w:rPr>
      <w:tblPr/>
      <w:tcPr>
        <w:tcBorders>
          <w:top w:val="double" w:sz="4" w:space="0" w:color="006A9F" w:themeColor="accent4"/>
        </w:tcBorders>
      </w:tcPr>
    </w:tblStylePr>
    <w:tblStylePr w:type="firstCol">
      <w:rPr>
        <w:b/>
        <w:bCs/>
      </w:rPr>
    </w:tblStylePr>
    <w:tblStylePr w:type="lastCol">
      <w:rPr>
        <w:b/>
        <w:bCs/>
      </w:rPr>
    </w:tblStylePr>
    <w:tblStylePr w:type="band1Vert">
      <w:tblPr/>
      <w:tcPr>
        <w:shd w:val="clear" w:color="auto" w:fill="B8E7FF" w:themeFill="accent4" w:themeFillTint="33"/>
      </w:tcPr>
    </w:tblStylePr>
    <w:tblStylePr w:type="band1Horz">
      <w:tblPr/>
      <w:tcPr>
        <w:shd w:val="clear" w:color="auto" w:fill="B8E7FF" w:themeFill="accent4" w:themeFillTint="33"/>
      </w:tcPr>
    </w:tblStylePr>
  </w:style>
  <w:style w:type="table" w:styleId="ListTable6Colorful-Accent5">
    <w:name w:val="List Table 6 Colorful Accent 5"/>
    <w:basedOn w:val="TableNormal"/>
    <w:uiPriority w:val="51"/>
    <w:rsid w:val="009637A8"/>
    <w:pPr>
      <w:spacing w:after="0" w:line="240" w:lineRule="auto"/>
    </w:pPr>
    <w:tblPr>
      <w:tblStyleRowBandSize w:val="1"/>
      <w:tblStyleColBandSize w:val="1"/>
      <w:tblBorders>
        <w:top w:val="single" w:sz="4" w:space="0" w:color="7BBDD6" w:themeColor="accent5"/>
        <w:bottom w:val="single" w:sz="4" w:space="0" w:color="7BBDD6" w:themeColor="accent5"/>
      </w:tblBorders>
    </w:tblPr>
    <w:tblStylePr w:type="firstRow">
      <w:rPr>
        <w:b/>
        <w:bCs/>
      </w:rPr>
      <w:tblPr/>
      <w:tcPr>
        <w:tcBorders>
          <w:bottom w:val="single" w:sz="4" w:space="0" w:color="7BBDD6" w:themeColor="accent5"/>
        </w:tcBorders>
      </w:tcPr>
    </w:tblStylePr>
    <w:tblStylePr w:type="lastRow">
      <w:rPr>
        <w:b/>
        <w:bCs/>
      </w:rPr>
      <w:tblPr/>
      <w:tcPr>
        <w:tcBorders>
          <w:top w:val="double" w:sz="4" w:space="0" w:color="7BBDD6" w:themeColor="accent5"/>
        </w:tcBorders>
      </w:tcPr>
    </w:tblStylePr>
    <w:tblStylePr w:type="firstCol">
      <w:rPr>
        <w:b/>
        <w:bCs/>
      </w:rPr>
    </w:tblStylePr>
    <w:tblStylePr w:type="lastCol">
      <w:rPr>
        <w:b/>
        <w:bCs/>
      </w:rPr>
    </w:tblStylePr>
    <w:tblStylePr w:type="band1Vert">
      <w:tblPr/>
      <w:tcPr>
        <w:shd w:val="clear" w:color="auto" w:fill="E4F1F6" w:themeFill="accent5" w:themeFillTint="33"/>
      </w:tcPr>
    </w:tblStylePr>
    <w:tblStylePr w:type="band1Horz">
      <w:tblPr/>
      <w:tcPr>
        <w:shd w:val="clear" w:color="auto" w:fill="E4F1F6" w:themeFill="accent5" w:themeFillTint="33"/>
      </w:tcPr>
    </w:tblStylePr>
  </w:style>
  <w:style w:type="table" w:styleId="ListTable6Colorful-Accent6">
    <w:name w:val="List Table 6 Colorful Accent 6"/>
    <w:basedOn w:val="TableNormal"/>
    <w:uiPriority w:val="51"/>
    <w:rsid w:val="009637A8"/>
    <w:pPr>
      <w:spacing w:after="0" w:line="240" w:lineRule="auto"/>
    </w:pPr>
    <w:tblPr>
      <w:tblStyleRowBandSize w:val="1"/>
      <w:tblStyleColBandSize w:val="1"/>
      <w:tblBorders>
        <w:top w:val="single" w:sz="4" w:space="0" w:color="428D52" w:themeColor="accent6"/>
        <w:bottom w:val="single" w:sz="4" w:space="0" w:color="428D52" w:themeColor="accent6"/>
      </w:tblBorders>
    </w:tblPr>
    <w:tblStylePr w:type="firstRow">
      <w:rPr>
        <w:b/>
        <w:bCs/>
      </w:rPr>
      <w:tblPr/>
      <w:tcPr>
        <w:tcBorders>
          <w:bottom w:val="single" w:sz="4" w:space="0" w:color="428D52" w:themeColor="accent6"/>
        </w:tcBorders>
      </w:tcPr>
    </w:tblStylePr>
    <w:tblStylePr w:type="lastRow">
      <w:rPr>
        <w:b/>
        <w:bCs/>
      </w:rPr>
      <w:tblPr/>
      <w:tcPr>
        <w:tcBorders>
          <w:top w:val="double" w:sz="4" w:space="0" w:color="428D52" w:themeColor="accent6"/>
        </w:tcBorders>
      </w:tcPr>
    </w:tblStylePr>
    <w:tblStylePr w:type="firstCol">
      <w:rPr>
        <w:b/>
        <w:bCs/>
      </w:rPr>
    </w:tblStylePr>
    <w:tblStylePr w:type="lastCol">
      <w:rPr>
        <w:b/>
        <w:bCs/>
      </w:rPr>
    </w:tblStylePr>
    <w:tblStylePr w:type="band1Vert">
      <w:tblPr/>
      <w:tcPr>
        <w:shd w:val="clear" w:color="auto" w:fill="D5EBDA" w:themeFill="accent6" w:themeFillTint="33"/>
      </w:tcPr>
    </w:tblStylePr>
    <w:tblStylePr w:type="band1Horz">
      <w:tblPr/>
      <w:tcPr>
        <w:shd w:val="clear" w:color="auto" w:fill="D5EBDA" w:themeFill="accent6" w:themeFillTint="33"/>
      </w:tcPr>
    </w:tblStylePr>
  </w:style>
  <w:style w:type="table" w:styleId="ListTable7Colorful">
    <w:name w:val="List Table 7 Colorful"/>
    <w:basedOn w:val="TableNormal"/>
    <w:uiPriority w:val="52"/>
    <w:rsid w:val="009637A8"/>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rsid w:val="009637A8"/>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D85BE"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D85BE"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D85BE"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D85BE" w:themeColor="accent1"/>
        </w:tcBorders>
        <w:shd w:val="clear" w:color="auto" w:fill="FFFFFF" w:themeFill="background1"/>
      </w:tcPr>
    </w:tblStylePr>
    <w:tblStylePr w:type="band1Vert">
      <w:tblPr/>
      <w:tcPr>
        <w:shd w:val="clear" w:color="auto" w:fill="EBE6F2" w:themeFill="accent1" w:themeFillTint="33"/>
      </w:tcPr>
    </w:tblStylePr>
    <w:tblStylePr w:type="band1Horz">
      <w:tblPr/>
      <w:tcPr>
        <w:shd w:val="clear" w:color="auto" w:fill="EBE6F2"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rsid w:val="009637A8"/>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D7D7D"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D7D7D"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D7D7D"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D7D7D" w:themeColor="accent2"/>
        </w:tcBorders>
        <w:shd w:val="clear" w:color="auto" w:fill="FFFFFF" w:themeFill="background1"/>
      </w:tcPr>
    </w:tblStylePr>
    <w:tblStylePr w:type="band1Vert">
      <w:tblPr/>
      <w:tcPr>
        <w:shd w:val="clear" w:color="auto" w:fill="E5E5E5" w:themeFill="accent2" w:themeFillTint="33"/>
      </w:tcPr>
    </w:tblStylePr>
    <w:tblStylePr w:type="band1Horz">
      <w:tblPr/>
      <w:tcPr>
        <w:shd w:val="clear" w:color="auto" w:fill="E5E5E5"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rsid w:val="009637A8"/>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C8C8C8"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C8C8C8"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C8C8C8"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C8C8C8" w:themeColor="accent3"/>
        </w:tcBorders>
        <w:shd w:val="clear" w:color="auto" w:fill="FFFFFF" w:themeFill="background1"/>
      </w:tcPr>
    </w:tblStylePr>
    <w:tblStylePr w:type="band1Vert">
      <w:tblPr/>
      <w:tcPr>
        <w:shd w:val="clear" w:color="auto" w:fill="F4F4F4" w:themeFill="accent3" w:themeFillTint="33"/>
      </w:tcPr>
    </w:tblStylePr>
    <w:tblStylePr w:type="band1Horz">
      <w:tblPr/>
      <w:tcPr>
        <w:shd w:val="clear" w:color="auto" w:fill="F4F4F4"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rsid w:val="009637A8"/>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6A9F"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6A9F"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6A9F"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6A9F" w:themeColor="accent4"/>
        </w:tcBorders>
        <w:shd w:val="clear" w:color="auto" w:fill="FFFFFF" w:themeFill="background1"/>
      </w:tcPr>
    </w:tblStylePr>
    <w:tblStylePr w:type="band1Vert">
      <w:tblPr/>
      <w:tcPr>
        <w:shd w:val="clear" w:color="auto" w:fill="B8E7FF" w:themeFill="accent4" w:themeFillTint="33"/>
      </w:tcPr>
    </w:tblStylePr>
    <w:tblStylePr w:type="band1Horz">
      <w:tblPr/>
      <w:tcPr>
        <w:shd w:val="clear" w:color="auto" w:fill="B8E7FF"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rsid w:val="009637A8"/>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BBDD6"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BBDD6"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BBDD6"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BBDD6" w:themeColor="accent5"/>
        </w:tcBorders>
        <w:shd w:val="clear" w:color="auto" w:fill="FFFFFF" w:themeFill="background1"/>
      </w:tcPr>
    </w:tblStylePr>
    <w:tblStylePr w:type="band1Vert">
      <w:tblPr/>
      <w:tcPr>
        <w:shd w:val="clear" w:color="auto" w:fill="E4F1F6" w:themeFill="accent5" w:themeFillTint="33"/>
      </w:tcPr>
    </w:tblStylePr>
    <w:tblStylePr w:type="band1Horz">
      <w:tblPr/>
      <w:tcPr>
        <w:shd w:val="clear" w:color="auto" w:fill="E4F1F6"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rsid w:val="009637A8"/>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28D52"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28D52"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28D52"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28D52" w:themeColor="accent6"/>
        </w:tcBorders>
        <w:shd w:val="clear" w:color="auto" w:fill="FFFFFF" w:themeFill="background1"/>
      </w:tcPr>
    </w:tblStylePr>
    <w:tblStylePr w:type="band1Vert">
      <w:tblPr/>
      <w:tcPr>
        <w:shd w:val="clear" w:color="auto" w:fill="D5EBDA" w:themeFill="accent6" w:themeFillTint="33"/>
      </w:tcPr>
    </w:tblStylePr>
    <w:tblStylePr w:type="band1Horz">
      <w:tblPr/>
      <w:tcPr>
        <w:shd w:val="clear" w:color="auto" w:fill="D5EBDA"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MacroText">
    <w:name w:val="macro"/>
    <w:link w:val="MacroTextChar"/>
    <w:uiPriority w:val="99"/>
    <w:semiHidden/>
    <w:unhideWhenUsed/>
    <w:rsid w:val="009637A8"/>
    <w:pPr>
      <w:tabs>
        <w:tab w:val="left" w:pos="480"/>
        <w:tab w:val="left" w:pos="960"/>
        <w:tab w:val="left" w:pos="1440"/>
        <w:tab w:val="left" w:pos="1920"/>
        <w:tab w:val="left" w:pos="2400"/>
        <w:tab w:val="left" w:pos="2880"/>
        <w:tab w:val="left" w:pos="3360"/>
        <w:tab w:val="left" w:pos="3840"/>
        <w:tab w:val="left" w:pos="4320"/>
      </w:tabs>
      <w:spacing w:after="0"/>
    </w:pPr>
    <w:rPr>
      <w:rFonts w:ascii="Arial" w:hAnsi="Arial" w:cs="Arial"/>
      <w:color w:val="000000"/>
      <w:sz w:val="20"/>
      <w:szCs w:val="20"/>
    </w:rPr>
  </w:style>
  <w:style w:type="character" w:customStyle="1" w:styleId="MacroTextChar">
    <w:name w:val="Macro Text Char"/>
    <w:basedOn w:val="DefaultParagraphFont"/>
    <w:link w:val="MacroText"/>
    <w:uiPriority w:val="99"/>
    <w:semiHidden/>
    <w:rsid w:val="009637A8"/>
    <w:rPr>
      <w:rFonts w:ascii="Arial" w:hAnsi="Arial" w:cs="Arial"/>
      <w:color w:val="000000"/>
      <w:sz w:val="20"/>
      <w:szCs w:val="20"/>
    </w:rPr>
  </w:style>
  <w:style w:type="table" w:styleId="MediumGrid1">
    <w:name w:val="Medium Grid 1"/>
    <w:basedOn w:val="TableNormal"/>
    <w:uiPriority w:val="67"/>
    <w:semiHidden/>
    <w:unhideWhenUsed/>
    <w:rsid w:val="009637A8"/>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semiHidden/>
    <w:unhideWhenUsed/>
    <w:rsid w:val="009637A8"/>
    <w:pPr>
      <w:spacing w:after="0" w:line="240" w:lineRule="auto"/>
    </w:pPr>
    <w:tblPr>
      <w:tblStyleRowBandSize w:val="1"/>
      <w:tblStyleColBandSize w:val="1"/>
      <w:tblBorders>
        <w:top w:val="single" w:sz="8" w:space="0" w:color="B5A3CE" w:themeColor="accent1" w:themeTint="BF"/>
        <w:left w:val="single" w:sz="8" w:space="0" w:color="B5A3CE" w:themeColor="accent1" w:themeTint="BF"/>
        <w:bottom w:val="single" w:sz="8" w:space="0" w:color="B5A3CE" w:themeColor="accent1" w:themeTint="BF"/>
        <w:right w:val="single" w:sz="8" w:space="0" w:color="B5A3CE" w:themeColor="accent1" w:themeTint="BF"/>
        <w:insideH w:val="single" w:sz="8" w:space="0" w:color="B5A3CE" w:themeColor="accent1" w:themeTint="BF"/>
        <w:insideV w:val="single" w:sz="8" w:space="0" w:color="B5A3CE" w:themeColor="accent1" w:themeTint="BF"/>
      </w:tblBorders>
    </w:tblPr>
    <w:tcPr>
      <w:shd w:val="clear" w:color="auto" w:fill="E6E0EF" w:themeFill="accent1" w:themeFillTint="3F"/>
    </w:tcPr>
    <w:tblStylePr w:type="firstRow">
      <w:rPr>
        <w:b/>
        <w:bCs/>
      </w:rPr>
    </w:tblStylePr>
    <w:tblStylePr w:type="lastRow">
      <w:rPr>
        <w:b/>
        <w:bCs/>
      </w:rPr>
      <w:tblPr/>
      <w:tcPr>
        <w:tcBorders>
          <w:top w:val="single" w:sz="18" w:space="0" w:color="B5A3CE" w:themeColor="accent1" w:themeTint="BF"/>
        </w:tcBorders>
      </w:tcPr>
    </w:tblStylePr>
    <w:tblStylePr w:type="firstCol">
      <w:rPr>
        <w:b/>
        <w:bCs/>
      </w:rPr>
    </w:tblStylePr>
    <w:tblStylePr w:type="lastCol">
      <w:rPr>
        <w:b/>
        <w:bCs/>
      </w:rPr>
    </w:tblStylePr>
    <w:tblStylePr w:type="band1Vert">
      <w:tblPr/>
      <w:tcPr>
        <w:shd w:val="clear" w:color="auto" w:fill="CEC2DE" w:themeFill="accent1" w:themeFillTint="7F"/>
      </w:tcPr>
    </w:tblStylePr>
    <w:tblStylePr w:type="band1Horz">
      <w:tblPr/>
      <w:tcPr>
        <w:shd w:val="clear" w:color="auto" w:fill="CEC2DE" w:themeFill="accent1" w:themeFillTint="7F"/>
      </w:tcPr>
    </w:tblStylePr>
  </w:style>
  <w:style w:type="table" w:styleId="MediumGrid1-Accent2">
    <w:name w:val="Medium Grid 1 Accent 2"/>
    <w:basedOn w:val="TableNormal"/>
    <w:uiPriority w:val="67"/>
    <w:semiHidden/>
    <w:unhideWhenUsed/>
    <w:rsid w:val="009637A8"/>
    <w:pPr>
      <w:spacing w:after="0" w:line="240" w:lineRule="auto"/>
    </w:pPr>
    <w:tblPr>
      <w:tblStyleRowBandSize w:val="1"/>
      <w:tblStyleColBandSize w:val="1"/>
      <w:tblBorders>
        <w:top w:val="single" w:sz="8" w:space="0" w:color="9D9D9D" w:themeColor="accent2" w:themeTint="BF"/>
        <w:left w:val="single" w:sz="8" w:space="0" w:color="9D9D9D" w:themeColor="accent2" w:themeTint="BF"/>
        <w:bottom w:val="single" w:sz="8" w:space="0" w:color="9D9D9D" w:themeColor="accent2" w:themeTint="BF"/>
        <w:right w:val="single" w:sz="8" w:space="0" w:color="9D9D9D" w:themeColor="accent2" w:themeTint="BF"/>
        <w:insideH w:val="single" w:sz="8" w:space="0" w:color="9D9D9D" w:themeColor="accent2" w:themeTint="BF"/>
        <w:insideV w:val="single" w:sz="8" w:space="0" w:color="9D9D9D" w:themeColor="accent2" w:themeTint="BF"/>
      </w:tblBorders>
    </w:tblPr>
    <w:tcPr>
      <w:shd w:val="clear" w:color="auto" w:fill="DEDEDE" w:themeFill="accent2" w:themeFillTint="3F"/>
    </w:tcPr>
    <w:tblStylePr w:type="firstRow">
      <w:rPr>
        <w:b/>
        <w:bCs/>
      </w:rPr>
    </w:tblStylePr>
    <w:tblStylePr w:type="lastRow">
      <w:rPr>
        <w:b/>
        <w:bCs/>
      </w:rPr>
      <w:tblPr/>
      <w:tcPr>
        <w:tcBorders>
          <w:top w:val="single" w:sz="18" w:space="0" w:color="9D9D9D" w:themeColor="accent2" w:themeTint="BF"/>
        </w:tcBorders>
      </w:tcPr>
    </w:tblStylePr>
    <w:tblStylePr w:type="firstCol">
      <w:rPr>
        <w:b/>
        <w:bCs/>
      </w:rPr>
    </w:tblStylePr>
    <w:tblStylePr w:type="lastCol">
      <w:rPr>
        <w:b/>
        <w:bCs/>
      </w:rPr>
    </w:tblStylePr>
    <w:tblStylePr w:type="band1Vert">
      <w:tblPr/>
      <w:tcPr>
        <w:shd w:val="clear" w:color="auto" w:fill="BEBEBE" w:themeFill="accent2" w:themeFillTint="7F"/>
      </w:tcPr>
    </w:tblStylePr>
    <w:tblStylePr w:type="band1Horz">
      <w:tblPr/>
      <w:tcPr>
        <w:shd w:val="clear" w:color="auto" w:fill="BEBEBE" w:themeFill="accent2" w:themeFillTint="7F"/>
      </w:tcPr>
    </w:tblStylePr>
  </w:style>
  <w:style w:type="table" w:styleId="MediumGrid1-Accent3">
    <w:name w:val="Medium Grid 1 Accent 3"/>
    <w:basedOn w:val="TableNormal"/>
    <w:uiPriority w:val="67"/>
    <w:semiHidden/>
    <w:unhideWhenUsed/>
    <w:rsid w:val="009637A8"/>
    <w:pPr>
      <w:spacing w:after="0" w:line="240" w:lineRule="auto"/>
    </w:pPr>
    <w:tblPr>
      <w:tblStyleRowBandSize w:val="1"/>
      <w:tblStyleColBandSize w:val="1"/>
      <w:tblBorders>
        <w:top w:val="single" w:sz="8" w:space="0" w:color="D5D5D5" w:themeColor="accent3" w:themeTint="BF"/>
        <w:left w:val="single" w:sz="8" w:space="0" w:color="D5D5D5" w:themeColor="accent3" w:themeTint="BF"/>
        <w:bottom w:val="single" w:sz="8" w:space="0" w:color="D5D5D5" w:themeColor="accent3" w:themeTint="BF"/>
        <w:right w:val="single" w:sz="8" w:space="0" w:color="D5D5D5" w:themeColor="accent3" w:themeTint="BF"/>
        <w:insideH w:val="single" w:sz="8" w:space="0" w:color="D5D5D5" w:themeColor="accent3" w:themeTint="BF"/>
        <w:insideV w:val="single" w:sz="8" w:space="0" w:color="D5D5D5" w:themeColor="accent3" w:themeTint="BF"/>
      </w:tblBorders>
    </w:tblPr>
    <w:tcPr>
      <w:shd w:val="clear" w:color="auto" w:fill="F1F1F1" w:themeFill="accent3" w:themeFillTint="3F"/>
    </w:tcPr>
    <w:tblStylePr w:type="firstRow">
      <w:rPr>
        <w:b/>
        <w:bCs/>
      </w:rPr>
    </w:tblStylePr>
    <w:tblStylePr w:type="lastRow">
      <w:rPr>
        <w:b/>
        <w:bCs/>
      </w:rPr>
      <w:tblPr/>
      <w:tcPr>
        <w:tcBorders>
          <w:top w:val="single" w:sz="18" w:space="0" w:color="D5D5D5" w:themeColor="accent3" w:themeTint="BF"/>
        </w:tcBorders>
      </w:tcPr>
    </w:tblStylePr>
    <w:tblStylePr w:type="firstCol">
      <w:rPr>
        <w:b/>
        <w:bCs/>
      </w:rPr>
    </w:tblStylePr>
    <w:tblStylePr w:type="lastCol">
      <w:rPr>
        <w:b/>
        <w:bCs/>
      </w:rPr>
    </w:tblStylePr>
    <w:tblStylePr w:type="band1Vert">
      <w:tblPr/>
      <w:tcPr>
        <w:shd w:val="clear" w:color="auto" w:fill="E3E3E3" w:themeFill="accent3" w:themeFillTint="7F"/>
      </w:tcPr>
    </w:tblStylePr>
    <w:tblStylePr w:type="band1Horz">
      <w:tblPr/>
      <w:tcPr>
        <w:shd w:val="clear" w:color="auto" w:fill="E3E3E3" w:themeFill="accent3" w:themeFillTint="7F"/>
      </w:tcPr>
    </w:tblStylePr>
  </w:style>
  <w:style w:type="table" w:styleId="MediumGrid1-Accent4">
    <w:name w:val="Medium Grid 1 Accent 4"/>
    <w:basedOn w:val="TableNormal"/>
    <w:uiPriority w:val="67"/>
    <w:semiHidden/>
    <w:unhideWhenUsed/>
    <w:rsid w:val="009637A8"/>
    <w:pPr>
      <w:spacing w:after="0" w:line="240" w:lineRule="auto"/>
    </w:pPr>
    <w:tblPr>
      <w:tblStyleRowBandSize w:val="1"/>
      <w:tblStyleColBandSize w:val="1"/>
      <w:tblBorders>
        <w:top w:val="single" w:sz="8" w:space="0" w:color="00A4F7" w:themeColor="accent4" w:themeTint="BF"/>
        <w:left w:val="single" w:sz="8" w:space="0" w:color="00A4F7" w:themeColor="accent4" w:themeTint="BF"/>
        <w:bottom w:val="single" w:sz="8" w:space="0" w:color="00A4F7" w:themeColor="accent4" w:themeTint="BF"/>
        <w:right w:val="single" w:sz="8" w:space="0" w:color="00A4F7" w:themeColor="accent4" w:themeTint="BF"/>
        <w:insideH w:val="single" w:sz="8" w:space="0" w:color="00A4F7" w:themeColor="accent4" w:themeTint="BF"/>
        <w:insideV w:val="single" w:sz="8" w:space="0" w:color="00A4F7" w:themeColor="accent4" w:themeTint="BF"/>
      </w:tblBorders>
    </w:tblPr>
    <w:tcPr>
      <w:shd w:val="clear" w:color="auto" w:fill="A8E2FF" w:themeFill="accent4" w:themeFillTint="3F"/>
    </w:tcPr>
    <w:tblStylePr w:type="firstRow">
      <w:rPr>
        <w:b/>
        <w:bCs/>
      </w:rPr>
    </w:tblStylePr>
    <w:tblStylePr w:type="lastRow">
      <w:rPr>
        <w:b/>
        <w:bCs/>
      </w:rPr>
      <w:tblPr/>
      <w:tcPr>
        <w:tcBorders>
          <w:top w:val="single" w:sz="18" w:space="0" w:color="00A4F7" w:themeColor="accent4" w:themeTint="BF"/>
        </w:tcBorders>
      </w:tcPr>
    </w:tblStylePr>
    <w:tblStylePr w:type="firstCol">
      <w:rPr>
        <w:b/>
        <w:bCs/>
      </w:rPr>
    </w:tblStylePr>
    <w:tblStylePr w:type="lastCol">
      <w:rPr>
        <w:b/>
        <w:bCs/>
      </w:rPr>
    </w:tblStylePr>
    <w:tblStylePr w:type="band1Vert">
      <w:tblPr/>
      <w:tcPr>
        <w:shd w:val="clear" w:color="auto" w:fill="50C4FF" w:themeFill="accent4" w:themeFillTint="7F"/>
      </w:tcPr>
    </w:tblStylePr>
    <w:tblStylePr w:type="band1Horz">
      <w:tblPr/>
      <w:tcPr>
        <w:shd w:val="clear" w:color="auto" w:fill="50C4FF" w:themeFill="accent4" w:themeFillTint="7F"/>
      </w:tcPr>
    </w:tblStylePr>
  </w:style>
  <w:style w:type="table" w:styleId="MediumGrid1-Accent5">
    <w:name w:val="Medium Grid 1 Accent 5"/>
    <w:basedOn w:val="TableNormal"/>
    <w:uiPriority w:val="67"/>
    <w:semiHidden/>
    <w:unhideWhenUsed/>
    <w:rsid w:val="009637A8"/>
    <w:pPr>
      <w:spacing w:after="0" w:line="240" w:lineRule="auto"/>
    </w:pPr>
    <w:tblPr>
      <w:tblStyleRowBandSize w:val="1"/>
      <w:tblStyleColBandSize w:val="1"/>
      <w:tblBorders>
        <w:top w:val="single" w:sz="8" w:space="0" w:color="9CCDE0" w:themeColor="accent5" w:themeTint="BF"/>
        <w:left w:val="single" w:sz="8" w:space="0" w:color="9CCDE0" w:themeColor="accent5" w:themeTint="BF"/>
        <w:bottom w:val="single" w:sz="8" w:space="0" w:color="9CCDE0" w:themeColor="accent5" w:themeTint="BF"/>
        <w:right w:val="single" w:sz="8" w:space="0" w:color="9CCDE0" w:themeColor="accent5" w:themeTint="BF"/>
        <w:insideH w:val="single" w:sz="8" w:space="0" w:color="9CCDE0" w:themeColor="accent5" w:themeTint="BF"/>
        <w:insideV w:val="single" w:sz="8" w:space="0" w:color="9CCDE0" w:themeColor="accent5" w:themeTint="BF"/>
      </w:tblBorders>
    </w:tblPr>
    <w:tcPr>
      <w:shd w:val="clear" w:color="auto" w:fill="DEEEF4" w:themeFill="accent5" w:themeFillTint="3F"/>
    </w:tcPr>
    <w:tblStylePr w:type="firstRow">
      <w:rPr>
        <w:b/>
        <w:bCs/>
      </w:rPr>
    </w:tblStylePr>
    <w:tblStylePr w:type="lastRow">
      <w:rPr>
        <w:b/>
        <w:bCs/>
      </w:rPr>
      <w:tblPr/>
      <w:tcPr>
        <w:tcBorders>
          <w:top w:val="single" w:sz="18" w:space="0" w:color="9CCDE0" w:themeColor="accent5" w:themeTint="BF"/>
        </w:tcBorders>
      </w:tcPr>
    </w:tblStylePr>
    <w:tblStylePr w:type="firstCol">
      <w:rPr>
        <w:b/>
        <w:bCs/>
      </w:rPr>
    </w:tblStylePr>
    <w:tblStylePr w:type="lastCol">
      <w:rPr>
        <w:b/>
        <w:bCs/>
      </w:rPr>
    </w:tblStylePr>
    <w:tblStylePr w:type="band1Vert">
      <w:tblPr/>
      <w:tcPr>
        <w:shd w:val="clear" w:color="auto" w:fill="BDDDEA" w:themeFill="accent5" w:themeFillTint="7F"/>
      </w:tcPr>
    </w:tblStylePr>
    <w:tblStylePr w:type="band1Horz">
      <w:tblPr/>
      <w:tcPr>
        <w:shd w:val="clear" w:color="auto" w:fill="BDDDEA" w:themeFill="accent5" w:themeFillTint="7F"/>
      </w:tcPr>
    </w:tblStylePr>
  </w:style>
  <w:style w:type="table" w:styleId="MediumGrid1-Accent6">
    <w:name w:val="Medium Grid 1 Accent 6"/>
    <w:basedOn w:val="TableNormal"/>
    <w:uiPriority w:val="67"/>
    <w:semiHidden/>
    <w:unhideWhenUsed/>
    <w:rsid w:val="009637A8"/>
    <w:pPr>
      <w:spacing w:after="0" w:line="240" w:lineRule="auto"/>
    </w:pPr>
    <w:tblPr>
      <w:tblStyleRowBandSize w:val="1"/>
      <w:tblStyleColBandSize w:val="1"/>
      <w:tblBorders>
        <w:top w:val="single" w:sz="8" w:space="0" w:color="64B675" w:themeColor="accent6" w:themeTint="BF"/>
        <w:left w:val="single" w:sz="8" w:space="0" w:color="64B675" w:themeColor="accent6" w:themeTint="BF"/>
        <w:bottom w:val="single" w:sz="8" w:space="0" w:color="64B675" w:themeColor="accent6" w:themeTint="BF"/>
        <w:right w:val="single" w:sz="8" w:space="0" w:color="64B675" w:themeColor="accent6" w:themeTint="BF"/>
        <w:insideH w:val="single" w:sz="8" w:space="0" w:color="64B675" w:themeColor="accent6" w:themeTint="BF"/>
        <w:insideV w:val="single" w:sz="8" w:space="0" w:color="64B675" w:themeColor="accent6" w:themeTint="BF"/>
      </w:tblBorders>
    </w:tblPr>
    <w:tcPr>
      <w:shd w:val="clear" w:color="auto" w:fill="CBE7D1" w:themeFill="accent6" w:themeFillTint="3F"/>
    </w:tcPr>
    <w:tblStylePr w:type="firstRow">
      <w:rPr>
        <w:b/>
        <w:bCs/>
      </w:rPr>
    </w:tblStylePr>
    <w:tblStylePr w:type="lastRow">
      <w:rPr>
        <w:b/>
        <w:bCs/>
      </w:rPr>
      <w:tblPr/>
      <w:tcPr>
        <w:tcBorders>
          <w:top w:val="single" w:sz="18" w:space="0" w:color="64B675" w:themeColor="accent6" w:themeTint="BF"/>
        </w:tcBorders>
      </w:tcPr>
    </w:tblStylePr>
    <w:tblStylePr w:type="firstCol">
      <w:rPr>
        <w:b/>
        <w:bCs/>
      </w:rPr>
    </w:tblStylePr>
    <w:tblStylePr w:type="lastCol">
      <w:rPr>
        <w:b/>
        <w:bCs/>
      </w:rPr>
    </w:tblStylePr>
    <w:tblStylePr w:type="band1Vert">
      <w:tblPr/>
      <w:tcPr>
        <w:shd w:val="clear" w:color="auto" w:fill="98CFA3" w:themeFill="accent6" w:themeFillTint="7F"/>
      </w:tcPr>
    </w:tblStylePr>
    <w:tblStylePr w:type="band1Horz">
      <w:tblPr/>
      <w:tcPr>
        <w:shd w:val="clear" w:color="auto" w:fill="98CFA3" w:themeFill="accent6" w:themeFillTint="7F"/>
      </w:tcPr>
    </w:tblStylePr>
  </w:style>
  <w:style w:type="table" w:styleId="MediumGrid2">
    <w:name w:val="Medium Grid 2"/>
    <w:basedOn w:val="TableNormal"/>
    <w:uiPriority w:val="68"/>
    <w:semiHidden/>
    <w:unhideWhenUsed/>
    <w:rsid w:val="009637A8"/>
    <w:pPr>
      <w:spacing w:after="0" w:line="240" w:lineRule="auto"/>
    </w:pPr>
    <w:rPr>
      <w:rFonts w:eastAsiaTheme="majorEastAsia"/>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unhideWhenUsed/>
    <w:rsid w:val="009637A8"/>
    <w:pPr>
      <w:spacing w:after="0" w:line="240" w:lineRule="auto"/>
    </w:pPr>
    <w:rPr>
      <w:rFonts w:eastAsiaTheme="majorEastAsia"/>
    </w:rPr>
    <w:tblPr>
      <w:tblStyleRowBandSize w:val="1"/>
      <w:tblStyleColBandSize w:val="1"/>
      <w:tblBorders>
        <w:top w:val="single" w:sz="8" w:space="0" w:color="9D85BE" w:themeColor="accent1"/>
        <w:left w:val="single" w:sz="8" w:space="0" w:color="9D85BE" w:themeColor="accent1"/>
        <w:bottom w:val="single" w:sz="8" w:space="0" w:color="9D85BE" w:themeColor="accent1"/>
        <w:right w:val="single" w:sz="8" w:space="0" w:color="9D85BE" w:themeColor="accent1"/>
        <w:insideH w:val="single" w:sz="8" w:space="0" w:color="9D85BE" w:themeColor="accent1"/>
        <w:insideV w:val="single" w:sz="8" w:space="0" w:color="9D85BE" w:themeColor="accent1"/>
      </w:tblBorders>
    </w:tblPr>
    <w:tcPr>
      <w:shd w:val="clear" w:color="auto" w:fill="E6E0EF" w:themeFill="accent1" w:themeFillTint="3F"/>
    </w:tcPr>
    <w:tblStylePr w:type="firstRow">
      <w:rPr>
        <w:b/>
        <w:bCs/>
        <w:color w:val="000000" w:themeColor="text1"/>
      </w:rPr>
      <w:tblPr/>
      <w:tcPr>
        <w:shd w:val="clear" w:color="auto" w:fill="F5F3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BE6F2" w:themeFill="accent1" w:themeFillTint="33"/>
      </w:tcPr>
    </w:tblStylePr>
    <w:tblStylePr w:type="band1Vert">
      <w:tblPr/>
      <w:tcPr>
        <w:shd w:val="clear" w:color="auto" w:fill="CEC2DE" w:themeFill="accent1" w:themeFillTint="7F"/>
      </w:tcPr>
    </w:tblStylePr>
    <w:tblStylePr w:type="band1Horz">
      <w:tblPr/>
      <w:tcPr>
        <w:tcBorders>
          <w:insideH w:val="single" w:sz="6" w:space="0" w:color="9D85BE" w:themeColor="accent1"/>
          <w:insideV w:val="single" w:sz="6" w:space="0" w:color="9D85BE" w:themeColor="accent1"/>
        </w:tcBorders>
        <w:shd w:val="clear" w:color="auto" w:fill="CEC2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unhideWhenUsed/>
    <w:rsid w:val="009637A8"/>
    <w:pPr>
      <w:spacing w:after="0" w:line="240" w:lineRule="auto"/>
    </w:pPr>
    <w:rPr>
      <w:rFonts w:eastAsiaTheme="majorEastAsia"/>
    </w:rPr>
    <w:tblPr>
      <w:tblStyleRowBandSize w:val="1"/>
      <w:tblStyleColBandSize w:val="1"/>
      <w:tblBorders>
        <w:top w:val="single" w:sz="8" w:space="0" w:color="7D7D7D" w:themeColor="accent2"/>
        <w:left w:val="single" w:sz="8" w:space="0" w:color="7D7D7D" w:themeColor="accent2"/>
        <w:bottom w:val="single" w:sz="8" w:space="0" w:color="7D7D7D" w:themeColor="accent2"/>
        <w:right w:val="single" w:sz="8" w:space="0" w:color="7D7D7D" w:themeColor="accent2"/>
        <w:insideH w:val="single" w:sz="8" w:space="0" w:color="7D7D7D" w:themeColor="accent2"/>
        <w:insideV w:val="single" w:sz="8" w:space="0" w:color="7D7D7D" w:themeColor="accent2"/>
      </w:tblBorders>
    </w:tblPr>
    <w:tcPr>
      <w:shd w:val="clear" w:color="auto" w:fill="DEDEDE" w:themeFill="accent2" w:themeFillTint="3F"/>
    </w:tcPr>
    <w:tblStylePr w:type="firstRow">
      <w:rPr>
        <w:b/>
        <w:bCs/>
        <w:color w:val="000000" w:themeColor="text1"/>
      </w:rPr>
      <w:tblPr/>
      <w:tcPr>
        <w:shd w:val="clear" w:color="auto" w:fill="F2F2F2"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E5E5" w:themeFill="accent2" w:themeFillTint="33"/>
      </w:tcPr>
    </w:tblStylePr>
    <w:tblStylePr w:type="band1Vert">
      <w:tblPr/>
      <w:tcPr>
        <w:shd w:val="clear" w:color="auto" w:fill="BEBEBE" w:themeFill="accent2" w:themeFillTint="7F"/>
      </w:tcPr>
    </w:tblStylePr>
    <w:tblStylePr w:type="band1Horz">
      <w:tblPr/>
      <w:tcPr>
        <w:tcBorders>
          <w:insideH w:val="single" w:sz="6" w:space="0" w:color="7D7D7D" w:themeColor="accent2"/>
          <w:insideV w:val="single" w:sz="6" w:space="0" w:color="7D7D7D" w:themeColor="accent2"/>
        </w:tcBorders>
        <w:shd w:val="clear" w:color="auto" w:fill="BEBEBE"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unhideWhenUsed/>
    <w:rsid w:val="009637A8"/>
    <w:pPr>
      <w:spacing w:after="0" w:line="240" w:lineRule="auto"/>
    </w:pPr>
    <w:rPr>
      <w:rFonts w:eastAsiaTheme="majorEastAsia"/>
    </w:rPr>
    <w:tblPr>
      <w:tblStyleRowBandSize w:val="1"/>
      <w:tblStyleColBandSize w:val="1"/>
      <w:tblBorders>
        <w:top w:val="single" w:sz="8" w:space="0" w:color="C8C8C8" w:themeColor="accent3"/>
        <w:left w:val="single" w:sz="8" w:space="0" w:color="C8C8C8" w:themeColor="accent3"/>
        <w:bottom w:val="single" w:sz="8" w:space="0" w:color="C8C8C8" w:themeColor="accent3"/>
        <w:right w:val="single" w:sz="8" w:space="0" w:color="C8C8C8" w:themeColor="accent3"/>
        <w:insideH w:val="single" w:sz="8" w:space="0" w:color="C8C8C8" w:themeColor="accent3"/>
        <w:insideV w:val="single" w:sz="8" w:space="0" w:color="C8C8C8" w:themeColor="accent3"/>
      </w:tblBorders>
    </w:tblPr>
    <w:tcPr>
      <w:shd w:val="clear" w:color="auto" w:fill="F1F1F1" w:themeFill="accent3" w:themeFillTint="3F"/>
    </w:tcPr>
    <w:tblStylePr w:type="firstRow">
      <w:rPr>
        <w:b/>
        <w:bCs/>
        <w:color w:val="000000" w:themeColor="text1"/>
      </w:rPr>
      <w:tblPr/>
      <w:tcPr>
        <w:shd w:val="clear" w:color="auto" w:fill="F9F9F9"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4F4F4" w:themeFill="accent3" w:themeFillTint="33"/>
      </w:tcPr>
    </w:tblStylePr>
    <w:tblStylePr w:type="band1Vert">
      <w:tblPr/>
      <w:tcPr>
        <w:shd w:val="clear" w:color="auto" w:fill="E3E3E3" w:themeFill="accent3" w:themeFillTint="7F"/>
      </w:tcPr>
    </w:tblStylePr>
    <w:tblStylePr w:type="band1Horz">
      <w:tblPr/>
      <w:tcPr>
        <w:tcBorders>
          <w:insideH w:val="single" w:sz="6" w:space="0" w:color="C8C8C8" w:themeColor="accent3"/>
          <w:insideV w:val="single" w:sz="6" w:space="0" w:color="C8C8C8" w:themeColor="accent3"/>
        </w:tcBorders>
        <w:shd w:val="clear" w:color="auto" w:fill="E3E3E3"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unhideWhenUsed/>
    <w:rsid w:val="009637A8"/>
    <w:pPr>
      <w:spacing w:after="0" w:line="240" w:lineRule="auto"/>
    </w:pPr>
    <w:rPr>
      <w:rFonts w:eastAsiaTheme="majorEastAsia"/>
    </w:rPr>
    <w:tblPr>
      <w:tblStyleRowBandSize w:val="1"/>
      <w:tblStyleColBandSize w:val="1"/>
      <w:tblBorders>
        <w:top w:val="single" w:sz="8" w:space="0" w:color="006A9F" w:themeColor="accent4"/>
        <w:left w:val="single" w:sz="8" w:space="0" w:color="006A9F" w:themeColor="accent4"/>
        <w:bottom w:val="single" w:sz="8" w:space="0" w:color="006A9F" w:themeColor="accent4"/>
        <w:right w:val="single" w:sz="8" w:space="0" w:color="006A9F" w:themeColor="accent4"/>
        <w:insideH w:val="single" w:sz="8" w:space="0" w:color="006A9F" w:themeColor="accent4"/>
        <w:insideV w:val="single" w:sz="8" w:space="0" w:color="006A9F" w:themeColor="accent4"/>
      </w:tblBorders>
    </w:tblPr>
    <w:tcPr>
      <w:shd w:val="clear" w:color="auto" w:fill="A8E2FF" w:themeFill="accent4" w:themeFillTint="3F"/>
    </w:tcPr>
    <w:tblStylePr w:type="firstRow">
      <w:rPr>
        <w:b/>
        <w:bCs/>
        <w:color w:val="000000" w:themeColor="text1"/>
      </w:rPr>
      <w:tblPr/>
      <w:tcPr>
        <w:shd w:val="clear" w:color="auto" w:fill="DCF3FF"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B8E7FF" w:themeFill="accent4" w:themeFillTint="33"/>
      </w:tcPr>
    </w:tblStylePr>
    <w:tblStylePr w:type="band1Vert">
      <w:tblPr/>
      <w:tcPr>
        <w:shd w:val="clear" w:color="auto" w:fill="50C4FF" w:themeFill="accent4" w:themeFillTint="7F"/>
      </w:tcPr>
    </w:tblStylePr>
    <w:tblStylePr w:type="band1Horz">
      <w:tblPr/>
      <w:tcPr>
        <w:tcBorders>
          <w:insideH w:val="single" w:sz="6" w:space="0" w:color="006A9F" w:themeColor="accent4"/>
          <w:insideV w:val="single" w:sz="6" w:space="0" w:color="006A9F" w:themeColor="accent4"/>
        </w:tcBorders>
        <w:shd w:val="clear" w:color="auto" w:fill="50C4FF"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unhideWhenUsed/>
    <w:rsid w:val="009637A8"/>
    <w:pPr>
      <w:spacing w:after="0" w:line="240" w:lineRule="auto"/>
    </w:pPr>
    <w:rPr>
      <w:rFonts w:eastAsiaTheme="majorEastAsia"/>
    </w:rPr>
    <w:tblPr>
      <w:tblStyleRowBandSize w:val="1"/>
      <w:tblStyleColBandSize w:val="1"/>
      <w:tblBorders>
        <w:top w:val="single" w:sz="8" w:space="0" w:color="7BBDD6" w:themeColor="accent5"/>
        <w:left w:val="single" w:sz="8" w:space="0" w:color="7BBDD6" w:themeColor="accent5"/>
        <w:bottom w:val="single" w:sz="8" w:space="0" w:color="7BBDD6" w:themeColor="accent5"/>
        <w:right w:val="single" w:sz="8" w:space="0" w:color="7BBDD6" w:themeColor="accent5"/>
        <w:insideH w:val="single" w:sz="8" w:space="0" w:color="7BBDD6" w:themeColor="accent5"/>
        <w:insideV w:val="single" w:sz="8" w:space="0" w:color="7BBDD6" w:themeColor="accent5"/>
      </w:tblBorders>
    </w:tblPr>
    <w:tcPr>
      <w:shd w:val="clear" w:color="auto" w:fill="DEEEF4" w:themeFill="accent5" w:themeFillTint="3F"/>
    </w:tcPr>
    <w:tblStylePr w:type="firstRow">
      <w:rPr>
        <w:b/>
        <w:bCs/>
        <w:color w:val="000000" w:themeColor="text1"/>
      </w:rPr>
      <w:tblPr/>
      <w:tcPr>
        <w:shd w:val="clear" w:color="auto" w:fill="F2F8FB"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4F1F6" w:themeFill="accent5" w:themeFillTint="33"/>
      </w:tcPr>
    </w:tblStylePr>
    <w:tblStylePr w:type="band1Vert">
      <w:tblPr/>
      <w:tcPr>
        <w:shd w:val="clear" w:color="auto" w:fill="BDDDEA" w:themeFill="accent5" w:themeFillTint="7F"/>
      </w:tcPr>
    </w:tblStylePr>
    <w:tblStylePr w:type="band1Horz">
      <w:tblPr/>
      <w:tcPr>
        <w:tcBorders>
          <w:insideH w:val="single" w:sz="6" w:space="0" w:color="7BBDD6" w:themeColor="accent5"/>
          <w:insideV w:val="single" w:sz="6" w:space="0" w:color="7BBDD6" w:themeColor="accent5"/>
        </w:tcBorders>
        <w:shd w:val="clear" w:color="auto" w:fill="BDDDEA"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unhideWhenUsed/>
    <w:rsid w:val="009637A8"/>
    <w:pPr>
      <w:spacing w:after="0" w:line="240" w:lineRule="auto"/>
    </w:pPr>
    <w:rPr>
      <w:rFonts w:eastAsiaTheme="majorEastAsia"/>
    </w:rPr>
    <w:tblPr>
      <w:tblStyleRowBandSize w:val="1"/>
      <w:tblStyleColBandSize w:val="1"/>
      <w:tblBorders>
        <w:top w:val="single" w:sz="8" w:space="0" w:color="428D52" w:themeColor="accent6"/>
        <w:left w:val="single" w:sz="8" w:space="0" w:color="428D52" w:themeColor="accent6"/>
        <w:bottom w:val="single" w:sz="8" w:space="0" w:color="428D52" w:themeColor="accent6"/>
        <w:right w:val="single" w:sz="8" w:space="0" w:color="428D52" w:themeColor="accent6"/>
        <w:insideH w:val="single" w:sz="8" w:space="0" w:color="428D52" w:themeColor="accent6"/>
        <w:insideV w:val="single" w:sz="8" w:space="0" w:color="428D52" w:themeColor="accent6"/>
      </w:tblBorders>
    </w:tblPr>
    <w:tcPr>
      <w:shd w:val="clear" w:color="auto" w:fill="CBE7D1" w:themeFill="accent6" w:themeFillTint="3F"/>
    </w:tcPr>
    <w:tblStylePr w:type="firstRow">
      <w:rPr>
        <w:b/>
        <w:bCs/>
        <w:color w:val="000000" w:themeColor="text1"/>
      </w:rPr>
      <w:tblPr/>
      <w:tcPr>
        <w:shd w:val="clear" w:color="auto" w:fill="EAF5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5EBDA" w:themeFill="accent6" w:themeFillTint="33"/>
      </w:tcPr>
    </w:tblStylePr>
    <w:tblStylePr w:type="band1Vert">
      <w:tblPr/>
      <w:tcPr>
        <w:shd w:val="clear" w:color="auto" w:fill="98CFA3" w:themeFill="accent6" w:themeFillTint="7F"/>
      </w:tcPr>
    </w:tblStylePr>
    <w:tblStylePr w:type="band1Horz">
      <w:tblPr/>
      <w:tcPr>
        <w:tcBorders>
          <w:insideH w:val="single" w:sz="6" w:space="0" w:color="428D52" w:themeColor="accent6"/>
          <w:insideV w:val="single" w:sz="6" w:space="0" w:color="428D52" w:themeColor="accent6"/>
        </w:tcBorders>
        <w:shd w:val="clear" w:color="auto" w:fill="98CFA3"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unhideWhenUsed/>
    <w:rsid w:val="009637A8"/>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semiHidden/>
    <w:unhideWhenUsed/>
    <w:rsid w:val="009637A8"/>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0EF"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D85BE"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D85BE"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D85BE"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D85BE"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EC2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EC2DE" w:themeFill="accent1" w:themeFillTint="7F"/>
      </w:tcPr>
    </w:tblStylePr>
  </w:style>
  <w:style w:type="table" w:styleId="MediumGrid3-Accent2">
    <w:name w:val="Medium Grid 3 Accent 2"/>
    <w:basedOn w:val="TableNormal"/>
    <w:uiPriority w:val="69"/>
    <w:semiHidden/>
    <w:unhideWhenUsed/>
    <w:rsid w:val="009637A8"/>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EDEDE"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D7D7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D7D7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D7D7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D7D7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EBEBE"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EBEBE" w:themeFill="accent2" w:themeFillTint="7F"/>
      </w:tcPr>
    </w:tblStylePr>
  </w:style>
  <w:style w:type="table" w:styleId="MediumGrid3-Accent3">
    <w:name w:val="Medium Grid 3 Accent 3"/>
    <w:basedOn w:val="TableNormal"/>
    <w:uiPriority w:val="69"/>
    <w:semiHidden/>
    <w:unhideWhenUsed/>
    <w:rsid w:val="009637A8"/>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1F1F1"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8C8C8"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8C8C8"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8C8C8"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8C8C8"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3E3E3"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3E3E3" w:themeFill="accent3" w:themeFillTint="7F"/>
      </w:tcPr>
    </w:tblStylePr>
  </w:style>
  <w:style w:type="table" w:styleId="MediumGrid3-Accent4">
    <w:name w:val="Medium Grid 3 Accent 4"/>
    <w:basedOn w:val="TableNormal"/>
    <w:uiPriority w:val="69"/>
    <w:semiHidden/>
    <w:unhideWhenUsed/>
    <w:rsid w:val="009637A8"/>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A8E2FF"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6A9F"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6A9F"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6A9F"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6A9F"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50C4FF"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50C4FF" w:themeFill="accent4" w:themeFillTint="7F"/>
      </w:tcPr>
    </w:tblStylePr>
  </w:style>
  <w:style w:type="table" w:styleId="MediumGrid3-Accent5">
    <w:name w:val="Medium Grid 3 Accent 5"/>
    <w:basedOn w:val="TableNormal"/>
    <w:uiPriority w:val="69"/>
    <w:semiHidden/>
    <w:unhideWhenUsed/>
    <w:rsid w:val="009637A8"/>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EEEF4"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BBDD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BBDD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BBDD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BBDD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DDDEA"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DDDEA" w:themeFill="accent5" w:themeFillTint="7F"/>
      </w:tcPr>
    </w:tblStylePr>
  </w:style>
  <w:style w:type="table" w:styleId="MediumGrid3-Accent6">
    <w:name w:val="Medium Grid 3 Accent 6"/>
    <w:basedOn w:val="TableNormal"/>
    <w:uiPriority w:val="69"/>
    <w:semiHidden/>
    <w:unhideWhenUsed/>
    <w:rsid w:val="009637A8"/>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BE7D1"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28D52"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28D52"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28D52"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28D52"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98CFA3"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98CFA3" w:themeFill="accent6" w:themeFillTint="7F"/>
      </w:tcPr>
    </w:tblStylePr>
  </w:style>
  <w:style w:type="table" w:styleId="MediumList1">
    <w:name w:val="Medium List 1"/>
    <w:basedOn w:val="TableNormal"/>
    <w:uiPriority w:val="65"/>
    <w:semiHidden/>
    <w:unhideWhenUsed/>
    <w:rsid w:val="009637A8"/>
    <w:pPr>
      <w:spacing w:after="0" w:line="240" w:lineRule="auto"/>
    </w:p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6C3F99"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semiHidden/>
    <w:unhideWhenUsed/>
    <w:rsid w:val="009637A8"/>
    <w:pPr>
      <w:spacing w:after="0" w:line="240" w:lineRule="auto"/>
    </w:pPr>
    <w:tblPr>
      <w:tblStyleRowBandSize w:val="1"/>
      <w:tblStyleColBandSize w:val="1"/>
      <w:tblBorders>
        <w:top w:val="single" w:sz="8" w:space="0" w:color="9D85BE" w:themeColor="accent1"/>
        <w:bottom w:val="single" w:sz="8" w:space="0" w:color="9D85BE" w:themeColor="accent1"/>
      </w:tblBorders>
    </w:tblPr>
    <w:tblStylePr w:type="firstRow">
      <w:rPr>
        <w:rFonts w:asciiTheme="majorHAnsi" w:eastAsiaTheme="majorEastAsia" w:hAnsiTheme="majorHAnsi" w:cstheme="majorBidi"/>
      </w:rPr>
      <w:tblPr/>
      <w:tcPr>
        <w:tcBorders>
          <w:top w:val="nil"/>
          <w:bottom w:val="single" w:sz="8" w:space="0" w:color="9D85BE" w:themeColor="accent1"/>
        </w:tcBorders>
      </w:tcPr>
    </w:tblStylePr>
    <w:tblStylePr w:type="lastRow">
      <w:rPr>
        <w:b/>
        <w:bCs/>
        <w:color w:val="6C3F99" w:themeColor="text2"/>
      </w:rPr>
      <w:tblPr/>
      <w:tcPr>
        <w:tcBorders>
          <w:top w:val="single" w:sz="8" w:space="0" w:color="9D85BE" w:themeColor="accent1"/>
          <w:bottom w:val="single" w:sz="8" w:space="0" w:color="9D85BE" w:themeColor="accent1"/>
        </w:tcBorders>
      </w:tcPr>
    </w:tblStylePr>
    <w:tblStylePr w:type="firstCol">
      <w:rPr>
        <w:b/>
        <w:bCs/>
      </w:rPr>
    </w:tblStylePr>
    <w:tblStylePr w:type="lastCol">
      <w:rPr>
        <w:b/>
        <w:bCs/>
      </w:rPr>
      <w:tblPr/>
      <w:tcPr>
        <w:tcBorders>
          <w:top w:val="single" w:sz="8" w:space="0" w:color="9D85BE" w:themeColor="accent1"/>
          <w:bottom w:val="single" w:sz="8" w:space="0" w:color="9D85BE" w:themeColor="accent1"/>
        </w:tcBorders>
      </w:tcPr>
    </w:tblStylePr>
    <w:tblStylePr w:type="band1Vert">
      <w:tblPr/>
      <w:tcPr>
        <w:shd w:val="clear" w:color="auto" w:fill="E6E0EF" w:themeFill="accent1" w:themeFillTint="3F"/>
      </w:tcPr>
    </w:tblStylePr>
    <w:tblStylePr w:type="band1Horz">
      <w:tblPr/>
      <w:tcPr>
        <w:shd w:val="clear" w:color="auto" w:fill="E6E0EF" w:themeFill="accent1" w:themeFillTint="3F"/>
      </w:tcPr>
    </w:tblStylePr>
  </w:style>
  <w:style w:type="table" w:styleId="MediumList1-Accent2">
    <w:name w:val="Medium List 1 Accent 2"/>
    <w:basedOn w:val="TableNormal"/>
    <w:uiPriority w:val="65"/>
    <w:semiHidden/>
    <w:unhideWhenUsed/>
    <w:rsid w:val="009637A8"/>
    <w:pPr>
      <w:spacing w:after="0" w:line="240" w:lineRule="auto"/>
    </w:pPr>
    <w:tblPr>
      <w:tblStyleRowBandSize w:val="1"/>
      <w:tblStyleColBandSize w:val="1"/>
      <w:tblBorders>
        <w:top w:val="single" w:sz="8" w:space="0" w:color="7D7D7D" w:themeColor="accent2"/>
        <w:bottom w:val="single" w:sz="8" w:space="0" w:color="7D7D7D" w:themeColor="accent2"/>
      </w:tblBorders>
    </w:tblPr>
    <w:tblStylePr w:type="firstRow">
      <w:rPr>
        <w:rFonts w:asciiTheme="majorHAnsi" w:eastAsiaTheme="majorEastAsia" w:hAnsiTheme="majorHAnsi" w:cstheme="majorBidi"/>
      </w:rPr>
      <w:tblPr/>
      <w:tcPr>
        <w:tcBorders>
          <w:top w:val="nil"/>
          <w:bottom w:val="single" w:sz="8" w:space="0" w:color="7D7D7D" w:themeColor="accent2"/>
        </w:tcBorders>
      </w:tcPr>
    </w:tblStylePr>
    <w:tblStylePr w:type="lastRow">
      <w:rPr>
        <w:b/>
        <w:bCs/>
        <w:color w:val="6C3F99" w:themeColor="text2"/>
      </w:rPr>
      <w:tblPr/>
      <w:tcPr>
        <w:tcBorders>
          <w:top w:val="single" w:sz="8" w:space="0" w:color="7D7D7D" w:themeColor="accent2"/>
          <w:bottom w:val="single" w:sz="8" w:space="0" w:color="7D7D7D" w:themeColor="accent2"/>
        </w:tcBorders>
      </w:tcPr>
    </w:tblStylePr>
    <w:tblStylePr w:type="firstCol">
      <w:rPr>
        <w:b/>
        <w:bCs/>
      </w:rPr>
    </w:tblStylePr>
    <w:tblStylePr w:type="lastCol">
      <w:rPr>
        <w:b/>
        <w:bCs/>
      </w:rPr>
      <w:tblPr/>
      <w:tcPr>
        <w:tcBorders>
          <w:top w:val="single" w:sz="8" w:space="0" w:color="7D7D7D" w:themeColor="accent2"/>
          <w:bottom w:val="single" w:sz="8" w:space="0" w:color="7D7D7D" w:themeColor="accent2"/>
        </w:tcBorders>
      </w:tcPr>
    </w:tblStylePr>
    <w:tblStylePr w:type="band1Vert">
      <w:tblPr/>
      <w:tcPr>
        <w:shd w:val="clear" w:color="auto" w:fill="DEDEDE" w:themeFill="accent2" w:themeFillTint="3F"/>
      </w:tcPr>
    </w:tblStylePr>
    <w:tblStylePr w:type="band1Horz">
      <w:tblPr/>
      <w:tcPr>
        <w:shd w:val="clear" w:color="auto" w:fill="DEDEDE" w:themeFill="accent2" w:themeFillTint="3F"/>
      </w:tcPr>
    </w:tblStylePr>
  </w:style>
  <w:style w:type="table" w:styleId="MediumList1-Accent3">
    <w:name w:val="Medium List 1 Accent 3"/>
    <w:basedOn w:val="TableNormal"/>
    <w:uiPriority w:val="65"/>
    <w:semiHidden/>
    <w:unhideWhenUsed/>
    <w:rsid w:val="009637A8"/>
    <w:pPr>
      <w:spacing w:after="0" w:line="240" w:lineRule="auto"/>
    </w:pPr>
    <w:tblPr>
      <w:tblStyleRowBandSize w:val="1"/>
      <w:tblStyleColBandSize w:val="1"/>
      <w:tblBorders>
        <w:top w:val="single" w:sz="8" w:space="0" w:color="C8C8C8" w:themeColor="accent3"/>
        <w:bottom w:val="single" w:sz="8" w:space="0" w:color="C8C8C8" w:themeColor="accent3"/>
      </w:tblBorders>
    </w:tblPr>
    <w:tblStylePr w:type="firstRow">
      <w:rPr>
        <w:rFonts w:asciiTheme="majorHAnsi" w:eastAsiaTheme="majorEastAsia" w:hAnsiTheme="majorHAnsi" w:cstheme="majorBidi"/>
      </w:rPr>
      <w:tblPr/>
      <w:tcPr>
        <w:tcBorders>
          <w:top w:val="nil"/>
          <w:bottom w:val="single" w:sz="8" w:space="0" w:color="C8C8C8" w:themeColor="accent3"/>
        </w:tcBorders>
      </w:tcPr>
    </w:tblStylePr>
    <w:tblStylePr w:type="lastRow">
      <w:rPr>
        <w:b/>
        <w:bCs/>
        <w:color w:val="6C3F99" w:themeColor="text2"/>
      </w:rPr>
      <w:tblPr/>
      <w:tcPr>
        <w:tcBorders>
          <w:top w:val="single" w:sz="8" w:space="0" w:color="C8C8C8" w:themeColor="accent3"/>
          <w:bottom w:val="single" w:sz="8" w:space="0" w:color="C8C8C8" w:themeColor="accent3"/>
        </w:tcBorders>
      </w:tcPr>
    </w:tblStylePr>
    <w:tblStylePr w:type="firstCol">
      <w:rPr>
        <w:b/>
        <w:bCs/>
      </w:rPr>
    </w:tblStylePr>
    <w:tblStylePr w:type="lastCol">
      <w:rPr>
        <w:b/>
        <w:bCs/>
      </w:rPr>
      <w:tblPr/>
      <w:tcPr>
        <w:tcBorders>
          <w:top w:val="single" w:sz="8" w:space="0" w:color="C8C8C8" w:themeColor="accent3"/>
          <w:bottom w:val="single" w:sz="8" w:space="0" w:color="C8C8C8" w:themeColor="accent3"/>
        </w:tcBorders>
      </w:tcPr>
    </w:tblStylePr>
    <w:tblStylePr w:type="band1Vert">
      <w:tblPr/>
      <w:tcPr>
        <w:shd w:val="clear" w:color="auto" w:fill="F1F1F1" w:themeFill="accent3" w:themeFillTint="3F"/>
      </w:tcPr>
    </w:tblStylePr>
    <w:tblStylePr w:type="band1Horz">
      <w:tblPr/>
      <w:tcPr>
        <w:shd w:val="clear" w:color="auto" w:fill="F1F1F1" w:themeFill="accent3" w:themeFillTint="3F"/>
      </w:tcPr>
    </w:tblStylePr>
  </w:style>
  <w:style w:type="table" w:styleId="MediumList1-Accent4">
    <w:name w:val="Medium List 1 Accent 4"/>
    <w:basedOn w:val="TableNormal"/>
    <w:uiPriority w:val="65"/>
    <w:semiHidden/>
    <w:unhideWhenUsed/>
    <w:rsid w:val="009637A8"/>
    <w:pPr>
      <w:spacing w:after="0" w:line="240" w:lineRule="auto"/>
    </w:pPr>
    <w:tblPr>
      <w:tblStyleRowBandSize w:val="1"/>
      <w:tblStyleColBandSize w:val="1"/>
      <w:tblBorders>
        <w:top w:val="single" w:sz="8" w:space="0" w:color="006A9F" w:themeColor="accent4"/>
        <w:bottom w:val="single" w:sz="8" w:space="0" w:color="006A9F" w:themeColor="accent4"/>
      </w:tblBorders>
    </w:tblPr>
    <w:tblStylePr w:type="firstRow">
      <w:rPr>
        <w:rFonts w:asciiTheme="majorHAnsi" w:eastAsiaTheme="majorEastAsia" w:hAnsiTheme="majorHAnsi" w:cstheme="majorBidi"/>
      </w:rPr>
      <w:tblPr/>
      <w:tcPr>
        <w:tcBorders>
          <w:top w:val="nil"/>
          <w:bottom w:val="single" w:sz="8" w:space="0" w:color="006A9F" w:themeColor="accent4"/>
        </w:tcBorders>
      </w:tcPr>
    </w:tblStylePr>
    <w:tblStylePr w:type="lastRow">
      <w:rPr>
        <w:b/>
        <w:bCs/>
        <w:color w:val="6C3F99" w:themeColor="text2"/>
      </w:rPr>
      <w:tblPr/>
      <w:tcPr>
        <w:tcBorders>
          <w:top w:val="single" w:sz="8" w:space="0" w:color="006A9F" w:themeColor="accent4"/>
          <w:bottom w:val="single" w:sz="8" w:space="0" w:color="006A9F" w:themeColor="accent4"/>
        </w:tcBorders>
      </w:tcPr>
    </w:tblStylePr>
    <w:tblStylePr w:type="firstCol">
      <w:rPr>
        <w:b/>
        <w:bCs/>
      </w:rPr>
    </w:tblStylePr>
    <w:tblStylePr w:type="lastCol">
      <w:rPr>
        <w:b/>
        <w:bCs/>
      </w:rPr>
      <w:tblPr/>
      <w:tcPr>
        <w:tcBorders>
          <w:top w:val="single" w:sz="8" w:space="0" w:color="006A9F" w:themeColor="accent4"/>
          <w:bottom w:val="single" w:sz="8" w:space="0" w:color="006A9F" w:themeColor="accent4"/>
        </w:tcBorders>
      </w:tcPr>
    </w:tblStylePr>
    <w:tblStylePr w:type="band1Vert">
      <w:tblPr/>
      <w:tcPr>
        <w:shd w:val="clear" w:color="auto" w:fill="A8E2FF" w:themeFill="accent4" w:themeFillTint="3F"/>
      </w:tcPr>
    </w:tblStylePr>
    <w:tblStylePr w:type="band1Horz">
      <w:tblPr/>
      <w:tcPr>
        <w:shd w:val="clear" w:color="auto" w:fill="A8E2FF" w:themeFill="accent4" w:themeFillTint="3F"/>
      </w:tcPr>
    </w:tblStylePr>
  </w:style>
  <w:style w:type="table" w:styleId="MediumList1-Accent5">
    <w:name w:val="Medium List 1 Accent 5"/>
    <w:basedOn w:val="TableNormal"/>
    <w:uiPriority w:val="65"/>
    <w:semiHidden/>
    <w:unhideWhenUsed/>
    <w:rsid w:val="009637A8"/>
    <w:pPr>
      <w:spacing w:after="0" w:line="240" w:lineRule="auto"/>
    </w:pPr>
    <w:tblPr>
      <w:tblStyleRowBandSize w:val="1"/>
      <w:tblStyleColBandSize w:val="1"/>
      <w:tblBorders>
        <w:top w:val="single" w:sz="8" w:space="0" w:color="7BBDD6" w:themeColor="accent5"/>
        <w:bottom w:val="single" w:sz="8" w:space="0" w:color="7BBDD6" w:themeColor="accent5"/>
      </w:tblBorders>
    </w:tblPr>
    <w:tblStylePr w:type="firstRow">
      <w:rPr>
        <w:rFonts w:asciiTheme="majorHAnsi" w:eastAsiaTheme="majorEastAsia" w:hAnsiTheme="majorHAnsi" w:cstheme="majorBidi"/>
      </w:rPr>
      <w:tblPr/>
      <w:tcPr>
        <w:tcBorders>
          <w:top w:val="nil"/>
          <w:bottom w:val="single" w:sz="8" w:space="0" w:color="7BBDD6" w:themeColor="accent5"/>
        </w:tcBorders>
      </w:tcPr>
    </w:tblStylePr>
    <w:tblStylePr w:type="lastRow">
      <w:rPr>
        <w:b/>
        <w:bCs/>
        <w:color w:val="6C3F99" w:themeColor="text2"/>
      </w:rPr>
      <w:tblPr/>
      <w:tcPr>
        <w:tcBorders>
          <w:top w:val="single" w:sz="8" w:space="0" w:color="7BBDD6" w:themeColor="accent5"/>
          <w:bottom w:val="single" w:sz="8" w:space="0" w:color="7BBDD6" w:themeColor="accent5"/>
        </w:tcBorders>
      </w:tcPr>
    </w:tblStylePr>
    <w:tblStylePr w:type="firstCol">
      <w:rPr>
        <w:b/>
        <w:bCs/>
      </w:rPr>
    </w:tblStylePr>
    <w:tblStylePr w:type="lastCol">
      <w:rPr>
        <w:b/>
        <w:bCs/>
      </w:rPr>
      <w:tblPr/>
      <w:tcPr>
        <w:tcBorders>
          <w:top w:val="single" w:sz="8" w:space="0" w:color="7BBDD6" w:themeColor="accent5"/>
          <w:bottom w:val="single" w:sz="8" w:space="0" w:color="7BBDD6" w:themeColor="accent5"/>
        </w:tcBorders>
      </w:tcPr>
    </w:tblStylePr>
    <w:tblStylePr w:type="band1Vert">
      <w:tblPr/>
      <w:tcPr>
        <w:shd w:val="clear" w:color="auto" w:fill="DEEEF4" w:themeFill="accent5" w:themeFillTint="3F"/>
      </w:tcPr>
    </w:tblStylePr>
    <w:tblStylePr w:type="band1Horz">
      <w:tblPr/>
      <w:tcPr>
        <w:shd w:val="clear" w:color="auto" w:fill="DEEEF4" w:themeFill="accent5" w:themeFillTint="3F"/>
      </w:tcPr>
    </w:tblStylePr>
  </w:style>
  <w:style w:type="table" w:styleId="MediumList1-Accent6">
    <w:name w:val="Medium List 1 Accent 6"/>
    <w:basedOn w:val="TableNormal"/>
    <w:uiPriority w:val="65"/>
    <w:semiHidden/>
    <w:unhideWhenUsed/>
    <w:rsid w:val="009637A8"/>
    <w:pPr>
      <w:spacing w:after="0" w:line="240" w:lineRule="auto"/>
    </w:pPr>
    <w:tblPr>
      <w:tblStyleRowBandSize w:val="1"/>
      <w:tblStyleColBandSize w:val="1"/>
      <w:tblBorders>
        <w:top w:val="single" w:sz="8" w:space="0" w:color="428D52" w:themeColor="accent6"/>
        <w:bottom w:val="single" w:sz="8" w:space="0" w:color="428D52" w:themeColor="accent6"/>
      </w:tblBorders>
    </w:tblPr>
    <w:tblStylePr w:type="firstRow">
      <w:rPr>
        <w:rFonts w:asciiTheme="majorHAnsi" w:eastAsiaTheme="majorEastAsia" w:hAnsiTheme="majorHAnsi" w:cstheme="majorBidi"/>
      </w:rPr>
      <w:tblPr/>
      <w:tcPr>
        <w:tcBorders>
          <w:top w:val="nil"/>
          <w:bottom w:val="single" w:sz="8" w:space="0" w:color="428D52" w:themeColor="accent6"/>
        </w:tcBorders>
      </w:tcPr>
    </w:tblStylePr>
    <w:tblStylePr w:type="lastRow">
      <w:rPr>
        <w:b/>
        <w:bCs/>
        <w:color w:val="6C3F99" w:themeColor="text2"/>
      </w:rPr>
      <w:tblPr/>
      <w:tcPr>
        <w:tcBorders>
          <w:top w:val="single" w:sz="8" w:space="0" w:color="428D52" w:themeColor="accent6"/>
          <w:bottom w:val="single" w:sz="8" w:space="0" w:color="428D52" w:themeColor="accent6"/>
        </w:tcBorders>
      </w:tcPr>
    </w:tblStylePr>
    <w:tblStylePr w:type="firstCol">
      <w:rPr>
        <w:b/>
        <w:bCs/>
      </w:rPr>
    </w:tblStylePr>
    <w:tblStylePr w:type="lastCol">
      <w:rPr>
        <w:b/>
        <w:bCs/>
      </w:rPr>
      <w:tblPr/>
      <w:tcPr>
        <w:tcBorders>
          <w:top w:val="single" w:sz="8" w:space="0" w:color="428D52" w:themeColor="accent6"/>
          <w:bottom w:val="single" w:sz="8" w:space="0" w:color="428D52" w:themeColor="accent6"/>
        </w:tcBorders>
      </w:tcPr>
    </w:tblStylePr>
    <w:tblStylePr w:type="band1Vert">
      <w:tblPr/>
      <w:tcPr>
        <w:shd w:val="clear" w:color="auto" w:fill="CBE7D1" w:themeFill="accent6" w:themeFillTint="3F"/>
      </w:tcPr>
    </w:tblStylePr>
    <w:tblStylePr w:type="band1Horz">
      <w:tblPr/>
      <w:tcPr>
        <w:shd w:val="clear" w:color="auto" w:fill="CBE7D1" w:themeFill="accent6" w:themeFillTint="3F"/>
      </w:tcPr>
    </w:tblStylePr>
  </w:style>
  <w:style w:type="table" w:styleId="MediumList2">
    <w:name w:val="Medium List 2"/>
    <w:basedOn w:val="TableNormal"/>
    <w:uiPriority w:val="66"/>
    <w:semiHidden/>
    <w:unhideWhenUsed/>
    <w:rsid w:val="009637A8"/>
    <w:pPr>
      <w:spacing w:after="0" w:line="240" w:lineRule="auto"/>
    </w:pPr>
    <w:rPr>
      <w:rFonts w:eastAsiaTheme="majorEastAsia"/>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unhideWhenUsed/>
    <w:rsid w:val="009637A8"/>
    <w:pPr>
      <w:spacing w:after="0" w:line="240" w:lineRule="auto"/>
    </w:pPr>
    <w:rPr>
      <w:rFonts w:eastAsiaTheme="majorEastAsia"/>
    </w:rPr>
    <w:tblPr>
      <w:tblStyleRowBandSize w:val="1"/>
      <w:tblStyleColBandSize w:val="1"/>
      <w:tblBorders>
        <w:top w:val="single" w:sz="8" w:space="0" w:color="9D85BE" w:themeColor="accent1"/>
        <w:left w:val="single" w:sz="8" w:space="0" w:color="9D85BE" w:themeColor="accent1"/>
        <w:bottom w:val="single" w:sz="8" w:space="0" w:color="9D85BE" w:themeColor="accent1"/>
        <w:right w:val="single" w:sz="8" w:space="0" w:color="9D85BE" w:themeColor="accent1"/>
      </w:tblBorders>
    </w:tblPr>
    <w:tblStylePr w:type="firstRow">
      <w:rPr>
        <w:sz w:val="24"/>
        <w:szCs w:val="24"/>
      </w:rPr>
      <w:tblPr/>
      <w:tcPr>
        <w:tcBorders>
          <w:top w:val="nil"/>
          <w:left w:val="nil"/>
          <w:bottom w:val="single" w:sz="24" w:space="0" w:color="9D85BE" w:themeColor="accent1"/>
          <w:right w:val="nil"/>
          <w:insideH w:val="nil"/>
          <w:insideV w:val="nil"/>
        </w:tcBorders>
        <w:shd w:val="clear" w:color="auto" w:fill="FFFFFF" w:themeFill="background1"/>
      </w:tcPr>
    </w:tblStylePr>
    <w:tblStylePr w:type="lastRow">
      <w:tblPr/>
      <w:tcPr>
        <w:tcBorders>
          <w:top w:val="single" w:sz="8" w:space="0" w:color="9D85BE"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D85BE" w:themeColor="accent1"/>
          <w:insideH w:val="nil"/>
          <w:insideV w:val="nil"/>
        </w:tcBorders>
        <w:shd w:val="clear" w:color="auto" w:fill="FFFFFF" w:themeFill="background1"/>
      </w:tcPr>
    </w:tblStylePr>
    <w:tblStylePr w:type="lastCol">
      <w:tblPr/>
      <w:tcPr>
        <w:tcBorders>
          <w:top w:val="nil"/>
          <w:left w:val="single" w:sz="8" w:space="0" w:color="9D85BE"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0EF" w:themeFill="accent1" w:themeFillTint="3F"/>
      </w:tcPr>
    </w:tblStylePr>
    <w:tblStylePr w:type="band1Horz">
      <w:tblPr/>
      <w:tcPr>
        <w:tcBorders>
          <w:top w:val="nil"/>
          <w:bottom w:val="nil"/>
          <w:insideH w:val="nil"/>
          <w:insideV w:val="nil"/>
        </w:tcBorders>
        <w:shd w:val="clear" w:color="auto" w:fill="E6E0EF"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unhideWhenUsed/>
    <w:rsid w:val="009637A8"/>
    <w:pPr>
      <w:spacing w:after="0" w:line="240" w:lineRule="auto"/>
    </w:pPr>
    <w:rPr>
      <w:rFonts w:eastAsiaTheme="majorEastAsia"/>
    </w:rPr>
    <w:tblPr>
      <w:tblStyleRowBandSize w:val="1"/>
      <w:tblStyleColBandSize w:val="1"/>
      <w:tblBorders>
        <w:top w:val="single" w:sz="8" w:space="0" w:color="7D7D7D" w:themeColor="accent2"/>
        <w:left w:val="single" w:sz="8" w:space="0" w:color="7D7D7D" w:themeColor="accent2"/>
        <w:bottom w:val="single" w:sz="8" w:space="0" w:color="7D7D7D" w:themeColor="accent2"/>
        <w:right w:val="single" w:sz="8" w:space="0" w:color="7D7D7D" w:themeColor="accent2"/>
      </w:tblBorders>
    </w:tblPr>
    <w:tblStylePr w:type="firstRow">
      <w:rPr>
        <w:sz w:val="24"/>
        <w:szCs w:val="24"/>
      </w:rPr>
      <w:tblPr/>
      <w:tcPr>
        <w:tcBorders>
          <w:top w:val="nil"/>
          <w:left w:val="nil"/>
          <w:bottom w:val="single" w:sz="24" w:space="0" w:color="7D7D7D" w:themeColor="accent2"/>
          <w:right w:val="nil"/>
          <w:insideH w:val="nil"/>
          <w:insideV w:val="nil"/>
        </w:tcBorders>
        <w:shd w:val="clear" w:color="auto" w:fill="FFFFFF" w:themeFill="background1"/>
      </w:tcPr>
    </w:tblStylePr>
    <w:tblStylePr w:type="lastRow">
      <w:tblPr/>
      <w:tcPr>
        <w:tcBorders>
          <w:top w:val="single" w:sz="8" w:space="0" w:color="7D7D7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D7D7D" w:themeColor="accent2"/>
          <w:insideH w:val="nil"/>
          <w:insideV w:val="nil"/>
        </w:tcBorders>
        <w:shd w:val="clear" w:color="auto" w:fill="FFFFFF" w:themeFill="background1"/>
      </w:tcPr>
    </w:tblStylePr>
    <w:tblStylePr w:type="lastCol">
      <w:tblPr/>
      <w:tcPr>
        <w:tcBorders>
          <w:top w:val="nil"/>
          <w:left w:val="single" w:sz="8" w:space="0" w:color="7D7D7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EDEDE" w:themeFill="accent2" w:themeFillTint="3F"/>
      </w:tcPr>
    </w:tblStylePr>
    <w:tblStylePr w:type="band1Horz">
      <w:tblPr/>
      <w:tcPr>
        <w:tcBorders>
          <w:top w:val="nil"/>
          <w:bottom w:val="nil"/>
          <w:insideH w:val="nil"/>
          <w:insideV w:val="nil"/>
        </w:tcBorders>
        <w:shd w:val="clear" w:color="auto" w:fill="DEDEDE"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unhideWhenUsed/>
    <w:rsid w:val="009637A8"/>
    <w:pPr>
      <w:spacing w:after="0" w:line="240" w:lineRule="auto"/>
    </w:pPr>
    <w:rPr>
      <w:rFonts w:eastAsiaTheme="majorEastAsia"/>
    </w:rPr>
    <w:tblPr>
      <w:tblStyleRowBandSize w:val="1"/>
      <w:tblStyleColBandSize w:val="1"/>
      <w:tblBorders>
        <w:top w:val="single" w:sz="8" w:space="0" w:color="C8C8C8" w:themeColor="accent3"/>
        <w:left w:val="single" w:sz="8" w:space="0" w:color="C8C8C8" w:themeColor="accent3"/>
        <w:bottom w:val="single" w:sz="8" w:space="0" w:color="C8C8C8" w:themeColor="accent3"/>
        <w:right w:val="single" w:sz="8" w:space="0" w:color="C8C8C8" w:themeColor="accent3"/>
      </w:tblBorders>
    </w:tblPr>
    <w:tblStylePr w:type="firstRow">
      <w:rPr>
        <w:sz w:val="24"/>
        <w:szCs w:val="24"/>
      </w:rPr>
      <w:tblPr/>
      <w:tcPr>
        <w:tcBorders>
          <w:top w:val="nil"/>
          <w:left w:val="nil"/>
          <w:bottom w:val="single" w:sz="24" w:space="0" w:color="C8C8C8" w:themeColor="accent3"/>
          <w:right w:val="nil"/>
          <w:insideH w:val="nil"/>
          <w:insideV w:val="nil"/>
        </w:tcBorders>
        <w:shd w:val="clear" w:color="auto" w:fill="FFFFFF" w:themeFill="background1"/>
      </w:tcPr>
    </w:tblStylePr>
    <w:tblStylePr w:type="lastRow">
      <w:tblPr/>
      <w:tcPr>
        <w:tcBorders>
          <w:top w:val="single" w:sz="8" w:space="0" w:color="C8C8C8"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8C8C8" w:themeColor="accent3"/>
          <w:insideH w:val="nil"/>
          <w:insideV w:val="nil"/>
        </w:tcBorders>
        <w:shd w:val="clear" w:color="auto" w:fill="FFFFFF" w:themeFill="background1"/>
      </w:tcPr>
    </w:tblStylePr>
    <w:tblStylePr w:type="lastCol">
      <w:tblPr/>
      <w:tcPr>
        <w:tcBorders>
          <w:top w:val="nil"/>
          <w:left w:val="single" w:sz="8" w:space="0" w:color="C8C8C8"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1F1F1" w:themeFill="accent3" w:themeFillTint="3F"/>
      </w:tcPr>
    </w:tblStylePr>
    <w:tblStylePr w:type="band1Horz">
      <w:tblPr/>
      <w:tcPr>
        <w:tcBorders>
          <w:top w:val="nil"/>
          <w:bottom w:val="nil"/>
          <w:insideH w:val="nil"/>
          <w:insideV w:val="nil"/>
        </w:tcBorders>
        <w:shd w:val="clear" w:color="auto" w:fill="F1F1F1"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unhideWhenUsed/>
    <w:rsid w:val="009637A8"/>
    <w:pPr>
      <w:spacing w:after="0" w:line="240" w:lineRule="auto"/>
    </w:pPr>
    <w:rPr>
      <w:rFonts w:eastAsiaTheme="majorEastAsia"/>
    </w:rPr>
    <w:tblPr>
      <w:tblStyleRowBandSize w:val="1"/>
      <w:tblStyleColBandSize w:val="1"/>
      <w:tblBorders>
        <w:top w:val="single" w:sz="8" w:space="0" w:color="006A9F" w:themeColor="accent4"/>
        <w:left w:val="single" w:sz="8" w:space="0" w:color="006A9F" w:themeColor="accent4"/>
        <w:bottom w:val="single" w:sz="8" w:space="0" w:color="006A9F" w:themeColor="accent4"/>
        <w:right w:val="single" w:sz="8" w:space="0" w:color="006A9F" w:themeColor="accent4"/>
      </w:tblBorders>
    </w:tblPr>
    <w:tblStylePr w:type="firstRow">
      <w:rPr>
        <w:sz w:val="24"/>
        <w:szCs w:val="24"/>
      </w:rPr>
      <w:tblPr/>
      <w:tcPr>
        <w:tcBorders>
          <w:top w:val="nil"/>
          <w:left w:val="nil"/>
          <w:bottom w:val="single" w:sz="24" w:space="0" w:color="006A9F" w:themeColor="accent4"/>
          <w:right w:val="nil"/>
          <w:insideH w:val="nil"/>
          <w:insideV w:val="nil"/>
        </w:tcBorders>
        <w:shd w:val="clear" w:color="auto" w:fill="FFFFFF" w:themeFill="background1"/>
      </w:tcPr>
    </w:tblStylePr>
    <w:tblStylePr w:type="lastRow">
      <w:tblPr/>
      <w:tcPr>
        <w:tcBorders>
          <w:top w:val="single" w:sz="8" w:space="0" w:color="006A9F"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6A9F" w:themeColor="accent4"/>
          <w:insideH w:val="nil"/>
          <w:insideV w:val="nil"/>
        </w:tcBorders>
        <w:shd w:val="clear" w:color="auto" w:fill="FFFFFF" w:themeFill="background1"/>
      </w:tcPr>
    </w:tblStylePr>
    <w:tblStylePr w:type="lastCol">
      <w:tblPr/>
      <w:tcPr>
        <w:tcBorders>
          <w:top w:val="nil"/>
          <w:left w:val="single" w:sz="8" w:space="0" w:color="006A9F"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8E2FF" w:themeFill="accent4" w:themeFillTint="3F"/>
      </w:tcPr>
    </w:tblStylePr>
    <w:tblStylePr w:type="band1Horz">
      <w:tblPr/>
      <w:tcPr>
        <w:tcBorders>
          <w:top w:val="nil"/>
          <w:bottom w:val="nil"/>
          <w:insideH w:val="nil"/>
          <w:insideV w:val="nil"/>
        </w:tcBorders>
        <w:shd w:val="clear" w:color="auto" w:fill="A8E2FF"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unhideWhenUsed/>
    <w:rsid w:val="009637A8"/>
    <w:pPr>
      <w:spacing w:after="0" w:line="240" w:lineRule="auto"/>
    </w:pPr>
    <w:rPr>
      <w:rFonts w:eastAsiaTheme="majorEastAsia"/>
    </w:rPr>
    <w:tblPr>
      <w:tblStyleRowBandSize w:val="1"/>
      <w:tblStyleColBandSize w:val="1"/>
      <w:tblBorders>
        <w:top w:val="single" w:sz="8" w:space="0" w:color="7BBDD6" w:themeColor="accent5"/>
        <w:left w:val="single" w:sz="8" w:space="0" w:color="7BBDD6" w:themeColor="accent5"/>
        <w:bottom w:val="single" w:sz="8" w:space="0" w:color="7BBDD6" w:themeColor="accent5"/>
        <w:right w:val="single" w:sz="8" w:space="0" w:color="7BBDD6" w:themeColor="accent5"/>
      </w:tblBorders>
    </w:tblPr>
    <w:tblStylePr w:type="firstRow">
      <w:rPr>
        <w:sz w:val="24"/>
        <w:szCs w:val="24"/>
      </w:rPr>
      <w:tblPr/>
      <w:tcPr>
        <w:tcBorders>
          <w:top w:val="nil"/>
          <w:left w:val="nil"/>
          <w:bottom w:val="single" w:sz="24" w:space="0" w:color="7BBDD6" w:themeColor="accent5"/>
          <w:right w:val="nil"/>
          <w:insideH w:val="nil"/>
          <w:insideV w:val="nil"/>
        </w:tcBorders>
        <w:shd w:val="clear" w:color="auto" w:fill="FFFFFF" w:themeFill="background1"/>
      </w:tcPr>
    </w:tblStylePr>
    <w:tblStylePr w:type="lastRow">
      <w:tblPr/>
      <w:tcPr>
        <w:tcBorders>
          <w:top w:val="single" w:sz="8" w:space="0" w:color="7BBDD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BBDD6" w:themeColor="accent5"/>
          <w:insideH w:val="nil"/>
          <w:insideV w:val="nil"/>
        </w:tcBorders>
        <w:shd w:val="clear" w:color="auto" w:fill="FFFFFF" w:themeFill="background1"/>
      </w:tcPr>
    </w:tblStylePr>
    <w:tblStylePr w:type="lastCol">
      <w:tblPr/>
      <w:tcPr>
        <w:tcBorders>
          <w:top w:val="nil"/>
          <w:left w:val="single" w:sz="8" w:space="0" w:color="7BBDD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EEEF4" w:themeFill="accent5" w:themeFillTint="3F"/>
      </w:tcPr>
    </w:tblStylePr>
    <w:tblStylePr w:type="band1Horz">
      <w:tblPr/>
      <w:tcPr>
        <w:tcBorders>
          <w:top w:val="nil"/>
          <w:bottom w:val="nil"/>
          <w:insideH w:val="nil"/>
          <w:insideV w:val="nil"/>
        </w:tcBorders>
        <w:shd w:val="clear" w:color="auto" w:fill="DEEEF4"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unhideWhenUsed/>
    <w:rsid w:val="009637A8"/>
    <w:pPr>
      <w:spacing w:after="0" w:line="240" w:lineRule="auto"/>
    </w:pPr>
    <w:rPr>
      <w:rFonts w:eastAsiaTheme="majorEastAsia"/>
    </w:rPr>
    <w:tblPr>
      <w:tblStyleRowBandSize w:val="1"/>
      <w:tblStyleColBandSize w:val="1"/>
      <w:tblBorders>
        <w:top w:val="single" w:sz="8" w:space="0" w:color="428D52" w:themeColor="accent6"/>
        <w:left w:val="single" w:sz="8" w:space="0" w:color="428D52" w:themeColor="accent6"/>
        <w:bottom w:val="single" w:sz="8" w:space="0" w:color="428D52" w:themeColor="accent6"/>
        <w:right w:val="single" w:sz="8" w:space="0" w:color="428D52" w:themeColor="accent6"/>
      </w:tblBorders>
    </w:tblPr>
    <w:tblStylePr w:type="firstRow">
      <w:rPr>
        <w:sz w:val="24"/>
        <w:szCs w:val="24"/>
      </w:rPr>
      <w:tblPr/>
      <w:tcPr>
        <w:tcBorders>
          <w:top w:val="nil"/>
          <w:left w:val="nil"/>
          <w:bottom w:val="single" w:sz="24" w:space="0" w:color="428D52" w:themeColor="accent6"/>
          <w:right w:val="nil"/>
          <w:insideH w:val="nil"/>
          <w:insideV w:val="nil"/>
        </w:tcBorders>
        <w:shd w:val="clear" w:color="auto" w:fill="FFFFFF" w:themeFill="background1"/>
      </w:tcPr>
    </w:tblStylePr>
    <w:tblStylePr w:type="lastRow">
      <w:tblPr/>
      <w:tcPr>
        <w:tcBorders>
          <w:top w:val="single" w:sz="8" w:space="0" w:color="428D52"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28D52" w:themeColor="accent6"/>
          <w:insideH w:val="nil"/>
          <w:insideV w:val="nil"/>
        </w:tcBorders>
        <w:shd w:val="clear" w:color="auto" w:fill="FFFFFF" w:themeFill="background1"/>
      </w:tcPr>
    </w:tblStylePr>
    <w:tblStylePr w:type="lastCol">
      <w:tblPr/>
      <w:tcPr>
        <w:tcBorders>
          <w:top w:val="nil"/>
          <w:left w:val="single" w:sz="8" w:space="0" w:color="428D52"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BE7D1" w:themeFill="accent6" w:themeFillTint="3F"/>
      </w:tcPr>
    </w:tblStylePr>
    <w:tblStylePr w:type="band1Horz">
      <w:tblPr/>
      <w:tcPr>
        <w:tcBorders>
          <w:top w:val="nil"/>
          <w:bottom w:val="nil"/>
          <w:insideH w:val="nil"/>
          <w:insideV w:val="nil"/>
        </w:tcBorders>
        <w:shd w:val="clear" w:color="auto" w:fill="CBE7D1"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unhideWhenUsed/>
    <w:rsid w:val="009637A8"/>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unhideWhenUsed/>
    <w:rsid w:val="009637A8"/>
    <w:pPr>
      <w:spacing w:after="0" w:line="240" w:lineRule="auto"/>
    </w:pPr>
    <w:tblPr>
      <w:tblStyleRowBandSize w:val="1"/>
      <w:tblStyleColBandSize w:val="1"/>
      <w:tblBorders>
        <w:top w:val="single" w:sz="8" w:space="0" w:color="B5A3CE" w:themeColor="accent1" w:themeTint="BF"/>
        <w:left w:val="single" w:sz="8" w:space="0" w:color="B5A3CE" w:themeColor="accent1" w:themeTint="BF"/>
        <w:bottom w:val="single" w:sz="8" w:space="0" w:color="B5A3CE" w:themeColor="accent1" w:themeTint="BF"/>
        <w:right w:val="single" w:sz="8" w:space="0" w:color="B5A3CE" w:themeColor="accent1" w:themeTint="BF"/>
        <w:insideH w:val="single" w:sz="8" w:space="0" w:color="B5A3CE" w:themeColor="accent1" w:themeTint="BF"/>
      </w:tblBorders>
    </w:tblPr>
    <w:tblStylePr w:type="firstRow">
      <w:pPr>
        <w:spacing w:before="0" w:after="0" w:line="240" w:lineRule="auto"/>
      </w:pPr>
      <w:rPr>
        <w:b/>
        <w:bCs/>
        <w:color w:val="FFFFFF" w:themeColor="background1"/>
      </w:rPr>
      <w:tblPr/>
      <w:tcPr>
        <w:tcBorders>
          <w:top w:val="single" w:sz="8" w:space="0" w:color="B5A3CE" w:themeColor="accent1" w:themeTint="BF"/>
          <w:left w:val="single" w:sz="8" w:space="0" w:color="B5A3CE" w:themeColor="accent1" w:themeTint="BF"/>
          <w:bottom w:val="single" w:sz="8" w:space="0" w:color="B5A3CE" w:themeColor="accent1" w:themeTint="BF"/>
          <w:right w:val="single" w:sz="8" w:space="0" w:color="B5A3CE" w:themeColor="accent1" w:themeTint="BF"/>
          <w:insideH w:val="nil"/>
          <w:insideV w:val="nil"/>
        </w:tcBorders>
        <w:shd w:val="clear" w:color="auto" w:fill="9D85BE" w:themeFill="accent1"/>
      </w:tcPr>
    </w:tblStylePr>
    <w:tblStylePr w:type="lastRow">
      <w:pPr>
        <w:spacing w:before="0" w:after="0" w:line="240" w:lineRule="auto"/>
      </w:pPr>
      <w:rPr>
        <w:b/>
        <w:bCs/>
      </w:rPr>
      <w:tblPr/>
      <w:tcPr>
        <w:tcBorders>
          <w:top w:val="double" w:sz="6" w:space="0" w:color="B5A3CE" w:themeColor="accent1" w:themeTint="BF"/>
          <w:left w:val="single" w:sz="8" w:space="0" w:color="B5A3CE" w:themeColor="accent1" w:themeTint="BF"/>
          <w:bottom w:val="single" w:sz="8" w:space="0" w:color="B5A3CE" w:themeColor="accent1" w:themeTint="BF"/>
          <w:right w:val="single" w:sz="8" w:space="0" w:color="B5A3CE" w:themeColor="accent1" w:themeTint="BF"/>
          <w:insideH w:val="nil"/>
          <w:insideV w:val="nil"/>
        </w:tcBorders>
      </w:tcPr>
    </w:tblStylePr>
    <w:tblStylePr w:type="firstCol">
      <w:rPr>
        <w:b/>
        <w:bCs/>
      </w:rPr>
    </w:tblStylePr>
    <w:tblStylePr w:type="lastCol">
      <w:rPr>
        <w:b/>
        <w:bCs/>
      </w:rPr>
    </w:tblStylePr>
    <w:tblStylePr w:type="band1Vert">
      <w:tblPr/>
      <w:tcPr>
        <w:shd w:val="clear" w:color="auto" w:fill="E6E0EF" w:themeFill="accent1" w:themeFillTint="3F"/>
      </w:tcPr>
    </w:tblStylePr>
    <w:tblStylePr w:type="band1Horz">
      <w:tblPr/>
      <w:tcPr>
        <w:tcBorders>
          <w:insideH w:val="nil"/>
          <w:insideV w:val="nil"/>
        </w:tcBorders>
        <w:shd w:val="clear" w:color="auto" w:fill="E6E0EF"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unhideWhenUsed/>
    <w:rsid w:val="009637A8"/>
    <w:pPr>
      <w:spacing w:after="0" w:line="240" w:lineRule="auto"/>
    </w:pPr>
    <w:tblPr>
      <w:tblStyleRowBandSize w:val="1"/>
      <w:tblStyleColBandSize w:val="1"/>
      <w:tblBorders>
        <w:top w:val="single" w:sz="8" w:space="0" w:color="9D9D9D" w:themeColor="accent2" w:themeTint="BF"/>
        <w:left w:val="single" w:sz="8" w:space="0" w:color="9D9D9D" w:themeColor="accent2" w:themeTint="BF"/>
        <w:bottom w:val="single" w:sz="8" w:space="0" w:color="9D9D9D" w:themeColor="accent2" w:themeTint="BF"/>
        <w:right w:val="single" w:sz="8" w:space="0" w:color="9D9D9D" w:themeColor="accent2" w:themeTint="BF"/>
        <w:insideH w:val="single" w:sz="8" w:space="0" w:color="9D9D9D" w:themeColor="accent2" w:themeTint="BF"/>
      </w:tblBorders>
    </w:tblPr>
    <w:tblStylePr w:type="firstRow">
      <w:pPr>
        <w:spacing w:before="0" w:after="0" w:line="240" w:lineRule="auto"/>
      </w:pPr>
      <w:rPr>
        <w:b/>
        <w:bCs/>
        <w:color w:val="FFFFFF" w:themeColor="background1"/>
      </w:rPr>
      <w:tblPr/>
      <w:tcPr>
        <w:tcBorders>
          <w:top w:val="single" w:sz="8" w:space="0" w:color="9D9D9D" w:themeColor="accent2" w:themeTint="BF"/>
          <w:left w:val="single" w:sz="8" w:space="0" w:color="9D9D9D" w:themeColor="accent2" w:themeTint="BF"/>
          <w:bottom w:val="single" w:sz="8" w:space="0" w:color="9D9D9D" w:themeColor="accent2" w:themeTint="BF"/>
          <w:right w:val="single" w:sz="8" w:space="0" w:color="9D9D9D" w:themeColor="accent2" w:themeTint="BF"/>
          <w:insideH w:val="nil"/>
          <w:insideV w:val="nil"/>
        </w:tcBorders>
        <w:shd w:val="clear" w:color="auto" w:fill="7D7D7D" w:themeFill="accent2"/>
      </w:tcPr>
    </w:tblStylePr>
    <w:tblStylePr w:type="lastRow">
      <w:pPr>
        <w:spacing w:before="0" w:after="0" w:line="240" w:lineRule="auto"/>
      </w:pPr>
      <w:rPr>
        <w:b/>
        <w:bCs/>
      </w:rPr>
      <w:tblPr/>
      <w:tcPr>
        <w:tcBorders>
          <w:top w:val="double" w:sz="6" w:space="0" w:color="9D9D9D" w:themeColor="accent2" w:themeTint="BF"/>
          <w:left w:val="single" w:sz="8" w:space="0" w:color="9D9D9D" w:themeColor="accent2" w:themeTint="BF"/>
          <w:bottom w:val="single" w:sz="8" w:space="0" w:color="9D9D9D" w:themeColor="accent2" w:themeTint="BF"/>
          <w:right w:val="single" w:sz="8" w:space="0" w:color="9D9D9D" w:themeColor="accent2" w:themeTint="BF"/>
          <w:insideH w:val="nil"/>
          <w:insideV w:val="nil"/>
        </w:tcBorders>
      </w:tcPr>
    </w:tblStylePr>
    <w:tblStylePr w:type="firstCol">
      <w:rPr>
        <w:b/>
        <w:bCs/>
      </w:rPr>
    </w:tblStylePr>
    <w:tblStylePr w:type="lastCol">
      <w:rPr>
        <w:b/>
        <w:bCs/>
      </w:rPr>
    </w:tblStylePr>
    <w:tblStylePr w:type="band1Vert">
      <w:tblPr/>
      <w:tcPr>
        <w:shd w:val="clear" w:color="auto" w:fill="DEDEDE" w:themeFill="accent2" w:themeFillTint="3F"/>
      </w:tcPr>
    </w:tblStylePr>
    <w:tblStylePr w:type="band1Horz">
      <w:tblPr/>
      <w:tcPr>
        <w:tcBorders>
          <w:insideH w:val="nil"/>
          <w:insideV w:val="nil"/>
        </w:tcBorders>
        <w:shd w:val="clear" w:color="auto" w:fill="DEDEDE"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unhideWhenUsed/>
    <w:rsid w:val="009637A8"/>
    <w:pPr>
      <w:spacing w:after="0" w:line="240" w:lineRule="auto"/>
    </w:pPr>
    <w:tblPr>
      <w:tblStyleRowBandSize w:val="1"/>
      <w:tblStyleColBandSize w:val="1"/>
      <w:tblBorders>
        <w:top w:val="single" w:sz="8" w:space="0" w:color="D5D5D5" w:themeColor="accent3" w:themeTint="BF"/>
        <w:left w:val="single" w:sz="8" w:space="0" w:color="D5D5D5" w:themeColor="accent3" w:themeTint="BF"/>
        <w:bottom w:val="single" w:sz="8" w:space="0" w:color="D5D5D5" w:themeColor="accent3" w:themeTint="BF"/>
        <w:right w:val="single" w:sz="8" w:space="0" w:color="D5D5D5" w:themeColor="accent3" w:themeTint="BF"/>
        <w:insideH w:val="single" w:sz="8" w:space="0" w:color="D5D5D5" w:themeColor="accent3" w:themeTint="BF"/>
      </w:tblBorders>
    </w:tblPr>
    <w:tblStylePr w:type="firstRow">
      <w:pPr>
        <w:spacing w:before="0" w:after="0" w:line="240" w:lineRule="auto"/>
      </w:pPr>
      <w:rPr>
        <w:b/>
        <w:bCs/>
        <w:color w:val="FFFFFF" w:themeColor="background1"/>
      </w:rPr>
      <w:tblPr/>
      <w:tcPr>
        <w:tcBorders>
          <w:top w:val="single" w:sz="8" w:space="0" w:color="D5D5D5" w:themeColor="accent3" w:themeTint="BF"/>
          <w:left w:val="single" w:sz="8" w:space="0" w:color="D5D5D5" w:themeColor="accent3" w:themeTint="BF"/>
          <w:bottom w:val="single" w:sz="8" w:space="0" w:color="D5D5D5" w:themeColor="accent3" w:themeTint="BF"/>
          <w:right w:val="single" w:sz="8" w:space="0" w:color="D5D5D5" w:themeColor="accent3" w:themeTint="BF"/>
          <w:insideH w:val="nil"/>
          <w:insideV w:val="nil"/>
        </w:tcBorders>
        <w:shd w:val="clear" w:color="auto" w:fill="C8C8C8" w:themeFill="accent3"/>
      </w:tcPr>
    </w:tblStylePr>
    <w:tblStylePr w:type="lastRow">
      <w:pPr>
        <w:spacing w:before="0" w:after="0" w:line="240" w:lineRule="auto"/>
      </w:pPr>
      <w:rPr>
        <w:b/>
        <w:bCs/>
      </w:rPr>
      <w:tblPr/>
      <w:tcPr>
        <w:tcBorders>
          <w:top w:val="double" w:sz="6" w:space="0" w:color="D5D5D5" w:themeColor="accent3" w:themeTint="BF"/>
          <w:left w:val="single" w:sz="8" w:space="0" w:color="D5D5D5" w:themeColor="accent3" w:themeTint="BF"/>
          <w:bottom w:val="single" w:sz="8" w:space="0" w:color="D5D5D5" w:themeColor="accent3" w:themeTint="BF"/>
          <w:right w:val="single" w:sz="8" w:space="0" w:color="D5D5D5" w:themeColor="accent3" w:themeTint="BF"/>
          <w:insideH w:val="nil"/>
          <w:insideV w:val="nil"/>
        </w:tcBorders>
      </w:tcPr>
    </w:tblStylePr>
    <w:tblStylePr w:type="firstCol">
      <w:rPr>
        <w:b/>
        <w:bCs/>
      </w:rPr>
    </w:tblStylePr>
    <w:tblStylePr w:type="lastCol">
      <w:rPr>
        <w:b/>
        <w:bCs/>
      </w:rPr>
    </w:tblStylePr>
    <w:tblStylePr w:type="band1Vert">
      <w:tblPr/>
      <w:tcPr>
        <w:shd w:val="clear" w:color="auto" w:fill="F1F1F1" w:themeFill="accent3" w:themeFillTint="3F"/>
      </w:tcPr>
    </w:tblStylePr>
    <w:tblStylePr w:type="band1Horz">
      <w:tblPr/>
      <w:tcPr>
        <w:tcBorders>
          <w:insideH w:val="nil"/>
          <w:insideV w:val="nil"/>
        </w:tcBorders>
        <w:shd w:val="clear" w:color="auto" w:fill="F1F1F1"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unhideWhenUsed/>
    <w:rsid w:val="009637A8"/>
    <w:pPr>
      <w:spacing w:after="0" w:line="240" w:lineRule="auto"/>
    </w:pPr>
    <w:tblPr>
      <w:tblStyleRowBandSize w:val="1"/>
      <w:tblStyleColBandSize w:val="1"/>
      <w:tblBorders>
        <w:top w:val="single" w:sz="8" w:space="0" w:color="00A4F7" w:themeColor="accent4" w:themeTint="BF"/>
        <w:left w:val="single" w:sz="8" w:space="0" w:color="00A4F7" w:themeColor="accent4" w:themeTint="BF"/>
        <w:bottom w:val="single" w:sz="8" w:space="0" w:color="00A4F7" w:themeColor="accent4" w:themeTint="BF"/>
        <w:right w:val="single" w:sz="8" w:space="0" w:color="00A4F7" w:themeColor="accent4" w:themeTint="BF"/>
        <w:insideH w:val="single" w:sz="8" w:space="0" w:color="00A4F7" w:themeColor="accent4" w:themeTint="BF"/>
      </w:tblBorders>
    </w:tblPr>
    <w:tblStylePr w:type="firstRow">
      <w:pPr>
        <w:spacing w:before="0" w:after="0" w:line="240" w:lineRule="auto"/>
      </w:pPr>
      <w:rPr>
        <w:b/>
        <w:bCs/>
        <w:color w:val="FFFFFF" w:themeColor="background1"/>
      </w:rPr>
      <w:tblPr/>
      <w:tcPr>
        <w:tcBorders>
          <w:top w:val="single" w:sz="8" w:space="0" w:color="00A4F7" w:themeColor="accent4" w:themeTint="BF"/>
          <w:left w:val="single" w:sz="8" w:space="0" w:color="00A4F7" w:themeColor="accent4" w:themeTint="BF"/>
          <w:bottom w:val="single" w:sz="8" w:space="0" w:color="00A4F7" w:themeColor="accent4" w:themeTint="BF"/>
          <w:right w:val="single" w:sz="8" w:space="0" w:color="00A4F7" w:themeColor="accent4" w:themeTint="BF"/>
          <w:insideH w:val="nil"/>
          <w:insideV w:val="nil"/>
        </w:tcBorders>
        <w:shd w:val="clear" w:color="auto" w:fill="006A9F" w:themeFill="accent4"/>
      </w:tcPr>
    </w:tblStylePr>
    <w:tblStylePr w:type="lastRow">
      <w:pPr>
        <w:spacing w:before="0" w:after="0" w:line="240" w:lineRule="auto"/>
      </w:pPr>
      <w:rPr>
        <w:b/>
        <w:bCs/>
      </w:rPr>
      <w:tblPr/>
      <w:tcPr>
        <w:tcBorders>
          <w:top w:val="double" w:sz="6" w:space="0" w:color="00A4F7" w:themeColor="accent4" w:themeTint="BF"/>
          <w:left w:val="single" w:sz="8" w:space="0" w:color="00A4F7" w:themeColor="accent4" w:themeTint="BF"/>
          <w:bottom w:val="single" w:sz="8" w:space="0" w:color="00A4F7" w:themeColor="accent4" w:themeTint="BF"/>
          <w:right w:val="single" w:sz="8" w:space="0" w:color="00A4F7" w:themeColor="accent4" w:themeTint="BF"/>
          <w:insideH w:val="nil"/>
          <w:insideV w:val="nil"/>
        </w:tcBorders>
      </w:tcPr>
    </w:tblStylePr>
    <w:tblStylePr w:type="firstCol">
      <w:rPr>
        <w:b/>
        <w:bCs/>
      </w:rPr>
    </w:tblStylePr>
    <w:tblStylePr w:type="lastCol">
      <w:rPr>
        <w:b/>
        <w:bCs/>
      </w:rPr>
    </w:tblStylePr>
    <w:tblStylePr w:type="band1Vert">
      <w:tblPr/>
      <w:tcPr>
        <w:shd w:val="clear" w:color="auto" w:fill="A8E2FF" w:themeFill="accent4" w:themeFillTint="3F"/>
      </w:tcPr>
    </w:tblStylePr>
    <w:tblStylePr w:type="band1Horz">
      <w:tblPr/>
      <w:tcPr>
        <w:tcBorders>
          <w:insideH w:val="nil"/>
          <w:insideV w:val="nil"/>
        </w:tcBorders>
        <w:shd w:val="clear" w:color="auto" w:fill="A8E2FF"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unhideWhenUsed/>
    <w:rsid w:val="009637A8"/>
    <w:pPr>
      <w:spacing w:after="0" w:line="240" w:lineRule="auto"/>
    </w:pPr>
    <w:tblPr>
      <w:tblStyleRowBandSize w:val="1"/>
      <w:tblStyleColBandSize w:val="1"/>
      <w:tblBorders>
        <w:top w:val="single" w:sz="8" w:space="0" w:color="9CCDE0" w:themeColor="accent5" w:themeTint="BF"/>
        <w:left w:val="single" w:sz="8" w:space="0" w:color="9CCDE0" w:themeColor="accent5" w:themeTint="BF"/>
        <w:bottom w:val="single" w:sz="8" w:space="0" w:color="9CCDE0" w:themeColor="accent5" w:themeTint="BF"/>
        <w:right w:val="single" w:sz="8" w:space="0" w:color="9CCDE0" w:themeColor="accent5" w:themeTint="BF"/>
        <w:insideH w:val="single" w:sz="8" w:space="0" w:color="9CCDE0" w:themeColor="accent5" w:themeTint="BF"/>
      </w:tblBorders>
    </w:tblPr>
    <w:tblStylePr w:type="firstRow">
      <w:pPr>
        <w:spacing w:before="0" w:after="0" w:line="240" w:lineRule="auto"/>
      </w:pPr>
      <w:rPr>
        <w:b/>
        <w:bCs/>
        <w:color w:val="FFFFFF" w:themeColor="background1"/>
      </w:rPr>
      <w:tblPr/>
      <w:tcPr>
        <w:tcBorders>
          <w:top w:val="single" w:sz="8" w:space="0" w:color="9CCDE0" w:themeColor="accent5" w:themeTint="BF"/>
          <w:left w:val="single" w:sz="8" w:space="0" w:color="9CCDE0" w:themeColor="accent5" w:themeTint="BF"/>
          <w:bottom w:val="single" w:sz="8" w:space="0" w:color="9CCDE0" w:themeColor="accent5" w:themeTint="BF"/>
          <w:right w:val="single" w:sz="8" w:space="0" w:color="9CCDE0" w:themeColor="accent5" w:themeTint="BF"/>
          <w:insideH w:val="nil"/>
          <w:insideV w:val="nil"/>
        </w:tcBorders>
        <w:shd w:val="clear" w:color="auto" w:fill="7BBDD6" w:themeFill="accent5"/>
      </w:tcPr>
    </w:tblStylePr>
    <w:tblStylePr w:type="lastRow">
      <w:pPr>
        <w:spacing w:before="0" w:after="0" w:line="240" w:lineRule="auto"/>
      </w:pPr>
      <w:rPr>
        <w:b/>
        <w:bCs/>
      </w:rPr>
      <w:tblPr/>
      <w:tcPr>
        <w:tcBorders>
          <w:top w:val="double" w:sz="6" w:space="0" w:color="9CCDE0" w:themeColor="accent5" w:themeTint="BF"/>
          <w:left w:val="single" w:sz="8" w:space="0" w:color="9CCDE0" w:themeColor="accent5" w:themeTint="BF"/>
          <w:bottom w:val="single" w:sz="8" w:space="0" w:color="9CCDE0" w:themeColor="accent5" w:themeTint="BF"/>
          <w:right w:val="single" w:sz="8" w:space="0" w:color="9CCDE0" w:themeColor="accent5" w:themeTint="BF"/>
          <w:insideH w:val="nil"/>
          <w:insideV w:val="nil"/>
        </w:tcBorders>
      </w:tcPr>
    </w:tblStylePr>
    <w:tblStylePr w:type="firstCol">
      <w:rPr>
        <w:b/>
        <w:bCs/>
      </w:rPr>
    </w:tblStylePr>
    <w:tblStylePr w:type="lastCol">
      <w:rPr>
        <w:b/>
        <w:bCs/>
      </w:rPr>
    </w:tblStylePr>
    <w:tblStylePr w:type="band1Vert">
      <w:tblPr/>
      <w:tcPr>
        <w:shd w:val="clear" w:color="auto" w:fill="DEEEF4" w:themeFill="accent5" w:themeFillTint="3F"/>
      </w:tcPr>
    </w:tblStylePr>
    <w:tblStylePr w:type="band1Horz">
      <w:tblPr/>
      <w:tcPr>
        <w:tcBorders>
          <w:insideH w:val="nil"/>
          <w:insideV w:val="nil"/>
        </w:tcBorders>
        <w:shd w:val="clear" w:color="auto" w:fill="DEEEF4"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unhideWhenUsed/>
    <w:rsid w:val="009637A8"/>
    <w:pPr>
      <w:spacing w:after="0" w:line="240" w:lineRule="auto"/>
    </w:pPr>
    <w:tblPr>
      <w:tblStyleRowBandSize w:val="1"/>
      <w:tblStyleColBandSize w:val="1"/>
      <w:tblBorders>
        <w:top w:val="single" w:sz="8" w:space="0" w:color="64B675" w:themeColor="accent6" w:themeTint="BF"/>
        <w:left w:val="single" w:sz="8" w:space="0" w:color="64B675" w:themeColor="accent6" w:themeTint="BF"/>
        <w:bottom w:val="single" w:sz="8" w:space="0" w:color="64B675" w:themeColor="accent6" w:themeTint="BF"/>
        <w:right w:val="single" w:sz="8" w:space="0" w:color="64B675" w:themeColor="accent6" w:themeTint="BF"/>
        <w:insideH w:val="single" w:sz="8" w:space="0" w:color="64B675" w:themeColor="accent6" w:themeTint="BF"/>
      </w:tblBorders>
    </w:tblPr>
    <w:tblStylePr w:type="firstRow">
      <w:pPr>
        <w:spacing w:before="0" w:after="0" w:line="240" w:lineRule="auto"/>
      </w:pPr>
      <w:rPr>
        <w:b/>
        <w:bCs/>
        <w:color w:val="FFFFFF" w:themeColor="background1"/>
      </w:rPr>
      <w:tblPr/>
      <w:tcPr>
        <w:tcBorders>
          <w:top w:val="single" w:sz="8" w:space="0" w:color="64B675" w:themeColor="accent6" w:themeTint="BF"/>
          <w:left w:val="single" w:sz="8" w:space="0" w:color="64B675" w:themeColor="accent6" w:themeTint="BF"/>
          <w:bottom w:val="single" w:sz="8" w:space="0" w:color="64B675" w:themeColor="accent6" w:themeTint="BF"/>
          <w:right w:val="single" w:sz="8" w:space="0" w:color="64B675" w:themeColor="accent6" w:themeTint="BF"/>
          <w:insideH w:val="nil"/>
          <w:insideV w:val="nil"/>
        </w:tcBorders>
        <w:shd w:val="clear" w:color="auto" w:fill="428D52" w:themeFill="accent6"/>
      </w:tcPr>
    </w:tblStylePr>
    <w:tblStylePr w:type="lastRow">
      <w:pPr>
        <w:spacing w:before="0" w:after="0" w:line="240" w:lineRule="auto"/>
      </w:pPr>
      <w:rPr>
        <w:b/>
        <w:bCs/>
      </w:rPr>
      <w:tblPr/>
      <w:tcPr>
        <w:tcBorders>
          <w:top w:val="double" w:sz="6" w:space="0" w:color="64B675" w:themeColor="accent6" w:themeTint="BF"/>
          <w:left w:val="single" w:sz="8" w:space="0" w:color="64B675" w:themeColor="accent6" w:themeTint="BF"/>
          <w:bottom w:val="single" w:sz="8" w:space="0" w:color="64B675" w:themeColor="accent6" w:themeTint="BF"/>
          <w:right w:val="single" w:sz="8" w:space="0" w:color="64B675" w:themeColor="accent6" w:themeTint="BF"/>
          <w:insideH w:val="nil"/>
          <w:insideV w:val="nil"/>
        </w:tcBorders>
      </w:tcPr>
    </w:tblStylePr>
    <w:tblStylePr w:type="firstCol">
      <w:rPr>
        <w:b/>
        <w:bCs/>
      </w:rPr>
    </w:tblStylePr>
    <w:tblStylePr w:type="lastCol">
      <w:rPr>
        <w:b/>
        <w:bCs/>
      </w:rPr>
    </w:tblStylePr>
    <w:tblStylePr w:type="band1Vert">
      <w:tblPr/>
      <w:tcPr>
        <w:shd w:val="clear" w:color="auto" w:fill="CBE7D1" w:themeFill="accent6" w:themeFillTint="3F"/>
      </w:tcPr>
    </w:tblStylePr>
    <w:tblStylePr w:type="band1Horz">
      <w:tblPr/>
      <w:tcPr>
        <w:tcBorders>
          <w:insideH w:val="nil"/>
          <w:insideV w:val="nil"/>
        </w:tcBorders>
        <w:shd w:val="clear" w:color="auto" w:fill="CBE7D1"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unhideWhenUsed/>
    <w:rsid w:val="009637A8"/>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semiHidden/>
    <w:unhideWhenUsed/>
    <w:rsid w:val="009637A8"/>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D85BE"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D85BE" w:themeFill="accent1"/>
      </w:tcPr>
    </w:tblStylePr>
    <w:tblStylePr w:type="lastCol">
      <w:rPr>
        <w:b/>
        <w:bCs/>
        <w:color w:val="FFFFFF" w:themeColor="background1"/>
      </w:rPr>
      <w:tblPr/>
      <w:tcPr>
        <w:tcBorders>
          <w:left w:val="nil"/>
          <w:right w:val="nil"/>
          <w:insideH w:val="nil"/>
          <w:insideV w:val="nil"/>
        </w:tcBorders>
        <w:shd w:val="clear" w:color="auto" w:fill="9D85BE"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semiHidden/>
    <w:unhideWhenUsed/>
    <w:rsid w:val="009637A8"/>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D7D7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D7D7D" w:themeFill="accent2"/>
      </w:tcPr>
    </w:tblStylePr>
    <w:tblStylePr w:type="lastCol">
      <w:rPr>
        <w:b/>
        <w:bCs/>
        <w:color w:val="FFFFFF" w:themeColor="background1"/>
      </w:rPr>
      <w:tblPr/>
      <w:tcPr>
        <w:tcBorders>
          <w:left w:val="nil"/>
          <w:right w:val="nil"/>
          <w:insideH w:val="nil"/>
          <w:insideV w:val="nil"/>
        </w:tcBorders>
        <w:shd w:val="clear" w:color="auto" w:fill="7D7D7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semiHidden/>
    <w:unhideWhenUsed/>
    <w:rsid w:val="009637A8"/>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8C8C8"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8C8C8" w:themeFill="accent3"/>
      </w:tcPr>
    </w:tblStylePr>
    <w:tblStylePr w:type="lastCol">
      <w:rPr>
        <w:b/>
        <w:bCs/>
        <w:color w:val="FFFFFF" w:themeColor="background1"/>
      </w:rPr>
      <w:tblPr/>
      <w:tcPr>
        <w:tcBorders>
          <w:left w:val="nil"/>
          <w:right w:val="nil"/>
          <w:insideH w:val="nil"/>
          <w:insideV w:val="nil"/>
        </w:tcBorders>
        <w:shd w:val="clear" w:color="auto" w:fill="C8C8C8"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semiHidden/>
    <w:unhideWhenUsed/>
    <w:rsid w:val="009637A8"/>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6A9F"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6A9F" w:themeFill="accent4"/>
      </w:tcPr>
    </w:tblStylePr>
    <w:tblStylePr w:type="lastCol">
      <w:rPr>
        <w:b/>
        <w:bCs/>
        <w:color w:val="FFFFFF" w:themeColor="background1"/>
      </w:rPr>
      <w:tblPr/>
      <w:tcPr>
        <w:tcBorders>
          <w:left w:val="nil"/>
          <w:right w:val="nil"/>
          <w:insideH w:val="nil"/>
          <w:insideV w:val="nil"/>
        </w:tcBorders>
        <w:shd w:val="clear" w:color="auto" w:fill="006A9F"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semiHidden/>
    <w:unhideWhenUsed/>
    <w:rsid w:val="009637A8"/>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BBDD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BBDD6" w:themeFill="accent5"/>
      </w:tcPr>
    </w:tblStylePr>
    <w:tblStylePr w:type="lastCol">
      <w:rPr>
        <w:b/>
        <w:bCs/>
        <w:color w:val="FFFFFF" w:themeColor="background1"/>
      </w:rPr>
      <w:tblPr/>
      <w:tcPr>
        <w:tcBorders>
          <w:left w:val="nil"/>
          <w:right w:val="nil"/>
          <w:insideH w:val="nil"/>
          <w:insideV w:val="nil"/>
        </w:tcBorders>
        <w:shd w:val="clear" w:color="auto" w:fill="7BBDD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semiHidden/>
    <w:unhideWhenUsed/>
    <w:rsid w:val="009637A8"/>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28D52"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28D52" w:themeFill="accent6"/>
      </w:tcPr>
    </w:tblStylePr>
    <w:tblStylePr w:type="lastCol">
      <w:rPr>
        <w:b/>
        <w:bCs/>
        <w:color w:val="FFFFFF" w:themeColor="background1"/>
      </w:rPr>
      <w:tblPr/>
      <w:tcPr>
        <w:tcBorders>
          <w:left w:val="nil"/>
          <w:right w:val="nil"/>
          <w:insideH w:val="nil"/>
          <w:insideV w:val="nil"/>
        </w:tcBorders>
        <w:shd w:val="clear" w:color="auto" w:fill="428D52"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styleId="Mention">
    <w:name w:val="Mention"/>
    <w:basedOn w:val="DefaultParagraphFont"/>
    <w:uiPriority w:val="99"/>
    <w:unhideWhenUsed/>
    <w:rsid w:val="009637A8"/>
    <w:rPr>
      <w:color w:val="000000"/>
      <w:shd w:val="clear" w:color="auto" w:fill="E1DFDD"/>
    </w:rPr>
  </w:style>
  <w:style w:type="paragraph" w:styleId="MessageHeader">
    <w:name w:val="Message Header"/>
    <w:basedOn w:val="Normal"/>
    <w:link w:val="MessageHeaderChar"/>
    <w:uiPriority w:val="99"/>
    <w:semiHidden/>
    <w:unhideWhenUsed/>
    <w:rsid w:val="009637A8"/>
    <w:pPr>
      <w:pBdr>
        <w:top w:val="single" w:sz="6" w:space="1" w:color="auto"/>
        <w:left w:val="single" w:sz="6" w:space="1" w:color="auto"/>
        <w:bottom w:val="single" w:sz="6" w:space="1" w:color="auto"/>
        <w:right w:val="single" w:sz="6" w:space="1" w:color="auto"/>
      </w:pBdr>
      <w:shd w:val="pct20" w:color="auto" w:fill="auto"/>
      <w:spacing w:after="0"/>
      <w:ind w:left="1134" w:hanging="1134"/>
    </w:pPr>
    <w:rPr>
      <w:rFonts w:eastAsiaTheme="majorEastAsia"/>
      <w:sz w:val="24"/>
      <w:szCs w:val="24"/>
    </w:rPr>
  </w:style>
  <w:style w:type="character" w:customStyle="1" w:styleId="MessageHeaderChar">
    <w:name w:val="Message Header Char"/>
    <w:basedOn w:val="DefaultParagraphFont"/>
    <w:link w:val="MessageHeader"/>
    <w:uiPriority w:val="99"/>
    <w:semiHidden/>
    <w:rsid w:val="009637A8"/>
    <w:rPr>
      <w:rFonts w:ascii="Arial" w:eastAsiaTheme="majorEastAsia" w:hAnsi="Arial" w:cs="Arial"/>
      <w:color w:val="000000"/>
      <w:sz w:val="24"/>
      <w:szCs w:val="24"/>
      <w:shd w:val="pct20" w:color="auto" w:fill="auto"/>
    </w:rPr>
  </w:style>
  <w:style w:type="paragraph" w:styleId="NoSpacing">
    <w:name w:val="No Spacing"/>
    <w:uiPriority w:val="1"/>
    <w:qFormat/>
    <w:rsid w:val="009637A8"/>
    <w:pPr>
      <w:spacing w:after="0" w:line="240" w:lineRule="auto"/>
    </w:pPr>
    <w:rPr>
      <w:rFonts w:ascii="Arial" w:hAnsi="Arial" w:cs="Arial"/>
      <w:color w:val="000000"/>
    </w:rPr>
  </w:style>
  <w:style w:type="paragraph" w:styleId="NormalWeb">
    <w:name w:val="Normal (Web)"/>
    <w:basedOn w:val="Normal"/>
    <w:uiPriority w:val="99"/>
    <w:unhideWhenUsed/>
    <w:rsid w:val="009637A8"/>
    <w:pPr>
      <w:spacing w:after="160" w:line="259" w:lineRule="auto"/>
    </w:pPr>
    <w:rPr>
      <w:sz w:val="24"/>
      <w:szCs w:val="24"/>
    </w:rPr>
  </w:style>
  <w:style w:type="paragraph" w:styleId="NormalIndent">
    <w:name w:val="Normal Indent"/>
    <w:basedOn w:val="Normal"/>
    <w:uiPriority w:val="99"/>
    <w:semiHidden/>
    <w:unhideWhenUsed/>
    <w:rsid w:val="009637A8"/>
    <w:pPr>
      <w:spacing w:after="160" w:line="259" w:lineRule="auto"/>
      <w:ind w:left="720"/>
    </w:pPr>
  </w:style>
  <w:style w:type="paragraph" w:styleId="NoteHeading">
    <w:name w:val="Note Heading"/>
    <w:basedOn w:val="Normal"/>
    <w:next w:val="Normal"/>
    <w:link w:val="NoteHeadingChar"/>
    <w:uiPriority w:val="99"/>
    <w:semiHidden/>
    <w:unhideWhenUsed/>
    <w:rsid w:val="009637A8"/>
    <w:pPr>
      <w:spacing w:after="0"/>
    </w:pPr>
  </w:style>
  <w:style w:type="character" w:customStyle="1" w:styleId="NoteHeadingChar">
    <w:name w:val="Note Heading Char"/>
    <w:basedOn w:val="DefaultParagraphFont"/>
    <w:link w:val="NoteHeading"/>
    <w:uiPriority w:val="99"/>
    <w:semiHidden/>
    <w:rsid w:val="009637A8"/>
    <w:rPr>
      <w:rFonts w:ascii="Arial" w:hAnsi="Arial" w:cs="Arial"/>
      <w:color w:val="000000"/>
      <w:sz w:val="19"/>
    </w:rPr>
  </w:style>
  <w:style w:type="character" w:styleId="PageNumber">
    <w:name w:val="page number"/>
    <w:basedOn w:val="DefaultParagraphFont"/>
    <w:uiPriority w:val="99"/>
    <w:semiHidden/>
    <w:unhideWhenUsed/>
    <w:rsid w:val="009637A8"/>
    <w:rPr>
      <w:color w:val="000000"/>
    </w:rPr>
  </w:style>
  <w:style w:type="character" w:styleId="PlaceholderText">
    <w:name w:val="Placeholder Text"/>
    <w:basedOn w:val="DefaultParagraphFont"/>
    <w:uiPriority w:val="99"/>
    <w:semiHidden/>
    <w:rsid w:val="009637A8"/>
    <w:rPr>
      <w:color w:val="000000"/>
    </w:rPr>
  </w:style>
  <w:style w:type="table" w:styleId="PlainTable1">
    <w:name w:val="Plain Table 1"/>
    <w:basedOn w:val="TableNormal"/>
    <w:uiPriority w:val="41"/>
    <w:rsid w:val="009637A8"/>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9637A8"/>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9637A8"/>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9637A8"/>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9637A8"/>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PlainText">
    <w:name w:val="Plain Text"/>
    <w:basedOn w:val="Normal"/>
    <w:link w:val="PlainTextChar"/>
    <w:uiPriority w:val="99"/>
    <w:semiHidden/>
    <w:unhideWhenUsed/>
    <w:rsid w:val="009637A8"/>
    <w:pPr>
      <w:spacing w:after="0"/>
    </w:pPr>
    <w:rPr>
      <w:sz w:val="21"/>
      <w:szCs w:val="21"/>
    </w:rPr>
  </w:style>
  <w:style w:type="character" w:customStyle="1" w:styleId="PlainTextChar">
    <w:name w:val="Plain Text Char"/>
    <w:basedOn w:val="DefaultParagraphFont"/>
    <w:link w:val="PlainText"/>
    <w:uiPriority w:val="99"/>
    <w:semiHidden/>
    <w:rsid w:val="009637A8"/>
    <w:rPr>
      <w:rFonts w:ascii="Arial" w:hAnsi="Arial" w:cs="Arial"/>
      <w:color w:val="000000"/>
      <w:sz w:val="21"/>
      <w:szCs w:val="21"/>
    </w:rPr>
  </w:style>
  <w:style w:type="paragraph" w:styleId="Quote">
    <w:name w:val="Quote"/>
    <w:basedOn w:val="Normal"/>
    <w:next w:val="Normal"/>
    <w:link w:val="QuoteChar"/>
    <w:uiPriority w:val="29"/>
    <w:qFormat/>
    <w:rsid w:val="0020185D"/>
    <w:pPr>
      <w:spacing w:before="120" w:after="120"/>
      <w:ind w:left="420"/>
    </w:pPr>
    <w:rPr>
      <w:rFonts w:cstheme="minorBidi"/>
      <w:i/>
      <w:iCs/>
    </w:rPr>
  </w:style>
  <w:style w:type="character" w:customStyle="1" w:styleId="QuoteChar">
    <w:name w:val="Quote Char"/>
    <w:basedOn w:val="DefaultParagraphFont"/>
    <w:link w:val="Quote"/>
    <w:uiPriority w:val="29"/>
    <w:rsid w:val="0020185D"/>
    <w:rPr>
      <w:rFonts w:ascii="Arial" w:hAnsi="Arial"/>
      <w:i/>
      <w:iCs/>
      <w:color w:val="000000"/>
      <w:sz w:val="19"/>
    </w:rPr>
  </w:style>
  <w:style w:type="paragraph" w:styleId="Salutation">
    <w:name w:val="Salutation"/>
    <w:basedOn w:val="Normal"/>
    <w:next w:val="Normal"/>
    <w:link w:val="SalutationChar"/>
    <w:uiPriority w:val="99"/>
    <w:semiHidden/>
    <w:unhideWhenUsed/>
    <w:rsid w:val="009637A8"/>
    <w:pPr>
      <w:spacing w:after="160" w:line="259" w:lineRule="auto"/>
    </w:pPr>
  </w:style>
  <w:style w:type="character" w:customStyle="1" w:styleId="SalutationChar">
    <w:name w:val="Salutation Char"/>
    <w:basedOn w:val="DefaultParagraphFont"/>
    <w:link w:val="Salutation"/>
    <w:uiPriority w:val="99"/>
    <w:semiHidden/>
    <w:rsid w:val="009637A8"/>
    <w:rPr>
      <w:rFonts w:ascii="Arial" w:hAnsi="Arial" w:cs="Arial"/>
      <w:color w:val="000000"/>
      <w:sz w:val="19"/>
    </w:rPr>
  </w:style>
  <w:style w:type="paragraph" w:styleId="Signature">
    <w:name w:val="Signature"/>
    <w:basedOn w:val="Normal"/>
    <w:link w:val="SignatureChar"/>
    <w:uiPriority w:val="99"/>
    <w:semiHidden/>
    <w:unhideWhenUsed/>
    <w:rsid w:val="009637A8"/>
    <w:pPr>
      <w:spacing w:after="0"/>
      <w:ind w:left="4252"/>
    </w:pPr>
  </w:style>
  <w:style w:type="character" w:customStyle="1" w:styleId="SignatureChar">
    <w:name w:val="Signature Char"/>
    <w:basedOn w:val="DefaultParagraphFont"/>
    <w:link w:val="Signature"/>
    <w:uiPriority w:val="99"/>
    <w:semiHidden/>
    <w:rsid w:val="009637A8"/>
    <w:rPr>
      <w:rFonts w:ascii="Arial" w:hAnsi="Arial" w:cs="Arial"/>
      <w:color w:val="000000"/>
      <w:sz w:val="19"/>
    </w:rPr>
  </w:style>
  <w:style w:type="character" w:styleId="SmartHyperlink">
    <w:name w:val="Smart Hyperlink"/>
    <w:basedOn w:val="DefaultParagraphFont"/>
    <w:uiPriority w:val="99"/>
    <w:semiHidden/>
    <w:unhideWhenUsed/>
    <w:rsid w:val="009637A8"/>
    <w:rPr>
      <w:color w:val="000000"/>
      <w:u w:val="dotted"/>
    </w:rPr>
  </w:style>
  <w:style w:type="character" w:styleId="SmartLink">
    <w:name w:val="Smart Link"/>
    <w:basedOn w:val="DefaultParagraphFont"/>
    <w:uiPriority w:val="99"/>
    <w:semiHidden/>
    <w:unhideWhenUsed/>
    <w:rsid w:val="009637A8"/>
    <w:rPr>
      <w:color w:val="000000"/>
      <w:u w:val="single"/>
      <w:shd w:val="clear" w:color="auto" w:fill="F3F2F1"/>
    </w:rPr>
  </w:style>
  <w:style w:type="character" w:styleId="Strong">
    <w:name w:val="Strong"/>
    <w:basedOn w:val="DefaultParagraphFont"/>
    <w:uiPriority w:val="22"/>
    <w:qFormat/>
    <w:rsid w:val="009637A8"/>
    <w:rPr>
      <w:b/>
      <w:bCs/>
      <w:color w:val="000000"/>
    </w:rPr>
  </w:style>
  <w:style w:type="paragraph" w:styleId="Subtitle">
    <w:name w:val="Subtitle"/>
    <w:basedOn w:val="Normal"/>
    <w:next w:val="Normal"/>
    <w:link w:val="SubtitleChar"/>
    <w:uiPriority w:val="11"/>
    <w:qFormat/>
    <w:rsid w:val="009637A8"/>
    <w:pPr>
      <w:numPr>
        <w:ilvl w:val="1"/>
      </w:numPr>
      <w:spacing w:after="160" w:line="259" w:lineRule="auto"/>
    </w:pPr>
    <w:rPr>
      <w:rFonts w:eastAsiaTheme="minorEastAsia"/>
      <w:spacing w:val="15"/>
    </w:rPr>
  </w:style>
  <w:style w:type="character" w:customStyle="1" w:styleId="SubtitleChar">
    <w:name w:val="Subtitle Char"/>
    <w:basedOn w:val="DefaultParagraphFont"/>
    <w:link w:val="Subtitle"/>
    <w:uiPriority w:val="11"/>
    <w:rsid w:val="009637A8"/>
    <w:rPr>
      <w:rFonts w:ascii="Arial" w:eastAsiaTheme="minorEastAsia" w:hAnsi="Arial" w:cs="Arial"/>
      <w:color w:val="000000"/>
      <w:spacing w:val="15"/>
      <w:sz w:val="19"/>
    </w:rPr>
  </w:style>
  <w:style w:type="character" w:styleId="SubtleEmphasis">
    <w:name w:val="Subtle Emphasis"/>
    <w:basedOn w:val="DefaultParagraphFont"/>
    <w:uiPriority w:val="19"/>
    <w:qFormat/>
    <w:rsid w:val="009637A8"/>
    <w:rPr>
      <w:i/>
      <w:iCs/>
      <w:color w:val="000000"/>
    </w:rPr>
  </w:style>
  <w:style w:type="character" w:styleId="SubtleReference">
    <w:name w:val="Subtle Reference"/>
    <w:basedOn w:val="DefaultParagraphFont"/>
    <w:uiPriority w:val="31"/>
    <w:qFormat/>
    <w:rsid w:val="009637A8"/>
    <w:rPr>
      <w:smallCaps/>
      <w:color w:val="000000"/>
    </w:rPr>
  </w:style>
  <w:style w:type="table" w:styleId="Table3Deffects1">
    <w:name w:val="Table 3D effects 1"/>
    <w:basedOn w:val="TableNormal"/>
    <w:uiPriority w:val="99"/>
    <w:semiHidden/>
    <w:unhideWhenUsed/>
    <w:rsid w:val="009637A8"/>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unhideWhenUsed/>
    <w:rsid w:val="009637A8"/>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unhideWhenUsed/>
    <w:rsid w:val="009637A8"/>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unhideWhenUsed/>
    <w:rsid w:val="009637A8"/>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unhideWhenUsed/>
    <w:rsid w:val="009637A8"/>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unhideWhenUsed/>
    <w:rsid w:val="009637A8"/>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unhideWhenUsed/>
    <w:rsid w:val="009637A8"/>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unhideWhenUsed/>
    <w:rsid w:val="009637A8"/>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unhideWhenUsed/>
    <w:rsid w:val="009637A8"/>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unhideWhenUsed/>
    <w:rsid w:val="009637A8"/>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unhideWhenUsed/>
    <w:rsid w:val="009637A8"/>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unhideWhenUsed/>
    <w:rsid w:val="009637A8"/>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unhideWhenUsed/>
    <w:rsid w:val="009637A8"/>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unhideWhenUsed/>
    <w:rsid w:val="009637A8"/>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unhideWhenUsed/>
    <w:rsid w:val="009637A8"/>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unhideWhenUsed/>
    <w:rsid w:val="009637A8"/>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unhideWhenUsed/>
    <w:rsid w:val="009637A8"/>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uiPriority w:val="39"/>
    <w:rsid w:val="009637A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1">
    <w:name w:val="Table Grid 1"/>
    <w:basedOn w:val="TableNormal"/>
    <w:uiPriority w:val="99"/>
    <w:semiHidden/>
    <w:unhideWhenUsed/>
    <w:rsid w:val="009637A8"/>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unhideWhenUsed/>
    <w:rsid w:val="009637A8"/>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unhideWhenUsed/>
    <w:rsid w:val="009637A8"/>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unhideWhenUsed/>
    <w:rsid w:val="009637A8"/>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unhideWhenUsed/>
    <w:rsid w:val="009637A8"/>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unhideWhenUsed/>
    <w:rsid w:val="009637A8"/>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unhideWhenUsed/>
    <w:rsid w:val="009637A8"/>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unhideWhenUsed/>
    <w:rsid w:val="009637A8"/>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GridLight">
    <w:name w:val="Grid Table Light"/>
    <w:basedOn w:val="TableNormal"/>
    <w:uiPriority w:val="40"/>
    <w:rsid w:val="009637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List1">
    <w:name w:val="Table List 1"/>
    <w:basedOn w:val="TableNormal"/>
    <w:uiPriority w:val="99"/>
    <w:semiHidden/>
    <w:unhideWhenUsed/>
    <w:rsid w:val="009637A8"/>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unhideWhenUsed/>
    <w:rsid w:val="009637A8"/>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unhideWhenUsed/>
    <w:rsid w:val="009637A8"/>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unhideWhenUsed/>
    <w:rsid w:val="009637A8"/>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unhideWhenUsed/>
    <w:rsid w:val="009637A8"/>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unhideWhenUsed/>
    <w:rsid w:val="009637A8"/>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unhideWhenUsed/>
    <w:rsid w:val="009637A8"/>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unhideWhenUsed/>
    <w:rsid w:val="009637A8"/>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uiPriority w:val="99"/>
    <w:unhideWhenUsed/>
    <w:rsid w:val="007A77EC"/>
    <w:pPr>
      <w:tabs>
        <w:tab w:val="right" w:pos="7643"/>
      </w:tabs>
      <w:spacing w:after="0" w:line="259" w:lineRule="auto"/>
      <w:ind w:left="1164" w:hanging="1164"/>
    </w:pPr>
  </w:style>
  <w:style w:type="paragraph" w:styleId="TableofFigures">
    <w:name w:val="table of figures"/>
    <w:basedOn w:val="Normal"/>
    <w:next w:val="Normal"/>
    <w:uiPriority w:val="99"/>
    <w:unhideWhenUsed/>
    <w:rsid w:val="00B9265D"/>
    <w:pPr>
      <w:tabs>
        <w:tab w:val="right" w:pos="7643"/>
      </w:tabs>
      <w:spacing w:before="0" w:after="0" w:line="260" w:lineRule="exact"/>
      <w:ind w:left="1536" w:right="851" w:hanging="1536"/>
    </w:pPr>
  </w:style>
  <w:style w:type="table" w:styleId="TableProfessional">
    <w:name w:val="Table Professional"/>
    <w:basedOn w:val="TableNormal"/>
    <w:uiPriority w:val="99"/>
    <w:semiHidden/>
    <w:unhideWhenUsed/>
    <w:rsid w:val="009637A8"/>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unhideWhenUsed/>
    <w:rsid w:val="009637A8"/>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unhideWhenUsed/>
    <w:rsid w:val="009637A8"/>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unhideWhenUsed/>
    <w:rsid w:val="009637A8"/>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unhideWhenUsed/>
    <w:rsid w:val="009637A8"/>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unhideWhenUsed/>
    <w:rsid w:val="009637A8"/>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unhideWhenUsed/>
    <w:rsid w:val="009637A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unhideWhenUsed/>
    <w:rsid w:val="009637A8"/>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unhideWhenUsed/>
    <w:rsid w:val="009637A8"/>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unhideWhenUsed/>
    <w:rsid w:val="009637A8"/>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next w:val="Normal"/>
    <w:link w:val="TitleChar"/>
    <w:uiPriority w:val="10"/>
    <w:qFormat/>
    <w:rsid w:val="009637A8"/>
    <w:pPr>
      <w:spacing w:after="0"/>
      <w:contextualSpacing/>
    </w:pPr>
    <w:rPr>
      <w:rFonts w:eastAsiaTheme="majorEastAsia"/>
      <w:spacing w:val="-10"/>
      <w:kern w:val="28"/>
      <w:sz w:val="56"/>
      <w:szCs w:val="56"/>
    </w:rPr>
  </w:style>
  <w:style w:type="character" w:customStyle="1" w:styleId="TitleChar">
    <w:name w:val="Title Char"/>
    <w:basedOn w:val="DefaultParagraphFont"/>
    <w:link w:val="Title"/>
    <w:uiPriority w:val="10"/>
    <w:rsid w:val="009637A8"/>
    <w:rPr>
      <w:rFonts w:ascii="Arial" w:eastAsiaTheme="majorEastAsia" w:hAnsi="Arial" w:cs="Arial"/>
      <w:color w:val="000000"/>
      <w:spacing w:val="-10"/>
      <w:kern w:val="28"/>
      <w:sz w:val="56"/>
      <w:szCs w:val="56"/>
    </w:rPr>
  </w:style>
  <w:style w:type="paragraph" w:styleId="TOAHeading">
    <w:name w:val="toa heading"/>
    <w:basedOn w:val="Normal"/>
    <w:next w:val="Normal"/>
    <w:uiPriority w:val="99"/>
    <w:semiHidden/>
    <w:unhideWhenUsed/>
    <w:rsid w:val="009637A8"/>
    <w:pPr>
      <w:spacing w:before="120" w:after="160" w:line="259" w:lineRule="auto"/>
    </w:pPr>
    <w:rPr>
      <w:rFonts w:eastAsiaTheme="majorEastAsia"/>
      <w:b/>
      <w:bCs/>
      <w:sz w:val="24"/>
      <w:szCs w:val="24"/>
    </w:rPr>
  </w:style>
  <w:style w:type="paragraph" w:styleId="TOC1">
    <w:name w:val="toc 1"/>
    <w:basedOn w:val="Normal"/>
    <w:next w:val="Normal"/>
    <w:uiPriority w:val="39"/>
    <w:rsid w:val="00C62B89"/>
    <w:pPr>
      <w:tabs>
        <w:tab w:val="right" w:pos="7643"/>
      </w:tabs>
      <w:spacing w:before="240" w:after="120"/>
    </w:pPr>
    <w:rPr>
      <w:rFonts w:eastAsia="Yu Gothic Medium"/>
      <w:b/>
      <w:noProof/>
      <w:color w:val="6C3E99"/>
      <w:sz w:val="24"/>
    </w:rPr>
  </w:style>
  <w:style w:type="paragraph" w:styleId="TOC2">
    <w:name w:val="toc 2"/>
    <w:basedOn w:val="Normal"/>
    <w:next w:val="Normal"/>
    <w:uiPriority w:val="39"/>
    <w:rsid w:val="00B9265D"/>
    <w:pPr>
      <w:keepNext/>
      <w:tabs>
        <w:tab w:val="right" w:pos="7643"/>
      </w:tabs>
      <w:spacing w:before="160" w:after="80"/>
      <w:ind w:left="561" w:right="851" w:hanging="561"/>
    </w:pPr>
    <w:rPr>
      <w:rFonts w:eastAsia="Yu Gothic Medium"/>
      <w:b/>
      <w:noProof/>
      <w:sz w:val="24"/>
    </w:rPr>
  </w:style>
  <w:style w:type="paragraph" w:styleId="TOC3">
    <w:name w:val="toc 3"/>
    <w:basedOn w:val="Normal"/>
    <w:next w:val="Normal"/>
    <w:uiPriority w:val="39"/>
    <w:rsid w:val="00B9265D"/>
    <w:pPr>
      <w:tabs>
        <w:tab w:val="right" w:pos="7643"/>
      </w:tabs>
      <w:spacing w:before="0" w:after="0"/>
      <w:ind w:left="1122" w:right="851" w:hanging="561"/>
    </w:pPr>
    <w:rPr>
      <w:rFonts w:cstheme="minorBidi"/>
      <w:noProof/>
      <w:position w:val="-6"/>
      <w:sz w:val="22"/>
    </w:rPr>
  </w:style>
  <w:style w:type="paragraph" w:styleId="TOC4">
    <w:name w:val="toc 4"/>
    <w:basedOn w:val="Normal"/>
    <w:next w:val="Normal"/>
    <w:uiPriority w:val="39"/>
    <w:rsid w:val="00B9265D"/>
    <w:pPr>
      <w:tabs>
        <w:tab w:val="right" w:pos="7643"/>
      </w:tabs>
      <w:spacing w:before="0" w:after="60" w:line="260" w:lineRule="atLeast"/>
      <w:ind w:left="1684" w:right="851" w:hanging="561"/>
      <w:contextualSpacing/>
    </w:pPr>
    <w:rPr>
      <w:rFonts w:cstheme="minorBidi"/>
      <w:noProof/>
      <w:sz w:val="20"/>
    </w:rPr>
  </w:style>
  <w:style w:type="paragraph" w:styleId="TOC5">
    <w:name w:val="toc 5"/>
    <w:basedOn w:val="Normal"/>
    <w:next w:val="Normal"/>
    <w:uiPriority w:val="39"/>
    <w:rsid w:val="00A85EB6"/>
    <w:pPr>
      <w:tabs>
        <w:tab w:val="right" w:pos="5670"/>
      </w:tabs>
      <w:spacing w:after="32"/>
      <w:ind w:left="454" w:right="283" w:hanging="454"/>
    </w:pPr>
    <w:rPr>
      <w:rFonts w:cstheme="minorBidi"/>
      <w:noProof/>
      <w:spacing w:val="-4"/>
      <w:sz w:val="21"/>
    </w:rPr>
  </w:style>
  <w:style w:type="paragraph" w:styleId="TOC6">
    <w:name w:val="toc 6"/>
    <w:basedOn w:val="Normal"/>
    <w:next w:val="Normal"/>
    <w:uiPriority w:val="39"/>
    <w:rsid w:val="00A85EB6"/>
    <w:pPr>
      <w:numPr>
        <w:ilvl w:val="5"/>
        <w:numId w:val="16"/>
      </w:numPr>
      <w:pBdr>
        <w:bottom w:val="single" w:sz="4" w:space="1" w:color="auto"/>
        <w:between w:val="single" w:sz="4" w:space="1" w:color="auto"/>
      </w:pBdr>
      <w:tabs>
        <w:tab w:val="right" w:pos="5670"/>
      </w:tabs>
      <w:spacing w:before="240" w:after="0" w:line="240" w:lineRule="exact"/>
      <w:ind w:left="0" w:firstLine="0"/>
    </w:pPr>
    <w:rPr>
      <w:rFonts w:cstheme="minorBidi"/>
      <w:noProof/>
      <w:sz w:val="20"/>
    </w:rPr>
  </w:style>
  <w:style w:type="paragraph" w:styleId="TOC7">
    <w:name w:val="toc 7"/>
    <w:basedOn w:val="Normal"/>
    <w:next w:val="Normal"/>
    <w:uiPriority w:val="39"/>
    <w:rsid w:val="00A85EB6"/>
    <w:pPr>
      <w:keepNext/>
      <w:numPr>
        <w:ilvl w:val="6"/>
        <w:numId w:val="16"/>
      </w:numPr>
      <w:spacing w:before="240" w:after="0" w:line="240" w:lineRule="exact"/>
      <w:contextualSpacing/>
    </w:pPr>
    <w:rPr>
      <w:rFonts w:eastAsia="Yu Gothic Medium"/>
      <w:b/>
      <w:sz w:val="24"/>
    </w:rPr>
  </w:style>
  <w:style w:type="paragraph" w:styleId="TOC8">
    <w:name w:val="toc 8"/>
    <w:basedOn w:val="Normal"/>
    <w:next w:val="Normal"/>
    <w:uiPriority w:val="39"/>
    <w:rsid w:val="00A85EB6"/>
    <w:pPr>
      <w:tabs>
        <w:tab w:val="right" w:pos="8478"/>
      </w:tabs>
      <w:spacing w:after="100"/>
      <w:contextualSpacing/>
    </w:pPr>
    <w:rPr>
      <w:rFonts w:cstheme="minorBidi"/>
      <w:noProof/>
      <w:sz w:val="18"/>
    </w:rPr>
  </w:style>
  <w:style w:type="paragraph" w:styleId="TOC9">
    <w:name w:val="toc 9"/>
    <w:basedOn w:val="Normal"/>
    <w:next w:val="Normal"/>
    <w:uiPriority w:val="39"/>
    <w:rsid w:val="00A85EB6"/>
    <w:pPr>
      <w:spacing w:after="100"/>
    </w:pPr>
    <w:rPr>
      <w:rFonts w:cstheme="minorBidi"/>
      <w:spacing w:val="-4"/>
    </w:rPr>
  </w:style>
  <w:style w:type="paragraph" w:styleId="TOCHeading">
    <w:name w:val="TOC Heading"/>
    <w:basedOn w:val="Heading1"/>
    <w:next w:val="Normal"/>
    <w:uiPriority w:val="39"/>
    <w:unhideWhenUsed/>
    <w:qFormat/>
    <w:rsid w:val="00A53217"/>
    <w:pPr>
      <w:numPr>
        <w:numId w:val="0"/>
      </w:numPr>
      <w:spacing w:before="200" w:after="800" w:line="240" w:lineRule="auto"/>
    </w:pPr>
    <w:rPr>
      <w:rFonts w:eastAsia="Yu Gothic Medium"/>
      <w:color w:val="6C3E99"/>
    </w:rPr>
  </w:style>
  <w:style w:type="character" w:styleId="UnresolvedMention">
    <w:name w:val="Unresolved Mention"/>
    <w:basedOn w:val="DefaultParagraphFont"/>
    <w:uiPriority w:val="99"/>
    <w:semiHidden/>
    <w:unhideWhenUsed/>
    <w:rsid w:val="009637A8"/>
    <w:rPr>
      <w:color w:val="000000"/>
      <w:shd w:val="clear" w:color="auto" w:fill="E1DFDD"/>
    </w:rPr>
  </w:style>
  <w:style w:type="numbering" w:customStyle="1" w:styleId="aaclstStyleBullets">
    <w:name w:val="aac_lstStyle_Bullets"/>
    <w:uiPriority w:val="99"/>
    <w:rsid w:val="000F76C4"/>
    <w:pPr>
      <w:numPr>
        <w:numId w:val="5"/>
      </w:numPr>
    </w:pPr>
  </w:style>
  <w:style w:type="numbering" w:customStyle="1" w:styleId="aaclstStyleListNumber">
    <w:name w:val="aac_lstStyle_ListNumber"/>
    <w:uiPriority w:val="99"/>
    <w:rsid w:val="00303C43"/>
    <w:pPr>
      <w:numPr>
        <w:numId w:val="6"/>
      </w:numPr>
    </w:pPr>
  </w:style>
  <w:style w:type="numbering" w:customStyle="1" w:styleId="aaclstStyleHeadingNumbered">
    <w:name w:val="aac_lstStyle_HeadingNumbered"/>
    <w:uiPriority w:val="99"/>
    <w:rsid w:val="00B44DDB"/>
    <w:pPr>
      <w:numPr>
        <w:numId w:val="7"/>
      </w:numPr>
    </w:pPr>
  </w:style>
  <w:style w:type="paragraph" w:customStyle="1" w:styleId="Normal-nospace">
    <w:name w:val="Normal - no space"/>
    <w:basedOn w:val="Normal"/>
    <w:link w:val="Normal-nospaceChar"/>
    <w:qFormat/>
    <w:rsid w:val="00DF3BD9"/>
    <w:pPr>
      <w:spacing w:before="0" w:after="0"/>
    </w:pPr>
  </w:style>
  <w:style w:type="paragraph" w:customStyle="1" w:styleId="Heading2ES">
    <w:name w:val="Heading 2 (ES)"/>
    <w:basedOn w:val="Normal-nospace"/>
    <w:next w:val="BodyText"/>
    <w:qFormat/>
    <w:rsid w:val="00A27AFA"/>
    <w:pPr>
      <w:keepNext/>
      <w:numPr>
        <w:ilvl w:val="1"/>
        <w:numId w:val="33"/>
      </w:numPr>
      <w:pBdr>
        <w:bottom w:val="single" w:sz="4" w:space="1" w:color="6C3E99"/>
      </w:pBdr>
      <w:spacing w:before="240" w:after="216"/>
    </w:pPr>
    <w:rPr>
      <w:b/>
      <w:color w:val="6C3E99"/>
      <w:sz w:val="28"/>
    </w:rPr>
  </w:style>
  <w:style w:type="paragraph" w:customStyle="1" w:styleId="Introduction">
    <w:name w:val="Introduction"/>
    <w:basedOn w:val="Normal-nospace"/>
    <w:qFormat/>
    <w:rsid w:val="0023326E"/>
    <w:pPr>
      <w:spacing w:before="240" w:after="460" w:line="300" w:lineRule="exact"/>
      <w:ind w:right="120"/>
      <w:contextualSpacing/>
    </w:pPr>
    <w:rPr>
      <w:i/>
      <w:sz w:val="24"/>
    </w:rPr>
  </w:style>
  <w:style w:type="paragraph" w:customStyle="1" w:styleId="Heading3ES">
    <w:name w:val="Heading 3 (ES)"/>
    <w:basedOn w:val="Normal-nospace"/>
    <w:next w:val="BodyText"/>
    <w:qFormat/>
    <w:rsid w:val="00A27AFA"/>
    <w:pPr>
      <w:keepNext/>
      <w:numPr>
        <w:ilvl w:val="2"/>
        <w:numId w:val="33"/>
      </w:numPr>
      <w:pBdr>
        <w:bottom w:val="single" w:sz="4" w:space="0" w:color="000100"/>
      </w:pBdr>
      <w:spacing w:before="240" w:after="160" w:line="240" w:lineRule="atLeast"/>
    </w:pPr>
    <w:rPr>
      <w:b/>
      <w:sz w:val="24"/>
    </w:rPr>
  </w:style>
  <w:style w:type="paragraph" w:customStyle="1" w:styleId="Heading4ES">
    <w:name w:val="Heading 4 (ES)"/>
    <w:basedOn w:val="Normal-nospace"/>
    <w:next w:val="BodyText"/>
    <w:qFormat/>
    <w:rsid w:val="00A27AFA"/>
    <w:pPr>
      <w:keepNext/>
      <w:numPr>
        <w:ilvl w:val="3"/>
        <w:numId w:val="33"/>
      </w:numPr>
      <w:spacing w:before="240" w:after="160" w:line="240" w:lineRule="atLeast"/>
    </w:pPr>
    <w:rPr>
      <w:b/>
      <w:sz w:val="22"/>
    </w:rPr>
  </w:style>
  <w:style w:type="paragraph" w:customStyle="1" w:styleId="Heading5ES">
    <w:name w:val="Heading 5 (ES)"/>
    <w:basedOn w:val="Normal-nospace"/>
    <w:next w:val="BodyText"/>
    <w:qFormat/>
    <w:rsid w:val="00A27AFA"/>
    <w:pPr>
      <w:keepNext/>
      <w:numPr>
        <w:ilvl w:val="4"/>
        <w:numId w:val="33"/>
      </w:numPr>
      <w:spacing w:before="240" w:after="160" w:line="240" w:lineRule="atLeast"/>
    </w:pPr>
    <w:rPr>
      <w:b/>
      <w:i/>
      <w:sz w:val="22"/>
    </w:rPr>
  </w:style>
  <w:style w:type="paragraph" w:customStyle="1" w:styleId="Heading6ES">
    <w:name w:val="Heading 6 (ES)"/>
    <w:basedOn w:val="Normal-nospace"/>
    <w:next w:val="BodyText"/>
    <w:qFormat/>
    <w:rsid w:val="00A27AFA"/>
    <w:pPr>
      <w:keepNext/>
      <w:numPr>
        <w:ilvl w:val="5"/>
        <w:numId w:val="33"/>
      </w:numPr>
      <w:spacing w:before="240" w:after="160" w:line="240" w:lineRule="atLeast"/>
    </w:pPr>
    <w:rPr>
      <w:b/>
      <w:i/>
      <w:sz w:val="22"/>
    </w:rPr>
  </w:style>
  <w:style w:type="numbering" w:customStyle="1" w:styleId="aaclstStyleHeadingsES">
    <w:name w:val="aac_lstStyle_HeadingsES"/>
    <w:uiPriority w:val="99"/>
    <w:rsid w:val="007E495B"/>
    <w:pPr>
      <w:numPr>
        <w:numId w:val="10"/>
      </w:numPr>
    </w:pPr>
  </w:style>
  <w:style w:type="paragraph" w:customStyle="1" w:styleId="Header-CompanyName">
    <w:name w:val="Header-Company Name"/>
    <w:basedOn w:val="Normal-nospace"/>
    <w:qFormat/>
    <w:rsid w:val="00C410BA"/>
    <w:pPr>
      <w:spacing w:before="16" w:line="240" w:lineRule="auto"/>
    </w:pPr>
    <w:rPr>
      <w:sz w:val="14"/>
    </w:rPr>
  </w:style>
  <w:style w:type="paragraph" w:customStyle="1" w:styleId="FooterText">
    <w:name w:val="Footer Text"/>
    <w:basedOn w:val="Normal-nospace"/>
    <w:qFormat/>
    <w:rsid w:val="00880724"/>
    <w:pPr>
      <w:spacing w:line="240" w:lineRule="auto"/>
    </w:pPr>
    <w:rPr>
      <w:rFonts w:eastAsia="Yu Gothic Medium"/>
      <w:spacing w:val="6"/>
      <w:sz w:val="20"/>
    </w:rPr>
  </w:style>
  <w:style w:type="paragraph" w:customStyle="1" w:styleId="pageNumber0">
    <w:name w:val="pageNumber"/>
    <w:basedOn w:val="Normal-nospace"/>
    <w:qFormat/>
    <w:rsid w:val="00624EEC"/>
    <w:pPr>
      <w:spacing w:after="20" w:line="280" w:lineRule="exact"/>
      <w:jc w:val="center"/>
    </w:pPr>
    <w:rPr>
      <w:rFonts w:eastAsia="Yu Gothic Medium"/>
      <w:sz w:val="25"/>
    </w:rPr>
  </w:style>
  <w:style w:type="paragraph" w:customStyle="1" w:styleId="CpTitle">
    <w:name w:val="Cp Title"/>
    <w:basedOn w:val="Normal-nospace"/>
    <w:qFormat/>
    <w:rsid w:val="00E873F8"/>
    <w:pPr>
      <w:spacing w:before="240" w:after="400" w:line="240" w:lineRule="auto"/>
      <w:outlineLvl w:val="0"/>
    </w:pPr>
    <w:rPr>
      <w:b/>
      <w:sz w:val="72"/>
    </w:rPr>
  </w:style>
  <w:style w:type="paragraph" w:customStyle="1" w:styleId="CpSubTitle">
    <w:name w:val="Cp SubTitle"/>
    <w:basedOn w:val="Normalrgb"/>
    <w:qFormat/>
    <w:rsid w:val="00FF7B74"/>
    <w:pPr>
      <w:spacing w:after="400" w:line="240" w:lineRule="auto"/>
    </w:pPr>
    <w:rPr>
      <w:color w:val="000000"/>
      <w:sz w:val="40"/>
    </w:rPr>
  </w:style>
  <w:style w:type="numbering" w:customStyle="1" w:styleId="aaclstStyleAppendices">
    <w:name w:val="aac_lstStyle_Appendices"/>
    <w:uiPriority w:val="99"/>
    <w:rsid w:val="00B470A1"/>
    <w:pPr>
      <w:numPr>
        <w:numId w:val="11"/>
      </w:numPr>
    </w:pPr>
  </w:style>
  <w:style w:type="paragraph" w:customStyle="1" w:styleId="CpReportDate">
    <w:name w:val="Cp Report Date"/>
    <w:basedOn w:val="Normalrgb"/>
    <w:link w:val="CpReportDateChar"/>
    <w:qFormat/>
    <w:rsid w:val="00B9126B"/>
    <w:pPr>
      <w:spacing w:before="90" w:line="240" w:lineRule="auto"/>
    </w:pPr>
    <w:rPr>
      <w:rFonts w:eastAsia="Yu Gothic Medium"/>
      <w:color w:val="000000"/>
      <w:sz w:val="24"/>
    </w:rPr>
  </w:style>
  <w:style w:type="paragraph" w:customStyle="1" w:styleId="CpReportTo">
    <w:name w:val="Cp Report To"/>
    <w:basedOn w:val="Normalrgb"/>
    <w:qFormat/>
    <w:rsid w:val="00B9126B"/>
    <w:pPr>
      <w:spacing w:before="90" w:line="240" w:lineRule="auto"/>
    </w:pPr>
    <w:rPr>
      <w:rFonts w:eastAsia="Yu Gothic Medium"/>
      <w:color w:val="000000"/>
      <w:sz w:val="24"/>
    </w:rPr>
  </w:style>
  <w:style w:type="paragraph" w:customStyle="1" w:styleId="CpClientName">
    <w:name w:val="Cp Client Name"/>
    <w:basedOn w:val="Normalrgb"/>
    <w:qFormat/>
    <w:rsid w:val="00B9126B"/>
    <w:pPr>
      <w:spacing w:before="90" w:line="240" w:lineRule="auto"/>
    </w:pPr>
    <w:rPr>
      <w:rFonts w:eastAsia="Yu Gothic Medium"/>
      <w:color w:val="000000"/>
      <w:sz w:val="24"/>
    </w:rPr>
  </w:style>
  <w:style w:type="paragraph" w:customStyle="1" w:styleId="Style1">
    <w:name w:val="Style1"/>
    <w:basedOn w:val="Normal-nospace"/>
    <w:qFormat/>
    <w:rsid w:val="00695E8A"/>
    <w:pPr>
      <w:spacing w:after="400" w:line="216" w:lineRule="auto"/>
    </w:pPr>
    <w:rPr>
      <w:b/>
      <w:sz w:val="80"/>
    </w:rPr>
  </w:style>
  <w:style w:type="numbering" w:customStyle="1" w:styleId="lstStyleBullets">
    <w:name w:val="lstStyle_Bullets"/>
    <w:uiPriority w:val="99"/>
    <w:rsid w:val="003F70C7"/>
  </w:style>
  <w:style w:type="numbering" w:customStyle="1" w:styleId="lstStyleListNumber">
    <w:name w:val="lstStyle_ListNumber"/>
    <w:uiPriority w:val="99"/>
    <w:rsid w:val="003F70C7"/>
    <w:pPr>
      <w:numPr>
        <w:numId w:val="13"/>
      </w:numPr>
    </w:pPr>
  </w:style>
  <w:style w:type="numbering" w:customStyle="1" w:styleId="lstStyleHeadingNumbered">
    <w:name w:val="lstStyle_Heading_Numbered"/>
    <w:uiPriority w:val="99"/>
    <w:rsid w:val="003F70C7"/>
    <w:pPr>
      <w:numPr>
        <w:numId w:val="14"/>
      </w:numPr>
    </w:pPr>
  </w:style>
  <w:style w:type="paragraph" w:customStyle="1" w:styleId="spacer">
    <w:name w:val="spacer"/>
    <w:basedOn w:val="Normal-nospace"/>
    <w:qFormat/>
    <w:rsid w:val="006E428D"/>
    <w:pPr>
      <w:spacing w:line="240" w:lineRule="auto"/>
    </w:pPr>
    <w:rPr>
      <w:sz w:val="4"/>
    </w:rPr>
  </w:style>
  <w:style w:type="paragraph" w:customStyle="1" w:styleId="spacertbl">
    <w:name w:val="spacer_tbl"/>
    <w:basedOn w:val="spacer"/>
    <w:qFormat/>
    <w:rsid w:val="006E428D"/>
  </w:style>
  <w:style w:type="paragraph" w:customStyle="1" w:styleId="tagchapterBanner">
    <w:name w:val="tag_chapterBanner"/>
    <w:basedOn w:val="spacer"/>
    <w:qFormat/>
    <w:rsid w:val="0040609B"/>
    <w:pPr>
      <w:keepNext/>
      <w:pageBreakBefore/>
    </w:pPr>
  </w:style>
  <w:style w:type="paragraph" w:customStyle="1" w:styleId="HeadingChapter">
    <w:name w:val="Heading (Chapter)"/>
    <w:basedOn w:val="Normal-nospace"/>
    <w:qFormat/>
    <w:rsid w:val="00557FA4"/>
    <w:pPr>
      <w:spacing w:line="1800" w:lineRule="exact"/>
      <w:ind w:left="216" w:right="62"/>
      <w:jc w:val="right"/>
    </w:pPr>
    <w:rPr>
      <w:position w:val="-12"/>
      <w:sz w:val="160"/>
    </w:rPr>
  </w:style>
  <w:style w:type="paragraph" w:customStyle="1" w:styleId="Heading1ES">
    <w:name w:val="Heading 1 (ES)"/>
    <w:basedOn w:val="Normal"/>
    <w:qFormat/>
    <w:rsid w:val="007E495B"/>
    <w:pPr>
      <w:pageBreakBefore/>
      <w:numPr>
        <w:numId w:val="33"/>
      </w:numPr>
      <w:spacing w:before="1120" w:after="600" w:line="192" w:lineRule="auto"/>
      <w:ind w:left="0"/>
      <w:outlineLvl w:val="0"/>
    </w:pPr>
    <w:rPr>
      <w:sz w:val="52"/>
    </w:rPr>
  </w:style>
  <w:style w:type="paragraph" w:customStyle="1" w:styleId="tagexecBanner">
    <w:name w:val="tag_execBanner"/>
    <w:basedOn w:val="spacer"/>
    <w:qFormat/>
    <w:rsid w:val="0040609B"/>
    <w:pPr>
      <w:keepNext/>
      <w:pageBreakBefore/>
    </w:pPr>
  </w:style>
  <w:style w:type="paragraph" w:customStyle="1" w:styleId="HeadingAppendix">
    <w:name w:val="Heading (Appendix)"/>
    <w:basedOn w:val="HeadingChapter"/>
    <w:qFormat/>
    <w:rsid w:val="0059608F"/>
  </w:style>
  <w:style w:type="paragraph" w:customStyle="1" w:styleId="tagappendixChapter">
    <w:name w:val="tag_appendixChapter"/>
    <w:basedOn w:val="spacer"/>
    <w:qFormat/>
    <w:rsid w:val="0040609B"/>
    <w:pPr>
      <w:keepNext/>
      <w:pageBreakBefore/>
    </w:pPr>
  </w:style>
  <w:style w:type="table" w:customStyle="1" w:styleId="aacTableBasic">
    <w:name w:val="aac Table (Basic)"/>
    <w:basedOn w:val="TableNormal"/>
    <w:next w:val="TableGrid"/>
    <w:uiPriority w:val="39"/>
    <w:rsid w:val="002D7D78"/>
    <w:pPr>
      <w:spacing w:before="60" w:after="0" w:line="240" w:lineRule="atLeast"/>
    </w:pPr>
    <w:rPr>
      <w:lang w:val="en-US"/>
    </w:rPr>
    <w:tblPr>
      <w:tblBorders>
        <w:bottom w:val="single" w:sz="4" w:space="0" w:color="auto"/>
        <w:insideH w:val="single" w:sz="4" w:space="0" w:color="auto"/>
      </w:tblBorders>
      <w:tblCellMar>
        <w:left w:w="0" w:type="dxa"/>
        <w:right w:w="0" w:type="dxa"/>
      </w:tblCellMar>
    </w:tblPr>
    <w:tcPr>
      <w:shd w:val="clear" w:color="auto" w:fill="auto"/>
    </w:tcPr>
    <w:tblStylePr w:type="firstRow">
      <w:pPr>
        <w:jc w:val="left"/>
      </w:pPr>
      <w:rPr>
        <w:color w:val="FFFFFF" w:themeColor="background1"/>
      </w:rPr>
      <w:tblPr/>
      <w:tcPr>
        <w:shd w:val="clear" w:color="auto" w:fill="140034" w:themeFill="background2"/>
      </w:tcPr>
    </w:tblStylePr>
  </w:style>
  <w:style w:type="paragraph" w:customStyle="1" w:styleId="tagcoverPage">
    <w:name w:val="tag_coverPage"/>
    <w:basedOn w:val="spacer"/>
    <w:qFormat/>
    <w:rsid w:val="00F970FA"/>
    <w:rPr>
      <w:b/>
      <w:bCs/>
    </w:rPr>
  </w:style>
  <w:style w:type="paragraph" w:customStyle="1" w:styleId="tagcontactsPage-Front">
    <w:name w:val="tag_contactsPage-Front"/>
    <w:basedOn w:val="spacer"/>
    <w:qFormat/>
    <w:rsid w:val="004051FB"/>
    <w:pPr>
      <w:keepNext/>
      <w:pageBreakBefore/>
    </w:pPr>
  </w:style>
  <w:style w:type="paragraph" w:customStyle="1" w:styleId="tagcontactsPage-Back">
    <w:name w:val="tag_contactsPage-Back"/>
    <w:basedOn w:val="spacer"/>
    <w:qFormat/>
    <w:rsid w:val="00B353EA"/>
  </w:style>
  <w:style w:type="paragraph" w:customStyle="1" w:styleId="tagpartBanner">
    <w:name w:val="tag_partBanner"/>
    <w:basedOn w:val="spacer"/>
    <w:qFormat/>
    <w:rsid w:val="0040609B"/>
    <w:pPr>
      <w:keepNext/>
      <w:pageBreakBefore/>
    </w:pPr>
  </w:style>
  <w:style w:type="paragraph" w:customStyle="1" w:styleId="tagappendixPart">
    <w:name w:val="tag_appendixPart"/>
    <w:basedOn w:val="spacer"/>
    <w:qFormat/>
    <w:rsid w:val="00B353EA"/>
  </w:style>
  <w:style w:type="paragraph" w:customStyle="1" w:styleId="Tabletext">
    <w:name w:val="Table text"/>
    <w:basedOn w:val="Normal-nospace"/>
    <w:link w:val="TabletextChar"/>
    <w:qFormat/>
    <w:rsid w:val="00B353EA"/>
    <w:pPr>
      <w:spacing w:before="60" w:line="240" w:lineRule="atLeast"/>
      <w:ind w:right="119"/>
    </w:pPr>
    <w:rPr>
      <w:sz w:val="20"/>
    </w:rPr>
  </w:style>
  <w:style w:type="paragraph" w:customStyle="1" w:styleId="Tabletextsmall">
    <w:name w:val="Table text (small)"/>
    <w:basedOn w:val="Normal-nospace"/>
    <w:qFormat/>
    <w:rsid w:val="00B353EA"/>
    <w:pPr>
      <w:spacing w:before="40" w:line="180" w:lineRule="exact"/>
      <w:ind w:right="119"/>
    </w:pPr>
    <w:rPr>
      <w:sz w:val="16"/>
    </w:rPr>
  </w:style>
  <w:style w:type="paragraph" w:customStyle="1" w:styleId="Tableunitsrow">
    <w:name w:val="Table units row"/>
    <w:basedOn w:val="Normal-nospace"/>
    <w:qFormat/>
    <w:rsid w:val="00B353EA"/>
    <w:pPr>
      <w:spacing w:before="60" w:line="240" w:lineRule="atLeast"/>
      <w:ind w:right="119"/>
    </w:pPr>
    <w:rPr>
      <w:sz w:val="20"/>
    </w:rPr>
  </w:style>
  <w:style w:type="paragraph" w:customStyle="1" w:styleId="Tablecolumnheadings">
    <w:name w:val="Table column headings"/>
    <w:basedOn w:val="Tabletext"/>
    <w:uiPriority w:val="3"/>
    <w:qFormat/>
    <w:rsid w:val="00834951"/>
    <w:pPr>
      <w:keepNext/>
      <w:spacing w:before="40" w:after="40"/>
    </w:pPr>
    <w:rPr>
      <w:b/>
      <w:color w:val="FFFFFF"/>
    </w:rPr>
  </w:style>
  <w:style w:type="paragraph" w:customStyle="1" w:styleId="Source">
    <w:name w:val="Source"/>
    <w:aliases w:val="s,source,source Char,s Char"/>
    <w:basedOn w:val="Normal-nospace"/>
    <w:link w:val="SourceChar"/>
    <w:qFormat/>
    <w:rsid w:val="00851066"/>
    <w:pPr>
      <w:spacing w:before="52" w:line="240" w:lineRule="auto"/>
    </w:pPr>
    <w:rPr>
      <w:i/>
      <w:sz w:val="16"/>
    </w:rPr>
  </w:style>
  <w:style w:type="paragraph" w:customStyle="1" w:styleId="CpAboutAcilAllen">
    <w:name w:val="Cp About Acil Allen"/>
    <w:basedOn w:val="Normalrgb"/>
    <w:qFormat/>
    <w:rsid w:val="00FF7B74"/>
    <w:pPr>
      <w:spacing w:after="100" w:line="240" w:lineRule="auto"/>
    </w:pPr>
    <w:rPr>
      <w:color w:val="000000"/>
      <w:sz w:val="22"/>
    </w:rPr>
  </w:style>
  <w:style w:type="paragraph" w:customStyle="1" w:styleId="CpDisclaimer">
    <w:name w:val="Cp Disclaimer"/>
    <w:basedOn w:val="Normal-nospace"/>
    <w:qFormat/>
    <w:rsid w:val="009E3722"/>
    <w:pPr>
      <w:spacing w:after="100" w:line="240" w:lineRule="auto"/>
    </w:pPr>
    <w:rPr>
      <w:sz w:val="16"/>
    </w:rPr>
  </w:style>
  <w:style w:type="paragraph" w:customStyle="1" w:styleId="CpDisclaimer9pt">
    <w:name w:val="Cp Disclaimer 9pt"/>
    <w:basedOn w:val="Normal-nospace"/>
    <w:qFormat/>
    <w:rsid w:val="0052525A"/>
    <w:pPr>
      <w:spacing w:after="100" w:line="240" w:lineRule="auto"/>
    </w:pPr>
    <w:rPr>
      <w:sz w:val="16"/>
    </w:rPr>
  </w:style>
  <w:style w:type="paragraph" w:customStyle="1" w:styleId="Part-HeadingBanner">
    <w:name w:val="Part - Heading (Banner)"/>
    <w:basedOn w:val="Normal-nospace"/>
    <w:next w:val="Part-SubHeadBanner"/>
    <w:qFormat/>
    <w:rsid w:val="00EB3A30"/>
    <w:pPr>
      <w:spacing w:line="240" w:lineRule="auto"/>
      <w:outlineLvl w:val="0"/>
    </w:pPr>
    <w:rPr>
      <w:b/>
      <w:sz w:val="52"/>
    </w:rPr>
  </w:style>
  <w:style w:type="paragraph" w:customStyle="1" w:styleId="Part-SubHeadBanner">
    <w:name w:val="Part - SubHead (Banner)"/>
    <w:basedOn w:val="Normalrgb"/>
    <w:qFormat/>
    <w:rsid w:val="00CA4C4B"/>
    <w:pPr>
      <w:spacing w:line="240" w:lineRule="auto"/>
    </w:pPr>
    <w:rPr>
      <w:b/>
      <w:sz w:val="52"/>
    </w:rPr>
  </w:style>
  <w:style w:type="paragraph" w:customStyle="1" w:styleId="Partxx">
    <w:name w:val="Part xx"/>
    <w:basedOn w:val="spacer"/>
    <w:qFormat/>
    <w:rsid w:val="00296BE7"/>
    <w:pPr>
      <w:outlineLvl w:val="0"/>
    </w:pPr>
    <w:rPr>
      <w:b/>
      <w:sz w:val="52"/>
    </w:rPr>
  </w:style>
  <w:style w:type="paragraph" w:customStyle="1" w:styleId="Part-Number">
    <w:name w:val="Part - Number"/>
    <w:basedOn w:val="BodyText"/>
    <w:qFormat/>
    <w:rsid w:val="00DA2D22"/>
    <w:pPr>
      <w:spacing w:before="24" w:after="0" w:line="1600" w:lineRule="exact"/>
      <w:jc w:val="right"/>
    </w:pPr>
    <w:rPr>
      <w:rFonts w:eastAsia="Yu Gothic Medium"/>
      <w:position w:val="-16"/>
      <w:sz w:val="160"/>
    </w:rPr>
  </w:style>
  <w:style w:type="paragraph" w:customStyle="1" w:styleId="App-DividerHeading">
    <w:name w:val="App - Divider (Heading)"/>
    <w:basedOn w:val="Part-HeadingBanner"/>
    <w:next w:val="App-DividerSubHeading"/>
    <w:qFormat/>
    <w:rsid w:val="00EB3A30"/>
  </w:style>
  <w:style w:type="paragraph" w:customStyle="1" w:styleId="App-DividerSubHeading">
    <w:name w:val="App - Divider (Sub Heading)"/>
    <w:basedOn w:val="Part-SubHeadBanner"/>
    <w:qFormat/>
    <w:rsid w:val="00E41318"/>
    <w:rPr>
      <w:color w:val="000000"/>
    </w:rPr>
  </w:style>
  <w:style w:type="paragraph" w:customStyle="1" w:styleId="CpContactDetails">
    <w:name w:val="Cp Contact Details"/>
    <w:basedOn w:val="Normal"/>
    <w:qFormat/>
    <w:rsid w:val="00501F07"/>
    <w:pPr>
      <w:spacing w:before="0" w:after="0" w:line="250" w:lineRule="exact"/>
    </w:pPr>
  </w:style>
  <w:style w:type="paragraph" w:customStyle="1" w:styleId="LetterHeading1">
    <w:name w:val="Letter Heading 1"/>
    <w:basedOn w:val="BodyText"/>
    <w:next w:val="BodyText"/>
    <w:qFormat/>
    <w:rsid w:val="00057123"/>
    <w:rPr>
      <w:b/>
    </w:rPr>
  </w:style>
  <w:style w:type="paragraph" w:customStyle="1" w:styleId="LetterDate">
    <w:name w:val="LetterDate"/>
    <w:basedOn w:val="Normal-nospace"/>
    <w:next w:val="LetterRef"/>
    <w:qFormat/>
    <w:rsid w:val="00DF3BD9"/>
    <w:pPr>
      <w:spacing w:before="600" w:line="280" w:lineRule="exact"/>
    </w:pPr>
  </w:style>
  <w:style w:type="paragraph" w:customStyle="1" w:styleId="LetterRef">
    <w:name w:val="LetterRef"/>
    <w:basedOn w:val="Normal-nospace"/>
    <w:next w:val="LetterName"/>
    <w:qFormat/>
    <w:rsid w:val="00DF3BD9"/>
    <w:pPr>
      <w:spacing w:before="40" w:after="600"/>
    </w:pPr>
  </w:style>
  <w:style w:type="paragraph" w:customStyle="1" w:styleId="LetterName">
    <w:name w:val="LetterName"/>
    <w:basedOn w:val="Normal-nospace"/>
    <w:next w:val="LetterTitle"/>
    <w:qFormat/>
    <w:rsid w:val="00DF3BD9"/>
    <w:pPr>
      <w:spacing w:line="280" w:lineRule="exact"/>
    </w:pPr>
  </w:style>
  <w:style w:type="paragraph" w:customStyle="1" w:styleId="LetterTitle">
    <w:name w:val="LetterTitle"/>
    <w:basedOn w:val="Normal-nospace"/>
    <w:next w:val="LetterCompany"/>
    <w:qFormat/>
    <w:rsid w:val="00DF3BD9"/>
    <w:pPr>
      <w:spacing w:line="280" w:lineRule="exact"/>
    </w:pPr>
  </w:style>
  <w:style w:type="paragraph" w:customStyle="1" w:styleId="LetterCompany">
    <w:name w:val="LetterCompany"/>
    <w:basedOn w:val="Normal-nospace"/>
    <w:next w:val="LetterAddress"/>
    <w:qFormat/>
    <w:rsid w:val="00DF3BD9"/>
    <w:pPr>
      <w:spacing w:line="280" w:lineRule="exact"/>
    </w:pPr>
  </w:style>
  <w:style w:type="paragraph" w:customStyle="1" w:styleId="LetterAddress">
    <w:name w:val="LetterAddress"/>
    <w:basedOn w:val="Normal-nospace"/>
    <w:next w:val="LetterCityStatePostcode"/>
    <w:qFormat/>
    <w:rsid w:val="00DF3BD9"/>
    <w:pPr>
      <w:spacing w:line="280" w:lineRule="exact"/>
    </w:pPr>
  </w:style>
  <w:style w:type="paragraph" w:customStyle="1" w:styleId="LetterCityStatePostcode">
    <w:name w:val="LetterCityStatePostcode"/>
    <w:basedOn w:val="Normal-nospace"/>
    <w:next w:val="LetterSubject"/>
    <w:qFormat/>
    <w:rsid w:val="00DF3BD9"/>
    <w:pPr>
      <w:spacing w:line="280" w:lineRule="exact"/>
    </w:pPr>
  </w:style>
  <w:style w:type="paragraph" w:customStyle="1" w:styleId="LetterSubject">
    <w:name w:val="LetterSubject"/>
    <w:basedOn w:val="Normal-nospace"/>
    <w:next w:val="BodyText"/>
    <w:qFormat/>
    <w:rsid w:val="00DF3BD9"/>
    <w:pPr>
      <w:spacing w:before="400" w:after="200" w:line="260" w:lineRule="exact"/>
    </w:pPr>
    <w:rPr>
      <w:b/>
      <w:sz w:val="24"/>
    </w:rPr>
  </w:style>
  <w:style w:type="paragraph" w:customStyle="1" w:styleId="SignatureBlock">
    <w:name w:val="Signature Block"/>
    <w:basedOn w:val="Normal-nospace"/>
    <w:qFormat/>
    <w:rsid w:val="00DF3BD9"/>
    <w:pPr>
      <w:keepNext/>
      <w:keepLines/>
      <w:spacing w:line="240" w:lineRule="auto"/>
    </w:pPr>
  </w:style>
  <w:style w:type="paragraph" w:customStyle="1" w:styleId="StationeryConfidentiality">
    <w:name w:val="Stationery Confidentiality"/>
    <w:basedOn w:val="Normal-nospace"/>
    <w:qFormat/>
    <w:rsid w:val="00FD10DC"/>
    <w:pPr>
      <w:spacing w:before="120" w:after="120" w:line="280" w:lineRule="exact"/>
    </w:pPr>
    <w:rPr>
      <w:i/>
    </w:rPr>
  </w:style>
  <w:style w:type="paragraph" w:customStyle="1" w:styleId="StationeryContact">
    <w:name w:val="StationeryContact"/>
    <w:basedOn w:val="Normal-nospace"/>
    <w:qFormat/>
    <w:rsid w:val="00FD10DC"/>
    <w:pPr>
      <w:spacing w:line="240" w:lineRule="auto"/>
    </w:pPr>
  </w:style>
  <w:style w:type="paragraph" w:customStyle="1" w:styleId="StationeryType">
    <w:name w:val="StationeryType"/>
    <w:basedOn w:val="Normal-nospace"/>
    <w:qFormat/>
    <w:rsid w:val="00FD10DC"/>
    <w:pPr>
      <w:spacing w:before="90" w:after="84" w:line="240" w:lineRule="auto"/>
    </w:pPr>
    <w:rPr>
      <w:b/>
      <w:sz w:val="24"/>
    </w:rPr>
  </w:style>
  <w:style w:type="paragraph" w:customStyle="1" w:styleId="StationeryLabel">
    <w:name w:val="StationeryLabel"/>
    <w:basedOn w:val="Normal-nospace"/>
    <w:qFormat/>
    <w:rsid w:val="00FD10DC"/>
    <w:pPr>
      <w:spacing w:line="240" w:lineRule="auto"/>
    </w:pPr>
    <w:rPr>
      <w:b/>
      <w:spacing w:val="8"/>
    </w:rPr>
  </w:style>
  <w:style w:type="paragraph" w:customStyle="1" w:styleId="StationeryRefMemo">
    <w:name w:val="StationeryRef_Memo"/>
    <w:basedOn w:val="StationeryContact"/>
    <w:qFormat/>
    <w:rsid w:val="004552DF"/>
  </w:style>
  <w:style w:type="paragraph" w:customStyle="1" w:styleId="FooterLetter">
    <w:name w:val="Footer (Letter)"/>
    <w:basedOn w:val="Normal"/>
    <w:qFormat/>
    <w:rsid w:val="00A85EB6"/>
    <w:pPr>
      <w:spacing w:before="26" w:after="0" w:line="240" w:lineRule="auto"/>
    </w:pPr>
    <w:rPr>
      <w:rFonts w:cstheme="minorBidi"/>
      <w:sz w:val="16"/>
    </w:rPr>
  </w:style>
  <w:style w:type="paragraph" w:customStyle="1" w:styleId="FooterLetter-Contact">
    <w:name w:val="Footer (Letter-Contact)"/>
    <w:basedOn w:val="FooterLetter"/>
    <w:qFormat/>
    <w:rsid w:val="001D42B2"/>
    <w:pPr>
      <w:spacing w:before="20" w:after="20"/>
      <w:jc w:val="right"/>
    </w:pPr>
  </w:style>
  <w:style w:type="paragraph" w:customStyle="1" w:styleId="FooterText0">
    <w:name w:val="Footer (Text)"/>
    <w:basedOn w:val="Footer"/>
    <w:qFormat/>
    <w:rsid w:val="00A85EB6"/>
    <w:pPr>
      <w:tabs>
        <w:tab w:val="clear" w:pos="4513"/>
        <w:tab w:val="clear" w:pos="9026"/>
        <w:tab w:val="right" w:pos="9360"/>
      </w:tabs>
      <w:jc w:val="right"/>
    </w:pPr>
    <w:rPr>
      <w:rFonts w:eastAsia="Yu Gothic Medium" w:cstheme="minorBidi"/>
      <w:spacing w:val="6"/>
    </w:rPr>
  </w:style>
  <w:style w:type="paragraph" w:customStyle="1" w:styleId="TOCGeneral">
    <w:name w:val="TOC General"/>
    <w:basedOn w:val="Normal"/>
    <w:qFormat/>
    <w:rsid w:val="007A1923"/>
    <w:pPr>
      <w:spacing w:before="0" w:after="0"/>
    </w:pPr>
    <w:rPr>
      <w:rFonts w:cstheme="minorBidi"/>
      <w:vanish/>
      <w:sz w:val="22"/>
    </w:rPr>
  </w:style>
  <w:style w:type="numbering" w:customStyle="1" w:styleId="TOCList">
    <w:name w:val="TOC List"/>
    <w:uiPriority w:val="99"/>
    <w:rsid w:val="00C62B89"/>
    <w:pPr>
      <w:numPr>
        <w:numId w:val="15"/>
      </w:numPr>
    </w:pPr>
  </w:style>
  <w:style w:type="paragraph" w:customStyle="1" w:styleId="FooterLetter-Logo">
    <w:name w:val="Footer (Letter-Logo)"/>
    <w:basedOn w:val="FooterLetter-Contact"/>
    <w:qFormat/>
    <w:rsid w:val="00A95E46"/>
    <w:rPr>
      <w:lang w:val="en-US"/>
    </w:rPr>
  </w:style>
  <w:style w:type="paragraph" w:customStyle="1" w:styleId="Headingglossary">
    <w:name w:val="Heading (glossary)"/>
    <w:basedOn w:val="Normal-nospace"/>
    <w:qFormat/>
    <w:rsid w:val="00E47102"/>
    <w:pPr>
      <w:spacing w:before="1120" w:after="600" w:line="192" w:lineRule="auto"/>
      <w:outlineLvl w:val="0"/>
    </w:pPr>
    <w:rPr>
      <w:sz w:val="52"/>
    </w:rPr>
  </w:style>
  <w:style w:type="character" w:customStyle="1" w:styleId="CaptionLabel">
    <w:name w:val="Caption Label"/>
    <w:basedOn w:val="DefaultParagraphFont"/>
    <w:uiPriority w:val="1"/>
    <w:qFormat/>
    <w:rsid w:val="00C80AE5"/>
    <w:rPr>
      <w:b/>
      <w:color w:val="000000"/>
    </w:rPr>
  </w:style>
  <w:style w:type="paragraph" w:customStyle="1" w:styleId="BoxListBullet">
    <w:name w:val="Box List Bullet"/>
    <w:basedOn w:val="Normal"/>
    <w:qFormat/>
    <w:rsid w:val="00F1536E"/>
    <w:pPr>
      <w:keepNext/>
      <w:numPr>
        <w:numId w:val="38"/>
      </w:numPr>
      <w:spacing w:before="60" w:after="60" w:line="240" w:lineRule="atLeast"/>
    </w:pPr>
    <w:rPr>
      <w:rFonts w:cstheme="minorBidi"/>
      <w:sz w:val="20"/>
    </w:rPr>
  </w:style>
  <w:style w:type="paragraph" w:customStyle="1" w:styleId="BoxListBullet2">
    <w:name w:val="Box List Bullet 2"/>
    <w:basedOn w:val="Normal"/>
    <w:qFormat/>
    <w:rsid w:val="00F1536E"/>
    <w:pPr>
      <w:keepNext/>
      <w:numPr>
        <w:ilvl w:val="1"/>
        <w:numId w:val="38"/>
      </w:numPr>
      <w:spacing w:before="0" w:after="60" w:line="240" w:lineRule="atLeast"/>
    </w:pPr>
    <w:rPr>
      <w:rFonts w:cstheme="minorBidi"/>
      <w:sz w:val="20"/>
    </w:rPr>
  </w:style>
  <w:style w:type="paragraph" w:customStyle="1" w:styleId="BoxListBullet3">
    <w:name w:val="Box List Bullet 3"/>
    <w:basedOn w:val="Normal"/>
    <w:qFormat/>
    <w:rsid w:val="00F1536E"/>
    <w:pPr>
      <w:keepNext/>
      <w:numPr>
        <w:ilvl w:val="2"/>
        <w:numId w:val="38"/>
      </w:numPr>
      <w:spacing w:before="0" w:after="60" w:line="240" w:lineRule="atLeast"/>
    </w:pPr>
    <w:rPr>
      <w:rFonts w:cstheme="minorBidi"/>
      <w:sz w:val="20"/>
    </w:rPr>
  </w:style>
  <w:style w:type="numbering" w:customStyle="1" w:styleId="aaclstStyleBoxListBullets">
    <w:name w:val="aac_lstStyle_BoxListBullets"/>
    <w:uiPriority w:val="99"/>
    <w:rsid w:val="00F1536E"/>
    <w:pPr>
      <w:numPr>
        <w:numId w:val="17"/>
      </w:numPr>
    </w:pPr>
  </w:style>
  <w:style w:type="paragraph" w:customStyle="1" w:styleId="BoxListNumber">
    <w:name w:val="Box List Number"/>
    <w:basedOn w:val="Normal"/>
    <w:qFormat/>
    <w:rsid w:val="00741A7B"/>
    <w:pPr>
      <w:keepNext/>
      <w:numPr>
        <w:numId w:val="27"/>
      </w:numPr>
      <w:spacing w:before="60" w:after="60" w:line="240" w:lineRule="atLeast"/>
    </w:pPr>
    <w:rPr>
      <w:rFonts w:cstheme="minorBidi"/>
      <w:sz w:val="20"/>
    </w:rPr>
  </w:style>
  <w:style w:type="paragraph" w:customStyle="1" w:styleId="BoxText">
    <w:name w:val="Box Text"/>
    <w:basedOn w:val="Normal"/>
    <w:qFormat/>
    <w:rsid w:val="00B055CA"/>
    <w:pPr>
      <w:keepNext/>
      <w:spacing w:before="60" w:after="60" w:line="240" w:lineRule="atLeast"/>
      <w:ind w:left="252"/>
    </w:pPr>
    <w:rPr>
      <w:rFonts w:cstheme="minorBidi"/>
      <w:sz w:val="20"/>
    </w:rPr>
  </w:style>
  <w:style w:type="paragraph" w:customStyle="1" w:styleId="BoxListNumber2">
    <w:name w:val="Box List Number 2"/>
    <w:basedOn w:val="BoxText"/>
    <w:qFormat/>
    <w:rsid w:val="00741A7B"/>
    <w:pPr>
      <w:numPr>
        <w:ilvl w:val="1"/>
        <w:numId w:val="27"/>
      </w:numPr>
      <w:spacing w:before="0"/>
    </w:pPr>
  </w:style>
  <w:style w:type="paragraph" w:customStyle="1" w:styleId="BoxListNumber3">
    <w:name w:val="Box List Number 3"/>
    <w:basedOn w:val="BoxText"/>
    <w:qFormat/>
    <w:rsid w:val="00741A7B"/>
    <w:pPr>
      <w:numPr>
        <w:ilvl w:val="2"/>
        <w:numId w:val="27"/>
      </w:numPr>
      <w:spacing w:before="0"/>
    </w:pPr>
  </w:style>
  <w:style w:type="paragraph" w:customStyle="1" w:styleId="BoxQuote">
    <w:name w:val="Box Quote"/>
    <w:basedOn w:val="BoxText"/>
    <w:qFormat/>
    <w:rsid w:val="00F1536E"/>
    <w:pPr>
      <w:numPr>
        <w:ilvl w:val="3"/>
        <w:numId w:val="38"/>
      </w:numPr>
    </w:pPr>
    <w:rPr>
      <w:i/>
      <w:sz w:val="18"/>
    </w:rPr>
  </w:style>
  <w:style w:type="paragraph" w:customStyle="1" w:styleId="BoxQuoteListBullet">
    <w:name w:val="Box Quote List Bullet"/>
    <w:basedOn w:val="Normal-nospace"/>
    <w:qFormat/>
    <w:rsid w:val="00F1536E"/>
    <w:pPr>
      <w:numPr>
        <w:ilvl w:val="4"/>
        <w:numId w:val="38"/>
      </w:numPr>
      <w:spacing w:before="60" w:after="60" w:line="240" w:lineRule="atLeast"/>
      <w:ind w:right="400"/>
    </w:pPr>
    <w:rPr>
      <w:rFonts w:cstheme="minorBidi"/>
      <w:i/>
      <w:sz w:val="18"/>
    </w:rPr>
  </w:style>
  <w:style w:type="paragraph" w:customStyle="1" w:styleId="BoxQuoteSource">
    <w:name w:val="Box Quote Source"/>
    <w:basedOn w:val="Normal-nospace"/>
    <w:qFormat/>
    <w:rsid w:val="00B055CA"/>
    <w:pPr>
      <w:spacing w:before="90" w:line="240" w:lineRule="auto"/>
      <w:ind w:right="400"/>
      <w:jc w:val="right"/>
    </w:pPr>
    <w:rPr>
      <w:rFonts w:cstheme="minorBidi"/>
      <w:i/>
      <w:sz w:val="18"/>
    </w:rPr>
  </w:style>
  <w:style w:type="paragraph" w:customStyle="1" w:styleId="BoxSideHeading1">
    <w:name w:val="Box Side Heading 1"/>
    <w:basedOn w:val="BoxText"/>
    <w:next w:val="BoxText"/>
    <w:qFormat/>
    <w:rsid w:val="00B055CA"/>
    <w:pPr>
      <w:spacing w:before="0"/>
    </w:pPr>
    <w:rPr>
      <w:b/>
      <w:i/>
    </w:rPr>
  </w:style>
  <w:style w:type="paragraph" w:customStyle="1" w:styleId="BoxSideHeading2">
    <w:name w:val="Box Side Heading 2"/>
    <w:basedOn w:val="BoxText"/>
    <w:next w:val="BoxText"/>
    <w:qFormat/>
    <w:rsid w:val="00B055CA"/>
    <w:pPr>
      <w:spacing w:before="0"/>
    </w:pPr>
    <w:rPr>
      <w:i/>
    </w:rPr>
  </w:style>
  <w:style w:type="paragraph" w:customStyle="1" w:styleId="BoxTextBoldItalic">
    <w:name w:val="Box Text (Bold Italic)"/>
    <w:basedOn w:val="Normal"/>
    <w:qFormat/>
    <w:rsid w:val="00741A7B"/>
    <w:pPr>
      <w:spacing w:after="61" w:line="240" w:lineRule="atLeast"/>
      <w:ind w:left="252"/>
    </w:pPr>
    <w:rPr>
      <w:rFonts w:cstheme="minorBidi"/>
      <w:b/>
      <w:i/>
      <w:sz w:val="20"/>
    </w:rPr>
  </w:style>
  <w:style w:type="paragraph" w:customStyle="1" w:styleId="BoxTextHeading">
    <w:name w:val="Box Text Heading"/>
    <w:basedOn w:val="Normal"/>
    <w:qFormat/>
    <w:rsid w:val="00B055CA"/>
    <w:pPr>
      <w:keepNext/>
      <w:spacing w:after="61" w:line="240" w:lineRule="atLeast"/>
      <w:ind w:left="442"/>
    </w:pPr>
    <w:rPr>
      <w:rFonts w:cstheme="minorBidi"/>
      <w:b/>
      <w:sz w:val="20"/>
    </w:rPr>
  </w:style>
  <w:style w:type="paragraph" w:customStyle="1" w:styleId="Figure">
    <w:name w:val="Figure"/>
    <w:basedOn w:val="Normal-nospace"/>
    <w:qFormat/>
    <w:rsid w:val="00A86812"/>
    <w:pPr>
      <w:keepNext/>
      <w:spacing w:line="240" w:lineRule="auto"/>
    </w:pPr>
    <w:rPr>
      <w:sz w:val="16"/>
    </w:rPr>
  </w:style>
  <w:style w:type="numbering" w:customStyle="1" w:styleId="aacTableListBullets">
    <w:name w:val="aac Table List Bullets"/>
    <w:uiPriority w:val="99"/>
    <w:rsid w:val="00CC4900"/>
    <w:pPr>
      <w:numPr>
        <w:numId w:val="18"/>
      </w:numPr>
    </w:pPr>
  </w:style>
  <w:style w:type="numbering" w:customStyle="1" w:styleId="aacTableListBulletssmall">
    <w:name w:val="aac Table List Bullets (small)"/>
    <w:uiPriority w:val="99"/>
    <w:rsid w:val="00CC4900"/>
    <w:pPr>
      <w:numPr>
        <w:numId w:val="19"/>
      </w:numPr>
    </w:pPr>
  </w:style>
  <w:style w:type="numbering" w:customStyle="1" w:styleId="aacTableListNumbers">
    <w:name w:val="aac Table List Numbers"/>
    <w:uiPriority w:val="99"/>
    <w:rsid w:val="00CC4900"/>
    <w:pPr>
      <w:numPr>
        <w:numId w:val="20"/>
      </w:numPr>
    </w:pPr>
  </w:style>
  <w:style w:type="numbering" w:customStyle="1" w:styleId="aacTableListNumberssmall">
    <w:name w:val="aac Table List Numbers (small)"/>
    <w:uiPriority w:val="99"/>
    <w:rsid w:val="00CC4900"/>
    <w:pPr>
      <w:numPr>
        <w:numId w:val="21"/>
      </w:numPr>
    </w:pPr>
  </w:style>
  <w:style w:type="paragraph" w:customStyle="1" w:styleId="Tablelistbullet">
    <w:name w:val="Table list bullet"/>
    <w:basedOn w:val="Tabletext"/>
    <w:uiPriority w:val="3"/>
    <w:qFormat/>
    <w:rsid w:val="00590F1C"/>
    <w:pPr>
      <w:numPr>
        <w:numId w:val="22"/>
      </w:numPr>
      <w:spacing w:before="40" w:after="40"/>
      <w:ind w:left="278" w:hanging="278"/>
    </w:pPr>
    <w:rPr>
      <w:rFonts w:cstheme="minorBidi"/>
    </w:rPr>
  </w:style>
  <w:style w:type="paragraph" w:customStyle="1" w:styleId="Tablelistbulletsmall">
    <w:name w:val="Table list bullet (small)"/>
    <w:basedOn w:val="Tabletextsmall"/>
    <w:qFormat/>
    <w:rsid w:val="00102134"/>
    <w:pPr>
      <w:numPr>
        <w:numId w:val="23"/>
      </w:numPr>
      <w:spacing w:after="40"/>
      <w:ind w:right="85"/>
    </w:pPr>
    <w:rPr>
      <w:rFonts w:cstheme="minorBidi"/>
    </w:rPr>
  </w:style>
  <w:style w:type="paragraph" w:customStyle="1" w:styleId="Tablelistbullet2">
    <w:name w:val="Table list bullet 2"/>
    <w:basedOn w:val="Tablelistbullet"/>
    <w:uiPriority w:val="3"/>
    <w:qFormat/>
    <w:rsid w:val="00DF1849"/>
    <w:pPr>
      <w:numPr>
        <w:ilvl w:val="1"/>
      </w:numPr>
      <w:spacing w:before="0"/>
      <w:ind w:left="516" w:hanging="238"/>
    </w:pPr>
  </w:style>
  <w:style w:type="paragraph" w:customStyle="1" w:styleId="Tablelistbullet2small">
    <w:name w:val="Table list bullet 2 (small)"/>
    <w:basedOn w:val="Tabletextsmall"/>
    <w:qFormat/>
    <w:rsid w:val="00102134"/>
    <w:pPr>
      <w:numPr>
        <w:ilvl w:val="1"/>
        <w:numId w:val="23"/>
      </w:numPr>
      <w:spacing w:before="0" w:after="40"/>
      <w:ind w:right="85"/>
    </w:pPr>
    <w:rPr>
      <w:rFonts w:cstheme="minorBidi"/>
    </w:rPr>
  </w:style>
  <w:style w:type="paragraph" w:customStyle="1" w:styleId="Tablelistbullet3">
    <w:name w:val="Table list bullet 3"/>
    <w:basedOn w:val="Tabletext"/>
    <w:uiPriority w:val="3"/>
    <w:qFormat/>
    <w:rsid w:val="00590F1C"/>
    <w:pPr>
      <w:numPr>
        <w:ilvl w:val="2"/>
        <w:numId w:val="22"/>
      </w:numPr>
      <w:spacing w:before="0" w:after="40"/>
      <w:ind w:hanging="238"/>
    </w:pPr>
    <w:rPr>
      <w:rFonts w:cstheme="minorBidi"/>
    </w:rPr>
  </w:style>
  <w:style w:type="paragraph" w:customStyle="1" w:styleId="Tablelistbullet3small">
    <w:name w:val="Table list bullet 3 (small)"/>
    <w:basedOn w:val="Tabletextsmall"/>
    <w:qFormat/>
    <w:rsid w:val="00102134"/>
    <w:pPr>
      <w:numPr>
        <w:ilvl w:val="2"/>
        <w:numId w:val="23"/>
      </w:numPr>
      <w:spacing w:before="0" w:after="40"/>
      <w:ind w:right="85"/>
    </w:pPr>
    <w:rPr>
      <w:rFonts w:cstheme="minorBidi"/>
    </w:rPr>
  </w:style>
  <w:style w:type="paragraph" w:customStyle="1" w:styleId="Tablelistnumber">
    <w:name w:val="Table list number"/>
    <w:basedOn w:val="Tabletext"/>
    <w:qFormat/>
    <w:rsid w:val="00590F1C"/>
    <w:pPr>
      <w:numPr>
        <w:numId w:val="24"/>
      </w:numPr>
      <w:spacing w:before="40" w:after="40"/>
    </w:pPr>
    <w:rPr>
      <w:rFonts w:cstheme="minorBidi"/>
    </w:rPr>
  </w:style>
  <w:style w:type="paragraph" w:customStyle="1" w:styleId="Tablelistnumbersmall">
    <w:name w:val="Table list number (small)"/>
    <w:basedOn w:val="Tabletextsmall"/>
    <w:qFormat/>
    <w:rsid w:val="00102134"/>
    <w:pPr>
      <w:numPr>
        <w:numId w:val="25"/>
      </w:numPr>
      <w:spacing w:after="40"/>
      <w:ind w:right="85"/>
    </w:pPr>
    <w:rPr>
      <w:rFonts w:cstheme="minorBidi"/>
    </w:rPr>
  </w:style>
  <w:style w:type="paragraph" w:customStyle="1" w:styleId="Tablelistnumber2">
    <w:name w:val="Table list number 2"/>
    <w:basedOn w:val="Tabletext"/>
    <w:qFormat/>
    <w:rsid w:val="00DF1849"/>
    <w:pPr>
      <w:numPr>
        <w:ilvl w:val="1"/>
        <w:numId w:val="24"/>
      </w:numPr>
      <w:spacing w:before="0" w:after="40"/>
    </w:pPr>
    <w:rPr>
      <w:rFonts w:cstheme="minorBidi"/>
    </w:rPr>
  </w:style>
  <w:style w:type="paragraph" w:customStyle="1" w:styleId="Tablelistnumber2small">
    <w:name w:val="Table list number 2 (small)"/>
    <w:basedOn w:val="Tabletextsmall"/>
    <w:qFormat/>
    <w:rsid w:val="00102134"/>
    <w:pPr>
      <w:numPr>
        <w:ilvl w:val="1"/>
        <w:numId w:val="25"/>
      </w:numPr>
      <w:spacing w:before="0" w:after="40"/>
      <w:ind w:right="85"/>
    </w:pPr>
    <w:rPr>
      <w:rFonts w:cstheme="minorBidi"/>
    </w:rPr>
  </w:style>
  <w:style w:type="paragraph" w:customStyle="1" w:styleId="Tablelistnumber3">
    <w:name w:val="Table list number 3"/>
    <w:basedOn w:val="Tabletext"/>
    <w:qFormat/>
    <w:rsid w:val="00590F1C"/>
    <w:pPr>
      <w:numPr>
        <w:ilvl w:val="2"/>
        <w:numId w:val="24"/>
      </w:numPr>
      <w:spacing w:before="0" w:after="40"/>
    </w:pPr>
    <w:rPr>
      <w:rFonts w:cstheme="minorBidi"/>
    </w:rPr>
  </w:style>
  <w:style w:type="paragraph" w:customStyle="1" w:styleId="Tablelistnumber3small">
    <w:name w:val="Table list number 3 (small)"/>
    <w:basedOn w:val="Tabletextsmall"/>
    <w:qFormat/>
    <w:rsid w:val="00102134"/>
    <w:pPr>
      <w:numPr>
        <w:ilvl w:val="2"/>
        <w:numId w:val="25"/>
      </w:numPr>
      <w:spacing w:before="0" w:after="40"/>
      <w:ind w:right="85"/>
    </w:pPr>
    <w:rPr>
      <w:rFonts w:cstheme="minorBidi"/>
    </w:rPr>
  </w:style>
  <w:style w:type="numbering" w:customStyle="1" w:styleId="aaclstStyleBoxListNumbers">
    <w:name w:val="aac_lstStyle_BoxListNumbers"/>
    <w:uiPriority w:val="99"/>
    <w:rsid w:val="00CC4900"/>
    <w:pPr>
      <w:numPr>
        <w:numId w:val="26"/>
      </w:numPr>
    </w:pPr>
  </w:style>
  <w:style w:type="paragraph" w:customStyle="1" w:styleId="Tablesideheading1">
    <w:name w:val="Table side heading 1"/>
    <w:basedOn w:val="Tabletext"/>
    <w:next w:val="Tabletext"/>
    <w:qFormat/>
    <w:rsid w:val="00CC4900"/>
    <w:rPr>
      <w:rFonts w:cstheme="minorBidi"/>
      <w:b/>
      <w:spacing w:val="3"/>
    </w:rPr>
  </w:style>
  <w:style w:type="paragraph" w:customStyle="1" w:styleId="Tablesideheading1small">
    <w:name w:val="Table side heading 1 (small)"/>
    <w:basedOn w:val="Tablesideheading1"/>
    <w:qFormat/>
    <w:rsid w:val="00CC4900"/>
    <w:pPr>
      <w:spacing w:before="40" w:line="180" w:lineRule="exact"/>
    </w:pPr>
    <w:rPr>
      <w:sz w:val="16"/>
    </w:rPr>
  </w:style>
  <w:style w:type="paragraph" w:customStyle="1" w:styleId="Tablesideheading2">
    <w:name w:val="Table side heading 2"/>
    <w:basedOn w:val="Tabletext"/>
    <w:qFormat/>
    <w:rsid w:val="00CC4900"/>
    <w:rPr>
      <w:rFonts w:cstheme="minorBidi"/>
      <w:b/>
      <w:i/>
    </w:rPr>
  </w:style>
  <w:style w:type="paragraph" w:customStyle="1" w:styleId="Tablesideheading2small">
    <w:name w:val="Table side heading 2 (small)"/>
    <w:basedOn w:val="Tablesideheading2"/>
    <w:qFormat/>
    <w:rsid w:val="00CC4900"/>
    <w:pPr>
      <w:spacing w:line="180" w:lineRule="exact"/>
    </w:pPr>
    <w:rPr>
      <w:sz w:val="16"/>
    </w:rPr>
  </w:style>
  <w:style w:type="paragraph" w:customStyle="1" w:styleId="Note">
    <w:name w:val="Note"/>
    <w:rsid w:val="00AD1794"/>
    <w:pPr>
      <w:keepNext/>
      <w:keepLines/>
      <w:spacing w:before="120" w:after="0" w:line="180" w:lineRule="exact"/>
    </w:pPr>
    <w:rPr>
      <w:rFonts w:ascii="Arial" w:eastAsia="Times New Roman" w:hAnsi="Arial" w:cs="Arial"/>
      <w:color w:val="000000"/>
      <w:sz w:val="16"/>
      <w:szCs w:val="24"/>
    </w:rPr>
  </w:style>
  <w:style w:type="paragraph" w:customStyle="1" w:styleId="SideNoteItalicRight">
    <w:name w:val="SideNote (Italic Right)"/>
    <w:basedOn w:val="Normal-nospace"/>
    <w:qFormat/>
    <w:rsid w:val="001F6F1F"/>
    <w:pPr>
      <w:spacing w:before="64" w:line="240" w:lineRule="auto"/>
      <w:contextualSpacing/>
      <w:jc w:val="right"/>
    </w:pPr>
    <w:rPr>
      <w:rFonts w:cstheme="minorBidi"/>
      <w:b/>
      <w:i/>
      <w:sz w:val="22"/>
    </w:rPr>
  </w:style>
  <w:style w:type="paragraph" w:customStyle="1" w:styleId="SideNoteItalicLeft">
    <w:name w:val="SideNote (Italic Left)"/>
    <w:basedOn w:val="SideNoteItalicRight"/>
    <w:qFormat/>
    <w:rsid w:val="003649DE"/>
    <w:pPr>
      <w:jc w:val="left"/>
    </w:pPr>
  </w:style>
  <w:style w:type="paragraph" w:customStyle="1" w:styleId="SideNoteRegularLeft">
    <w:name w:val="SideNote (Regular Left)"/>
    <w:basedOn w:val="Normal-nospace"/>
    <w:qFormat/>
    <w:rsid w:val="001F6F1F"/>
    <w:pPr>
      <w:spacing w:before="64" w:line="240" w:lineRule="auto"/>
      <w:contextualSpacing/>
    </w:pPr>
    <w:rPr>
      <w:b/>
      <w:sz w:val="22"/>
    </w:rPr>
  </w:style>
  <w:style w:type="paragraph" w:customStyle="1" w:styleId="SideNoteRegularRight">
    <w:name w:val="SideNote (Regular Right)"/>
    <w:basedOn w:val="SideNoteRegularLeft"/>
    <w:qFormat/>
    <w:rsid w:val="003649DE"/>
    <w:pPr>
      <w:jc w:val="right"/>
    </w:pPr>
  </w:style>
  <w:style w:type="paragraph" w:customStyle="1" w:styleId="SideNoteBullet">
    <w:name w:val="SideNote Bullet"/>
    <w:basedOn w:val="SideNoteRegularLeft"/>
    <w:rsid w:val="003649DE"/>
    <w:pPr>
      <w:numPr>
        <w:ilvl w:val="1"/>
        <w:numId w:val="28"/>
      </w:numPr>
      <w:spacing w:before="0" w:after="64"/>
    </w:pPr>
  </w:style>
  <w:style w:type="paragraph" w:customStyle="1" w:styleId="SideNoteDash">
    <w:name w:val="SideNote Dash"/>
    <w:basedOn w:val="SideNoteRegularLeft"/>
    <w:qFormat/>
    <w:rsid w:val="003649DE"/>
    <w:pPr>
      <w:numPr>
        <w:numId w:val="28"/>
      </w:numPr>
    </w:pPr>
  </w:style>
  <w:style w:type="paragraph" w:customStyle="1" w:styleId="PullOutTitle">
    <w:name w:val="PullOut Title"/>
    <w:basedOn w:val="Normal-nospace"/>
    <w:qFormat/>
    <w:rsid w:val="003649DE"/>
    <w:pPr>
      <w:spacing w:before="90"/>
    </w:pPr>
    <w:rPr>
      <w:rFonts w:cstheme="minorBidi"/>
      <w:b/>
    </w:rPr>
  </w:style>
  <w:style w:type="character" w:customStyle="1" w:styleId="SourceChar">
    <w:name w:val="Source Char"/>
    <w:basedOn w:val="DefaultParagraphFont"/>
    <w:link w:val="Source"/>
    <w:locked/>
    <w:rsid w:val="00851066"/>
    <w:rPr>
      <w:rFonts w:ascii="Arial" w:hAnsi="Arial" w:cs="Arial"/>
      <w:i/>
      <w:color w:val="000000"/>
      <w:sz w:val="16"/>
    </w:rPr>
  </w:style>
  <w:style w:type="table" w:customStyle="1" w:styleId="aacTableBanded-Odd">
    <w:name w:val="aac Table (Banded-Odd)"/>
    <w:basedOn w:val="TableNormal"/>
    <w:uiPriority w:val="99"/>
    <w:rsid w:val="007B4B86"/>
    <w:pPr>
      <w:spacing w:before="60" w:after="0" w:line="240" w:lineRule="atLeast"/>
      <w:ind w:right="119"/>
    </w:pPr>
    <w:tblPr>
      <w:tblStyleRowBandSize w:val="1"/>
      <w:tblBorders>
        <w:bottom w:val="single" w:sz="4" w:space="0" w:color="auto"/>
        <w:insideH w:val="single" w:sz="4" w:space="0" w:color="auto"/>
      </w:tblBorders>
      <w:tblCellMar>
        <w:left w:w="0" w:type="dxa"/>
        <w:right w:w="0" w:type="dxa"/>
      </w:tblCellMar>
    </w:tblPr>
    <w:tblStylePr w:type="firstRow">
      <w:tblPr/>
      <w:tcPr>
        <w:shd w:val="clear" w:color="auto" w:fill="140134"/>
      </w:tcPr>
    </w:tblStylePr>
    <w:tblStylePr w:type="band1Horz">
      <w:tblPr/>
      <w:tcPr>
        <w:shd w:val="clear" w:color="auto" w:fill="E5E4E5"/>
      </w:tcPr>
    </w:tblStylePr>
  </w:style>
  <w:style w:type="table" w:customStyle="1" w:styleId="aacTableBanded-Even">
    <w:name w:val="aac Table (Banded-Even)"/>
    <w:basedOn w:val="TableNormal"/>
    <w:uiPriority w:val="99"/>
    <w:rsid w:val="002D7D78"/>
    <w:pPr>
      <w:spacing w:after="0" w:line="240" w:lineRule="auto"/>
    </w:pPr>
    <w:tblPr>
      <w:tblStyleRowBandSize w:val="1"/>
      <w:tblBorders>
        <w:bottom w:val="single" w:sz="4" w:space="0" w:color="auto"/>
        <w:insideH w:val="single" w:sz="4" w:space="0" w:color="auto"/>
      </w:tblBorders>
      <w:tblCellMar>
        <w:left w:w="0" w:type="dxa"/>
        <w:right w:w="0" w:type="dxa"/>
      </w:tblCellMar>
    </w:tblPr>
    <w:tblStylePr w:type="firstRow">
      <w:tblPr/>
      <w:tcPr>
        <w:shd w:val="clear" w:color="auto" w:fill="140134"/>
      </w:tcPr>
    </w:tblStylePr>
    <w:tblStylePr w:type="band2Horz">
      <w:tblPr/>
      <w:tcPr>
        <w:shd w:val="clear" w:color="auto" w:fill="E5E4E5"/>
      </w:tcPr>
    </w:tblStylePr>
  </w:style>
  <w:style w:type="numbering" w:customStyle="1" w:styleId="aaHeadingnonumberList">
    <w:name w:val="aa Heading (no number) List"/>
    <w:uiPriority w:val="99"/>
    <w:rsid w:val="00BC3457"/>
    <w:pPr>
      <w:numPr>
        <w:numId w:val="29"/>
      </w:numPr>
    </w:pPr>
  </w:style>
  <w:style w:type="paragraph" w:customStyle="1" w:styleId="Heading1AP">
    <w:name w:val="Heading 1 (AP)"/>
    <w:basedOn w:val="Normal-nospace"/>
    <w:next w:val="BodyText"/>
    <w:qFormat/>
    <w:rsid w:val="00874649"/>
    <w:pPr>
      <w:spacing w:before="1120" w:after="600" w:line="192" w:lineRule="auto"/>
      <w:outlineLvl w:val="0"/>
    </w:pPr>
    <w:rPr>
      <w:sz w:val="52"/>
    </w:rPr>
  </w:style>
  <w:style w:type="paragraph" w:customStyle="1" w:styleId="Heading2AP">
    <w:name w:val="Heading 2 (AP)"/>
    <w:basedOn w:val="Normal-nospace"/>
    <w:next w:val="BodyText"/>
    <w:qFormat/>
    <w:rsid w:val="00CA669D"/>
    <w:pPr>
      <w:keepNext/>
      <w:numPr>
        <w:ilvl w:val="1"/>
        <w:numId w:val="30"/>
      </w:numPr>
      <w:pBdr>
        <w:bottom w:val="single" w:sz="4" w:space="0" w:color="6C3E99"/>
      </w:pBdr>
      <w:spacing w:before="240" w:after="216"/>
      <w:outlineLvl w:val="8"/>
    </w:pPr>
    <w:rPr>
      <w:b/>
      <w:color w:val="6C3E99"/>
      <w:sz w:val="28"/>
    </w:rPr>
  </w:style>
  <w:style w:type="paragraph" w:customStyle="1" w:styleId="Heading3AP">
    <w:name w:val="Heading 3 (AP)"/>
    <w:basedOn w:val="Normal-nospace"/>
    <w:next w:val="BodyText"/>
    <w:qFormat/>
    <w:rsid w:val="00C50FD7"/>
    <w:pPr>
      <w:keepNext/>
      <w:numPr>
        <w:ilvl w:val="2"/>
        <w:numId w:val="30"/>
      </w:numPr>
      <w:pBdr>
        <w:bottom w:val="single" w:sz="4" w:space="0" w:color="000100"/>
      </w:pBdr>
      <w:spacing w:before="240" w:after="160" w:line="240" w:lineRule="atLeast"/>
    </w:pPr>
    <w:rPr>
      <w:b/>
      <w:sz w:val="24"/>
    </w:rPr>
  </w:style>
  <w:style w:type="paragraph" w:customStyle="1" w:styleId="Heading4AP">
    <w:name w:val="Heading 4 (AP)"/>
    <w:basedOn w:val="Normal-nospace"/>
    <w:next w:val="BodyText"/>
    <w:qFormat/>
    <w:rsid w:val="00C50FD7"/>
    <w:pPr>
      <w:keepNext/>
      <w:numPr>
        <w:ilvl w:val="3"/>
        <w:numId w:val="31"/>
      </w:numPr>
      <w:spacing w:before="240" w:after="160" w:line="240" w:lineRule="atLeast"/>
    </w:pPr>
    <w:rPr>
      <w:b/>
      <w:sz w:val="22"/>
    </w:rPr>
  </w:style>
  <w:style w:type="paragraph" w:customStyle="1" w:styleId="Heading5AP">
    <w:name w:val="Heading 5 (AP)"/>
    <w:basedOn w:val="Normal-nospace"/>
    <w:next w:val="BodyText"/>
    <w:qFormat/>
    <w:rsid w:val="00C50FD7"/>
    <w:pPr>
      <w:keepNext/>
      <w:numPr>
        <w:ilvl w:val="4"/>
        <w:numId w:val="31"/>
      </w:numPr>
      <w:spacing w:before="240" w:after="160" w:line="240" w:lineRule="atLeast"/>
    </w:pPr>
    <w:rPr>
      <w:b/>
      <w:i/>
      <w:sz w:val="22"/>
    </w:rPr>
  </w:style>
  <w:style w:type="paragraph" w:customStyle="1" w:styleId="Heading6AP">
    <w:name w:val="Heading 6 (AP)"/>
    <w:basedOn w:val="Normal-nospace"/>
    <w:next w:val="BodyText"/>
    <w:qFormat/>
    <w:rsid w:val="00C50FD7"/>
    <w:pPr>
      <w:keepNext/>
      <w:numPr>
        <w:ilvl w:val="5"/>
        <w:numId w:val="31"/>
      </w:numPr>
      <w:spacing w:before="240" w:after="160" w:line="240" w:lineRule="atLeast"/>
    </w:pPr>
    <w:rPr>
      <w:b/>
      <w:i/>
      <w:sz w:val="22"/>
    </w:rPr>
  </w:style>
  <w:style w:type="numbering" w:customStyle="1" w:styleId="aaclstStyleHeadingApp">
    <w:name w:val="aac_lstStyle_HeadingApp"/>
    <w:uiPriority w:val="99"/>
    <w:rsid w:val="00CA669D"/>
    <w:pPr>
      <w:numPr>
        <w:numId w:val="30"/>
      </w:numPr>
    </w:pPr>
  </w:style>
  <w:style w:type="numbering" w:customStyle="1" w:styleId="aaReportListDash">
    <w:name w:val="aa Report List Dash"/>
    <w:uiPriority w:val="99"/>
    <w:rsid w:val="00315CD5"/>
    <w:pPr>
      <w:numPr>
        <w:numId w:val="32"/>
      </w:numPr>
    </w:pPr>
  </w:style>
  <w:style w:type="paragraph" w:customStyle="1" w:styleId="waterMarkaadraftstat">
    <w:name w:val="waterMark_aa_draft_stat"/>
    <w:rsid w:val="004653A9"/>
    <w:rPr>
      <w:rFonts w:ascii="Arial" w:eastAsiaTheme="minorEastAsia" w:hAnsi="Arial" w:cs="Arial"/>
      <w:color w:val="000000"/>
      <w:sz w:val="3276"/>
      <w:szCs w:val="3276"/>
      <w:lang w:val="en-US"/>
    </w:rPr>
  </w:style>
  <w:style w:type="paragraph" w:customStyle="1" w:styleId="waterMarkaaCabinetsec">
    <w:name w:val="waterMark_aa_Cabinet_sec"/>
    <w:rsid w:val="004653A9"/>
    <w:rPr>
      <w:rFonts w:ascii="Arial" w:eastAsiaTheme="minorEastAsia" w:hAnsi="Arial" w:cs="Arial"/>
      <w:color w:val="000000"/>
      <w:sz w:val="3276"/>
      <w:szCs w:val="3276"/>
      <w:lang w:val="en-US"/>
    </w:rPr>
  </w:style>
  <w:style w:type="paragraph" w:customStyle="1" w:styleId="waterMarkaaCommercialsec">
    <w:name w:val="waterMark_aa_Commercial_sec"/>
    <w:rsid w:val="004653A9"/>
    <w:rPr>
      <w:rFonts w:ascii="Arial" w:eastAsiaTheme="minorEastAsia" w:hAnsi="Arial" w:cs="Arial"/>
      <w:color w:val="000000"/>
      <w:sz w:val="3276"/>
      <w:szCs w:val="3276"/>
      <w:lang w:val="en-US"/>
    </w:rPr>
  </w:style>
  <w:style w:type="paragraph" w:customStyle="1" w:styleId="waterMarkaadraftOnlyBodstat">
    <w:name w:val="waterMark_aa_draftOnlyBod_stat"/>
    <w:rsid w:val="004653A9"/>
    <w:rPr>
      <w:rFonts w:ascii="Arial" w:eastAsiaTheme="minorEastAsia" w:hAnsi="Arial" w:cs="Arial"/>
      <w:color w:val="000000"/>
      <w:sz w:val="3276"/>
      <w:szCs w:val="3276"/>
      <w:lang w:val="en-US"/>
    </w:rPr>
  </w:style>
  <w:style w:type="paragraph" w:customStyle="1" w:styleId="waterMarkaaConfidentialsec">
    <w:name w:val="waterMark_aa_Confidential_sec"/>
    <w:rsid w:val="004653A9"/>
    <w:rPr>
      <w:rFonts w:ascii="Arial" w:eastAsiaTheme="minorEastAsia" w:hAnsi="Arial" w:cs="Arial"/>
      <w:color w:val="000000"/>
      <w:sz w:val="3276"/>
      <w:szCs w:val="3276"/>
      <w:lang w:val="en-US"/>
    </w:rPr>
  </w:style>
  <w:style w:type="paragraph" w:customStyle="1" w:styleId="TableQuoteSource">
    <w:name w:val="Table Quote Source"/>
    <w:basedOn w:val="Normal-nospace"/>
    <w:qFormat/>
    <w:rsid w:val="00E5473A"/>
    <w:pPr>
      <w:spacing w:before="90" w:after="60" w:line="240" w:lineRule="auto"/>
      <w:ind w:right="200"/>
      <w:jc w:val="right"/>
    </w:pPr>
    <w:rPr>
      <w:rFonts w:cstheme="minorBidi"/>
      <w:i/>
      <w:sz w:val="20"/>
    </w:rPr>
  </w:style>
  <w:style w:type="paragraph" w:customStyle="1" w:styleId="TableQuoteSourcesmall">
    <w:name w:val="Table Quote Source (small)"/>
    <w:basedOn w:val="BodyText"/>
    <w:qFormat/>
    <w:rsid w:val="00E5473A"/>
    <w:pPr>
      <w:spacing w:before="0" w:line="240" w:lineRule="auto"/>
      <w:ind w:right="200"/>
      <w:jc w:val="right"/>
    </w:pPr>
    <w:rPr>
      <w:rFonts w:cstheme="minorBidi"/>
      <w:i/>
      <w:sz w:val="16"/>
    </w:rPr>
  </w:style>
  <w:style w:type="paragraph" w:customStyle="1" w:styleId="TableQuote">
    <w:name w:val="Table Quote"/>
    <w:basedOn w:val="Normal-nospace"/>
    <w:qFormat/>
    <w:rsid w:val="001E36CF"/>
    <w:pPr>
      <w:spacing w:before="60" w:line="240" w:lineRule="atLeast"/>
      <w:ind w:right="199"/>
    </w:pPr>
    <w:rPr>
      <w:rFonts w:cstheme="minorBidi"/>
      <w:i/>
      <w:sz w:val="20"/>
    </w:rPr>
  </w:style>
  <w:style w:type="paragraph" w:customStyle="1" w:styleId="QuoteListBullet">
    <w:name w:val="Quote List Bullet"/>
    <w:basedOn w:val="Quote"/>
    <w:qFormat/>
    <w:rsid w:val="0020185D"/>
    <w:pPr>
      <w:numPr>
        <w:numId w:val="35"/>
      </w:numPr>
      <w:spacing w:before="0"/>
      <w:ind w:left="777" w:hanging="357"/>
      <w:contextualSpacing/>
    </w:pPr>
  </w:style>
  <w:style w:type="paragraph" w:customStyle="1" w:styleId="QuoteSource">
    <w:name w:val="Quote Source"/>
    <w:basedOn w:val="Quote"/>
    <w:next w:val="BodyText"/>
    <w:qFormat/>
    <w:rsid w:val="0020185D"/>
    <w:pPr>
      <w:contextualSpacing/>
      <w:jc w:val="right"/>
    </w:pPr>
  </w:style>
  <w:style w:type="paragraph" w:customStyle="1" w:styleId="TableQuotesmall">
    <w:name w:val="Table Quote (small)"/>
    <w:basedOn w:val="Normal-nospace"/>
    <w:qFormat/>
    <w:rsid w:val="001E36CF"/>
    <w:pPr>
      <w:spacing w:before="60" w:line="180" w:lineRule="exact"/>
      <w:ind w:right="199"/>
    </w:pPr>
    <w:rPr>
      <w:rFonts w:cstheme="minorBidi"/>
      <w:i/>
      <w:sz w:val="16"/>
    </w:rPr>
  </w:style>
  <w:style w:type="paragraph" w:customStyle="1" w:styleId="TableQuoteBullet">
    <w:name w:val="Table Quote Bullet"/>
    <w:basedOn w:val="Normal-nospace"/>
    <w:qFormat/>
    <w:rsid w:val="00FA214E"/>
    <w:pPr>
      <w:numPr>
        <w:numId w:val="36"/>
      </w:numPr>
      <w:spacing w:before="60" w:after="60" w:line="240" w:lineRule="auto"/>
      <w:ind w:left="360" w:right="200"/>
      <w:contextualSpacing/>
    </w:pPr>
    <w:rPr>
      <w:rFonts w:cstheme="minorBidi"/>
      <w:i/>
      <w:sz w:val="20"/>
    </w:rPr>
  </w:style>
  <w:style w:type="paragraph" w:customStyle="1" w:styleId="TableQuoteBulletsmall">
    <w:name w:val="Table Quote Bullet (small)"/>
    <w:basedOn w:val="Normal-nospace"/>
    <w:qFormat/>
    <w:rsid w:val="00FA214E"/>
    <w:pPr>
      <w:numPr>
        <w:numId w:val="37"/>
      </w:numPr>
      <w:spacing w:before="40" w:after="60" w:line="240" w:lineRule="auto"/>
      <w:ind w:left="360"/>
      <w:contextualSpacing/>
    </w:pPr>
    <w:rPr>
      <w:rFonts w:cstheme="minorBidi"/>
      <w:i/>
      <w:sz w:val="16"/>
    </w:rPr>
  </w:style>
  <w:style w:type="paragraph" w:customStyle="1" w:styleId="SubHeading1">
    <w:name w:val="Sub Heading 1"/>
    <w:basedOn w:val="Normalrgb"/>
    <w:qFormat/>
    <w:rsid w:val="007F14E3"/>
    <w:pPr>
      <w:spacing w:line="240" w:lineRule="auto"/>
      <w:contextualSpacing/>
    </w:pPr>
    <w:rPr>
      <w:sz w:val="40"/>
    </w:rPr>
  </w:style>
  <w:style w:type="paragraph" w:customStyle="1" w:styleId="tagglossaryChpt">
    <w:name w:val="tag_glossary_Chpt"/>
    <w:basedOn w:val="spacer"/>
    <w:rsid w:val="004F621C"/>
  </w:style>
  <w:style w:type="paragraph" w:customStyle="1" w:styleId="tagbiblioChpt">
    <w:name w:val="tag_biblio_Chpt"/>
    <w:basedOn w:val="spacer"/>
    <w:qFormat/>
    <w:rsid w:val="004F621C"/>
  </w:style>
  <w:style w:type="paragraph" w:customStyle="1" w:styleId="tagrefsChpt">
    <w:name w:val="tag_refs_Chpt"/>
    <w:basedOn w:val="spacer"/>
    <w:qFormat/>
    <w:rsid w:val="004F621C"/>
  </w:style>
  <w:style w:type="paragraph" w:customStyle="1" w:styleId="tagworksCitedChpt">
    <w:name w:val="tag_worksCited_Chpt"/>
    <w:basedOn w:val="spacer"/>
    <w:qFormat/>
    <w:rsid w:val="004F621C"/>
  </w:style>
  <w:style w:type="paragraph" w:customStyle="1" w:styleId="TOCTOFSubHeading">
    <w:name w:val="TOC TOFSubHeading"/>
    <w:basedOn w:val="Normal-nospace"/>
    <w:qFormat/>
    <w:rsid w:val="00CD5804"/>
    <w:pPr>
      <w:keepNext/>
      <w:spacing w:before="160" w:after="80"/>
    </w:pPr>
    <w:rPr>
      <w:b/>
      <w:sz w:val="24"/>
    </w:rPr>
  </w:style>
  <w:style w:type="paragraph" w:customStyle="1" w:styleId="Heading2nonumber">
    <w:name w:val="Heading 2 (no number)"/>
    <w:basedOn w:val="Normal-nospace"/>
    <w:next w:val="BodyText"/>
    <w:qFormat/>
    <w:rsid w:val="004A7506"/>
    <w:pPr>
      <w:pBdr>
        <w:bottom w:val="single" w:sz="4" w:space="1" w:color="6C3E99"/>
      </w:pBdr>
      <w:spacing w:before="240" w:after="216"/>
    </w:pPr>
    <w:rPr>
      <w:b/>
      <w:color w:val="6C3E99"/>
      <w:sz w:val="28"/>
    </w:rPr>
  </w:style>
  <w:style w:type="paragraph" w:customStyle="1" w:styleId="Heading3nonumber">
    <w:name w:val="Heading 3 (no number)"/>
    <w:basedOn w:val="Normal-nospace"/>
    <w:next w:val="BodyText"/>
    <w:qFormat/>
    <w:rsid w:val="004A7506"/>
    <w:pPr>
      <w:pBdr>
        <w:bottom w:val="single" w:sz="4" w:space="0" w:color="000100"/>
      </w:pBdr>
      <w:spacing w:before="240" w:after="160" w:line="240" w:lineRule="atLeast"/>
    </w:pPr>
    <w:rPr>
      <w:b/>
      <w:sz w:val="24"/>
    </w:rPr>
  </w:style>
  <w:style w:type="paragraph" w:customStyle="1" w:styleId="Heading4nonumber">
    <w:name w:val="Heading 4 (no number)"/>
    <w:basedOn w:val="Normal-nospace"/>
    <w:next w:val="BodyText"/>
    <w:qFormat/>
    <w:rsid w:val="00CF713B"/>
    <w:pPr>
      <w:keepNext/>
      <w:spacing w:before="240" w:after="160" w:line="240" w:lineRule="atLeast"/>
    </w:pPr>
    <w:rPr>
      <w:b/>
      <w:sz w:val="22"/>
    </w:rPr>
  </w:style>
  <w:style w:type="paragraph" w:customStyle="1" w:styleId="LetterHeading2">
    <w:name w:val="Letter Heading 2"/>
    <w:basedOn w:val="LetterHeading1"/>
    <w:next w:val="BodyText"/>
    <w:qFormat/>
    <w:rsid w:val="00057123"/>
    <w:rPr>
      <w:i/>
    </w:rPr>
  </w:style>
  <w:style w:type="paragraph" w:customStyle="1" w:styleId="LetterHeading3">
    <w:name w:val="Letter Heading 3"/>
    <w:basedOn w:val="LetterHeading1"/>
    <w:next w:val="BodyText"/>
    <w:qFormat/>
    <w:rsid w:val="00057123"/>
    <w:rPr>
      <w:b w:val="0"/>
      <w:i/>
    </w:rPr>
  </w:style>
  <w:style w:type="paragraph" w:customStyle="1" w:styleId="FigureSubHeadings">
    <w:name w:val="Figure (Sub Headings)"/>
    <w:basedOn w:val="Normal-nospace"/>
    <w:qFormat/>
    <w:rsid w:val="006932C6"/>
    <w:pPr>
      <w:spacing w:before="60" w:after="120" w:line="240" w:lineRule="auto"/>
    </w:pPr>
    <w:rPr>
      <w:sz w:val="18"/>
    </w:rPr>
  </w:style>
  <w:style w:type="table" w:customStyle="1" w:styleId="aacTablenolines">
    <w:name w:val="aac Table (no lines)"/>
    <w:basedOn w:val="TableNormal"/>
    <w:uiPriority w:val="99"/>
    <w:rsid w:val="00A24D9C"/>
    <w:pPr>
      <w:spacing w:after="0" w:line="240" w:lineRule="auto"/>
    </w:pPr>
    <w:tblPr>
      <w:tblCellMar>
        <w:left w:w="0" w:type="dxa"/>
        <w:right w:w="0" w:type="dxa"/>
      </w:tblCellMar>
    </w:tblPr>
  </w:style>
  <w:style w:type="character" w:customStyle="1" w:styleId="Notelabel">
    <w:name w:val="Note label"/>
    <w:basedOn w:val="DefaultParagraphFont"/>
    <w:uiPriority w:val="1"/>
    <w:qFormat/>
    <w:rsid w:val="00B44A58"/>
    <w:rPr>
      <w:b/>
      <w:color w:val="000000"/>
      <w:vertAlign w:val="superscript"/>
    </w:rPr>
  </w:style>
  <w:style w:type="paragraph" w:customStyle="1" w:styleId="LetterConfidentiality">
    <w:name w:val="Letter Confidentiality"/>
    <w:basedOn w:val="BodyText"/>
    <w:qFormat/>
    <w:rsid w:val="00654E02"/>
  </w:style>
  <w:style w:type="paragraph" w:customStyle="1" w:styleId="Normalrgb">
    <w:name w:val="Normal_rgb"/>
    <w:basedOn w:val="Normal-nospace"/>
    <w:link w:val="NormalrgbChar"/>
    <w:qFormat/>
    <w:rsid w:val="00533E1D"/>
    <w:rPr>
      <w:color w:val="9D85BE"/>
    </w:rPr>
  </w:style>
  <w:style w:type="paragraph" w:customStyle="1" w:styleId="CpContactDetailsWeb">
    <w:name w:val="Cp Contact Details Web"/>
    <w:basedOn w:val="Normalrgb"/>
    <w:qFormat/>
    <w:rsid w:val="005A335C"/>
    <w:pPr>
      <w:spacing w:line="250" w:lineRule="exact"/>
    </w:pPr>
    <w:rPr>
      <w:color w:val="000000"/>
    </w:rPr>
  </w:style>
  <w:style w:type="paragraph" w:customStyle="1" w:styleId="CpContactDetailsHeading">
    <w:name w:val="Cp Contact Details Heading"/>
    <w:basedOn w:val="Normalrgb"/>
    <w:next w:val="CpContactDetails"/>
    <w:qFormat/>
    <w:rsid w:val="005A335C"/>
    <w:pPr>
      <w:spacing w:line="250" w:lineRule="exact"/>
    </w:pPr>
    <w:rPr>
      <w:b/>
      <w:color w:val="000000"/>
    </w:rPr>
  </w:style>
  <w:style w:type="paragraph" w:customStyle="1" w:styleId="tagaaRptTestStyle00">
    <w:name w:val="tag_aa_RptTestStyle_#?_00"/>
    <w:basedOn w:val="BodyText"/>
    <w:qFormat/>
    <w:rsid w:val="00E331FB"/>
    <w:pPr>
      <w:spacing w:before="0" w:after="0" w:line="240" w:lineRule="auto"/>
    </w:pPr>
    <w:rPr>
      <w:sz w:val="16"/>
    </w:rPr>
  </w:style>
  <w:style w:type="character" w:customStyle="1" w:styleId="CaptionChar1">
    <w:name w:val="Caption Char1"/>
    <w:aliases w:val="Caption Char Char, Char1 Char Char Char, Char1 Char Char1,Char1 Char Char Char1,Char1 Char Char Char Char1,Char1 Char Char Char Char Char,Char Char Char,Char1 Char Char1,Caption Char Char Char Char,1 Char,Char1 Char1,Text Caption Char"/>
    <w:basedOn w:val="DefaultParagraphFont"/>
    <w:link w:val="Caption"/>
    <w:uiPriority w:val="35"/>
    <w:rsid w:val="002B32A0"/>
    <w:rPr>
      <w:rFonts w:ascii="Arial" w:hAnsi="Arial" w:cs="Arial"/>
      <w:iCs/>
      <w:color w:val="000000"/>
      <w:sz w:val="19"/>
      <w:szCs w:val="18"/>
    </w:rPr>
  </w:style>
  <w:style w:type="character" w:customStyle="1" w:styleId="TabletextChar">
    <w:name w:val="Table text Char"/>
    <w:aliases w:val="List Paragraph Char,Recommendation Char,List Paragraph1 Char,List Paragraph11 Char,L Char,Bullet Point Char,Bullet points Char,Content descriptions Char,Body Bullets 1 Char,Bullet point Char,Main Char,CV text Char,F5 List Paragraph Char"/>
    <w:basedOn w:val="DefaultParagraphFont"/>
    <w:link w:val="Tabletext"/>
    <w:qFormat/>
    <w:locked/>
    <w:rsid w:val="002B32A0"/>
    <w:rPr>
      <w:rFonts w:ascii="Arial" w:hAnsi="Arial" w:cs="Arial"/>
      <w:color w:val="000000"/>
      <w:sz w:val="20"/>
    </w:rPr>
  </w:style>
  <w:style w:type="character" w:customStyle="1" w:styleId="ListBulletChar">
    <w:name w:val="List Bullet Char"/>
    <w:aliases w:val="List Bullet Char1 Char,List Bullet Char Char Char,List Bullet Char1 Char Char Char,List Bullet Char Char Char1 Char Char,List Bullet Char Char Char Char Char Char,List Bullet Char3 Char,List Bullet Char2 Char Char,List Bullet1 Char"/>
    <w:basedOn w:val="DefaultParagraphFont"/>
    <w:link w:val="ListBullet"/>
    <w:uiPriority w:val="99"/>
    <w:rsid w:val="002B32A0"/>
    <w:rPr>
      <w:rFonts w:ascii="Arial" w:hAnsi="Arial" w:cs="Arial"/>
      <w:color w:val="000000"/>
      <w:sz w:val="19"/>
    </w:rPr>
  </w:style>
  <w:style w:type="paragraph" w:customStyle="1" w:styleId="PlainParagraph">
    <w:name w:val="Plain Paragraph"/>
    <w:basedOn w:val="Normal"/>
    <w:rsid w:val="002B32A0"/>
    <w:pPr>
      <w:spacing w:before="120" w:after="120"/>
      <w:ind w:left="567"/>
    </w:pPr>
    <w:rPr>
      <w:rFonts w:eastAsia="Times New Roman"/>
      <w:lang w:eastAsia="en-AU"/>
    </w:rPr>
  </w:style>
  <w:style w:type="paragraph" w:customStyle="1" w:styleId="NumberedList1">
    <w:name w:val="Numbered List: 1)"/>
    <w:basedOn w:val="PlainParagraph"/>
    <w:semiHidden/>
    <w:rsid w:val="002B32A0"/>
    <w:pPr>
      <w:numPr>
        <w:numId w:val="39"/>
      </w:numPr>
      <w:spacing w:before="0"/>
    </w:pPr>
  </w:style>
  <w:style w:type="paragraph" w:customStyle="1" w:styleId="NumberedList11">
    <w:name w:val="Numbered List: 1) 1"/>
    <w:basedOn w:val="NumberedList1"/>
    <w:semiHidden/>
    <w:rsid w:val="002B32A0"/>
    <w:pPr>
      <w:numPr>
        <w:ilvl w:val="1"/>
      </w:numPr>
    </w:pPr>
  </w:style>
  <w:style w:type="paragraph" w:customStyle="1" w:styleId="NumberedList12">
    <w:name w:val="Numbered List: 1) 2"/>
    <w:basedOn w:val="NumberedList11"/>
    <w:semiHidden/>
    <w:rsid w:val="002B32A0"/>
    <w:pPr>
      <w:numPr>
        <w:ilvl w:val="2"/>
      </w:numPr>
    </w:pPr>
  </w:style>
  <w:style w:type="paragraph" w:customStyle="1" w:styleId="NumberedList13">
    <w:name w:val="Numbered List: 1) 3"/>
    <w:basedOn w:val="NumberedList12"/>
    <w:semiHidden/>
    <w:rsid w:val="002B32A0"/>
    <w:pPr>
      <w:numPr>
        <w:ilvl w:val="3"/>
      </w:numPr>
    </w:pPr>
  </w:style>
  <w:style w:type="paragraph" w:customStyle="1" w:styleId="NumberedList14">
    <w:name w:val="Numbered List: 1) 4"/>
    <w:basedOn w:val="NumberedList13"/>
    <w:semiHidden/>
    <w:rsid w:val="002B32A0"/>
    <w:pPr>
      <w:numPr>
        <w:ilvl w:val="4"/>
      </w:numPr>
    </w:pPr>
  </w:style>
  <w:style w:type="paragraph" w:customStyle="1" w:styleId="NumberedList15">
    <w:name w:val="Numbered List: 1) 5"/>
    <w:basedOn w:val="NumberedList14"/>
    <w:semiHidden/>
    <w:rsid w:val="002B32A0"/>
    <w:pPr>
      <w:numPr>
        <w:ilvl w:val="5"/>
      </w:numPr>
    </w:pPr>
  </w:style>
  <w:style w:type="paragraph" w:customStyle="1" w:styleId="NumberedList16">
    <w:name w:val="Numbered List: 1) 6"/>
    <w:basedOn w:val="NumberedList15"/>
    <w:semiHidden/>
    <w:rsid w:val="002B32A0"/>
    <w:pPr>
      <w:numPr>
        <w:ilvl w:val="6"/>
      </w:numPr>
    </w:pPr>
  </w:style>
  <w:style w:type="paragraph" w:customStyle="1" w:styleId="NumberedList17">
    <w:name w:val="Numbered List: 1) 7"/>
    <w:basedOn w:val="NumberedList16"/>
    <w:semiHidden/>
    <w:rsid w:val="002B32A0"/>
    <w:pPr>
      <w:numPr>
        <w:ilvl w:val="7"/>
      </w:numPr>
    </w:pPr>
  </w:style>
  <w:style w:type="paragraph" w:customStyle="1" w:styleId="NumberedList18">
    <w:name w:val="Numbered List: 1) 8"/>
    <w:basedOn w:val="NumberedList17"/>
    <w:semiHidden/>
    <w:rsid w:val="002B32A0"/>
    <w:pPr>
      <w:numPr>
        <w:ilvl w:val="8"/>
      </w:numPr>
    </w:pPr>
  </w:style>
  <w:style w:type="paragraph" w:customStyle="1" w:styleId="MELegal1">
    <w:name w:val="ME Legal 1"/>
    <w:aliases w:val="l1,RFTLevel1,ME Legal 11"/>
    <w:basedOn w:val="Normal"/>
    <w:next w:val="Normal"/>
    <w:qFormat/>
    <w:rsid w:val="002B32A0"/>
    <w:pPr>
      <w:keepNext/>
      <w:numPr>
        <w:numId w:val="40"/>
      </w:numPr>
      <w:spacing w:before="280" w:after="140"/>
      <w:outlineLvl w:val="0"/>
    </w:pPr>
    <w:rPr>
      <w:rFonts w:eastAsia="Times New Roman" w:cs="Angsana New"/>
      <w:spacing w:val="-10"/>
      <w:w w:val="95"/>
      <w:sz w:val="32"/>
      <w:lang w:eastAsia="zh-CN" w:bidi="th-TH"/>
    </w:rPr>
  </w:style>
  <w:style w:type="paragraph" w:customStyle="1" w:styleId="MELegal2">
    <w:name w:val="ME Legal 2"/>
    <w:aliases w:val="l2,RFTLevel2"/>
    <w:basedOn w:val="Normal"/>
    <w:next w:val="Normal"/>
    <w:qFormat/>
    <w:rsid w:val="002B32A0"/>
    <w:pPr>
      <w:keepNext/>
      <w:numPr>
        <w:ilvl w:val="1"/>
        <w:numId w:val="40"/>
      </w:numPr>
      <w:spacing w:before="60" w:after="60"/>
      <w:outlineLvl w:val="1"/>
    </w:pPr>
    <w:rPr>
      <w:rFonts w:eastAsia="Times New Roman"/>
      <w:b/>
      <w:w w:val="95"/>
      <w:sz w:val="24"/>
      <w:lang w:eastAsia="zh-CN" w:bidi="th-TH"/>
    </w:rPr>
  </w:style>
  <w:style w:type="paragraph" w:customStyle="1" w:styleId="MELegal3">
    <w:name w:val="ME Legal 3"/>
    <w:aliases w:val="l3,ME Legal 31"/>
    <w:basedOn w:val="Normal"/>
    <w:qFormat/>
    <w:rsid w:val="002B32A0"/>
    <w:pPr>
      <w:numPr>
        <w:ilvl w:val="2"/>
        <w:numId w:val="40"/>
      </w:numPr>
      <w:spacing w:before="0" w:after="140"/>
      <w:outlineLvl w:val="2"/>
    </w:pPr>
    <w:rPr>
      <w:rFonts w:eastAsia="Times New Roman"/>
      <w:lang w:eastAsia="zh-CN" w:bidi="th-TH"/>
    </w:rPr>
  </w:style>
  <w:style w:type="paragraph" w:customStyle="1" w:styleId="MELegal4">
    <w:name w:val="ME Legal 4"/>
    <w:aliases w:val="l4,ME Legal 41"/>
    <w:basedOn w:val="Normal"/>
    <w:qFormat/>
    <w:rsid w:val="002B32A0"/>
    <w:pPr>
      <w:numPr>
        <w:ilvl w:val="3"/>
        <w:numId w:val="40"/>
      </w:numPr>
      <w:spacing w:before="0" w:after="140"/>
      <w:outlineLvl w:val="3"/>
    </w:pPr>
    <w:rPr>
      <w:rFonts w:eastAsia="Times New Roman"/>
      <w:lang w:eastAsia="zh-CN" w:bidi="th-TH"/>
    </w:rPr>
  </w:style>
  <w:style w:type="paragraph" w:customStyle="1" w:styleId="MELegal5">
    <w:name w:val="ME Legal 5"/>
    <w:aliases w:val="l5"/>
    <w:basedOn w:val="Normal"/>
    <w:qFormat/>
    <w:rsid w:val="002B32A0"/>
    <w:pPr>
      <w:numPr>
        <w:ilvl w:val="4"/>
        <w:numId w:val="40"/>
      </w:numPr>
      <w:spacing w:before="0" w:after="140"/>
      <w:outlineLvl w:val="4"/>
    </w:pPr>
    <w:rPr>
      <w:rFonts w:eastAsia="Times New Roman"/>
      <w:lang w:eastAsia="zh-CN" w:bidi="th-TH"/>
    </w:rPr>
  </w:style>
  <w:style w:type="paragraph" w:customStyle="1" w:styleId="MELegal6">
    <w:name w:val="ME Legal 6"/>
    <w:basedOn w:val="Normal"/>
    <w:qFormat/>
    <w:rsid w:val="002B32A0"/>
    <w:pPr>
      <w:numPr>
        <w:ilvl w:val="5"/>
        <w:numId w:val="40"/>
      </w:numPr>
      <w:spacing w:before="0" w:after="140"/>
      <w:outlineLvl w:val="5"/>
    </w:pPr>
    <w:rPr>
      <w:rFonts w:eastAsia="Times New Roman"/>
      <w:lang w:eastAsia="zh-CN" w:bidi="th-TH"/>
    </w:rPr>
  </w:style>
  <w:style w:type="numbering" w:customStyle="1" w:styleId="MELegal">
    <w:name w:val="ME Legal"/>
    <w:uiPriority w:val="99"/>
    <w:rsid w:val="002B32A0"/>
    <w:pPr>
      <w:numPr>
        <w:numId w:val="40"/>
      </w:numPr>
    </w:pPr>
  </w:style>
  <w:style w:type="paragraph" w:customStyle="1" w:styleId="ListDash">
    <w:name w:val="List Dash"/>
    <w:basedOn w:val="BodyText"/>
    <w:qFormat/>
    <w:rsid w:val="002B32A0"/>
    <w:pPr>
      <w:numPr>
        <w:numId w:val="42"/>
      </w:numPr>
      <w:spacing w:before="60" w:after="60" w:line="280" w:lineRule="exact"/>
    </w:pPr>
    <w:rPr>
      <w:rFonts w:eastAsia="Times New Roman"/>
      <w:lang w:eastAsia="en-AU"/>
    </w:rPr>
  </w:style>
  <w:style w:type="paragraph" w:customStyle="1" w:styleId="ListDash2">
    <w:name w:val="List Dash 2"/>
    <w:basedOn w:val="ListDash"/>
    <w:qFormat/>
    <w:rsid w:val="002B32A0"/>
    <w:pPr>
      <w:numPr>
        <w:ilvl w:val="1"/>
      </w:numPr>
    </w:pPr>
  </w:style>
  <w:style w:type="paragraph" w:customStyle="1" w:styleId="ListDash3">
    <w:name w:val="List Dash 3"/>
    <w:basedOn w:val="ListDash2"/>
    <w:qFormat/>
    <w:rsid w:val="002B32A0"/>
    <w:pPr>
      <w:numPr>
        <w:ilvl w:val="2"/>
      </w:numPr>
    </w:pPr>
  </w:style>
  <w:style w:type="numbering" w:customStyle="1" w:styleId="ACILAllenDashedList">
    <w:name w:val="ACIL Allen Dashed List"/>
    <w:uiPriority w:val="99"/>
    <w:rsid w:val="002B32A0"/>
    <w:pPr>
      <w:numPr>
        <w:numId w:val="41"/>
      </w:numPr>
    </w:pPr>
  </w:style>
  <w:style w:type="paragraph" w:customStyle="1" w:styleId="Default">
    <w:name w:val="Default"/>
    <w:rsid w:val="002B32A0"/>
    <w:pPr>
      <w:autoSpaceDE w:val="0"/>
      <w:autoSpaceDN w:val="0"/>
      <w:adjustRightInd w:val="0"/>
      <w:spacing w:after="0" w:line="240" w:lineRule="auto"/>
    </w:pPr>
    <w:rPr>
      <w:rFonts w:ascii="Arial" w:hAnsi="Arial" w:cs="Arial"/>
      <w:color w:val="000000"/>
      <w:sz w:val="24"/>
      <w:szCs w:val="24"/>
    </w:rPr>
  </w:style>
  <w:style w:type="paragraph" w:styleId="Revision">
    <w:name w:val="Revision"/>
    <w:hidden/>
    <w:uiPriority w:val="99"/>
    <w:semiHidden/>
    <w:rsid w:val="002B32A0"/>
    <w:pPr>
      <w:spacing w:after="0" w:line="240" w:lineRule="auto"/>
    </w:pPr>
    <w:rPr>
      <w:rFonts w:ascii="Arial Narrow" w:hAnsi="Arial Narrow" w:cs="Arial"/>
    </w:rPr>
  </w:style>
  <w:style w:type="table" w:customStyle="1" w:styleId="GridTable4-Accent11">
    <w:name w:val="Grid Table 4 - Accent 11"/>
    <w:basedOn w:val="TableNormal"/>
    <w:next w:val="GridTable4-Accent1"/>
    <w:uiPriority w:val="49"/>
    <w:rsid w:val="002B32A0"/>
    <w:pPr>
      <w:spacing w:after="0" w:line="240" w:lineRule="auto"/>
    </w:pPr>
    <w:rPr>
      <w:rFonts w:eastAsia="Arial Narrow"/>
    </w:rPr>
    <w:tblPr>
      <w:tblStyleRowBandSize w:val="1"/>
      <w:tblStyleColBandSize w:val="1"/>
      <w:tblBorders>
        <w:top w:val="single" w:sz="4" w:space="0" w:color="C4B5D8"/>
        <w:left w:val="single" w:sz="4" w:space="0" w:color="C4B5D8"/>
        <w:bottom w:val="single" w:sz="4" w:space="0" w:color="C4B5D8"/>
        <w:right w:val="single" w:sz="4" w:space="0" w:color="C4B5D8"/>
        <w:insideH w:val="single" w:sz="4" w:space="0" w:color="C4B5D8"/>
        <w:insideV w:val="single" w:sz="4" w:space="0" w:color="C4B5D8"/>
      </w:tblBorders>
    </w:tblPr>
    <w:tblStylePr w:type="firstRow">
      <w:rPr>
        <w:b/>
        <w:bCs/>
        <w:color w:val="FFFFFF"/>
      </w:rPr>
      <w:tblPr/>
      <w:tcPr>
        <w:tcBorders>
          <w:top w:val="single" w:sz="4" w:space="0" w:color="9D85BE"/>
          <w:left w:val="single" w:sz="4" w:space="0" w:color="9D85BE"/>
          <w:bottom w:val="single" w:sz="4" w:space="0" w:color="9D85BE"/>
          <w:right w:val="single" w:sz="4" w:space="0" w:color="9D85BE"/>
          <w:insideH w:val="nil"/>
          <w:insideV w:val="nil"/>
        </w:tcBorders>
        <w:shd w:val="clear" w:color="auto" w:fill="9D85BE"/>
      </w:tcPr>
    </w:tblStylePr>
    <w:tblStylePr w:type="lastRow">
      <w:rPr>
        <w:b/>
        <w:bCs/>
      </w:rPr>
      <w:tblPr/>
      <w:tcPr>
        <w:tcBorders>
          <w:top w:val="double" w:sz="4" w:space="0" w:color="9D85BE"/>
        </w:tcBorders>
      </w:tcPr>
    </w:tblStylePr>
    <w:tblStylePr w:type="firstCol">
      <w:rPr>
        <w:b/>
        <w:bCs/>
      </w:rPr>
    </w:tblStylePr>
    <w:tblStylePr w:type="lastCol">
      <w:rPr>
        <w:b/>
        <w:bCs/>
      </w:rPr>
    </w:tblStylePr>
    <w:tblStylePr w:type="band1Vert">
      <w:tblPr/>
      <w:tcPr>
        <w:shd w:val="clear" w:color="auto" w:fill="EBE6F2"/>
      </w:tcPr>
    </w:tblStylePr>
    <w:tblStylePr w:type="band1Horz">
      <w:tblPr/>
      <w:tcPr>
        <w:shd w:val="clear" w:color="auto" w:fill="EBE6F2"/>
      </w:tcPr>
    </w:tblStylePr>
  </w:style>
  <w:style w:type="paragraph" w:customStyle="1" w:styleId="Table">
    <w:name w:val="Table"/>
    <w:rsid w:val="002B32A0"/>
    <w:pPr>
      <w:spacing w:before="40" w:after="40" w:line="240" w:lineRule="auto"/>
    </w:pPr>
    <w:rPr>
      <w:rFonts w:ascii="Arial" w:eastAsia="Times New Roman" w:hAnsi="Arial" w:cs="Times New Roman"/>
      <w:color w:val="000000"/>
      <w:sz w:val="16"/>
      <w:szCs w:val="24"/>
      <w:lang w:eastAsia="en-AU"/>
    </w:rPr>
  </w:style>
  <w:style w:type="character" w:customStyle="1" w:styleId="ui-provider">
    <w:name w:val="ui-provider"/>
    <w:basedOn w:val="DefaultParagraphFont"/>
    <w:rsid w:val="002B32A0"/>
    <w:rPr>
      <w:color w:val="000000"/>
    </w:rPr>
  </w:style>
  <w:style w:type="paragraph" w:customStyle="1" w:styleId="Cp-Banner">
    <w:name w:val="Cp - Banner"/>
    <w:basedOn w:val="Normal"/>
    <w:rsid w:val="002B32A0"/>
    <w:pPr>
      <w:pageBreakBefore/>
      <w:spacing w:before="0" w:after="0" w:line="240" w:lineRule="auto"/>
    </w:pPr>
    <w:rPr>
      <w:rFonts w:cstheme="minorBidi"/>
      <w:sz w:val="4"/>
    </w:rPr>
  </w:style>
  <w:style w:type="paragraph" w:customStyle="1" w:styleId="CpBoldSubTitle">
    <w:name w:val="Cp Bold SubTitle"/>
    <w:basedOn w:val="Normal"/>
    <w:rsid w:val="002B32A0"/>
    <w:pPr>
      <w:spacing w:before="48" w:after="0" w:line="200" w:lineRule="exact"/>
      <w:ind w:left="159"/>
    </w:pPr>
    <w:rPr>
      <w:b/>
      <w:caps/>
    </w:rPr>
  </w:style>
  <w:style w:type="paragraph" w:customStyle="1" w:styleId="CpHeaderConsulting">
    <w:name w:val="Cp Header (Consulting)"/>
    <w:basedOn w:val="Normal"/>
    <w:qFormat/>
    <w:rsid w:val="002B32A0"/>
    <w:pPr>
      <w:spacing w:before="0" w:after="0" w:line="240" w:lineRule="auto"/>
    </w:pPr>
    <w:rPr>
      <w:rFonts w:cstheme="minorBidi"/>
      <w:caps/>
      <w:spacing w:val="96"/>
      <w:sz w:val="24"/>
    </w:rPr>
  </w:style>
  <w:style w:type="paragraph" w:customStyle="1" w:styleId="CpHeaderAcilAllen">
    <w:name w:val="Cp Header (Acil Allen)"/>
    <w:basedOn w:val="CpHeaderConsulting"/>
    <w:rsid w:val="002B32A0"/>
    <w:rPr>
      <w:spacing w:val="100"/>
    </w:rPr>
  </w:style>
  <w:style w:type="numbering" w:customStyle="1" w:styleId="aaTOCList">
    <w:name w:val="aa TOC List"/>
    <w:uiPriority w:val="99"/>
    <w:rsid w:val="002B32A0"/>
    <w:pPr>
      <w:numPr>
        <w:numId w:val="48"/>
      </w:numPr>
    </w:pPr>
  </w:style>
  <w:style w:type="paragraph" w:customStyle="1" w:styleId="Table-Source">
    <w:name w:val="Table - Source"/>
    <w:basedOn w:val="Normal"/>
    <w:qFormat/>
    <w:rsid w:val="002B32A0"/>
    <w:pPr>
      <w:spacing w:before="52" w:after="0" w:line="240" w:lineRule="auto"/>
    </w:pPr>
    <w:rPr>
      <w:caps/>
      <w:spacing w:val="-3"/>
      <w:sz w:val="16"/>
    </w:rPr>
  </w:style>
  <w:style w:type="numbering" w:styleId="111111">
    <w:name w:val="Outline List 2"/>
    <w:basedOn w:val="NoList"/>
    <w:uiPriority w:val="99"/>
    <w:semiHidden/>
    <w:unhideWhenUsed/>
    <w:rsid w:val="002B32A0"/>
    <w:pPr>
      <w:numPr>
        <w:numId w:val="49"/>
      </w:numPr>
    </w:pPr>
  </w:style>
  <w:style w:type="numbering" w:styleId="1ai">
    <w:name w:val="Outline List 1"/>
    <w:aliases w:val="List for Box List Number"/>
    <w:basedOn w:val="NoList"/>
    <w:uiPriority w:val="99"/>
    <w:semiHidden/>
    <w:unhideWhenUsed/>
    <w:rsid w:val="002B32A0"/>
    <w:pPr>
      <w:numPr>
        <w:numId w:val="50"/>
      </w:numPr>
    </w:pPr>
  </w:style>
  <w:style w:type="paragraph" w:customStyle="1" w:styleId="LetterBodyCopy">
    <w:name w:val="Letter Body Copy"/>
    <w:basedOn w:val="Normal"/>
    <w:qFormat/>
    <w:rsid w:val="002B32A0"/>
    <w:pPr>
      <w:spacing w:before="120" w:after="120" w:line="280" w:lineRule="exact"/>
    </w:pPr>
    <w:rPr>
      <w:rFonts w:cstheme="minorBidi"/>
    </w:rPr>
  </w:style>
  <w:style w:type="paragraph" w:customStyle="1" w:styleId="OfficeSide">
    <w:name w:val="OfficeSide"/>
    <w:basedOn w:val="Normal"/>
    <w:rsid w:val="002B32A0"/>
    <w:pPr>
      <w:spacing w:before="0" w:after="0" w:line="200" w:lineRule="exact"/>
    </w:pPr>
    <w:rPr>
      <w:rFonts w:eastAsia="Times New Roman" w:cs="Times New Roman"/>
      <w:caps/>
      <w:sz w:val="14"/>
      <w:szCs w:val="20"/>
    </w:rPr>
  </w:style>
  <w:style w:type="paragraph" w:customStyle="1" w:styleId="HeaderAddress">
    <w:name w:val="HeaderAddress"/>
    <w:basedOn w:val="Normal"/>
    <w:rsid w:val="002B32A0"/>
    <w:pPr>
      <w:spacing w:before="0" w:after="0" w:line="240" w:lineRule="auto"/>
    </w:pPr>
    <w:rPr>
      <w:rFonts w:eastAsia="Times New Roman"/>
      <w:sz w:val="11"/>
      <w:szCs w:val="20"/>
    </w:rPr>
  </w:style>
  <w:style w:type="paragraph" w:customStyle="1" w:styleId="spacer-Shapes">
    <w:name w:val="spacer-Shapes"/>
    <w:basedOn w:val="spacer"/>
    <w:semiHidden/>
    <w:qFormat/>
    <w:rsid w:val="002B32A0"/>
    <w:pPr>
      <w:keepNext/>
      <w:keepLines/>
    </w:pPr>
  </w:style>
  <w:style w:type="paragraph" w:customStyle="1" w:styleId="App-Heading1">
    <w:name w:val="App - Heading 1"/>
    <w:basedOn w:val="Normal"/>
    <w:qFormat/>
    <w:rsid w:val="002B32A0"/>
    <w:pPr>
      <w:numPr>
        <w:numId w:val="51"/>
      </w:numPr>
      <w:spacing w:before="0" w:after="0" w:line="3200" w:lineRule="exact"/>
      <w:jc w:val="right"/>
    </w:pPr>
    <w:rPr>
      <w:sz w:val="320"/>
    </w:rPr>
  </w:style>
  <w:style w:type="paragraph" w:customStyle="1" w:styleId="App-Heading2">
    <w:name w:val="App - Heading 2"/>
    <w:basedOn w:val="Normal"/>
    <w:qFormat/>
    <w:rsid w:val="002B32A0"/>
    <w:pPr>
      <w:numPr>
        <w:ilvl w:val="1"/>
        <w:numId w:val="51"/>
      </w:numPr>
      <w:pBdr>
        <w:bottom w:val="single" w:sz="4" w:space="1" w:color="000100"/>
      </w:pBdr>
      <w:spacing w:before="0" w:after="216"/>
      <w:ind w:left="-17"/>
    </w:pPr>
    <w:rPr>
      <w:sz w:val="28"/>
    </w:rPr>
  </w:style>
  <w:style w:type="paragraph" w:customStyle="1" w:styleId="rgb-Grey">
    <w:name w:val="rgb-Grey"/>
    <w:basedOn w:val="Header-CompanyName"/>
    <w:semiHidden/>
    <w:qFormat/>
    <w:rsid w:val="002B32A0"/>
    <w:pPr>
      <w:tabs>
        <w:tab w:val="center" w:pos="4680"/>
        <w:tab w:val="right" w:pos="9360"/>
      </w:tabs>
      <w:spacing w:before="0"/>
    </w:pPr>
    <w:rPr>
      <w:rFonts w:cstheme="minorBidi"/>
      <w:sz w:val="16"/>
    </w:rPr>
  </w:style>
  <w:style w:type="paragraph" w:customStyle="1" w:styleId="rgb-Purple">
    <w:name w:val="rgb-Purple"/>
    <w:basedOn w:val="Normal"/>
    <w:semiHidden/>
    <w:qFormat/>
    <w:rsid w:val="002B32A0"/>
    <w:pPr>
      <w:spacing w:before="0" w:after="0" w:line="240" w:lineRule="auto"/>
    </w:pPr>
    <w:rPr>
      <w:rFonts w:cstheme="minorBidi"/>
    </w:rPr>
  </w:style>
  <w:style w:type="paragraph" w:customStyle="1" w:styleId="Headersmall">
    <w:name w:val="Header (small)"/>
    <w:basedOn w:val="Header"/>
    <w:qFormat/>
    <w:rsid w:val="002B32A0"/>
    <w:pPr>
      <w:tabs>
        <w:tab w:val="clear" w:pos="4513"/>
        <w:tab w:val="clear" w:pos="9026"/>
        <w:tab w:val="center" w:pos="4680"/>
        <w:tab w:val="right" w:pos="9360"/>
      </w:tabs>
      <w:spacing w:before="0"/>
    </w:pPr>
    <w:rPr>
      <w:rFonts w:cstheme="minorBidi"/>
      <w:noProof/>
      <w:sz w:val="4"/>
    </w:rPr>
  </w:style>
  <w:style w:type="paragraph" w:customStyle="1" w:styleId="IntroductionES">
    <w:name w:val="Introduction (ES)"/>
    <w:basedOn w:val="rgb-Grey"/>
    <w:qFormat/>
    <w:rsid w:val="002B32A0"/>
    <w:pPr>
      <w:spacing w:after="460" w:line="300" w:lineRule="atLeast"/>
      <w:ind w:left="-2160"/>
      <w:contextualSpacing/>
    </w:pPr>
    <w:rPr>
      <w:i/>
      <w:spacing w:val="4"/>
      <w:sz w:val="24"/>
    </w:rPr>
  </w:style>
  <w:style w:type="paragraph" w:customStyle="1" w:styleId="Exec-HeadingBanner">
    <w:name w:val="Exec - Heading (Banner)"/>
    <w:basedOn w:val="Normal"/>
    <w:next w:val="Exec-SubHeadBanner"/>
    <w:qFormat/>
    <w:rsid w:val="002B32A0"/>
    <w:pPr>
      <w:spacing w:before="0" w:after="0" w:line="240" w:lineRule="atLeast"/>
      <w:ind w:left="248"/>
    </w:pPr>
    <w:rPr>
      <w:rFonts w:cstheme="minorBidi"/>
      <w:caps/>
      <w:spacing w:val="110"/>
      <w:sz w:val="38"/>
    </w:rPr>
  </w:style>
  <w:style w:type="paragraph" w:customStyle="1" w:styleId="Exec-SubHeadBanner">
    <w:name w:val="Exec - SubHead (Banner)"/>
    <w:basedOn w:val="Exec-HeadingBanner"/>
    <w:qFormat/>
    <w:rsid w:val="002B32A0"/>
  </w:style>
  <w:style w:type="paragraph" w:customStyle="1" w:styleId="Exec-Context">
    <w:name w:val="Exec - Context"/>
    <w:basedOn w:val="Normal"/>
    <w:semiHidden/>
    <w:qFormat/>
    <w:rsid w:val="002B32A0"/>
    <w:pPr>
      <w:spacing w:before="0" w:after="0" w:line="240" w:lineRule="auto"/>
    </w:pPr>
    <w:rPr>
      <w:rFonts w:cstheme="minorBidi"/>
      <w:sz w:val="4"/>
    </w:rPr>
  </w:style>
  <w:style w:type="paragraph" w:customStyle="1" w:styleId="Chpt-HeadingBanner">
    <w:name w:val="Chpt - Heading (Banner)"/>
    <w:basedOn w:val="Normal"/>
    <w:qFormat/>
    <w:rsid w:val="002B32A0"/>
    <w:pPr>
      <w:spacing w:before="0" w:after="0" w:line="240" w:lineRule="atLeast"/>
    </w:pPr>
    <w:rPr>
      <w:spacing w:val="110"/>
      <w:sz w:val="41"/>
    </w:rPr>
  </w:style>
  <w:style w:type="paragraph" w:customStyle="1" w:styleId="Chpt-Context">
    <w:name w:val="Chpt - Context"/>
    <w:basedOn w:val="rgb-Purple"/>
    <w:qFormat/>
    <w:rsid w:val="002B32A0"/>
    <w:pPr>
      <w:keepNext/>
    </w:pPr>
    <w:rPr>
      <w:sz w:val="2"/>
    </w:rPr>
  </w:style>
  <w:style w:type="table" w:customStyle="1" w:styleId="TableGrid10">
    <w:name w:val="Table Grid1"/>
    <w:basedOn w:val="TableNormal"/>
    <w:next w:val="TableGrid"/>
    <w:uiPriority w:val="39"/>
    <w:rsid w:val="002B32A0"/>
    <w:pPr>
      <w:spacing w:after="0" w:line="240" w:lineRule="auto"/>
    </w:pPr>
    <w:rPr>
      <w:sz w:val="20"/>
      <w:lang w:val="en-US"/>
    </w:rPr>
    <w:tblPr>
      <w:tblCellMar>
        <w:left w:w="0" w:type="dxa"/>
        <w:right w:w="0" w:type="dxa"/>
      </w:tblCellMar>
    </w:tblPr>
    <w:tcPr>
      <w:shd w:val="clear" w:color="auto" w:fill="auto"/>
    </w:tcPr>
    <w:tblStylePr w:type="firstRow">
      <w:pPr>
        <w:jc w:val="left"/>
      </w:pPr>
      <w:rPr>
        <w:color w:val="FFFFFF" w:themeColor="background1"/>
      </w:rPr>
    </w:tblStylePr>
  </w:style>
  <w:style w:type="paragraph" w:customStyle="1" w:styleId="App-Context">
    <w:name w:val="App - Context"/>
    <w:basedOn w:val="rgb-Purple"/>
    <w:qFormat/>
    <w:rsid w:val="002B32A0"/>
    <w:rPr>
      <w:sz w:val="4"/>
    </w:rPr>
  </w:style>
  <w:style w:type="paragraph" w:customStyle="1" w:styleId="App-BannerHeading">
    <w:name w:val="App - Banner (Heading)"/>
    <w:basedOn w:val="Normal"/>
    <w:qFormat/>
    <w:rsid w:val="002B32A0"/>
    <w:pPr>
      <w:spacing w:before="0" w:after="0" w:line="240" w:lineRule="atLeast"/>
    </w:pPr>
    <w:rPr>
      <w:spacing w:val="110"/>
      <w:sz w:val="41"/>
    </w:rPr>
  </w:style>
  <w:style w:type="paragraph" w:customStyle="1" w:styleId="App-Chpt-Banner">
    <w:name w:val="App - Chpt - Banner"/>
    <w:basedOn w:val="Normal"/>
    <w:qFormat/>
    <w:rsid w:val="002B32A0"/>
    <w:pPr>
      <w:pageBreakBefore/>
      <w:spacing w:before="0" w:after="0" w:line="240" w:lineRule="auto"/>
    </w:pPr>
    <w:rPr>
      <w:rFonts w:cstheme="minorBidi"/>
      <w:sz w:val="4"/>
    </w:rPr>
  </w:style>
  <w:style w:type="paragraph" w:customStyle="1" w:styleId="AbbrevorGlossaryHeading">
    <w:name w:val="Abbrev or Glossary Heading"/>
    <w:basedOn w:val="Normal"/>
    <w:next w:val="BodyText"/>
    <w:rsid w:val="002B32A0"/>
    <w:pPr>
      <w:pageBreakBefore/>
      <w:pBdr>
        <w:top w:val="single" w:sz="48" w:space="30" w:color="9D57A6"/>
        <w:left w:val="single" w:sz="48" w:space="4" w:color="9D57A6"/>
        <w:bottom w:val="single" w:sz="48" w:space="5" w:color="9D57A6"/>
        <w:right w:val="single" w:sz="48" w:space="4" w:color="9D57A6"/>
      </w:pBdr>
      <w:shd w:val="clear" w:color="auto" w:fill="9D57A6"/>
      <w:spacing w:before="0" w:after="60" w:line="420" w:lineRule="exact"/>
      <w:outlineLvl w:val="0"/>
    </w:pPr>
    <w:rPr>
      <w:rFonts w:eastAsia="Times New Roman"/>
      <w:kern w:val="28"/>
      <w:sz w:val="38"/>
      <w:szCs w:val="38"/>
      <w:lang w:eastAsia="en-AU"/>
    </w:rPr>
  </w:style>
  <w:style w:type="numbering" w:customStyle="1" w:styleId="aaReportListBullets">
    <w:name w:val="aa Report List Bullets"/>
    <w:uiPriority w:val="99"/>
    <w:rsid w:val="002B32A0"/>
    <w:pPr>
      <w:numPr>
        <w:numId w:val="56"/>
      </w:numPr>
    </w:pPr>
  </w:style>
  <w:style w:type="numbering" w:customStyle="1" w:styleId="BoxList">
    <w:name w:val="Box List"/>
    <w:uiPriority w:val="99"/>
    <w:rsid w:val="002B32A0"/>
    <w:pPr>
      <w:numPr>
        <w:numId w:val="52"/>
      </w:numPr>
    </w:pPr>
  </w:style>
  <w:style w:type="paragraph" w:customStyle="1" w:styleId="Table-PulloutText">
    <w:name w:val="Table - Pullout Text"/>
    <w:basedOn w:val="rgb-Purple"/>
    <w:qFormat/>
    <w:rsid w:val="002B32A0"/>
    <w:pPr>
      <w:spacing w:before="64" w:line="240" w:lineRule="atLeast"/>
      <w:contextualSpacing/>
      <w:jc w:val="right"/>
    </w:pPr>
    <w:rPr>
      <w:rFonts w:cs="Arial"/>
    </w:rPr>
  </w:style>
  <w:style w:type="numbering" w:customStyle="1" w:styleId="aaTableListBullets">
    <w:name w:val="aa Table List Bullets"/>
    <w:uiPriority w:val="99"/>
    <w:rsid w:val="002B32A0"/>
    <w:pPr>
      <w:numPr>
        <w:numId w:val="53"/>
      </w:numPr>
    </w:pPr>
  </w:style>
  <w:style w:type="numbering" w:customStyle="1" w:styleId="aaTableListNumbers">
    <w:name w:val="aa Table List Numbers"/>
    <w:uiPriority w:val="99"/>
    <w:rsid w:val="002B32A0"/>
    <w:pPr>
      <w:numPr>
        <w:numId w:val="54"/>
      </w:numPr>
    </w:pPr>
  </w:style>
  <w:style w:type="numbering" w:customStyle="1" w:styleId="BoxListBullets">
    <w:name w:val="Box List Bullets"/>
    <w:uiPriority w:val="99"/>
    <w:rsid w:val="002B32A0"/>
    <w:pPr>
      <w:numPr>
        <w:numId w:val="55"/>
      </w:numPr>
    </w:pPr>
  </w:style>
  <w:style w:type="paragraph" w:customStyle="1" w:styleId="Abbrev-Context">
    <w:name w:val="Abbrev - Context"/>
    <w:basedOn w:val="Chpt-Context"/>
    <w:qFormat/>
    <w:rsid w:val="002B32A0"/>
  </w:style>
  <w:style w:type="numbering" w:customStyle="1" w:styleId="aaReportListNumber">
    <w:name w:val="aa Report List Number"/>
    <w:uiPriority w:val="99"/>
    <w:rsid w:val="002B32A0"/>
    <w:pPr>
      <w:numPr>
        <w:numId w:val="57"/>
      </w:numPr>
    </w:pPr>
  </w:style>
  <w:style w:type="paragraph" w:customStyle="1" w:styleId="Heading8nonumber">
    <w:name w:val="Heading 8 (no number)"/>
    <w:basedOn w:val="Normal"/>
    <w:next w:val="BodyText"/>
    <w:qFormat/>
    <w:rsid w:val="002B32A0"/>
    <w:pPr>
      <w:keepNext/>
      <w:keepLines/>
      <w:pBdr>
        <w:bottom w:val="single" w:sz="4" w:space="1" w:color="auto"/>
      </w:pBdr>
      <w:spacing w:before="240" w:after="216"/>
      <w:outlineLvl w:val="1"/>
    </w:pPr>
    <w:rPr>
      <w:rFonts w:cstheme="minorBidi"/>
      <w:b/>
      <w:sz w:val="28"/>
    </w:rPr>
  </w:style>
  <w:style w:type="paragraph" w:customStyle="1" w:styleId="Heading9nonumber">
    <w:name w:val="Heading 9 (no number)"/>
    <w:basedOn w:val="Normal"/>
    <w:next w:val="BodyText"/>
    <w:qFormat/>
    <w:rsid w:val="002B32A0"/>
    <w:pPr>
      <w:keepNext/>
      <w:keepLines/>
      <w:pBdr>
        <w:bottom w:val="single" w:sz="4" w:space="1" w:color="auto"/>
      </w:pBdr>
      <w:spacing w:before="240" w:after="48" w:line="240" w:lineRule="atLeast"/>
      <w:outlineLvl w:val="2"/>
    </w:pPr>
    <w:rPr>
      <w:rFonts w:cstheme="minorBidi"/>
      <w:b/>
      <w:spacing w:val="3"/>
    </w:rPr>
  </w:style>
  <w:style w:type="paragraph" w:customStyle="1" w:styleId="Heading10nonumber">
    <w:name w:val="Heading 10 (no number)"/>
    <w:basedOn w:val="Normal"/>
    <w:next w:val="BodyText"/>
    <w:qFormat/>
    <w:rsid w:val="002B32A0"/>
    <w:pPr>
      <w:keepNext/>
      <w:keepLines/>
      <w:spacing w:before="240" w:after="64" w:line="240" w:lineRule="atLeast"/>
    </w:pPr>
    <w:rPr>
      <w:rFonts w:cstheme="minorBidi"/>
      <w:b/>
      <w:spacing w:val="-1"/>
    </w:rPr>
  </w:style>
  <w:style w:type="paragraph" w:customStyle="1" w:styleId="Heading11nonumber">
    <w:name w:val="Heading 11 (no number)"/>
    <w:basedOn w:val="Normal"/>
    <w:next w:val="BodyText"/>
    <w:qFormat/>
    <w:rsid w:val="002B32A0"/>
    <w:pPr>
      <w:keepNext/>
      <w:spacing w:before="240" w:after="89" w:line="240" w:lineRule="atLeast"/>
    </w:pPr>
    <w:rPr>
      <w:rFonts w:cstheme="minorBidi"/>
      <w:b/>
      <w:i/>
      <w:spacing w:val="3"/>
    </w:rPr>
  </w:style>
  <w:style w:type="numbering" w:customStyle="1" w:styleId="aaSideNotesBullets">
    <w:name w:val="aa SideNotes Bullets"/>
    <w:uiPriority w:val="99"/>
    <w:rsid w:val="002B32A0"/>
    <w:pPr>
      <w:numPr>
        <w:numId w:val="58"/>
      </w:numPr>
    </w:pPr>
  </w:style>
  <w:style w:type="numbering" w:customStyle="1" w:styleId="aaReportHeadings">
    <w:name w:val="aa Report Headings"/>
    <w:uiPriority w:val="99"/>
    <w:rsid w:val="002B32A0"/>
    <w:pPr>
      <w:numPr>
        <w:numId w:val="59"/>
      </w:numPr>
    </w:pPr>
  </w:style>
  <w:style w:type="numbering" w:customStyle="1" w:styleId="aaAppendixNumbering">
    <w:name w:val="aa Appendix Numbering"/>
    <w:uiPriority w:val="99"/>
    <w:rsid w:val="002B32A0"/>
    <w:pPr>
      <w:numPr>
        <w:numId w:val="60"/>
      </w:numPr>
    </w:pPr>
  </w:style>
  <w:style w:type="paragraph" w:customStyle="1" w:styleId="Heading5nonumber">
    <w:name w:val="Heading 5 (no number)"/>
    <w:basedOn w:val="Normal"/>
    <w:next w:val="BodyText"/>
    <w:qFormat/>
    <w:rsid w:val="002B32A0"/>
    <w:pPr>
      <w:keepNext/>
      <w:keepLines/>
      <w:spacing w:before="240" w:after="89" w:line="240" w:lineRule="atLeast"/>
      <w:outlineLvl w:val="4"/>
    </w:pPr>
    <w:rPr>
      <w:rFonts w:cstheme="minorBidi"/>
      <w:b/>
      <w:i/>
      <w:spacing w:val="3"/>
    </w:rPr>
  </w:style>
  <w:style w:type="paragraph" w:customStyle="1" w:styleId="Heading6nonumber">
    <w:name w:val="Heading 6 (no number)"/>
    <w:basedOn w:val="Normal"/>
    <w:next w:val="BodyText"/>
    <w:qFormat/>
    <w:rsid w:val="002B32A0"/>
    <w:pPr>
      <w:keepNext/>
      <w:spacing w:before="240" w:after="89" w:line="240" w:lineRule="atLeast"/>
      <w:outlineLvl w:val="5"/>
    </w:pPr>
    <w:rPr>
      <w:rFonts w:cstheme="minorBidi"/>
      <w:b/>
      <w:i/>
      <w:spacing w:val="3"/>
    </w:rPr>
  </w:style>
  <w:style w:type="paragraph" w:customStyle="1" w:styleId="TOCHeadingwide">
    <w:name w:val="TOC Heading (wide)"/>
    <w:basedOn w:val="TOCHeading"/>
    <w:qFormat/>
    <w:rsid w:val="002B32A0"/>
    <w:pPr>
      <w:keepNext w:val="0"/>
      <w:keepLines w:val="0"/>
      <w:spacing w:after="204" w:line="620" w:lineRule="exact"/>
      <w:ind w:left="454"/>
    </w:pPr>
    <w:rPr>
      <w:rFonts w:eastAsiaTheme="minorHAnsi" w:cstheme="minorBidi"/>
      <w:bCs/>
      <w:caps/>
      <w:color w:val="000000"/>
      <w:spacing w:val="640"/>
      <w:sz w:val="48"/>
    </w:rPr>
  </w:style>
  <w:style w:type="paragraph" w:customStyle="1" w:styleId="Headingbibliography">
    <w:name w:val="Heading (bibliography)"/>
    <w:basedOn w:val="Chpt-HeadingBanner"/>
    <w:qFormat/>
    <w:rsid w:val="002B32A0"/>
    <w:pPr>
      <w:keepNext/>
      <w:ind w:left="216"/>
    </w:pPr>
    <w:rPr>
      <w:caps/>
      <w:sz w:val="38"/>
    </w:rPr>
  </w:style>
  <w:style w:type="paragraph" w:customStyle="1" w:styleId="Tablebody">
    <w:name w:val="Table body"/>
    <w:basedOn w:val="Tabletext"/>
    <w:link w:val="TablebodyChar"/>
    <w:uiPriority w:val="3"/>
    <w:qFormat/>
    <w:rsid w:val="002B32A0"/>
    <w:pPr>
      <w:ind w:right="120"/>
    </w:pPr>
    <w:rPr>
      <w:rFonts w:cstheme="minorBidi"/>
    </w:rPr>
  </w:style>
  <w:style w:type="paragraph" w:customStyle="1" w:styleId="LetterPageNumber">
    <w:name w:val="Letter Page Number"/>
    <w:basedOn w:val="FooterLetter"/>
    <w:qFormat/>
    <w:rsid w:val="002B32A0"/>
    <w:pPr>
      <w:spacing w:before="0"/>
      <w:jc w:val="right"/>
    </w:pPr>
    <w:rPr>
      <w:sz w:val="18"/>
    </w:rPr>
  </w:style>
  <w:style w:type="numbering" w:styleId="ArticleSection">
    <w:name w:val="Outline List 3"/>
    <w:basedOn w:val="NoList"/>
    <w:uiPriority w:val="99"/>
    <w:semiHidden/>
    <w:unhideWhenUsed/>
    <w:rsid w:val="002B32A0"/>
    <w:pPr>
      <w:numPr>
        <w:numId w:val="61"/>
      </w:numPr>
    </w:pPr>
  </w:style>
  <w:style w:type="table" w:customStyle="1" w:styleId="TableGrid20">
    <w:name w:val="Table Grid2"/>
    <w:basedOn w:val="TableNormal"/>
    <w:next w:val="TableGrid"/>
    <w:uiPriority w:val="39"/>
    <w:rsid w:val="002B32A0"/>
    <w:pPr>
      <w:spacing w:after="0" w:line="240" w:lineRule="auto"/>
    </w:pPr>
    <w:rPr>
      <w:rFonts w:eastAsia="PMingLiU"/>
      <w:sz w:val="20"/>
      <w:szCs w:val="20"/>
      <w:lang w:val="en-US" w:eastAsia="zh-TW"/>
    </w:rPr>
    <w:tblPr>
      <w:tblStyleRowBandSize w:val="1"/>
      <w:tblInd w:w="0" w:type="nil"/>
      <w:tblCellMar>
        <w:left w:w="0" w:type="dxa"/>
        <w:right w:w="0" w:type="dxa"/>
      </w:tblCellMar>
    </w:tblPr>
    <w:tblStylePr w:type="firstRow">
      <w:pPr>
        <w:jc w:val="left"/>
      </w:pPr>
      <w:rPr>
        <w:color w:val="FFFEFF"/>
      </w:rPr>
      <w:tblPr/>
      <w:tcPr>
        <w:shd w:val="clear" w:color="auto" w:fill="9D57A6"/>
        <w:vAlign w:val="center"/>
      </w:tcPr>
    </w:tblStylePr>
    <w:tblStylePr w:type="band1Horz">
      <w:tblPr/>
      <w:tcPr>
        <w:tcBorders>
          <w:bottom w:val="single" w:sz="4" w:space="0" w:color="000100"/>
        </w:tcBorders>
      </w:tcPr>
    </w:tblStylePr>
    <w:tblStylePr w:type="band2Horz">
      <w:tblPr/>
      <w:tcPr>
        <w:tcBorders>
          <w:bottom w:val="single" w:sz="4" w:space="0" w:color="000100"/>
        </w:tcBorders>
      </w:tcPr>
    </w:tblStylePr>
  </w:style>
  <w:style w:type="table" w:customStyle="1" w:styleId="TableGrid30">
    <w:name w:val="Table Grid3"/>
    <w:basedOn w:val="TableNormal"/>
    <w:next w:val="TableGrid"/>
    <w:uiPriority w:val="39"/>
    <w:rsid w:val="002B32A0"/>
    <w:pPr>
      <w:spacing w:after="0" w:line="240" w:lineRule="auto"/>
    </w:pPr>
    <w:rPr>
      <w:rFonts w:eastAsia="PMingLiU"/>
      <w:sz w:val="20"/>
      <w:szCs w:val="20"/>
      <w:lang w:val="en-US" w:eastAsia="zh-TW"/>
    </w:rPr>
    <w:tblPr>
      <w:tblStyleRowBandSize w:val="1"/>
      <w:tblInd w:w="0" w:type="nil"/>
      <w:tblCellMar>
        <w:left w:w="0" w:type="dxa"/>
        <w:right w:w="0" w:type="dxa"/>
      </w:tblCellMar>
    </w:tblPr>
    <w:tblStylePr w:type="firstRow">
      <w:pPr>
        <w:jc w:val="left"/>
      </w:pPr>
      <w:rPr>
        <w:color w:val="FFFEFF"/>
      </w:rPr>
      <w:tblPr/>
      <w:tcPr>
        <w:shd w:val="clear" w:color="auto" w:fill="9D57A6"/>
      </w:tcPr>
    </w:tblStylePr>
    <w:tblStylePr w:type="band1Horz">
      <w:tblPr/>
      <w:tcPr>
        <w:tcBorders>
          <w:bottom w:val="single" w:sz="4" w:space="0" w:color="000100"/>
        </w:tcBorders>
      </w:tcPr>
    </w:tblStylePr>
    <w:tblStylePr w:type="band2Horz">
      <w:tblPr/>
      <w:tcPr>
        <w:tcBorders>
          <w:bottom w:val="single" w:sz="4" w:space="0" w:color="auto"/>
        </w:tcBorders>
        <w:shd w:val="clear" w:color="auto" w:fill="F2F2F1"/>
      </w:tcPr>
    </w:tblStylePr>
  </w:style>
  <w:style w:type="paragraph" w:customStyle="1" w:styleId="StationeryRef">
    <w:name w:val="StationeryRef"/>
    <w:basedOn w:val="Normal"/>
    <w:qFormat/>
    <w:rsid w:val="002B32A0"/>
    <w:pPr>
      <w:spacing w:before="0" w:after="0" w:line="240" w:lineRule="auto"/>
    </w:pPr>
    <w:rPr>
      <w:rFonts w:eastAsia="PMingLiU" w:cs="Times New Roman"/>
      <w:sz w:val="20"/>
      <w:szCs w:val="20"/>
      <w:lang w:eastAsia="zh-TW"/>
    </w:rPr>
  </w:style>
  <w:style w:type="numbering" w:customStyle="1" w:styleId="aaTableListBulletssmall">
    <w:name w:val="aa Table List Bullets (small)"/>
    <w:uiPriority w:val="99"/>
    <w:rsid w:val="002B32A0"/>
    <w:pPr>
      <w:numPr>
        <w:numId w:val="62"/>
      </w:numPr>
    </w:pPr>
  </w:style>
  <w:style w:type="numbering" w:customStyle="1" w:styleId="aaTableListNumberssmall">
    <w:name w:val="aa Table List Numbers (small)"/>
    <w:uiPriority w:val="99"/>
    <w:rsid w:val="002B32A0"/>
    <w:pPr>
      <w:numPr>
        <w:numId w:val="63"/>
      </w:numPr>
    </w:pPr>
  </w:style>
  <w:style w:type="paragraph" w:customStyle="1" w:styleId="TableHeads">
    <w:name w:val="Table Heads"/>
    <w:basedOn w:val="Normal"/>
    <w:rsid w:val="002B32A0"/>
    <w:pPr>
      <w:keepNext/>
      <w:spacing w:before="80" w:after="80" w:line="240" w:lineRule="auto"/>
      <w:jc w:val="center"/>
    </w:pPr>
    <w:rPr>
      <w:rFonts w:eastAsia="Times New Roman" w:cs="Times New Roman"/>
      <w:b/>
      <w:sz w:val="18"/>
      <w:szCs w:val="20"/>
    </w:rPr>
  </w:style>
  <w:style w:type="paragraph" w:customStyle="1" w:styleId="TableText0">
    <w:name w:val="Table Text"/>
    <w:basedOn w:val="Normal"/>
    <w:qFormat/>
    <w:rsid w:val="002B32A0"/>
    <w:pPr>
      <w:keepNext/>
      <w:spacing w:before="60" w:after="60" w:line="240" w:lineRule="auto"/>
      <w:ind w:right="57"/>
    </w:pPr>
    <w:rPr>
      <w:rFonts w:eastAsia="Times New Roman" w:cs="Times New Roman"/>
      <w:sz w:val="18"/>
      <w:szCs w:val="20"/>
    </w:rPr>
  </w:style>
  <w:style w:type="character" w:customStyle="1" w:styleId="text">
    <w:name w:val="text"/>
    <w:basedOn w:val="DefaultParagraphFont"/>
    <w:rsid w:val="002B32A0"/>
    <w:rPr>
      <w:color w:val="000000"/>
    </w:rPr>
  </w:style>
  <w:style w:type="paragraph" w:customStyle="1" w:styleId="Office">
    <w:name w:val="Office"/>
    <w:semiHidden/>
    <w:rsid w:val="002B32A0"/>
    <w:pPr>
      <w:spacing w:before="300" w:after="0" w:line="240" w:lineRule="auto"/>
      <w:ind w:right="-291"/>
    </w:pPr>
    <w:rPr>
      <w:rFonts w:ascii="Arial" w:eastAsia="Times New Roman" w:hAnsi="Arial" w:cs="Arial"/>
      <w:b/>
      <w:color w:val="000000"/>
      <w:sz w:val="20"/>
      <w:szCs w:val="20"/>
      <w:lang w:eastAsia="en-AU"/>
    </w:rPr>
  </w:style>
  <w:style w:type="character" w:customStyle="1" w:styleId="TablebodyChar">
    <w:name w:val="Table body Char"/>
    <w:link w:val="Tablebody"/>
    <w:uiPriority w:val="3"/>
    <w:rsid w:val="002B32A0"/>
    <w:rPr>
      <w:rFonts w:ascii="Arial" w:hAnsi="Arial"/>
      <w:color w:val="000000"/>
      <w:sz w:val="20"/>
    </w:rPr>
  </w:style>
  <w:style w:type="character" w:customStyle="1" w:styleId="cf01">
    <w:name w:val="cf01"/>
    <w:basedOn w:val="DefaultParagraphFont"/>
    <w:rsid w:val="002B32A0"/>
    <w:rPr>
      <w:rFonts w:ascii="Arial" w:hAnsi="Arial" w:cs="Arial" w:hint="default"/>
      <w:color w:val="000000"/>
      <w:sz w:val="18"/>
      <w:szCs w:val="18"/>
    </w:rPr>
  </w:style>
  <w:style w:type="paragraph" w:customStyle="1" w:styleId="pf0">
    <w:name w:val="pf0"/>
    <w:basedOn w:val="Normal"/>
    <w:rsid w:val="002B32A0"/>
    <w:pPr>
      <w:spacing w:before="100" w:beforeAutospacing="1" w:after="100" w:afterAutospacing="1" w:line="240" w:lineRule="auto"/>
    </w:pPr>
    <w:rPr>
      <w:rFonts w:eastAsia="Times New Roman"/>
      <w:sz w:val="24"/>
      <w:szCs w:val="24"/>
      <w:lang w:eastAsia="ja-JP"/>
    </w:rPr>
  </w:style>
  <w:style w:type="character" w:customStyle="1" w:styleId="citation">
    <w:name w:val="citation"/>
    <w:basedOn w:val="DefaultParagraphFont"/>
    <w:rsid w:val="002B32A0"/>
    <w:rPr>
      <w:color w:val="000000"/>
    </w:rPr>
  </w:style>
  <w:style w:type="character" w:customStyle="1" w:styleId="citationdate">
    <w:name w:val="citation_date"/>
    <w:basedOn w:val="DefaultParagraphFont"/>
    <w:rsid w:val="002B32A0"/>
    <w:rPr>
      <w:color w:val="000000"/>
    </w:rPr>
  </w:style>
  <w:style w:type="character" w:customStyle="1" w:styleId="citationorgunitname">
    <w:name w:val="citation_org_unit_name"/>
    <w:basedOn w:val="DefaultParagraphFont"/>
    <w:rsid w:val="002B32A0"/>
    <w:rPr>
      <w:color w:val="000000"/>
    </w:rPr>
  </w:style>
  <w:style w:type="character" w:customStyle="1" w:styleId="citationseries">
    <w:name w:val="citation_series"/>
    <w:basedOn w:val="DefaultParagraphFont"/>
    <w:rsid w:val="002B32A0"/>
    <w:rPr>
      <w:color w:val="000000"/>
    </w:rPr>
  </w:style>
  <w:style w:type="character" w:customStyle="1" w:styleId="citationconferencename">
    <w:name w:val="citation_conference_name"/>
    <w:basedOn w:val="DefaultParagraphFont"/>
    <w:rsid w:val="002B32A0"/>
    <w:rPr>
      <w:color w:val="000000"/>
    </w:rPr>
  </w:style>
  <w:style w:type="character" w:customStyle="1" w:styleId="citationconferencelocation">
    <w:name w:val="citation_conference_location"/>
    <w:basedOn w:val="DefaultParagraphFont"/>
    <w:rsid w:val="002B32A0"/>
    <w:rPr>
      <w:color w:val="000000"/>
    </w:rPr>
  </w:style>
  <w:style w:type="character" w:customStyle="1" w:styleId="citationconferencedates">
    <w:name w:val="citation_conference_dates"/>
    <w:basedOn w:val="DefaultParagraphFont"/>
    <w:rsid w:val="002B32A0"/>
    <w:rPr>
      <w:color w:val="000000"/>
    </w:rPr>
  </w:style>
  <w:style w:type="character" w:customStyle="1" w:styleId="SmartLink1">
    <w:name w:val="SmartLink1"/>
    <w:basedOn w:val="DefaultParagraphFont"/>
    <w:uiPriority w:val="99"/>
    <w:semiHidden/>
    <w:unhideWhenUsed/>
    <w:rsid w:val="002B32A0"/>
    <w:rPr>
      <w:color w:val="000000"/>
      <w:u w:val="single"/>
      <w:shd w:val="clear" w:color="auto" w:fill="F3F2F1"/>
    </w:rPr>
  </w:style>
  <w:style w:type="character" w:customStyle="1" w:styleId="s1ppyq">
    <w:name w:val="s1ppyq"/>
    <w:basedOn w:val="DefaultParagraphFont"/>
    <w:rsid w:val="002B32A0"/>
    <w:rPr>
      <w:color w:val="000000"/>
    </w:rPr>
  </w:style>
  <w:style w:type="character" w:customStyle="1" w:styleId="mopen">
    <w:name w:val="mopen"/>
    <w:basedOn w:val="DefaultParagraphFont"/>
    <w:rsid w:val="002B32A0"/>
    <w:rPr>
      <w:color w:val="000000"/>
    </w:rPr>
  </w:style>
  <w:style w:type="character" w:customStyle="1" w:styleId="mord">
    <w:name w:val="mord"/>
    <w:basedOn w:val="DefaultParagraphFont"/>
    <w:rsid w:val="002B32A0"/>
    <w:rPr>
      <w:color w:val="000000"/>
    </w:rPr>
  </w:style>
  <w:style w:type="character" w:customStyle="1" w:styleId="mclose">
    <w:name w:val="mclose"/>
    <w:basedOn w:val="DefaultParagraphFont"/>
    <w:rsid w:val="002B32A0"/>
    <w:rPr>
      <w:color w:val="000000"/>
    </w:rPr>
  </w:style>
  <w:style w:type="character" w:customStyle="1" w:styleId="katex-mathml">
    <w:name w:val="katex-mathml"/>
    <w:basedOn w:val="DefaultParagraphFont"/>
    <w:rsid w:val="002B32A0"/>
    <w:rPr>
      <w:color w:val="000000"/>
    </w:rPr>
  </w:style>
  <w:style w:type="paragraph" w:customStyle="1" w:styleId="ColorfulList-Accent11">
    <w:name w:val="Colorful List - Accent 11"/>
    <w:basedOn w:val="Normal"/>
    <w:uiPriority w:val="34"/>
    <w:qFormat/>
    <w:rsid w:val="002B32A0"/>
    <w:pPr>
      <w:spacing w:before="0" w:after="0" w:line="276" w:lineRule="auto"/>
      <w:ind w:left="720"/>
      <w:contextualSpacing/>
    </w:pPr>
    <w:rPr>
      <w:rFonts w:eastAsia="Times New Roman"/>
    </w:rPr>
  </w:style>
  <w:style w:type="character" w:customStyle="1" w:styleId="block">
    <w:name w:val="block"/>
    <w:basedOn w:val="DefaultParagraphFont"/>
    <w:rsid w:val="002B32A0"/>
    <w:rPr>
      <w:color w:val="000000"/>
    </w:rPr>
  </w:style>
  <w:style w:type="character" w:customStyle="1" w:styleId="year">
    <w:name w:val="year"/>
    <w:basedOn w:val="DefaultParagraphFont"/>
    <w:rsid w:val="002B32A0"/>
    <w:rPr>
      <w:color w:val="000000"/>
    </w:rPr>
  </w:style>
  <w:style w:type="character" w:customStyle="1" w:styleId="active">
    <w:name w:val="active"/>
    <w:basedOn w:val="DefaultParagraphFont"/>
    <w:rsid w:val="002B32A0"/>
    <w:rPr>
      <w:color w:val="000000"/>
    </w:rPr>
  </w:style>
  <w:style w:type="paragraph" w:customStyle="1" w:styleId="MBPoint">
    <w:name w:val="MB Point"/>
    <w:basedOn w:val="ListParagraph"/>
    <w:link w:val="MBPointChar"/>
    <w:qFormat/>
    <w:rsid w:val="00F6577E"/>
    <w:pPr>
      <w:numPr>
        <w:numId w:val="72"/>
      </w:numPr>
      <w:spacing w:before="0" w:after="60" w:line="240" w:lineRule="auto"/>
      <w:contextualSpacing w:val="0"/>
    </w:pPr>
    <w:rPr>
      <w:sz w:val="24"/>
      <w:szCs w:val="24"/>
    </w:rPr>
  </w:style>
  <w:style w:type="character" w:customStyle="1" w:styleId="MBPointChar">
    <w:name w:val="MB Point Char"/>
    <w:basedOn w:val="TabletextChar"/>
    <w:link w:val="MBPoint"/>
    <w:rsid w:val="00F6577E"/>
    <w:rPr>
      <w:rFonts w:ascii="Arial" w:hAnsi="Arial" w:cs="Arial"/>
      <w:color w:val="000000"/>
      <w:sz w:val="24"/>
      <w:szCs w:val="24"/>
    </w:rPr>
  </w:style>
  <w:style w:type="paragraph" w:customStyle="1" w:styleId="Heading1wcag">
    <w:name w:val="Heading 1 (wcag)"/>
    <w:basedOn w:val="Normal-nospace"/>
    <w:link w:val="Heading1wcagChar"/>
    <w:rsid w:val="000B0AC7"/>
    <w:pPr>
      <w:spacing w:after="200" w:line="520" w:lineRule="exact"/>
      <w:ind w:left="136"/>
    </w:pPr>
    <w:rPr>
      <w:rFonts w:eastAsia="Yu Gothic Medium"/>
      <w:color w:val="FFFEFF"/>
      <w:sz w:val="52"/>
    </w:rPr>
  </w:style>
  <w:style w:type="character" w:customStyle="1" w:styleId="Normal-nospaceChar">
    <w:name w:val="Normal - no space Char"/>
    <w:basedOn w:val="DefaultParagraphFont"/>
    <w:link w:val="Normal-nospace"/>
    <w:rsid w:val="000B0AC7"/>
    <w:rPr>
      <w:rFonts w:ascii="Arial" w:hAnsi="Arial" w:cs="Arial"/>
      <w:color w:val="000000"/>
      <w:sz w:val="19"/>
    </w:rPr>
  </w:style>
  <w:style w:type="character" w:customStyle="1" w:styleId="NormalrgbChar">
    <w:name w:val="Normal_rgb Char"/>
    <w:basedOn w:val="Normal-nospaceChar"/>
    <w:link w:val="Normalrgb"/>
    <w:rsid w:val="000B0AC7"/>
    <w:rPr>
      <w:rFonts w:ascii="Arial" w:hAnsi="Arial" w:cs="Arial"/>
      <w:color w:val="9D85BE"/>
      <w:sz w:val="19"/>
    </w:rPr>
  </w:style>
  <w:style w:type="character" w:customStyle="1" w:styleId="CpReportDateChar">
    <w:name w:val="Cp Report Date Char"/>
    <w:basedOn w:val="NormalrgbChar"/>
    <w:link w:val="CpReportDate"/>
    <w:rsid w:val="000B0AC7"/>
    <w:rPr>
      <w:rFonts w:ascii="Arial" w:eastAsia="Yu Gothic Medium" w:hAnsi="Arial" w:cs="Arial"/>
      <w:color w:val="9D85BE"/>
      <w:sz w:val="24"/>
    </w:rPr>
  </w:style>
  <w:style w:type="character" w:customStyle="1" w:styleId="Heading1wcagChar">
    <w:name w:val="Heading 1 (wcag) Char"/>
    <w:basedOn w:val="CpReportDateChar"/>
    <w:link w:val="Heading1wcag"/>
    <w:rsid w:val="000B0AC7"/>
    <w:rPr>
      <w:rFonts w:ascii="Arial" w:eastAsia="Yu Gothic Medium" w:hAnsi="Arial" w:cs="Arial"/>
      <w:color w:val="FFFEFF"/>
      <w:sz w:val="52"/>
    </w:rPr>
  </w:style>
  <w:style w:type="table" w:customStyle="1" w:styleId="aacChapterBanner">
    <w:name w:val="aac Chapter Banner"/>
    <w:basedOn w:val="aacTablenolines"/>
    <w:rsid w:val="000B0AC7"/>
    <w:rPr>
      <w:color w:val="FFFEFF"/>
    </w:rPr>
    <w:tblPr/>
    <w:tcPr>
      <w:shd w:val="solid" w:color="361F4C" w:fill="auto"/>
    </w:tcPr>
  </w:style>
  <w:style w:type="table" w:customStyle="1" w:styleId="aacTabletblHeader">
    <w:name w:val="aac Table (tblHeader)"/>
    <w:basedOn w:val="aacTablenolines"/>
    <w:rsid w:val="000B0AC7"/>
    <w:rPr>
      <w:color w:val="FFFEFF"/>
    </w:rPr>
    <w:tblPr/>
    <w:tcPr>
      <w:shd w:val="solid" w:color="140034" w:fill="auto"/>
      <w:tcMar>
        <w:top w:w="40" w:type="dxa"/>
        <w:bottom w:w="40" w:type="dxa"/>
      </w:tcMar>
    </w:tcPr>
  </w:style>
  <w:style w:type="table" w:customStyle="1" w:styleId="aacTablewithlines">
    <w:name w:val="aac Table (with lines)"/>
    <w:basedOn w:val="aacTablenolines"/>
    <w:rsid w:val="000B0AC7"/>
    <w:tblPr>
      <w:tblBorders>
        <w:bottom w:val="single" w:sz="4" w:space="0" w:color="000000"/>
        <w:insideH w:val="single" w:sz="4" w:space="0" w:color="000000"/>
      </w:tblBorders>
    </w:tblPr>
    <w:tcPr>
      <w:shd w:val="clear" w:color="auto" w:fill="auto"/>
      <w:tcMar>
        <w:bottom w:w="40" w:type="dxa"/>
      </w:tcMar>
    </w:tcPr>
  </w:style>
  <w:style w:type="table" w:customStyle="1" w:styleId="aacTableBox">
    <w:name w:val="aac Table (Box)"/>
    <w:basedOn w:val="aacTablenolines"/>
    <w:rsid w:val="000B0AC7"/>
    <w:tblPr/>
    <w:tcPr>
      <w:shd w:val="solid" w:color="E5E5E5" w:fill="auto"/>
      <w:tcMar>
        <w:top w:w="112" w:type="dxa"/>
        <w:left w:w="0" w:type="dxa"/>
        <w:bottom w:w="184" w:type="dxa"/>
        <w:right w:w="120" w:type="dxa"/>
      </w:tcMar>
    </w:tcPr>
  </w:style>
  <w:style w:type="table" w:customStyle="1" w:styleId="aacTableFigure">
    <w:name w:val="aac Table (Figure)"/>
    <w:basedOn w:val="aacTablenolines"/>
    <w:rsid w:val="000B0AC7"/>
    <w:tblPr/>
    <w:tcPr>
      <w:tcMar>
        <w:top w:w="0" w:type="dxa"/>
        <w:left w:w="0" w:type="dxa"/>
        <w:bottom w:w="0" w:type="dxa"/>
        <w:right w:w="0" w:type="dxa"/>
      </w:tcMar>
    </w:tcPr>
  </w:style>
  <w:style w:type="table" w:customStyle="1" w:styleId="aacTableFigure-Wide">
    <w:name w:val="aac Table (Figure-Wide)"/>
    <w:basedOn w:val="aacTableFigure"/>
    <w:rsid w:val="000B0AC7"/>
    <w:tblPr>
      <w:tblInd w:w="-1963" w:type="dxa"/>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874179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footer" Target="footer30.xml"/><Relationship Id="rId299" Type="http://schemas.openxmlformats.org/officeDocument/2006/relationships/header" Target="header78.xml"/><Relationship Id="rId21" Type="http://schemas.openxmlformats.org/officeDocument/2006/relationships/footer" Target="footer5.xml"/><Relationship Id="rId63" Type="http://schemas.openxmlformats.org/officeDocument/2006/relationships/image" Target="media/image16.png"/><Relationship Id="rId159" Type="http://schemas.openxmlformats.org/officeDocument/2006/relationships/footer" Target="footer40.xml"/><Relationship Id="rId170" Type="http://schemas.openxmlformats.org/officeDocument/2006/relationships/footer" Target="footer43.xml"/><Relationship Id="rId226" Type="http://schemas.openxmlformats.org/officeDocument/2006/relationships/header" Target="header59.xml"/><Relationship Id="rId268" Type="http://schemas.openxmlformats.org/officeDocument/2006/relationships/footer" Target="footer72.xml"/><Relationship Id="rId32" Type="http://schemas.openxmlformats.org/officeDocument/2006/relationships/image" Target="media/image3.png"/><Relationship Id="rId74" Type="http://schemas.openxmlformats.org/officeDocument/2006/relationships/image" Target="media/image21.png"/><Relationship Id="rId128" Type="http://schemas.openxmlformats.org/officeDocument/2006/relationships/header" Target="header36.xml"/><Relationship Id="rId5" Type="http://schemas.openxmlformats.org/officeDocument/2006/relationships/customXml" Target="../customXml/item5.xml"/><Relationship Id="rId181" Type="http://schemas.openxmlformats.org/officeDocument/2006/relationships/header" Target="header48.xml"/><Relationship Id="rId237" Type="http://schemas.openxmlformats.org/officeDocument/2006/relationships/image" Target="media/image86.png"/><Relationship Id="rId279" Type="http://schemas.openxmlformats.org/officeDocument/2006/relationships/footer" Target="footer75.xml"/><Relationship Id="rId43" Type="http://schemas.openxmlformats.org/officeDocument/2006/relationships/header" Target="header13.xml"/><Relationship Id="rId139" Type="http://schemas.microsoft.com/office/2007/relationships/hdphoto" Target="media/hdphoto2.wdp"/><Relationship Id="rId290" Type="http://schemas.openxmlformats.org/officeDocument/2006/relationships/image" Target="media/image109.png"/><Relationship Id="rId304" Type="http://schemas.openxmlformats.org/officeDocument/2006/relationships/header" Target="header80.xml"/><Relationship Id="rId85" Type="http://schemas.openxmlformats.org/officeDocument/2006/relationships/image" Target="media/image26.png"/><Relationship Id="rId150" Type="http://schemas.openxmlformats.org/officeDocument/2006/relationships/image" Target="media/image57.png"/><Relationship Id="rId192" Type="http://schemas.openxmlformats.org/officeDocument/2006/relationships/header" Target="header52.xml"/><Relationship Id="rId206" Type="http://schemas.openxmlformats.org/officeDocument/2006/relationships/footer" Target="footer54.xml"/><Relationship Id="rId248" Type="http://schemas.openxmlformats.org/officeDocument/2006/relationships/header" Target="header65.xml"/><Relationship Id="rId12" Type="http://schemas.openxmlformats.org/officeDocument/2006/relationships/header" Target="header1.xml"/><Relationship Id="rId108" Type="http://schemas.openxmlformats.org/officeDocument/2006/relationships/image" Target="media/image43.jpeg"/><Relationship Id="rId54" Type="http://schemas.openxmlformats.org/officeDocument/2006/relationships/footer" Target="footer18.xml"/><Relationship Id="rId96" Type="http://schemas.openxmlformats.org/officeDocument/2006/relationships/image" Target="media/image37.png"/><Relationship Id="rId161" Type="http://schemas.openxmlformats.org/officeDocument/2006/relationships/header" Target="header42.xml"/><Relationship Id="rId217" Type="http://schemas.openxmlformats.org/officeDocument/2006/relationships/footer" Target="footer58.xml"/><Relationship Id="rId259" Type="http://schemas.openxmlformats.org/officeDocument/2006/relationships/footer" Target="footer70.xml"/><Relationship Id="rId23" Type="http://schemas.openxmlformats.org/officeDocument/2006/relationships/footer" Target="footer6.xml"/><Relationship Id="rId119" Type="http://schemas.openxmlformats.org/officeDocument/2006/relationships/header" Target="header32.xml"/><Relationship Id="rId270" Type="http://schemas.openxmlformats.org/officeDocument/2006/relationships/footer" Target="footer73.xml"/><Relationship Id="rId44" Type="http://schemas.openxmlformats.org/officeDocument/2006/relationships/header" Target="header14.xml"/><Relationship Id="rId65" Type="http://schemas.openxmlformats.org/officeDocument/2006/relationships/header" Target="header20.xml"/><Relationship Id="rId86" Type="http://schemas.openxmlformats.org/officeDocument/2006/relationships/image" Target="media/image27.png"/><Relationship Id="rId130" Type="http://schemas.openxmlformats.org/officeDocument/2006/relationships/header" Target="header37.xml"/><Relationship Id="rId151" Type="http://schemas.microsoft.com/office/2007/relationships/hdphoto" Target="media/hdphoto5.wdp"/><Relationship Id="rId172" Type="http://schemas.openxmlformats.org/officeDocument/2006/relationships/header" Target="header45.xml"/><Relationship Id="rId193" Type="http://schemas.openxmlformats.org/officeDocument/2006/relationships/footer" Target="footer52.xml"/><Relationship Id="rId207" Type="http://schemas.openxmlformats.org/officeDocument/2006/relationships/header" Target="header55.xml"/><Relationship Id="rId228" Type="http://schemas.openxmlformats.org/officeDocument/2006/relationships/footer" Target="footer59.xml"/><Relationship Id="rId249" Type="http://schemas.openxmlformats.org/officeDocument/2006/relationships/header" Target="header66.xml"/><Relationship Id="rId13" Type="http://schemas.openxmlformats.org/officeDocument/2006/relationships/header" Target="header2.xml"/><Relationship Id="rId109" Type="http://schemas.openxmlformats.org/officeDocument/2006/relationships/image" Target="media/image44.jpeg"/><Relationship Id="rId260" Type="http://schemas.openxmlformats.org/officeDocument/2006/relationships/image" Target="media/image91.png"/><Relationship Id="rId281" Type="http://schemas.openxmlformats.org/officeDocument/2006/relationships/footer" Target="footer76.xml"/><Relationship Id="rId34" Type="http://schemas.openxmlformats.org/officeDocument/2006/relationships/header" Target="header10.xml"/><Relationship Id="rId55" Type="http://schemas.openxmlformats.org/officeDocument/2006/relationships/image" Target="media/image8.png"/><Relationship Id="rId76" Type="http://schemas.openxmlformats.org/officeDocument/2006/relationships/image" Target="media/image23.png"/><Relationship Id="rId97" Type="http://schemas.openxmlformats.org/officeDocument/2006/relationships/image" Target="media/image38.png"/><Relationship Id="rId120" Type="http://schemas.openxmlformats.org/officeDocument/2006/relationships/footer" Target="footer31.xml"/><Relationship Id="rId141" Type="http://schemas.microsoft.com/office/2007/relationships/hdphoto" Target="media/hdphoto3.wdp"/><Relationship Id="rId7" Type="http://schemas.openxmlformats.org/officeDocument/2006/relationships/styles" Target="styles.xml"/><Relationship Id="rId162" Type="http://schemas.openxmlformats.org/officeDocument/2006/relationships/footer" Target="footer42.xml"/><Relationship Id="rId183" Type="http://schemas.openxmlformats.org/officeDocument/2006/relationships/image" Target="media/image67.png"/><Relationship Id="rId218" Type="http://schemas.openxmlformats.org/officeDocument/2006/relationships/image" Target="media/image77.png"/><Relationship Id="rId239" Type="http://schemas.openxmlformats.org/officeDocument/2006/relationships/image" Target="media/image88.png"/><Relationship Id="rId250" Type="http://schemas.openxmlformats.org/officeDocument/2006/relationships/footer" Target="footer65.xml"/><Relationship Id="rId271" Type="http://schemas.openxmlformats.org/officeDocument/2006/relationships/image" Target="media/image96.png"/><Relationship Id="rId292" Type="http://schemas.openxmlformats.org/officeDocument/2006/relationships/image" Target="media/image111.png"/><Relationship Id="rId306" Type="http://schemas.openxmlformats.org/officeDocument/2006/relationships/footer" Target="footer80.xml"/><Relationship Id="rId24" Type="http://schemas.openxmlformats.org/officeDocument/2006/relationships/header" Target="header7.xml"/><Relationship Id="rId45" Type="http://schemas.openxmlformats.org/officeDocument/2006/relationships/footer" Target="footer13.xml"/><Relationship Id="rId66" Type="http://schemas.openxmlformats.org/officeDocument/2006/relationships/footer" Target="footer19.xml"/><Relationship Id="rId87" Type="http://schemas.openxmlformats.org/officeDocument/2006/relationships/image" Target="media/image28.png"/><Relationship Id="rId110" Type="http://schemas.openxmlformats.org/officeDocument/2006/relationships/image" Target="media/image45.png"/><Relationship Id="rId131" Type="http://schemas.openxmlformats.org/officeDocument/2006/relationships/header" Target="header38.xml"/><Relationship Id="rId152" Type="http://schemas.openxmlformats.org/officeDocument/2006/relationships/hyperlink" Target="https://www.ey.com/en_se/innovation/could-quantum-computing-be-the-technology-that-drives-your-quantum-leap-forward" TargetMode="External"/><Relationship Id="rId173" Type="http://schemas.openxmlformats.org/officeDocument/2006/relationships/footer" Target="footer45.xml"/><Relationship Id="rId194" Type="http://schemas.openxmlformats.org/officeDocument/2006/relationships/image" Target="media/image70.png"/><Relationship Id="rId208" Type="http://schemas.openxmlformats.org/officeDocument/2006/relationships/footer" Target="footer55.xml"/><Relationship Id="rId229" Type="http://schemas.openxmlformats.org/officeDocument/2006/relationships/footer" Target="footer60.xml"/><Relationship Id="rId240" Type="http://schemas.openxmlformats.org/officeDocument/2006/relationships/image" Target="media/image89.png"/><Relationship Id="rId261" Type="http://schemas.openxmlformats.org/officeDocument/2006/relationships/image" Target="media/image92.png"/><Relationship Id="rId14" Type="http://schemas.openxmlformats.org/officeDocument/2006/relationships/footer" Target="footer1.xml"/><Relationship Id="rId35" Type="http://schemas.openxmlformats.org/officeDocument/2006/relationships/header" Target="header11.xml"/><Relationship Id="rId56" Type="http://schemas.openxmlformats.org/officeDocument/2006/relationships/image" Target="media/image9.png"/><Relationship Id="rId77" Type="http://schemas.openxmlformats.org/officeDocument/2006/relationships/header" Target="header22.xml"/><Relationship Id="rId100" Type="http://schemas.openxmlformats.org/officeDocument/2006/relationships/footer" Target="footer25.xml"/><Relationship Id="rId282" Type="http://schemas.openxmlformats.org/officeDocument/2006/relationships/image" Target="media/image101.jpeg"/><Relationship Id="rId8" Type="http://schemas.openxmlformats.org/officeDocument/2006/relationships/settings" Target="settings.xml"/><Relationship Id="rId98" Type="http://schemas.openxmlformats.org/officeDocument/2006/relationships/header" Target="header25.xml"/><Relationship Id="rId121" Type="http://schemas.openxmlformats.org/officeDocument/2006/relationships/footer" Target="footer32.xml"/><Relationship Id="rId142" Type="http://schemas.openxmlformats.org/officeDocument/2006/relationships/image" Target="media/image50.png"/><Relationship Id="rId163" Type="http://schemas.openxmlformats.org/officeDocument/2006/relationships/image" Target="media/image60.png"/><Relationship Id="rId184" Type="http://schemas.openxmlformats.org/officeDocument/2006/relationships/header" Target="header49.xml"/><Relationship Id="rId219" Type="http://schemas.openxmlformats.org/officeDocument/2006/relationships/hyperlink" Target="https://www.routledge.com/Supporting-Indigenous-Students-to-Succeed-at-University-A-Resource-for/Nakata-Nakata/p/book/9781032353463" TargetMode="External"/><Relationship Id="rId230" Type="http://schemas.openxmlformats.org/officeDocument/2006/relationships/header" Target="header61.xml"/><Relationship Id="rId251" Type="http://schemas.openxmlformats.org/officeDocument/2006/relationships/footer" Target="footer66.xml"/><Relationship Id="rId25" Type="http://schemas.openxmlformats.org/officeDocument/2006/relationships/header" Target="header8.xml"/><Relationship Id="rId46" Type="http://schemas.openxmlformats.org/officeDocument/2006/relationships/footer" Target="footer14.xml"/><Relationship Id="rId67" Type="http://schemas.openxmlformats.org/officeDocument/2006/relationships/footer" Target="footer20.xml"/><Relationship Id="rId272" Type="http://schemas.openxmlformats.org/officeDocument/2006/relationships/image" Target="media/image97.png"/><Relationship Id="rId293" Type="http://schemas.openxmlformats.org/officeDocument/2006/relationships/image" Target="media/image112.jpeg"/><Relationship Id="rId307" Type="http://schemas.openxmlformats.org/officeDocument/2006/relationships/footer" Target="footer81.xml"/><Relationship Id="rId88" Type="http://schemas.openxmlformats.org/officeDocument/2006/relationships/image" Target="media/image29.png"/><Relationship Id="rId111" Type="http://schemas.openxmlformats.org/officeDocument/2006/relationships/image" Target="media/image46.png"/><Relationship Id="rId132" Type="http://schemas.openxmlformats.org/officeDocument/2006/relationships/footer" Target="footer37.xml"/><Relationship Id="rId153" Type="http://schemas.openxmlformats.org/officeDocument/2006/relationships/hyperlink" Target="https://www.dst.defence.gov.au/sites/default/files/events/documents/Quantum%20Computing%20Insights%20Paper.pdf" TargetMode="External"/><Relationship Id="rId174" Type="http://schemas.openxmlformats.org/officeDocument/2006/relationships/image" Target="media/image64.png"/><Relationship Id="rId195" Type="http://schemas.openxmlformats.org/officeDocument/2006/relationships/image" Target="media/image71.png"/><Relationship Id="rId209" Type="http://schemas.openxmlformats.org/officeDocument/2006/relationships/image" Target="media/image74.png"/><Relationship Id="rId220" Type="http://schemas.openxmlformats.org/officeDocument/2006/relationships/image" Target="media/image78.png"/><Relationship Id="rId241" Type="http://schemas.openxmlformats.org/officeDocument/2006/relationships/image" Target="media/image90.png"/><Relationship Id="rId15" Type="http://schemas.openxmlformats.org/officeDocument/2006/relationships/footer" Target="footer2.xml"/><Relationship Id="rId36" Type="http://schemas.openxmlformats.org/officeDocument/2006/relationships/footer" Target="footer10.xml"/><Relationship Id="rId57" Type="http://schemas.openxmlformats.org/officeDocument/2006/relationships/image" Target="media/image10.png"/><Relationship Id="rId262" Type="http://schemas.openxmlformats.org/officeDocument/2006/relationships/image" Target="media/image93.png"/><Relationship Id="rId283" Type="http://schemas.openxmlformats.org/officeDocument/2006/relationships/image" Target="media/image102.png"/><Relationship Id="rId78" Type="http://schemas.openxmlformats.org/officeDocument/2006/relationships/header" Target="header23.xml"/><Relationship Id="rId99" Type="http://schemas.openxmlformats.org/officeDocument/2006/relationships/header" Target="header26.xml"/><Relationship Id="rId101" Type="http://schemas.openxmlformats.org/officeDocument/2006/relationships/footer" Target="footer26.xml"/><Relationship Id="rId122" Type="http://schemas.openxmlformats.org/officeDocument/2006/relationships/header" Target="header33.xml"/><Relationship Id="rId143" Type="http://schemas.openxmlformats.org/officeDocument/2006/relationships/image" Target="media/image51.svg"/><Relationship Id="rId164" Type="http://schemas.openxmlformats.org/officeDocument/2006/relationships/image" Target="media/image61.png"/><Relationship Id="rId185" Type="http://schemas.openxmlformats.org/officeDocument/2006/relationships/footer" Target="footer49.xml"/><Relationship Id="rId9" Type="http://schemas.openxmlformats.org/officeDocument/2006/relationships/webSettings" Target="webSettings.xml"/><Relationship Id="rId210" Type="http://schemas.openxmlformats.org/officeDocument/2006/relationships/image" Target="media/image75.png"/><Relationship Id="rId26" Type="http://schemas.openxmlformats.org/officeDocument/2006/relationships/footer" Target="footer7.xml"/><Relationship Id="rId231" Type="http://schemas.openxmlformats.org/officeDocument/2006/relationships/footer" Target="footer61.xml"/><Relationship Id="rId252" Type="http://schemas.openxmlformats.org/officeDocument/2006/relationships/header" Target="header67.xml"/><Relationship Id="rId273" Type="http://schemas.openxmlformats.org/officeDocument/2006/relationships/image" Target="media/image98.jpeg"/><Relationship Id="rId294" Type="http://schemas.openxmlformats.org/officeDocument/2006/relationships/image" Target="media/image113.jpeg"/><Relationship Id="rId308" Type="http://schemas.openxmlformats.org/officeDocument/2006/relationships/header" Target="header82.xml"/><Relationship Id="rId47" Type="http://schemas.openxmlformats.org/officeDocument/2006/relationships/header" Target="header15.xml"/><Relationship Id="rId68" Type="http://schemas.openxmlformats.org/officeDocument/2006/relationships/header" Target="header21.xml"/><Relationship Id="rId89" Type="http://schemas.openxmlformats.org/officeDocument/2006/relationships/image" Target="media/image30.png"/><Relationship Id="rId112" Type="http://schemas.openxmlformats.org/officeDocument/2006/relationships/header" Target="header28.xml"/><Relationship Id="rId133" Type="http://schemas.openxmlformats.org/officeDocument/2006/relationships/footer" Target="footer38.xml"/><Relationship Id="rId154" Type="http://schemas.openxmlformats.org/officeDocument/2006/relationships/image" Target="media/image58.png"/><Relationship Id="rId175" Type="http://schemas.openxmlformats.org/officeDocument/2006/relationships/image" Target="media/image65.png"/><Relationship Id="rId196" Type="http://schemas.openxmlformats.org/officeDocument/2006/relationships/hyperlink" Target="https://doi.org/10.1016/j.cbpa.2021.111121" TargetMode="External"/><Relationship Id="rId200" Type="http://schemas.openxmlformats.org/officeDocument/2006/relationships/hyperlink" Target="https://doi.org/10.3390/ijms231911752" TargetMode="External"/><Relationship Id="rId16" Type="http://schemas.openxmlformats.org/officeDocument/2006/relationships/header" Target="header3.xml"/><Relationship Id="rId221" Type="http://schemas.microsoft.com/office/2007/relationships/hdphoto" Target="media/hdphoto7.wdp"/><Relationship Id="rId242" Type="http://schemas.openxmlformats.org/officeDocument/2006/relationships/header" Target="header62.xml"/><Relationship Id="rId263" Type="http://schemas.openxmlformats.org/officeDocument/2006/relationships/image" Target="media/image94.png"/><Relationship Id="rId284" Type="http://schemas.openxmlformats.org/officeDocument/2006/relationships/image" Target="media/image103.png"/><Relationship Id="rId37" Type="http://schemas.openxmlformats.org/officeDocument/2006/relationships/footer" Target="footer11.xml"/><Relationship Id="rId58" Type="http://schemas.openxmlformats.org/officeDocument/2006/relationships/image" Target="media/image11.png"/><Relationship Id="rId79" Type="http://schemas.openxmlformats.org/officeDocument/2006/relationships/footer" Target="footer22.xml"/><Relationship Id="rId102" Type="http://schemas.openxmlformats.org/officeDocument/2006/relationships/header" Target="header27.xml"/><Relationship Id="rId123" Type="http://schemas.openxmlformats.org/officeDocument/2006/relationships/footer" Target="footer33.xml"/><Relationship Id="rId144" Type="http://schemas.openxmlformats.org/officeDocument/2006/relationships/image" Target="media/image52.png"/><Relationship Id="rId90" Type="http://schemas.openxmlformats.org/officeDocument/2006/relationships/image" Target="media/image31.png"/><Relationship Id="rId165" Type="http://schemas.openxmlformats.org/officeDocument/2006/relationships/image" Target="media/image62.png"/><Relationship Id="rId186" Type="http://schemas.openxmlformats.org/officeDocument/2006/relationships/image" Target="media/image68.png"/><Relationship Id="rId211" Type="http://schemas.openxmlformats.org/officeDocument/2006/relationships/image" Target="media/image76.png"/><Relationship Id="rId232" Type="http://schemas.openxmlformats.org/officeDocument/2006/relationships/image" Target="media/image83.png"/><Relationship Id="rId253" Type="http://schemas.openxmlformats.org/officeDocument/2006/relationships/footer" Target="footer67.xml"/><Relationship Id="rId274" Type="http://schemas.openxmlformats.org/officeDocument/2006/relationships/image" Target="media/image99.png"/><Relationship Id="rId295" Type="http://schemas.openxmlformats.org/officeDocument/2006/relationships/image" Target="media/image114.jpeg"/><Relationship Id="rId309" Type="http://schemas.openxmlformats.org/officeDocument/2006/relationships/footer" Target="footer82.xml"/><Relationship Id="rId27" Type="http://schemas.openxmlformats.org/officeDocument/2006/relationships/footer" Target="footer8.xml"/><Relationship Id="rId48" Type="http://schemas.openxmlformats.org/officeDocument/2006/relationships/footer" Target="footer15.xml"/><Relationship Id="rId69" Type="http://schemas.openxmlformats.org/officeDocument/2006/relationships/footer" Target="footer21.xml"/><Relationship Id="rId113" Type="http://schemas.openxmlformats.org/officeDocument/2006/relationships/header" Target="header29.xml"/><Relationship Id="rId134" Type="http://schemas.openxmlformats.org/officeDocument/2006/relationships/header" Target="header39.xml"/><Relationship Id="rId80" Type="http://schemas.openxmlformats.org/officeDocument/2006/relationships/footer" Target="footer23.xml"/><Relationship Id="rId155" Type="http://schemas.openxmlformats.org/officeDocument/2006/relationships/hyperlink" Target="https://aus01.safelinks.protection.outlook.com/?url=http%3A%2F%2Fqrng.anu.edu.au%2F&amp;data=05%7C01%7Cping.lam%40anu.edu.au%7C22d411e04b6649b18b7608db1da14e67%7Ce37d725cab5c46249ae5f0533e486437%7C0%7C0%7C638136350874986496%7CUnknown%7CTWFpbGZsb3d8eyJWIjoiMC4wLjAwMDAiLCJQIjoiV2luMzIiLCJBTiI6Ik1haWwiLCJXVCI6Mn0%3D%7C3000%7C%7C%7C&amp;sdata=b8uMRAo%2BjgLrBIonNByyYO2Yrw9sknI1jsf4nugmz0s%3D&amp;reserved=0" TargetMode="External"/><Relationship Id="rId176" Type="http://schemas.openxmlformats.org/officeDocument/2006/relationships/image" Target="media/image66.png"/><Relationship Id="rId197" Type="http://schemas.openxmlformats.org/officeDocument/2006/relationships/hyperlink" Target="https://doi.org/10.1186/s12864-020-07063-2" TargetMode="External"/><Relationship Id="rId201" Type="http://schemas.openxmlformats.org/officeDocument/2006/relationships/image" Target="media/image72.jpeg"/><Relationship Id="rId222" Type="http://schemas.openxmlformats.org/officeDocument/2006/relationships/image" Target="media/image79.png"/><Relationship Id="rId243" Type="http://schemas.openxmlformats.org/officeDocument/2006/relationships/header" Target="header63.xml"/><Relationship Id="rId264" Type="http://schemas.openxmlformats.org/officeDocument/2006/relationships/image" Target="media/image95.jpeg"/><Relationship Id="rId285" Type="http://schemas.openxmlformats.org/officeDocument/2006/relationships/image" Target="media/image104.png"/><Relationship Id="rId17" Type="http://schemas.openxmlformats.org/officeDocument/2006/relationships/footer" Target="footer3.xml"/><Relationship Id="rId38" Type="http://schemas.openxmlformats.org/officeDocument/2006/relationships/header" Target="header12.xml"/><Relationship Id="rId59" Type="http://schemas.openxmlformats.org/officeDocument/2006/relationships/image" Target="media/image12.png"/><Relationship Id="rId103" Type="http://schemas.openxmlformats.org/officeDocument/2006/relationships/footer" Target="footer27.xml"/><Relationship Id="rId124" Type="http://schemas.openxmlformats.org/officeDocument/2006/relationships/header" Target="header34.xml"/><Relationship Id="rId310" Type="http://schemas.openxmlformats.org/officeDocument/2006/relationships/fontTable" Target="fontTable.xml"/><Relationship Id="rId70" Type="http://schemas.openxmlformats.org/officeDocument/2006/relationships/image" Target="media/image17.png"/><Relationship Id="rId91" Type="http://schemas.openxmlformats.org/officeDocument/2006/relationships/image" Target="media/image32.png"/><Relationship Id="rId145" Type="http://schemas.openxmlformats.org/officeDocument/2006/relationships/image" Target="media/image53.svg"/><Relationship Id="rId166" Type="http://schemas.openxmlformats.org/officeDocument/2006/relationships/image" Target="media/image63.png"/><Relationship Id="rId187" Type="http://schemas.openxmlformats.org/officeDocument/2006/relationships/image" Target="media/image69.png"/><Relationship Id="rId1" Type="http://schemas.openxmlformats.org/officeDocument/2006/relationships/customXml" Target="../customXml/item1.xml"/><Relationship Id="rId212" Type="http://schemas.openxmlformats.org/officeDocument/2006/relationships/header" Target="header56.xml"/><Relationship Id="rId233" Type="http://schemas.microsoft.com/office/2007/relationships/hdphoto" Target="media/hdphoto8.wdp"/><Relationship Id="rId254" Type="http://schemas.openxmlformats.org/officeDocument/2006/relationships/header" Target="header68.xml"/><Relationship Id="rId28" Type="http://schemas.openxmlformats.org/officeDocument/2006/relationships/header" Target="header9.xml"/><Relationship Id="rId49" Type="http://schemas.openxmlformats.org/officeDocument/2006/relationships/header" Target="header16.xml"/><Relationship Id="rId114" Type="http://schemas.openxmlformats.org/officeDocument/2006/relationships/footer" Target="footer28.xml"/><Relationship Id="rId275" Type="http://schemas.openxmlformats.org/officeDocument/2006/relationships/image" Target="media/image100.png"/><Relationship Id="rId296" Type="http://schemas.openxmlformats.org/officeDocument/2006/relationships/image" Target="media/image115.jpeg"/><Relationship Id="rId300" Type="http://schemas.openxmlformats.org/officeDocument/2006/relationships/footer" Target="footer77.xml"/><Relationship Id="rId60" Type="http://schemas.openxmlformats.org/officeDocument/2006/relationships/image" Target="media/image13.png"/><Relationship Id="rId81" Type="http://schemas.openxmlformats.org/officeDocument/2006/relationships/header" Target="header24.xml"/><Relationship Id="rId135" Type="http://schemas.openxmlformats.org/officeDocument/2006/relationships/footer" Target="footer39.xml"/><Relationship Id="rId156" Type="http://schemas.openxmlformats.org/officeDocument/2006/relationships/image" Target="media/image59.png"/><Relationship Id="rId177" Type="http://schemas.openxmlformats.org/officeDocument/2006/relationships/header" Target="header46.xml"/><Relationship Id="rId198" Type="http://schemas.openxmlformats.org/officeDocument/2006/relationships/hyperlink" Target="https://doi.org/10.3390/ani12172241" TargetMode="External"/><Relationship Id="rId202" Type="http://schemas.openxmlformats.org/officeDocument/2006/relationships/image" Target="media/image73.jpeg"/><Relationship Id="rId223" Type="http://schemas.openxmlformats.org/officeDocument/2006/relationships/image" Target="media/image80.png"/><Relationship Id="rId244" Type="http://schemas.openxmlformats.org/officeDocument/2006/relationships/footer" Target="footer62.xml"/><Relationship Id="rId18" Type="http://schemas.openxmlformats.org/officeDocument/2006/relationships/header" Target="header4.xml"/><Relationship Id="rId39" Type="http://schemas.openxmlformats.org/officeDocument/2006/relationships/footer" Target="footer12.xml"/><Relationship Id="rId265" Type="http://schemas.openxmlformats.org/officeDocument/2006/relationships/header" Target="header71.xml"/><Relationship Id="rId286" Type="http://schemas.openxmlformats.org/officeDocument/2006/relationships/image" Target="media/image105.jpeg"/><Relationship Id="rId50" Type="http://schemas.openxmlformats.org/officeDocument/2006/relationships/header" Target="header17.xml"/><Relationship Id="rId104" Type="http://schemas.openxmlformats.org/officeDocument/2006/relationships/image" Target="media/image39.png"/><Relationship Id="rId125" Type="http://schemas.openxmlformats.org/officeDocument/2006/relationships/header" Target="header35.xml"/><Relationship Id="rId146" Type="http://schemas.openxmlformats.org/officeDocument/2006/relationships/image" Target="media/image54.png"/><Relationship Id="rId167" Type="http://schemas.microsoft.com/office/2007/relationships/hdphoto" Target="media/hdphoto6.wdp"/><Relationship Id="rId188" Type="http://schemas.openxmlformats.org/officeDocument/2006/relationships/header" Target="header50.xml"/><Relationship Id="rId311" Type="http://schemas.openxmlformats.org/officeDocument/2006/relationships/theme" Target="theme/theme1.xml"/><Relationship Id="rId71" Type="http://schemas.openxmlformats.org/officeDocument/2006/relationships/image" Target="media/image18.png"/><Relationship Id="rId92" Type="http://schemas.openxmlformats.org/officeDocument/2006/relationships/image" Target="media/image33.png"/><Relationship Id="rId213" Type="http://schemas.openxmlformats.org/officeDocument/2006/relationships/header" Target="header57.xml"/><Relationship Id="rId234" Type="http://schemas.openxmlformats.org/officeDocument/2006/relationships/image" Target="media/image84.png"/><Relationship Id="rId2" Type="http://schemas.openxmlformats.org/officeDocument/2006/relationships/customXml" Target="../customXml/item2.xml"/><Relationship Id="rId29" Type="http://schemas.openxmlformats.org/officeDocument/2006/relationships/footer" Target="footer9.xml"/><Relationship Id="rId255" Type="http://schemas.openxmlformats.org/officeDocument/2006/relationships/header" Target="header69.xml"/><Relationship Id="rId276" Type="http://schemas.openxmlformats.org/officeDocument/2006/relationships/header" Target="header74.xml"/><Relationship Id="rId297" Type="http://schemas.openxmlformats.org/officeDocument/2006/relationships/image" Target="media/image116.png"/><Relationship Id="rId40" Type="http://schemas.openxmlformats.org/officeDocument/2006/relationships/image" Target="media/image5.png"/><Relationship Id="rId115" Type="http://schemas.openxmlformats.org/officeDocument/2006/relationships/footer" Target="footer29.xml"/><Relationship Id="rId136" Type="http://schemas.openxmlformats.org/officeDocument/2006/relationships/image" Target="media/image47.png"/><Relationship Id="rId157" Type="http://schemas.openxmlformats.org/officeDocument/2006/relationships/header" Target="header40.xml"/><Relationship Id="rId178" Type="http://schemas.openxmlformats.org/officeDocument/2006/relationships/header" Target="header47.xml"/><Relationship Id="rId301" Type="http://schemas.openxmlformats.org/officeDocument/2006/relationships/footer" Target="footer78.xml"/><Relationship Id="rId61" Type="http://schemas.openxmlformats.org/officeDocument/2006/relationships/image" Target="media/image14.png"/><Relationship Id="rId82" Type="http://schemas.openxmlformats.org/officeDocument/2006/relationships/footer" Target="footer24.xml"/><Relationship Id="rId199" Type="http://schemas.openxmlformats.org/officeDocument/2006/relationships/hyperlink" Target="https://doi.org/10.1038/s41598-022-25969-7" TargetMode="External"/><Relationship Id="rId203" Type="http://schemas.openxmlformats.org/officeDocument/2006/relationships/header" Target="header53.xml"/><Relationship Id="rId19" Type="http://schemas.openxmlformats.org/officeDocument/2006/relationships/header" Target="header5.xml"/><Relationship Id="rId224" Type="http://schemas.openxmlformats.org/officeDocument/2006/relationships/image" Target="media/image81.png"/><Relationship Id="rId245" Type="http://schemas.openxmlformats.org/officeDocument/2006/relationships/footer" Target="footer63.xml"/><Relationship Id="rId266" Type="http://schemas.openxmlformats.org/officeDocument/2006/relationships/header" Target="header72.xml"/><Relationship Id="rId287" Type="http://schemas.openxmlformats.org/officeDocument/2006/relationships/image" Target="media/image106.png"/><Relationship Id="rId30" Type="http://schemas.openxmlformats.org/officeDocument/2006/relationships/image" Target="media/image1.png"/><Relationship Id="rId105" Type="http://schemas.openxmlformats.org/officeDocument/2006/relationships/image" Target="media/image40.png"/><Relationship Id="rId126" Type="http://schemas.openxmlformats.org/officeDocument/2006/relationships/footer" Target="footer34.xml"/><Relationship Id="rId147" Type="http://schemas.openxmlformats.org/officeDocument/2006/relationships/image" Target="media/image55.png"/><Relationship Id="rId168" Type="http://schemas.openxmlformats.org/officeDocument/2006/relationships/header" Target="header43.xml"/><Relationship Id="rId51" Type="http://schemas.openxmlformats.org/officeDocument/2006/relationships/footer" Target="footer16.xml"/><Relationship Id="rId72" Type="http://schemas.openxmlformats.org/officeDocument/2006/relationships/image" Target="media/image19.png"/><Relationship Id="rId93" Type="http://schemas.openxmlformats.org/officeDocument/2006/relationships/image" Target="media/image34.png"/><Relationship Id="rId189" Type="http://schemas.openxmlformats.org/officeDocument/2006/relationships/header" Target="header51.xml"/><Relationship Id="rId3" Type="http://schemas.openxmlformats.org/officeDocument/2006/relationships/customXml" Target="../customXml/item3.xml"/><Relationship Id="rId214" Type="http://schemas.openxmlformats.org/officeDocument/2006/relationships/footer" Target="footer56.xml"/><Relationship Id="rId235" Type="http://schemas.microsoft.com/office/2007/relationships/hdphoto" Target="media/hdphoto9.wdp"/><Relationship Id="rId256" Type="http://schemas.openxmlformats.org/officeDocument/2006/relationships/footer" Target="footer68.xml"/><Relationship Id="rId277" Type="http://schemas.openxmlformats.org/officeDocument/2006/relationships/header" Target="header75.xml"/><Relationship Id="rId298" Type="http://schemas.openxmlformats.org/officeDocument/2006/relationships/header" Target="header77.xml"/><Relationship Id="rId116" Type="http://schemas.openxmlformats.org/officeDocument/2006/relationships/header" Target="header30.xml"/><Relationship Id="rId137" Type="http://schemas.microsoft.com/office/2007/relationships/hdphoto" Target="media/hdphoto1.wdp"/><Relationship Id="rId158" Type="http://schemas.openxmlformats.org/officeDocument/2006/relationships/header" Target="header41.xml"/><Relationship Id="rId302" Type="http://schemas.openxmlformats.org/officeDocument/2006/relationships/header" Target="header79.xml"/><Relationship Id="rId20" Type="http://schemas.openxmlformats.org/officeDocument/2006/relationships/footer" Target="footer4.xml"/><Relationship Id="rId41" Type="http://schemas.openxmlformats.org/officeDocument/2006/relationships/image" Target="media/image6.png"/><Relationship Id="rId62" Type="http://schemas.openxmlformats.org/officeDocument/2006/relationships/image" Target="media/image15.png"/><Relationship Id="rId83" Type="http://schemas.openxmlformats.org/officeDocument/2006/relationships/image" Target="media/image24.png"/><Relationship Id="rId179" Type="http://schemas.openxmlformats.org/officeDocument/2006/relationships/footer" Target="footer46.xml"/><Relationship Id="rId190" Type="http://schemas.openxmlformats.org/officeDocument/2006/relationships/footer" Target="footer50.xml"/><Relationship Id="rId204" Type="http://schemas.openxmlformats.org/officeDocument/2006/relationships/header" Target="header54.xml"/><Relationship Id="rId225" Type="http://schemas.openxmlformats.org/officeDocument/2006/relationships/image" Target="media/image82.png"/><Relationship Id="rId246" Type="http://schemas.openxmlformats.org/officeDocument/2006/relationships/header" Target="header64.xml"/><Relationship Id="rId267" Type="http://schemas.openxmlformats.org/officeDocument/2006/relationships/footer" Target="footer71.xml"/><Relationship Id="rId288" Type="http://schemas.openxmlformats.org/officeDocument/2006/relationships/image" Target="media/image107.png"/><Relationship Id="rId106" Type="http://schemas.openxmlformats.org/officeDocument/2006/relationships/image" Target="media/image41.png"/><Relationship Id="rId127" Type="http://schemas.openxmlformats.org/officeDocument/2006/relationships/footer" Target="footer35.xml"/><Relationship Id="rId10" Type="http://schemas.openxmlformats.org/officeDocument/2006/relationships/footnotes" Target="footnotes.xml"/><Relationship Id="rId31" Type="http://schemas.openxmlformats.org/officeDocument/2006/relationships/image" Target="media/image2.png"/><Relationship Id="rId52" Type="http://schemas.openxmlformats.org/officeDocument/2006/relationships/footer" Target="footer17.xml"/><Relationship Id="rId73" Type="http://schemas.openxmlformats.org/officeDocument/2006/relationships/image" Target="media/image20.png"/><Relationship Id="rId94" Type="http://schemas.openxmlformats.org/officeDocument/2006/relationships/image" Target="media/image35.png"/><Relationship Id="rId148" Type="http://schemas.openxmlformats.org/officeDocument/2006/relationships/image" Target="media/image56.png"/><Relationship Id="rId169" Type="http://schemas.openxmlformats.org/officeDocument/2006/relationships/header" Target="header44.xml"/><Relationship Id="rId4" Type="http://schemas.openxmlformats.org/officeDocument/2006/relationships/customXml" Target="../customXml/item4.xml"/><Relationship Id="rId180" Type="http://schemas.openxmlformats.org/officeDocument/2006/relationships/footer" Target="footer47.xml"/><Relationship Id="rId215" Type="http://schemas.openxmlformats.org/officeDocument/2006/relationships/footer" Target="footer57.xml"/><Relationship Id="rId236" Type="http://schemas.openxmlformats.org/officeDocument/2006/relationships/image" Target="media/image85.png"/><Relationship Id="rId257" Type="http://schemas.openxmlformats.org/officeDocument/2006/relationships/footer" Target="footer69.xml"/><Relationship Id="rId278" Type="http://schemas.openxmlformats.org/officeDocument/2006/relationships/footer" Target="footer74.xml"/><Relationship Id="rId303" Type="http://schemas.openxmlformats.org/officeDocument/2006/relationships/footer" Target="footer79.xml"/><Relationship Id="rId42" Type="http://schemas.openxmlformats.org/officeDocument/2006/relationships/image" Target="media/image7.png"/><Relationship Id="rId84" Type="http://schemas.openxmlformats.org/officeDocument/2006/relationships/image" Target="media/image25.png"/><Relationship Id="rId138" Type="http://schemas.openxmlformats.org/officeDocument/2006/relationships/image" Target="media/image48.png"/><Relationship Id="rId191" Type="http://schemas.openxmlformats.org/officeDocument/2006/relationships/footer" Target="footer51.xml"/><Relationship Id="rId205" Type="http://schemas.openxmlformats.org/officeDocument/2006/relationships/footer" Target="footer53.xml"/><Relationship Id="rId247" Type="http://schemas.openxmlformats.org/officeDocument/2006/relationships/footer" Target="footer64.xml"/><Relationship Id="rId107" Type="http://schemas.openxmlformats.org/officeDocument/2006/relationships/image" Target="media/image42.png"/><Relationship Id="rId289" Type="http://schemas.openxmlformats.org/officeDocument/2006/relationships/image" Target="media/image108.png"/><Relationship Id="rId11" Type="http://schemas.openxmlformats.org/officeDocument/2006/relationships/endnotes" Target="endnotes.xml"/><Relationship Id="rId53" Type="http://schemas.openxmlformats.org/officeDocument/2006/relationships/header" Target="header18.xml"/><Relationship Id="rId149" Type="http://schemas.microsoft.com/office/2007/relationships/hdphoto" Target="media/hdphoto4.wdp"/><Relationship Id="rId95" Type="http://schemas.openxmlformats.org/officeDocument/2006/relationships/image" Target="media/image36.png"/><Relationship Id="rId160" Type="http://schemas.openxmlformats.org/officeDocument/2006/relationships/footer" Target="footer41.xml"/><Relationship Id="rId216" Type="http://schemas.openxmlformats.org/officeDocument/2006/relationships/header" Target="header58.xml"/><Relationship Id="rId258" Type="http://schemas.openxmlformats.org/officeDocument/2006/relationships/header" Target="header70.xml"/><Relationship Id="rId22" Type="http://schemas.openxmlformats.org/officeDocument/2006/relationships/header" Target="header6.xml"/><Relationship Id="rId64" Type="http://schemas.openxmlformats.org/officeDocument/2006/relationships/header" Target="header19.xml"/><Relationship Id="rId118" Type="http://schemas.openxmlformats.org/officeDocument/2006/relationships/header" Target="header31.xml"/><Relationship Id="rId171" Type="http://schemas.openxmlformats.org/officeDocument/2006/relationships/footer" Target="footer44.xml"/><Relationship Id="rId227" Type="http://schemas.openxmlformats.org/officeDocument/2006/relationships/header" Target="header60.xml"/><Relationship Id="rId269" Type="http://schemas.openxmlformats.org/officeDocument/2006/relationships/header" Target="header73.xml"/><Relationship Id="rId33" Type="http://schemas.openxmlformats.org/officeDocument/2006/relationships/image" Target="media/image4.png"/><Relationship Id="rId129" Type="http://schemas.openxmlformats.org/officeDocument/2006/relationships/footer" Target="footer36.xml"/><Relationship Id="rId280" Type="http://schemas.openxmlformats.org/officeDocument/2006/relationships/header" Target="header76.xml"/><Relationship Id="rId75" Type="http://schemas.openxmlformats.org/officeDocument/2006/relationships/image" Target="media/image22.png"/><Relationship Id="rId140" Type="http://schemas.openxmlformats.org/officeDocument/2006/relationships/image" Target="media/image49.png"/><Relationship Id="rId182" Type="http://schemas.openxmlformats.org/officeDocument/2006/relationships/footer" Target="footer48.xml"/><Relationship Id="rId6" Type="http://schemas.openxmlformats.org/officeDocument/2006/relationships/numbering" Target="numbering.xml"/><Relationship Id="rId238" Type="http://schemas.openxmlformats.org/officeDocument/2006/relationships/image" Target="media/image87.png"/><Relationship Id="rId291" Type="http://schemas.openxmlformats.org/officeDocument/2006/relationships/image" Target="media/image110.png"/><Relationship Id="rId305" Type="http://schemas.openxmlformats.org/officeDocument/2006/relationships/header" Target="header81.xml"/></Relationships>
</file>

<file path=word/_rels/footnotes.xml.rels><?xml version="1.0" encoding="UTF-8" standalone="yes"?>
<Relationships xmlns="http://schemas.openxmlformats.org/package/2006/relationships"><Relationship Id="rId117" Type="http://schemas.openxmlformats.org/officeDocument/2006/relationships/hyperlink" Target="https://www.willowsoft.com.au/" TargetMode="External"/><Relationship Id="rId21" Type="http://schemas.openxmlformats.org/officeDocument/2006/relationships/hyperlink" Target="https://chms.cass.anu.edu.au/research/projects/repatriation-healing-and-wellbeing-understanding-success-repatriation-policy-and" TargetMode="External"/><Relationship Id="rId42" Type="http://schemas.openxmlformats.org/officeDocument/2006/relationships/hyperlink" Target="https://sdgs.un.org/goals" TargetMode="External"/><Relationship Id="rId47" Type="http://schemas.openxmlformats.org/officeDocument/2006/relationships/hyperlink" Target="https://patents.google.com/patent/AU2005242730B2" TargetMode="External"/><Relationship Id="rId63" Type="http://schemas.openxmlformats.org/officeDocument/2006/relationships/hyperlink" Target="https://www.watercorporation.com.au/About-us/Media-releases/2022/August-2022/Stage-Two-Groundwater-Replenishment-Scheme" TargetMode="External"/><Relationship Id="rId68" Type="http://schemas.openxmlformats.org/officeDocument/2006/relationships/hyperlink" Target="https://patents.google.com/patent/US9952601B2/en" TargetMode="External"/><Relationship Id="rId84" Type="http://schemas.openxmlformats.org/officeDocument/2006/relationships/hyperlink" Target="https://www.arc.gov.au/funding-research/apply-funding/grant-application/science-and-research-priorities" TargetMode="External"/><Relationship Id="rId89" Type="http://schemas.openxmlformats.org/officeDocument/2006/relationships/hyperlink" Target="https://www.aihw.gov.au/reports/domestic-violence/family-domestic-and-sexual-violence" TargetMode="External"/><Relationship Id="rId112" Type="http://schemas.openxmlformats.org/officeDocument/2006/relationships/hyperlink" Target="https://www.aihw.gov.au/reports/australias-health/social-determinants-and-indigenous-health" TargetMode="External"/><Relationship Id="rId16" Type="http://schemas.openxmlformats.org/officeDocument/2006/relationships/hyperlink" Target="http://www.insidecotton.com/jspui/bitstream/1/1756/2/pr030516.pdf" TargetMode="External"/><Relationship Id="rId107" Type="http://schemas.openxmlformats.org/officeDocument/2006/relationships/hyperlink" Target="https://www.closingthegap.gov.au/national-agreement/targets" TargetMode="External"/><Relationship Id="rId11" Type="http://schemas.openxmlformats.org/officeDocument/2006/relationships/hyperlink" Target="https://www.watercorporation.com.au/About-us/Media-releases/2022/August-2022/Stage-Two-Groundwater-Replenishment-Scheme" TargetMode="External"/><Relationship Id="rId32" Type="http://schemas.openxmlformats.org/officeDocument/2006/relationships/hyperlink" Target="https://www.education.gov.au/university-research-commercialisation-package/australias-economic-accelerator" TargetMode="External"/><Relationship Id="rId37" Type="http://schemas.openxmlformats.org/officeDocument/2006/relationships/hyperlink" Target="https://atn.edu.au/wp-content/uploads/2021/12/atn-go8-report-web-pdf.pdf" TargetMode="External"/><Relationship Id="rId53" Type="http://schemas.openxmlformats.org/officeDocument/2006/relationships/hyperlink" Target="https://www.mckinsey.com/~/media/mckinsey/business%20functions/mckinsey%20digital/our%20insights/quantum%20computing%20use%20cases%20are%20getting%20real%20what%20you%20need%20to%20know/quantum-computing-an-emerging-ecosystem.pdf" TargetMode="External"/><Relationship Id="rId58" Type="http://schemas.openxmlformats.org/officeDocument/2006/relationships/hyperlink" Target="https://www.architectureanddesign.com.au/news/2013-project-management-achievement-awards-winners" TargetMode="External"/><Relationship Id="rId74" Type="http://schemas.openxmlformats.org/officeDocument/2006/relationships/hyperlink" Target="https://minister.dcceew.gov.au/plibersek/media-releases/australian-government-delivers-its-water-australia-plan" TargetMode="External"/><Relationship Id="rId79" Type="http://schemas.openxmlformats.org/officeDocument/2006/relationships/hyperlink" Target="https://www.melbournewater.com.au/water-and-environment/water-management/allocating-melbournes-water-resources/water-environment" TargetMode="External"/><Relationship Id="rId102" Type="http://schemas.openxmlformats.org/officeDocument/2006/relationships/hyperlink" Target="https://www.policyforum.net/red-flag-homicide/" TargetMode="External"/><Relationship Id="rId123" Type="http://schemas.openxmlformats.org/officeDocument/2006/relationships/hyperlink" Target="https://www.csiro.au/~/media/About/Files/Our-impact-framework/CSIROImpactEvaluationGuide_Nov2015_WEB.pdf?la=en&amp;hash=B351D24FB3CE02CB34FB859F2C34AA3940EE6D1F" TargetMode="External"/><Relationship Id="rId128" Type="http://schemas.openxmlformats.org/officeDocument/2006/relationships/hyperlink" Target="https://www.arts.gov.au/what-we-do/cultural-heritage/indigenous-repatriation" TargetMode="External"/><Relationship Id="rId5" Type="http://schemas.openxmlformats.org/officeDocument/2006/relationships/hyperlink" Target="https://www.education.gov.au/higher-education/review-australian-research-council-act-2001" TargetMode="External"/><Relationship Id="rId90" Type="http://schemas.openxmlformats.org/officeDocument/2006/relationships/hyperlink" Target="https://metoomvmt.org/" TargetMode="External"/><Relationship Id="rId95" Type="http://schemas.openxmlformats.org/officeDocument/2006/relationships/hyperlink" Target="https://www.courts.qld.gov.au/__data/assets/pdf_file/0020/435026/dv-benchbook.pdf" TargetMode="External"/><Relationship Id="rId22" Type="http://schemas.openxmlformats.org/officeDocument/2006/relationships/hyperlink" Target="https://www.industry.gov.au/news/modern-manufacturing-initiative-and-national-manufacturing-priorities-announced" TargetMode="External"/><Relationship Id="rId27" Type="http://schemas.openxmlformats.org/officeDocument/2006/relationships/hyperlink" Target="https://www.closingthegap.gov.au/national-agreement/targets" TargetMode="External"/><Relationship Id="rId43" Type="http://schemas.openxmlformats.org/officeDocument/2006/relationships/hyperlink" Target="https://www.csiro.au/~/media/About/Files/Our-impact-framework/CSIROImpactEvaluationGuide_Nov2015_WEB.pdf?la=en&amp;hash=B351D24FB3CE02CB34FB859F2C34AA3940EE6D1F" TargetMode="External"/><Relationship Id="rId48" Type="http://schemas.openxmlformats.org/officeDocument/2006/relationships/hyperlink" Target="https://patents.google.com/patent/WO2009097643A1/en" TargetMode="External"/><Relationship Id="rId64" Type="http://schemas.openxmlformats.org/officeDocument/2006/relationships/hyperlink" Target="https://www.arc.gov.au/funding-research/apply-funding/grant-application/science-and-research-priorities" TargetMode="External"/><Relationship Id="rId69" Type="http://schemas.openxmlformats.org/officeDocument/2006/relationships/hyperlink" Target="https://research.unimelb.edu.au/research-at-melbourne/climate-hub/climate-collaboration/irrigation-conservation" TargetMode="External"/><Relationship Id="rId113" Type="http://schemas.openxmlformats.org/officeDocument/2006/relationships/hyperlink" Target="https://www.indigenoushpf.gov.au/report-overview/overview/summary-report" TargetMode="External"/><Relationship Id="rId118" Type="http://schemas.openxmlformats.org/officeDocument/2006/relationships/hyperlink" Target="https://www.universitiesaustralia.edu.au/wp-content/uploads/2022/03/UA-Indigenous-Strategy-2022-25.pdf" TargetMode="External"/><Relationship Id="rId80" Type="http://schemas.openxmlformats.org/officeDocument/2006/relationships/hyperlink" Target="https://www.pc.gov.au/__data/assets/pdf_file/0009/228177/water-reform-overview.pdf" TargetMode="External"/><Relationship Id="rId85" Type="http://schemas.openxmlformats.org/officeDocument/2006/relationships/hyperlink" Target="https://www.industry.gov.au/science-technology-and-innovation/revitalising-australias-vision-science-and-research/terms-reference" TargetMode="External"/><Relationship Id="rId12" Type="http://schemas.openxmlformats.org/officeDocument/2006/relationships/hyperlink" Target="https://dfvbenchbook.aija.org.au/contents" TargetMode="External"/><Relationship Id="rId17" Type="http://schemas.openxmlformats.org/officeDocument/2006/relationships/hyperlink" Target="https://www.premier.vic.gov.au/successful-connections-project-delivers-extra-water" TargetMode="External"/><Relationship Id="rId33" Type="http://schemas.openxmlformats.org/officeDocument/2006/relationships/hyperlink" Target="https://www.chiefscientist.nsw.gov.au/funding/research-and-development" TargetMode="External"/><Relationship Id="rId38" Type="http://schemas.openxmlformats.org/officeDocument/2006/relationships/hyperlink" Target="https://public.tableau.com/app/profile/uk.research.and.innovation.ukri./viz/ResearchfishOutputs2021/Overview?publish=yes" TargetMode="External"/><Relationship Id="rId59" Type="http://schemas.openxmlformats.org/officeDocument/2006/relationships/hyperlink" Target="https://14568786.fs1.hubspotusercontent-na1.net/hubfs/14568786/WA%20State%20Awards%20Honour%20Roll.pdf" TargetMode="External"/><Relationship Id="rId103" Type="http://schemas.openxmlformats.org/officeDocument/2006/relationships/hyperlink" Target="http://www.austlii.edu.au/cgi-bin/LawCite?cit=%5b2014%5d%20SydLawRw%2011" TargetMode="External"/><Relationship Id="rId108" Type="http://schemas.openxmlformats.org/officeDocument/2006/relationships/hyperlink" Target="https://www.indigenoushpf.gov.au/measures/2-06-educational-participation" TargetMode="External"/><Relationship Id="rId124" Type="http://schemas.openxmlformats.org/officeDocument/2006/relationships/hyperlink" Target="https://www.arts.gov.au/what-we-do/cultural-heritage/indigenous-repatriation" TargetMode="External"/><Relationship Id="rId129" Type="http://schemas.openxmlformats.org/officeDocument/2006/relationships/hyperlink" Target="https://www.arts.gov.au/what-we-do/cultural-heritage/indigenous-repatriation/national-resting-place" TargetMode="External"/><Relationship Id="rId54" Type="http://schemas.openxmlformats.org/officeDocument/2006/relationships/hyperlink" Target="https://oia.pmc.gov.au/sites/default/files/2021-09/cost-benefit-analysis.pdf" TargetMode="External"/><Relationship Id="rId70" Type="http://schemas.openxmlformats.org/officeDocument/2006/relationships/hyperlink" Target="http://www.insidecotton.com/jspui/bitstream/1/1756/2/pr030516.pdf" TargetMode="External"/><Relationship Id="rId75" Type="http://schemas.openxmlformats.org/officeDocument/2006/relationships/hyperlink" Target="https://www.water.vic.gov.au/water-for-agriculture/investment-in-irrigation-efficiency/Connections-Water-Recovery" TargetMode="External"/><Relationship Id="rId91" Type="http://schemas.openxmlformats.org/officeDocument/2006/relationships/hyperlink" Target="https://www.dss.gov.au/sites/default/files/documents/04_2022/fact_sheet_-budget_22-23_womens_safety.pdf" TargetMode="External"/><Relationship Id="rId96" Type="http://schemas.openxmlformats.org/officeDocument/2006/relationships/hyperlink" Target="https://documents.parliament.qld.gov.au/events/han/2020/2020_05_20_WEEKLY.PDF" TargetMode="External"/><Relationship Id="rId1" Type="http://schemas.openxmlformats.org/officeDocument/2006/relationships/hyperlink" Target="https://www.grants.gov.au/Fo/Show?FoUuid=a7f42e2b-c84c-44b6-8577-798b33ff3d67" TargetMode="External"/><Relationship Id="rId6" Type="http://schemas.openxmlformats.org/officeDocument/2006/relationships/hyperlink" Target="https://www.aph.gov.au/About_Parliament/Parliamentary_Departments/Parliamentary_Library/pubs/rp/BudgetReview202223/ScienceResearch" TargetMode="External"/><Relationship Id="rId23" Type="http://schemas.openxmlformats.org/officeDocument/2006/relationships/hyperlink" Target="https://www.industry.gov.au/news/national-reconstruction-fund-diversifying-and-transforming-australias-industry-and-economy" TargetMode="External"/><Relationship Id="rId28" Type="http://schemas.openxmlformats.org/officeDocument/2006/relationships/hyperlink" Target="https://www.arts.gov.au/what-we-do/cultural-heritage/indigenous-repatriation" TargetMode="External"/><Relationship Id="rId49" Type="http://schemas.openxmlformats.org/officeDocument/2006/relationships/hyperlink" Target="https://patents.google.com/patent/AU2015252051B2/en" TargetMode="External"/><Relationship Id="rId114" Type="http://schemas.openxmlformats.org/officeDocument/2006/relationships/hyperlink" Target="file:///C:\Users\lbaker\AppData\Roaming\iManage\Work\Recent\J1064%20-%20Assessment%20of%20the%20impact%20of%20ARC%20funded%20research\Op" TargetMode="External"/><Relationship Id="rId119" Type="http://schemas.openxmlformats.org/officeDocument/2006/relationships/hyperlink" Target="https://www.qilt.edu.au/general/article/2021/11/04/graduate-incomes-data" TargetMode="External"/><Relationship Id="rId44" Type="http://schemas.openxmlformats.org/officeDocument/2006/relationships/hyperlink" Target="https://www.csiro.au/en/work-with-us/services/consultancy-strategic-advice-services/csiro-futures/future-industries/quantum" TargetMode="External"/><Relationship Id="rId60" Type="http://schemas.openxmlformats.org/officeDocument/2006/relationships/hyperlink" Target="https://14568786.fs1.hubspotusercontent-na1.net/hubfs/14568786/WA%20State%20Awards%20Honour%20Roll.pdf" TargetMode="External"/><Relationship Id="rId65" Type="http://schemas.openxmlformats.org/officeDocument/2006/relationships/hyperlink" Target="https://www.industry.gov.au/science-technology-and-innovation/revitalising-australias-vision-science-and-research/terms-reference" TargetMode="External"/><Relationship Id="rId81" Type="http://schemas.openxmlformats.org/officeDocument/2006/relationships/hyperlink" Target="https://futurumcareers.com/how-are-control-engineers-improving-the-sustainability-of-irrigated-agriculture" TargetMode="External"/><Relationship Id="rId86" Type="http://schemas.openxmlformats.org/officeDocument/2006/relationships/hyperlink" Target="https://www.csiro.au/~/media/About/Files/Our-impact-framework/CSIROImpactEvaluationGuide_Nov2015_WEB.pdf?la=en&amp;hash=B351D24FB3CE02CB34FB859F2C34AA3940EE6D1F" TargetMode="External"/><Relationship Id="rId130" Type="http://schemas.openxmlformats.org/officeDocument/2006/relationships/hyperlink" Target="https://www.indigenous.gov.au/news-and-media/announcements/reconciliation-wa-speech-minister-wyatt" TargetMode="External"/><Relationship Id="rId13" Type="http://schemas.openxmlformats.org/officeDocument/2006/relationships/hyperlink" Target="https://www.premier.vic.gov.au/successful-connections-project-delivers-extra-water" TargetMode="External"/><Relationship Id="rId18" Type="http://schemas.openxmlformats.org/officeDocument/2006/relationships/hyperlink" Target="https://urbanwater.melbourne.vic.gov.au/melbournes-water-story/water-use-facts/" TargetMode="External"/><Relationship Id="rId39" Type="http://schemas.openxmlformats.org/officeDocument/2006/relationships/hyperlink" Target="https://www.arc.gov.au/news-publications/publications/making-difference" TargetMode="External"/><Relationship Id="rId109" Type="http://schemas.openxmlformats.org/officeDocument/2006/relationships/hyperlink" Target="https://www.abs.gov.au/statistics/people/aboriginal-and-torres-strait-islander-peoples/estimates-aboriginal-and-torres-strait-islander-australians/jun-2021" TargetMode="External"/><Relationship Id="rId34" Type="http://schemas.openxmlformats.org/officeDocument/2006/relationships/hyperlink" Target="https://breakthroughvictoria.com/stories/university-innovation-platform-launch/" TargetMode="External"/><Relationship Id="rId50" Type="http://schemas.openxmlformats.org/officeDocument/2006/relationships/hyperlink" Target="https://patents.google.com/patent/US10229365B2/en?oq=10229365" TargetMode="External"/><Relationship Id="rId55" Type="http://schemas.openxmlformats.org/officeDocument/2006/relationships/hyperlink" Target="https://www.csiro.au/~/media/About/Files/Our-impact-framework/CSIROImpactEvaluationGuide_Nov2015_WEB.pdf?la=en&amp;hash=B351D24FB3CE02CB34FB859F2C34AA3940EE6D1F" TargetMode="External"/><Relationship Id="rId76" Type="http://schemas.openxmlformats.org/officeDocument/2006/relationships/hyperlink" Target="https://teampoly.com.au/2018/06/15/water-prices-in-australia/" TargetMode="External"/><Relationship Id="rId97" Type="http://schemas.openxmlformats.org/officeDocument/2006/relationships/hyperlink" Target="https://aija.org.au/education-hub/" TargetMode="External"/><Relationship Id="rId104" Type="http://schemas.openxmlformats.org/officeDocument/2006/relationships/hyperlink" Target="https://www.courts.qld.gov.au/court-users/researchers-and-public/stats" TargetMode="External"/><Relationship Id="rId120" Type="http://schemas.openxmlformats.org/officeDocument/2006/relationships/hyperlink" Target="https://www.payscale.com/research-and-insights/peak-earnings-data-visualization/" TargetMode="External"/><Relationship Id="rId125" Type="http://schemas.openxmlformats.org/officeDocument/2006/relationships/hyperlink" Target="https://aiatsis.gov.au/about/what-we-do/return-cultural-heritage" TargetMode="External"/><Relationship Id="rId7" Type="http://schemas.openxmlformats.org/officeDocument/2006/relationships/hyperlink" Target="https://www.arc.gov.au/sites/default/files/2022-11/2022-23%20ARC%20Budget%20Oct.docx" TargetMode="External"/><Relationship Id="rId71" Type="http://schemas.openxmlformats.org/officeDocument/2006/relationships/hyperlink" Target="https://www.premier.vic.gov.au/successful-connections-project-delivers-extra-water" TargetMode="External"/><Relationship Id="rId92" Type="http://schemas.openxmlformats.org/officeDocument/2006/relationships/hyperlink" Target="https://www.ourwatch.org.au/about-us/" TargetMode="External"/><Relationship Id="rId2" Type="http://schemas.openxmlformats.org/officeDocument/2006/relationships/hyperlink" Target="https://stip.oecd.org/stip/interactive-dashboards/policy-initiatives/2021%2Fdata%2FpolicyInitiatives%2F13921" TargetMode="External"/><Relationship Id="rId29" Type="http://schemas.openxmlformats.org/officeDocument/2006/relationships/hyperlink" Target="https://www.aph.gov.au/About_Parliament/Parliamentary_Departments/Parliamentary_Library/pubs/rp/rp2122/Quick_Guides/UniversityResearchFunding" TargetMode="External"/><Relationship Id="rId24" Type="http://schemas.openxmlformats.org/officeDocument/2006/relationships/hyperlink" Target="https://www.ukri.org/about-us/how-we-are-governed/our-relationship-with-the-government/" TargetMode="External"/><Relationship Id="rId40" Type="http://schemas.openxmlformats.org/officeDocument/2006/relationships/hyperlink" Target="https://govhack.org/about/" TargetMode="External"/><Relationship Id="rId45" Type="http://schemas.openxmlformats.org/officeDocument/2006/relationships/hyperlink" Target="https://aws.amazon.com/marketplace/seller-profile?id=e78f02ee-ea04-4fc2-8b56-456f2dc2ffc8" TargetMode="External"/><Relationship Id="rId66" Type="http://schemas.openxmlformats.org/officeDocument/2006/relationships/hyperlink" Target="https://www.csiro.au/~/media/About/Files/Our-impact-framework/CSIROImpactEvaluationGuide_Nov2015_WEB.pdf?la=en&amp;hash=B351D24FB3CE02CB34FB859F2C34AA3940EE6D1F" TargetMode="External"/><Relationship Id="rId87" Type="http://schemas.openxmlformats.org/officeDocument/2006/relationships/hyperlink" Target="https://dvnswsm.org.au/help-articles-guidelines/what-is-domestic-family-violence/" TargetMode="External"/><Relationship Id="rId110" Type="http://schemas.openxmlformats.org/officeDocument/2006/relationships/hyperlink" Target="https://theconversation.com/to-really-close-the-gap-we-need-more-indigenous-university-graduates-91493" TargetMode="External"/><Relationship Id="rId115" Type="http://schemas.openxmlformats.org/officeDocument/2006/relationships/hyperlink" Target="https://www.education.gov.au/higher-education-statistics" TargetMode="External"/><Relationship Id="rId61" Type="http://schemas.openxmlformats.org/officeDocument/2006/relationships/hyperlink" Target="https://iwa-network.org/press/18-winners-at-the-13th-iwa-project-innovation-awards/" TargetMode="External"/><Relationship Id="rId82" Type="http://schemas.openxmlformats.org/officeDocument/2006/relationships/hyperlink" Target="https://rubiconwater.com/en/rubicon-water-signs-mou-with-the-ministry-of-water-resources-of-the-republic-of-uzbekistan/" TargetMode="External"/><Relationship Id="rId19" Type="http://schemas.openxmlformats.org/officeDocument/2006/relationships/hyperlink" Target="https://www.melbournewater.com.au/water-and-environment/water-management/allocating-melbournes-water-resources/water-environment" TargetMode="External"/><Relationship Id="rId14" Type="http://schemas.openxmlformats.org/officeDocument/2006/relationships/hyperlink" Target="https://chms.cass.anu.edu.au/research/projects/repatriation-healing-and-wellbeing-understanding-success-repatriation-policy-and" TargetMode="External"/><Relationship Id="rId30" Type="http://schemas.openxmlformats.org/officeDocument/2006/relationships/hyperlink" Target="https://www.education.gov.au/research-block-grants" TargetMode="External"/><Relationship Id="rId35" Type="http://schemas.openxmlformats.org/officeDocument/2006/relationships/hyperlink" Target="https://www.diis.sa.gov.au/innovation/entrepreneurship-and-future-industries/funding/research-and-innovation-fund" TargetMode="External"/><Relationship Id="rId56" Type="http://schemas.openxmlformats.org/officeDocument/2006/relationships/hyperlink" Target="https://www.watercorporation.com.au/Our-water/Climate-change-and-WA/Climate-and-Perth" TargetMode="External"/><Relationship Id="rId77" Type="http://schemas.openxmlformats.org/officeDocument/2006/relationships/hyperlink" Target="https://www.premier.vic.gov.au/successful-connections-project-delivers-extra-water" TargetMode="External"/><Relationship Id="rId100" Type="http://schemas.openxmlformats.org/officeDocument/2006/relationships/hyperlink" Target="https://www.abs.gov.au/statistics/people/crime-and-justice/recorded-crime-victims/latest-release" TargetMode="External"/><Relationship Id="rId105" Type="http://schemas.openxmlformats.org/officeDocument/2006/relationships/hyperlink" Target="https://www.grants.gov.au/Go/Show?GoUuid=a9fdb376-058f-44c9-b0ff-c5f043268c5a" TargetMode="External"/><Relationship Id="rId126" Type="http://schemas.openxmlformats.org/officeDocument/2006/relationships/hyperlink" Target="https://returnreconcilerenew.info/ohrm/biogs/E002082b.htm" TargetMode="External"/><Relationship Id="rId8" Type="http://schemas.openxmlformats.org/officeDocument/2006/relationships/hyperlink" Target="https://www.industry.gov.au/publications/science-research-and-innovation-sri-budget-tables" TargetMode="External"/><Relationship Id="rId51" Type="http://schemas.openxmlformats.org/officeDocument/2006/relationships/hyperlink" Target="https://newsroom.unsw.edu.au/news/science-tech/national-centre-excellence-quantum-opens-unsw" TargetMode="External"/><Relationship Id="rId72" Type="http://schemas.openxmlformats.org/officeDocument/2006/relationships/hyperlink" Target="https://rubiconwater.com/en/project/oakdale-irrigation-district/" TargetMode="External"/><Relationship Id="rId93" Type="http://schemas.openxmlformats.org/officeDocument/2006/relationships/hyperlink" Target="https://www.anrows.org.au/about/" TargetMode="External"/><Relationship Id="rId98" Type="http://schemas.openxmlformats.org/officeDocument/2006/relationships/hyperlink" Target="https://cald.asn.au/wp-content/uploads/2020/12/Terms-of-Reference-Working-Party-on-First-Peoples-Partnership-3-Dec-2020.pdf" TargetMode="External"/><Relationship Id="rId121" Type="http://schemas.openxmlformats.org/officeDocument/2006/relationships/hyperlink" Target="https://theconversation.com/three-charts-on-teachers-pay-in-australia-it-starts-out-ok-but-goes-downhill-pretty-quickly-122782" TargetMode="External"/><Relationship Id="rId3" Type="http://schemas.openxmlformats.org/officeDocument/2006/relationships/hyperlink" Target="https://www.arc.gov.au/funding-research/apply-funding/grant-application/science-and-research-priorities" TargetMode="External"/><Relationship Id="rId25" Type="http://schemas.openxmlformats.org/officeDocument/2006/relationships/hyperlink" Target="https://www.health.gov.au/our-work/medical-research-future-fund" TargetMode="External"/><Relationship Id="rId46" Type="http://schemas.openxmlformats.org/officeDocument/2006/relationships/hyperlink" Target="https://patents.google.com/patent/WO2005019095A1/en" TargetMode="External"/><Relationship Id="rId67" Type="http://schemas.openxmlformats.org/officeDocument/2006/relationships/hyperlink" Target="https://rubiconwater.com/en/demand-integrated-network-control-solution/" TargetMode="External"/><Relationship Id="rId116" Type="http://schemas.openxmlformats.org/officeDocument/2006/relationships/hyperlink" Target="https://www.8ways.online/interface-theory" TargetMode="External"/><Relationship Id="rId20" Type="http://schemas.openxmlformats.org/officeDocument/2006/relationships/hyperlink" Target="https://www.pc.gov.au/__data/assets/pdf_file/0009/228177/water-reform-overview.pdf" TargetMode="External"/><Relationship Id="rId41" Type="http://schemas.openxmlformats.org/officeDocument/2006/relationships/hyperlink" Target="https://www.industry.gov.au/publications/innovation-metrics-review" TargetMode="External"/><Relationship Id="rId62" Type="http://schemas.openxmlformats.org/officeDocument/2006/relationships/hyperlink" Target="https://www.watercorporation.com.au/About-us/Media-releases/2022/August-2022/Stage-Two-Groundwater-Replenishment-Scheme" TargetMode="External"/><Relationship Id="rId83" Type="http://schemas.openxmlformats.org/officeDocument/2006/relationships/hyperlink" Target="https://www.csiro.au/~/media/About/Files/Our-impact-framework/CSIROImpactEvaluationGuide_Nov2015_WEB.pdf?la=en&amp;hash=B351D24FB3CE02CB34FB859F2C34AA3940EE6D1F" TargetMode="External"/><Relationship Id="rId88" Type="http://schemas.openxmlformats.org/officeDocument/2006/relationships/hyperlink" Target="https://dfvbenchbook.aija.org.au/contents" TargetMode="External"/><Relationship Id="rId111" Type="http://schemas.openxmlformats.org/officeDocument/2006/relationships/hyperlink" Target="https://www.education.gov.au/aboriginal-and-torres-strait-islander-higher-education/review-higher-education-access-and-outcomes-aboriginal-and-torres-strait-islander-people" TargetMode="External"/><Relationship Id="rId15" Type="http://schemas.openxmlformats.org/officeDocument/2006/relationships/hyperlink" Target="https://gpseducation.oecd.org/revieweducationpolicies/" TargetMode="External"/><Relationship Id="rId36" Type="http://schemas.openxmlformats.org/officeDocument/2006/relationships/hyperlink" Target="https://www.arc.gov.au/about-arc/strategies/evaluation" TargetMode="External"/><Relationship Id="rId57" Type="http://schemas.openxmlformats.org/officeDocument/2006/relationships/hyperlink" Target="https://pw-cdn.watercorporation.com.au/-/media/WaterCorp/Documents/Our-Water/Groundwater/water-forever-50-year-plan.pdf?rev=32235003c4e04f2bb1fb916dd973c2d6&amp;hash=B77B7F33E2B6545DC6A2BA1548940400" TargetMode="External"/><Relationship Id="rId106" Type="http://schemas.openxmlformats.org/officeDocument/2006/relationships/hyperlink" Target="https://www.csiro.au/~/media/About/Files/Our-impact-framework/CSIROImpactEvaluationGuide_Nov2015_WEB.pdf?la=en&amp;hash=B351D24FB3CE02CB34FB859F2C34AA3940EE6D1F" TargetMode="External"/><Relationship Id="rId127" Type="http://schemas.openxmlformats.org/officeDocument/2006/relationships/hyperlink" Target="https://www.nma.gov.au/about/publications/repatriation-handbook" TargetMode="External"/><Relationship Id="rId10" Type="http://schemas.openxmlformats.org/officeDocument/2006/relationships/hyperlink" Target="https://www.willowsoft.com.au/" TargetMode="External"/><Relationship Id="rId31" Type="http://schemas.openxmlformats.org/officeDocument/2006/relationships/hyperlink" Target="https://www.education.gov.au/trailblazer-universities-program" TargetMode="External"/><Relationship Id="rId52" Type="http://schemas.openxmlformats.org/officeDocument/2006/relationships/hyperlink" Target="https://newsroom.unsw.edu.au/news/science-tech/national-centre-excellence-quantum-opens-unsw" TargetMode="External"/><Relationship Id="rId73" Type="http://schemas.openxmlformats.org/officeDocument/2006/relationships/hyperlink" Target="https://www.linkedin.com/posts/rubicon-water_irrigation-automation-agtech-activity-7022077154318319616-2Zk0/" TargetMode="External"/><Relationship Id="rId78" Type="http://schemas.openxmlformats.org/officeDocument/2006/relationships/hyperlink" Target="https://urbanwater.melbourne.vic.gov.au/melbournes-water-story/water-use-facts/" TargetMode="External"/><Relationship Id="rId94" Type="http://schemas.openxmlformats.org/officeDocument/2006/relationships/hyperlink" Target="https://www.publications.qld.gov.au/dataset/not-now-not-ever/resource/008db60d-06e9-4702-bb87-48be367edf93" TargetMode="External"/><Relationship Id="rId99" Type="http://schemas.openxmlformats.org/officeDocument/2006/relationships/hyperlink" Target="https://www.anrows.org.au/research/2020-2022-anrows-core-grant-research-program/" TargetMode="External"/><Relationship Id="rId101" Type="http://schemas.openxmlformats.org/officeDocument/2006/relationships/hyperlink" Target="https://oia.pmc.gov.au/sites/default/files/2021-06/value-of-statistical-life-guidance-note-2.pdf" TargetMode="External"/><Relationship Id="rId122" Type="http://schemas.openxmlformats.org/officeDocument/2006/relationships/hyperlink" Target="https://www.qilt.edu.au/general/article/2021/11/04/graduate-incomes-data" TargetMode="External"/><Relationship Id="rId4" Type="http://schemas.openxmlformats.org/officeDocument/2006/relationships/hyperlink" Target="https://www.industry.gov.au/news/australian-government-revitalise-our-science-priorities" TargetMode="External"/><Relationship Id="rId9" Type="http://schemas.openxmlformats.org/officeDocument/2006/relationships/hyperlink" Target="https://www.arc.gov.au/funding-research/funding-outcome/selection-outcome-reports/selection-report-discovery-projects-2022" TargetMode="External"/><Relationship Id="rId26" Type="http://schemas.openxmlformats.org/officeDocument/2006/relationships/hyperlink" Target="https://www.publications.qld.gov.au/dataset/not-now-not-ever/resource/008db60d-06e9-4702-bb87-48be367edf93"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Templates\AA%20Report%20Template.dotx" TargetMode="External"/></Relationships>
</file>

<file path=word/theme/theme1.xml><?xml version="1.0" encoding="utf-8"?>
<a:theme xmlns:a="http://schemas.openxmlformats.org/drawingml/2006/main" name="AAC Theme">
  <a:themeElements>
    <a:clrScheme name="AAC">
      <a:dk1>
        <a:sysClr val="windowText" lastClr="000000"/>
      </a:dk1>
      <a:lt1>
        <a:sysClr val="window" lastClr="FFFFFF"/>
      </a:lt1>
      <a:dk2>
        <a:srgbClr val="6C3F99"/>
      </a:dk2>
      <a:lt2>
        <a:srgbClr val="140034"/>
      </a:lt2>
      <a:accent1>
        <a:srgbClr val="9D85BE"/>
      </a:accent1>
      <a:accent2>
        <a:srgbClr val="7D7D7D"/>
      </a:accent2>
      <a:accent3>
        <a:srgbClr val="C8C8C8"/>
      </a:accent3>
      <a:accent4>
        <a:srgbClr val="006A9F"/>
      </a:accent4>
      <a:accent5>
        <a:srgbClr val="7BBDD6"/>
      </a:accent5>
      <a:accent6>
        <a:srgbClr val="428D52"/>
      </a:accent6>
      <a:hlink>
        <a:srgbClr val="7BBDD6"/>
      </a:hlink>
      <a:folHlink>
        <a:srgbClr val="9FD18B"/>
      </a:folHlink>
    </a:clrScheme>
    <a:fontScheme name="AAC">
      <a:majorFont>
        <a:latin typeface="Yu Gothic Medium"/>
        <a:ea typeface=""/>
        <a:cs typeface=""/>
      </a:majorFont>
      <a:minorFont>
        <a:latin typeface="Arial Narrow"/>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solidFill>
          <a:schemeClr val="bg2">
            <a:lumMod val="10000"/>
            <a:lumOff val="90000"/>
          </a:schemeClr>
        </a:solidFill>
        <a:ln>
          <a:noFill/>
        </a:ln>
      </a:spPr>
      <a:bodyPr rtlCol="0" anchor="ctr"/>
      <a:lstStyle>
        <a:defPPr algn="ctr">
          <a:defRPr dirty="0" err="1"/>
        </a:defPPr>
      </a:lstStyle>
      <a:style>
        <a:lnRef idx="2">
          <a:schemeClr val="accent1">
            <a:shade val="50000"/>
          </a:schemeClr>
        </a:lnRef>
        <a:fillRef idx="1">
          <a:schemeClr val="accent1"/>
        </a:fillRef>
        <a:effectRef idx="0">
          <a:schemeClr val="accent1"/>
        </a:effectRef>
        <a:fontRef idx="minor">
          <a:schemeClr val="lt1"/>
        </a:fontRef>
      </a:style>
    </a:spDef>
  </a:objectDefaults>
  <a:extraClrSchemeLst/>
  <a:extLst>
    <a:ext uri="{05A4C25C-085E-4340-85A3-A5531E510DB2}">
      <thm15:themeFamily xmlns:thm15="http://schemas.microsoft.com/office/thememl/2012/main" name="AAC Theme" id="{7DAE473E-EF84-46A6-B69E-D5D2484C67C2}" vid="{AA0117A1-C2AD-4B1D-8EBB-5C43F8D51731}"/>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dm:cachedDataManifest xmlns:cdm="http://schemas.microsoft.com/2004/VisualStudio/Tools/Applications/CachedDataManifest.xsd" cdm:revision="1"/>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9921efe4-11ef-4a7e-9c29-a7aa81943987">
      <Terms xmlns="http://schemas.microsoft.com/office/infopath/2007/PartnerControls"/>
    </lcf76f155ced4ddcb4097134ff3c332f>
    <TaxCatchAll xmlns="37436bc1-0fa5-4f6a-807d-9ae22fdb64f2"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ct:contentTypeSchema xmlns:ct="http://schemas.microsoft.com/office/2006/metadata/contentType" xmlns:ma="http://schemas.microsoft.com/office/2006/metadata/properties/metaAttributes" ct:_="" ma:_="" ma:contentTypeName="Document" ma:contentTypeID="0x01010095DE9E8B84383D48B61A3EB6EADA33FB" ma:contentTypeVersion="17" ma:contentTypeDescription="Create a new document." ma:contentTypeScope="" ma:versionID="cd253c742e88a0f884d9d5aef951466f">
  <xsd:schema xmlns:xsd="http://www.w3.org/2001/XMLSchema" xmlns:xs="http://www.w3.org/2001/XMLSchema" xmlns:p="http://schemas.microsoft.com/office/2006/metadata/properties" xmlns:ns2="9921efe4-11ef-4a7e-9c29-a7aa81943987" xmlns:ns3="37436bc1-0fa5-4f6a-807d-9ae22fdb64f2" targetNamespace="http://schemas.microsoft.com/office/2006/metadata/properties" ma:root="true" ma:fieldsID="15528d3c2a30491dedf9b51b5375e370" ns2:_="" ns3:_="">
    <xsd:import namespace="9921efe4-11ef-4a7e-9c29-a7aa81943987"/>
    <xsd:import namespace="37436bc1-0fa5-4f6a-807d-9ae22fdb64f2"/>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OCR" minOccurs="0"/>
                <xsd:element ref="ns2:MediaServiceGenerationTime" minOccurs="0"/>
                <xsd:element ref="ns2:MediaServiceEventHashCode" minOccurs="0"/>
                <xsd:element ref="ns3:SharedWithUsers" minOccurs="0"/>
                <xsd:element ref="ns3:SharedWithDetails" minOccurs="0"/>
                <xsd:element ref="ns2:MediaLengthInSeconds" minOccurs="0"/>
                <xsd:element ref="ns2:lcf76f155ced4ddcb4097134ff3c332f" minOccurs="0"/>
                <xsd:element ref="ns3:TaxCatchAll" minOccurs="0"/>
                <xsd:element ref="ns2:MediaServiceLocation"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921efe4-11ef-4a7e-9c29-a7aa8194398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lcf76f155ced4ddcb4097134ff3c332f" ma:index="20" nillable="true" ma:taxonomy="true" ma:internalName="lcf76f155ced4ddcb4097134ff3c332f" ma:taxonomyFieldName="MediaServiceImageTags" ma:displayName="Image Tags" ma:readOnly="false" ma:fieldId="{5cf76f15-5ced-4ddc-b409-7134ff3c332f}" ma:taxonomyMulti="true" ma:sspId="679e5106-e974-4ada-8f00-e41e7cc1c616" ma:termSetId="09814cd3-568e-fe90-9814-8d621ff8fb84" ma:anchorId="fba54fb3-c3e1-fe81-a776-ca4b69148c4d" ma:open="true" ma:isKeyword="false">
      <xsd:complexType>
        <xsd:sequence>
          <xsd:element ref="pc:Terms" minOccurs="0" maxOccurs="1"/>
        </xsd:sequence>
      </xsd:complexType>
    </xsd:element>
    <xsd:element name="MediaServiceLocation" ma:index="22" nillable="true" ma:displayName="Location" ma:indexed="true" ma:internalName="MediaServiceLocation" ma:readOnly="true">
      <xsd:simpleType>
        <xsd:restriction base="dms:Text"/>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7436bc1-0fa5-4f6a-807d-9ae22fdb64f2"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TaxCatchAll" ma:index="21" nillable="true" ma:displayName="Taxonomy Catch All Column" ma:hidden="true" ma:list="{e906be5a-06a2-4192-ac5a-eb1e8a2191c7}" ma:internalName="TaxCatchAll" ma:showField="CatchAllData" ma:web="37436bc1-0fa5-4f6a-807d-9ae22fdb64f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A7D6133C-2394-44EF-816F-ED604A582F36}">
  <ds:schemaRefs>
    <ds:schemaRef ds:uri="http://schemas.openxmlformats.org/officeDocument/2006/bibliography"/>
  </ds:schemaRefs>
</ds:datastoreItem>
</file>

<file path=customXml/itemProps2.xml><?xml version="1.0" encoding="utf-8"?>
<ds:datastoreItem xmlns:ds="http://schemas.openxmlformats.org/officeDocument/2006/customXml" ds:itemID="{346CDBD5-596C-477A-9D54-36B1E636608A}">
  <ds:schemaRefs>
    <ds:schemaRef ds:uri="http://schemas.microsoft.com/2004/VisualStudio/Tools/Applications/CachedDataManifest.xsd"/>
  </ds:schemaRefs>
</ds:datastoreItem>
</file>

<file path=customXml/itemProps3.xml><?xml version="1.0" encoding="utf-8"?>
<ds:datastoreItem xmlns:ds="http://schemas.openxmlformats.org/officeDocument/2006/customXml" ds:itemID="{D6FFE47C-90A1-4573-972E-CA3487E61DCA}">
  <ds:schemaRefs>
    <ds:schemaRef ds:uri="http://schemas.microsoft.com/office/2006/documentManagement/types"/>
    <ds:schemaRef ds:uri="9921efe4-11ef-4a7e-9c29-a7aa81943987"/>
    <ds:schemaRef ds:uri="http://schemas.openxmlformats.org/package/2006/metadata/core-properties"/>
    <ds:schemaRef ds:uri="http://purl.org/dc/terms/"/>
    <ds:schemaRef ds:uri="http://www.w3.org/XML/1998/namespace"/>
    <ds:schemaRef ds:uri="http://purl.org/dc/dcmitype/"/>
    <ds:schemaRef ds:uri="http://purl.org/dc/elements/1.1/"/>
    <ds:schemaRef ds:uri="http://schemas.microsoft.com/office/infopath/2007/PartnerControls"/>
    <ds:schemaRef ds:uri="37436bc1-0fa5-4f6a-807d-9ae22fdb64f2"/>
    <ds:schemaRef ds:uri="http://schemas.microsoft.com/office/2006/metadata/properties"/>
  </ds:schemaRefs>
</ds:datastoreItem>
</file>

<file path=customXml/itemProps4.xml><?xml version="1.0" encoding="utf-8"?>
<ds:datastoreItem xmlns:ds="http://schemas.openxmlformats.org/officeDocument/2006/customXml" ds:itemID="{5E7F8B39-A19F-4483-82C8-32FA8A0B9AED}">
  <ds:schemaRefs>
    <ds:schemaRef ds:uri="http://schemas.microsoft.com/sharepoint/v3/contenttype/forms"/>
  </ds:schemaRefs>
</ds:datastoreItem>
</file>

<file path=customXml/itemProps5.xml><?xml version="1.0" encoding="utf-8"?>
<ds:datastoreItem xmlns:ds="http://schemas.openxmlformats.org/officeDocument/2006/customXml" ds:itemID="{73A7160E-59DF-4565-9D0D-E4A0C5900B3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921efe4-11ef-4a7e-9c29-a7aa81943987"/>
    <ds:schemaRef ds:uri="37436bc1-0fa5-4f6a-807d-9ae22fdb64f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AA Report Template.dotx</Template>
  <TotalTime>0</TotalTime>
  <Pages>120</Pages>
  <Words>93953</Words>
  <Characters>535538</Characters>
  <Application>Microsoft Office Word</Application>
  <DocSecurity>0</DocSecurity>
  <Lines>4462</Lines>
  <Paragraphs>1256</Paragraphs>
  <ScaleCrop>false</ScaleCrop>
  <HeadingPairs>
    <vt:vector size="2" baseType="variant">
      <vt:variant>
        <vt:lpstr>Title</vt:lpstr>
      </vt:variant>
      <vt:variant>
        <vt:i4>1</vt:i4>
      </vt:variant>
    </vt:vector>
  </HeadingPairs>
  <TitlesOfParts>
    <vt:vector size="1" baseType="lpstr">
      <vt:lpstr>Report</vt:lpstr>
    </vt:vector>
  </TitlesOfParts>
  <Company>Acil Allen</Company>
  <LinksUpToDate>false</LinksUpToDate>
  <CharactersWithSpaces>628235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Report</dc:title>
  <dc:subject/>
  <dc:creator>Laura Baker</dc:creator>
  <cp:keywords/>
  <dc:description>© ACIL Allen 2023</dc:description>
  <cp:lastModifiedBy>Natasha Friend</cp:lastModifiedBy>
  <cp:revision>2</cp:revision>
  <cp:lastPrinted>2023-04-24T07:39:00Z</cp:lastPrinted>
  <dcterms:created xsi:type="dcterms:W3CDTF">2023-08-29T00:37:00Z</dcterms:created>
  <dcterms:modified xsi:type="dcterms:W3CDTF">2023-08-29T00:37:00Z</dcterms:modified>
  <cp:category>12.12.30</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0x01010095DE9E8B84383D48B61A3EB6EADA33FB</vt:lpwstr>
  </property>
  <property fmtid="{D5CDD505-2E9C-101B-9397-08002B2CF9AE}" pid="3" name="reportMode">
    <vt:lpwstr>longReport</vt:lpwstr>
  </property>
  <property fmtid="{D5CDD505-2E9C-101B-9397-08002B2CF9AE}" pid="4" name="rptAccessible">
    <vt:lpwstr>true</vt:lpwstr>
  </property>
  <property fmtid="{D5CDD505-2E9C-101B-9397-08002B2CF9AE}" pid="5" name="pgNumberFormat">
    <vt:lpwstr>std</vt:lpwstr>
  </property>
  <property fmtid="{D5CDD505-2E9C-101B-9397-08002B2CF9AE}" pid="6" name="wcagFontSize">
    <vt:lpwstr>std</vt:lpwstr>
  </property>
  <property fmtid="{D5CDD505-2E9C-101B-9397-08002B2CF9AE}" pid="7" name="MediaServiceImageTags">
    <vt:lpwstr/>
  </property>
</Properties>
</file>